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3.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Default Extension="jpeg" ContentType="image/jpeg"/>
  <Override PartName="/word/footer12.xml" ContentType="application/vnd.openxmlformats-officedocument.wordprocessingml.footer+xml"/>
  <Override PartName="/word/header4.xml" ContentType="application/vnd.openxmlformats-officedocument.wordprocessingml.header+xml"/>
  <Override PartName="/word/footer13.xml" ContentType="application/vnd.openxmlformats-officedocument.wordprocessingml.footer+xml"/>
  <Override PartName="/word/header5.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header6.xml" ContentType="application/vnd.openxmlformats-officedocument.wordprocessingml.header+xml"/>
  <Override PartName="/word/footer20.xml" ContentType="application/vnd.openxmlformats-officedocument.wordprocessingml.footer+xml"/>
  <Override PartName="/word/header7.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header8.xml" ContentType="application/vnd.openxmlformats-officedocument.wordprocessingml.header+xml"/>
  <Override PartName="/word/footer36.xml" ContentType="application/vnd.openxmlformats-officedocument.wordprocessingml.footer+xml"/>
  <Override PartName="/word/header9.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9"/>
          <w:szCs w:val="19"/>
        </w:rPr>
      </w:pPr>
    </w:p>
    <w:p>
      <w:pPr>
        <w:pStyle w:val="BodyText"/>
        <w:tabs>
          <w:tab w:pos="6971" w:val="left" w:leader="none"/>
        </w:tabs>
        <w:spacing w:line="240" w:lineRule="auto" w:before="36"/>
        <w:ind w:left="5" w:right="0"/>
        <w:jc w:val="center"/>
      </w:pPr>
      <w:r>
        <w:rPr>
          <w:rFonts w:ascii="宋体" w:hAnsi="宋体" w:cs="宋体" w:eastAsia="宋体" w:hint="default"/>
        </w:rPr>
        <w:t>f</w:t>
      </w:r>
      <w:r>
        <w:rPr>
          <w:rFonts w:ascii="宋体" w:hAnsi="宋体" w:cs="宋体" w:eastAsia="宋体" w:hint="default"/>
          <w:spacing w:val="-42"/>
        </w:rPr>
        <w:t> </w:t>
      </w:r>
      <w:r>
        <w:rPr>
          <w:spacing w:val="-3"/>
        </w:rPr>
        <w:t>公司代码：</w:t>
      </w:r>
      <w:r>
        <w:rPr>
          <w:rFonts w:ascii="宋体" w:hAnsi="宋体" w:cs="宋体" w:eastAsia="宋体" w:hint="default"/>
          <w:spacing w:val="-3"/>
        </w:rPr>
        <w:t>600179</w:t>
        <w:tab/>
      </w:r>
      <w:r>
        <w:rPr>
          <w:spacing w:val="-4"/>
        </w:rPr>
        <w:t>公司简称：安通控股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spacing w:line="1929" w:lineRule="exact"/>
        <w:ind w:left="1523" w:right="0" w:firstLine="0"/>
        <w:rPr>
          <w:rFonts w:ascii="宋体" w:hAnsi="宋体" w:cs="宋体" w:eastAsia="宋体" w:hint="default"/>
          <w:sz w:val="20"/>
          <w:szCs w:val="20"/>
        </w:rPr>
      </w:pPr>
      <w:r>
        <w:rPr>
          <w:rFonts w:ascii="宋体" w:hAnsi="宋体" w:cs="宋体" w:eastAsia="宋体" w:hint="default"/>
          <w:position w:val="-38"/>
          <w:sz w:val="20"/>
          <w:szCs w:val="20"/>
        </w:rPr>
        <w:drawing>
          <wp:inline distT="0" distB="0" distL="0" distR="0">
            <wp:extent cx="3838551" cy="1225296"/>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3838551" cy="1225296"/>
                    </a:xfrm>
                    <a:prstGeom prst="rect">
                      <a:avLst/>
                    </a:prstGeom>
                  </pic:spPr>
                </pic:pic>
              </a:graphicData>
            </a:graphic>
          </wp:inline>
        </w:drawing>
      </w:r>
      <w:r>
        <w:rPr>
          <w:rFonts w:ascii="宋体" w:hAnsi="宋体" w:cs="宋体" w:eastAsia="宋体" w:hint="default"/>
          <w:position w:val="-38"/>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spacing w:line="572" w:lineRule="exact" w:before="0"/>
        <w:ind w:left="2437" w:right="2432" w:firstLine="0"/>
        <w:jc w:val="center"/>
        <w:rPr>
          <w:rFonts w:ascii="黑体" w:hAnsi="黑体" w:cs="黑体" w:eastAsia="黑体" w:hint="default"/>
          <w:sz w:val="44"/>
          <w:szCs w:val="44"/>
        </w:rPr>
      </w:pPr>
      <w:r>
        <w:rPr>
          <w:rFonts w:ascii="黑体" w:hAnsi="黑体" w:cs="黑体" w:eastAsia="黑体" w:hint="default"/>
          <w:b/>
          <w:bCs/>
          <w:color w:val="FF0000"/>
          <w:w w:val="95"/>
          <w:sz w:val="44"/>
          <w:szCs w:val="44"/>
        </w:rPr>
        <w:t>安通控股股份有限公司</w:t>
      </w:r>
      <w:r>
        <w:rPr>
          <w:rFonts w:ascii="黑体" w:hAnsi="黑体" w:cs="黑体" w:eastAsia="黑体" w:hint="default"/>
          <w:b/>
          <w:bCs/>
          <w:color w:val="FF0000"/>
          <w:spacing w:val="-1"/>
          <w:w w:val="95"/>
          <w:sz w:val="44"/>
          <w:szCs w:val="44"/>
        </w:rPr>
        <w:t> </w:t>
      </w:r>
      <w:r>
        <w:rPr>
          <w:rFonts w:ascii="黑体" w:hAnsi="黑体" w:cs="黑体" w:eastAsia="黑体" w:hint="default"/>
          <w:b/>
          <w:bCs/>
          <w:color w:val="FF0000"/>
          <w:sz w:val="44"/>
          <w:szCs w:val="44"/>
        </w:rPr>
        <w:t>2017</w:t>
      </w:r>
      <w:r>
        <w:rPr>
          <w:rFonts w:ascii="黑体" w:hAnsi="黑体" w:cs="黑体" w:eastAsia="黑体" w:hint="default"/>
          <w:b/>
          <w:bCs/>
          <w:color w:val="FF0000"/>
          <w:spacing w:val="-119"/>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after="0" w:line="572" w:lineRule="exact"/>
        <w:jc w:val="center"/>
        <w:rPr>
          <w:rFonts w:ascii="黑体" w:hAnsi="黑体" w:cs="黑体" w:eastAsia="黑体" w:hint="default"/>
          <w:sz w:val="44"/>
          <w:szCs w:val="44"/>
        </w:rPr>
        <w:sectPr>
          <w:headerReference w:type="default" r:id="rId5"/>
          <w:footerReference w:type="default" r:id="rId6"/>
          <w:type w:val="continuous"/>
          <w:pgSz w:w="11910" w:h="16840"/>
          <w:pgMar w:header="880" w:footer="1195" w:top="1120" w:bottom="1380" w:left="1660" w:right="1140"/>
          <w:pgNumType w:start="1"/>
        </w:sectPr>
      </w:pPr>
    </w:p>
    <w:p>
      <w:pPr>
        <w:spacing w:line="240" w:lineRule="auto" w:before="0"/>
        <w:rPr>
          <w:rFonts w:ascii="黑体" w:hAnsi="黑体" w:cs="黑体" w:eastAsia="黑体" w:hint="default"/>
          <w:b/>
          <w:bCs/>
          <w:sz w:val="20"/>
          <w:szCs w:val="20"/>
        </w:rPr>
      </w:pPr>
    </w:p>
    <w:p>
      <w:pPr>
        <w:spacing w:line="240" w:lineRule="auto" w:before="4"/>
        <w:rPr>
          <w:rFonts w:ascii="黑体" w:hAnsi="黑体" w:cs="黑体" w:eastAsia="黑体" w:hint="default"/>
          <w:b/>
          <w:bCs/>
          <w:sz w:val="27"/>
          <w:szCs w:val="27"/>
        </w:rPr>
      </w:pPr>
    </w:p>
    <w:p>
      <w:pPr>
        <w:spacing w:before="14"/>
        <w:ind w:left="0" w:right="0" w:firstLine="0"/>
        <w:jc w:val="center"/>
        <w:rPr>
          <w:rFonts w:ascii="黑体" w:hAnsi="黑体" w:cs="黑体" w:eastAsia="黑体" w:hint="default"/>
          <w:sz w:val="28"/>
          <w:szCs w:val="28"/>
        </w:rPr>
      </w:pPr>
      <w:r>
        <w:rPr>
          <w:rFonts w:ascii="黑体" w:hAnsi="黑体" w:cs="黑体" w:eastAsia="黑体" w:hint="default"/>
          <w:b/>
          <w:bCs/>
          <w:sz w:val="28"/>
          <w:szCs w:val="28"/>
        </w:rPr>
        <w:t>重要提示</w:t>
      </w:r>
      <w:r>
        <w:rPr>
          <w:rFonts w:ascii="黑体" w:hAnsi="黑体" w:cs="黑体" w:eastAsia="黑体" w:hint="default"/>
          <w:sz w:val="28"/>
          <w:szCs w:val="28"/>
        </w:rPr>
      </w:r>
    </w:p>
    <w:p>
      <w:pPr>
        <w:spacing w:line="240" w:lineRule="auto" w:before="3"/>
        <w:rPr>
          <w:rFonts w:ascii="黑体" w:hAnsi="黑体" w:cs="黑体" w:eastAsia="黑体" w:hint="default"/>
          <w:b/>
          <w:bCs/>
          <w:sz w:val="22"/>
          <w:szCs w:val="22"/>
        </w:rPr>
      </w:pPr>
    </w:p>
    <w:p>
      <w:pPr>
        <w:pStyle w:val="Heading2"/>
        <w:spacing w:line="355" w:lineRule="auto"/>
        <w:ind w:left="505" w:right="125" w:hanging="368"/>
        <w:jc w:val="left"/>
        <w:rPr>
          <w:b w:val="0"/>
          <w:bCs w:val="0"/>
        </w:rPr>
      </w:pPr>
      <w:r>
        <w:rPr>
          <w:spacing w:val="-6"/>
        </w:rPr>
        <w:t>一、本公司董事会、监事会及董事、监事、高级管理人员保证年度报告内容的真实、准确、完整，</w:t>
      </w:r>
      <w:r>
        <w:rPr>
          <w:spacing w:val="-85"/>
        </w:rPr>
        <w:t> </w:t>
      </w:r>
      <w:r>
        <w:rPr>
          <w:spacing w:val="-85"/>
        </w:rPr>
      </w:r>
      <w:r>
        <w:rPr/>
        <w:t>不存在虚假记载、误导性陈述或重大遗漏，并承担个别和连带的法律责任。</w:t>
      </w:r>
      <w:r>
        <w:rPr>
          <w:b w:val="0"/>
          <w:bCs w:val="0"/>
        </w:rPr>
      </w:r>
    </w:p>
    <w:p>
      <w:pPr>
        <w:spacing w:line="240" w:lineRule="auto" w:before="5"/>
        <w:rPr>
          <w:rFonts w:ascii="宋体" w:hAnsi="宋体" w:cs="宋体" w:eastAsia="宋体" w:hint="default"/>
          <w:b/>
          <w:bCs/>
          <w:sz w:val="23"/>
          <w:szCs w:val="23"/>
        </w:rPr>
      </w:pPr>
    </w:p>
    <w:p>
      <w:pPr>
        <w:pStyle w:val="Heading2"/>
        <w:spacing w:line="240" w:lineRule="auto"/>
        <w:ind w:left="138" w:right="125"/>
        <w:jc w:val="left"/>
        <w:rPr>
          <w:b w:val="0"/>
          <w:bCs w:val="0"/>
        </w:rPr>
      </w:pPr>
      <w:r>
        <w:rPr/>
        <w:t>二、</w:t>
      </w:r>
      <w:r>
        <w:rPr>
          <w:spacing w:val="-80"/>
        </w:rPr>
        <w:t> </w:t>
      </w:r>
      <w:r>
        <w:rPr/>
        <w:t>公司全体董事出席董事会会议。</w:t>
      </w:r>
      <w:r>
        <w:rPr>
          <w:b w:val="0"/>
          <w:bCs w:val="0"/>
        </w:rPr>
      </w:r>
    </w:p>
    <w:p>
      <w:pPr>
        <w:pStyle w:val="Heading2"/>
        <w:tabs>
          <w:tab w:pos="5361" w:val="left" w:leader="none"/>
        </w:tabs>
        <w:spacing w:line="680" w:lineRule="atLeast" w:before="1"/>
        <w:ind w:left="138" w:right="125"/>
        <w:jc w:val="left"/>
        <w:rPr>
          <w:b w:val="0"/>
          <w:bCs w:val="0"/>
        </w:rPr>
      </w:pPr>
      <w:r>
        <w:rPr/>
        <w:t>三、</w:t>
      </w:r>
      <w:r>
        <w:rPr>
          <w:spacing w:val="-11"/>
        </w:rPr>
        <w:t> </w:t>
      </w:r>
      <w:r>
        <w:rPr/>
        <w:t>华普天健会计师事务所（特殊普通合伙）为本公司出具了标准无保留意见的审计报告。</w:t>
      </w:r>
      <w:r>
        <w:rPr>
          <w:w w:val="100"/>
        </w:rPr>
        <w:t> </w:t>
      </w:r>
      <w:r>
        <w:rPr/>
        <w:t>四、公司负责人郭东圣、主管会计工作负责人李良海</w:t>
        <w:tab/>
        <w:t>及会计机构负责人（会计主管人员）郑</w:t>
      </w:r>
      <w:r>
        <w:rPr>
          <w:b w:val="0"/>
          <w:bCs w:val="0"/>
        </w:rPr>
      </w:r>
    </w:p>
    <w:p>
      <w:pPr>
        <w:pStyle w:val="Heading2"/>
        <w:spacing w:line="240" w:lineRule="auto" w:before="135"/>
        <w:ind w:left="505" w:right="125"/>
        <w:jc w:val="left"/>
        <w:rPr>
          <w:b w:val="0"/>
          <w:bCs w:val="0"/>
        </w:rPr>
      </w:pPr>
      <w:r>
        <w:rPr/>
        <w:t>清勇声明：保证年度报告中财务报告的真实、准确、完整。</w:t>
      </w:r>
      <w:r>
        <w:rPr>
          <w:b w:val="0"/>
          <w:bCs w:val="0"/>
        </w:rPr>
      </w:r>
    </w:p>
    <w:p>
      <w:pPr>
        <w:spacing w:line="240" w:lineRule="auto" w:before="0"/>
        <w:rPr>
          <w:rFonts w:ascii="宋体" w:hAnsi="宋体" w:cs="宋体" w:eastAsia="宋体" w:hint="default"/>
          <w:b/>
          <w:bCs/>
          <w:sz w:val="20"/>
          <w:szCs w:val="20"/>
        </w:rPr>
      </w:pPr>
    </w:p>
    <w:p>
      <w:pPr>
        <w:spacing w:line="355" w:lineRule="auto" w:before="142"/>
        <w:ind w:left="558" w:right="125" w:hanging="42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39"/>
          <w:sz w:val="21"/>
          <w:szCs w:val="21"/>
        </w:rPr>
        <w:t> </w:t>
      </w:r>
      <w:r>
        <w:rPr>
          <w:rFonts w:ascii="宋体" w:hAnsi="宋体" w:cs="宋体" w:eastAsia="宋体" w:hint="default"/>
          <w:b/>
          <w:bCs/>
          <w:sz w:val="21"/>
          <w:szCs w:val="21"/>
        </w:rPr>
        <w:t>经董事会审议的报告期利润分配预案或公积金转增股本预案</w:t>
      </w:r>
      <w:r>
        <w:rPr>
          <w:rFonts w:ascii="宋体" w:hAnsi="宋体" w:cs="宋体" w:eastAsia="宋体" w:hint="default"/>
          <w:b/>
          <w:bCs/>
          <w:w w:val="100"/>
          <w:sz w:val="21"/>
          <w:szCs w:val="21"/>
        </w:rPr>
        <w:t> </w:t>
      </w:r>
      <w:r>
        <w:rPr>
          <w:rFonts w:ascii="宋体" w:hAnsi="宋体" w:cs="宋体" w:eastAsia="宋体" w:hint="default"/>
          <w:spacing w:val="-3"/>
          <w:w w:val="100"/>
          <w:sz w:val="21"/>
          <w:szCs w:val="21"/>
        </w:rPr>
        <w:t>公司拟以</w:t>
      </w:r>
      <w:r>
        <w:rPr>
          <w:rFonts w:ascii="宋体" w:hAnsi="宋体" w:cs="宋体" w:eastAsia="宋体" w:hint="default"/>
          <w:spacing w:val="-3"/>
          <w:w w:val="100"/>
          <w:sz w:val="21"/>
          <w:szCs w:val="21"/>
        </w:rPr>
        <w:t>2017</w:t>
      </w:r>
      <w:r>
        <w:rPr>
          <w:rFonts w:ascii="宋体" w:hAnsi="宋体" w:cs="宋体" w:eastAsia="宋体" w:hint="default"/>
          <w:spacing w:val="-3"/>
          <w:w w:val="100"/>
          <w:sz w:val="21"/>
          <w:szCs w:val="21"/>
        </w:rPr>
        <w:t>年</w:t>
      </w:r>
      <w:r>
        <w:rPr>
          <w:rFonts w:ascii="宋体" w:hAnsi="宋体" w:cs="宋体" w:eastAsia="宋体" w:hint="default"/>
          <w:spacing w:val="-3"/>
          <w:w w:val="100"/>
          <w:sz w:val="21"/>
          <w:szCs w:val="21"/>
        </w:rPr>
        <w:t>12</w:t>
      </w:r>
      <w:r>
        <w:rPr>
          <w:rFonts w:ascii="宋体" w:hAnsi="宋体" w:cs="宋体" w:eastAsia="宋体" w:hint="default"/>
          <w:spacing w:val="-3"/>
          <w:w w:val="100"/>
          <w:sz w:val="21"/>
          <w:szCs w:val="21"/>
        </w:rPr>
        <w:t>月</w:t>
      </w:r>
      <w:r>
        <w:rPr>
          <w:rFonts w:ascii="宋体" w:hAnsi="宋体" w:cs="宋体" w:eastAsia="宋体" w:hint="default"/>
          <w:spacing w:val="-3"/>
          <w:w w:val="100"/>
          <w:sz w:val="21"/>
          <w:szCs w:val="21"/>
        </w:rPr>
        <w:t>31</w:t>
      </w:r>
      <w:r>
        <w:rPr>
          <w:rFonts w:ascii="宋体" w:hAnsi="宋体" w:cs="宋体" w:eastAsia="宋体" w:hint="default"/>
          <w:spacing w:val="-3"/>
          <w:w w:val="100"/>
          <w:sz w:val="21"/>
          <w:szCs w:val="21"/>
        </w:rPr>
        <w:t>日总股本</w:t>
      </w:r>
      <w:r>
        <w:rPr>
          <w:rFonts w:ascii="宋体" w:hAnsi="宋体" w:cs="宋体" w:eastAsia="宋体" w:hint="default"/>
          <w:spacing w:val="-3"/>
          <w:w w:val="100"/>
          <w:sz w:val="21"/>
          <w:szCs w:val="21"/>
        </w:rPr>
        <w:t>1,062,128,511</w:t>
      </w:r>
      <w:r>
        <w:rPr>
          <w:rFonts w:ascii="宋体" w:hAnsi="宋体" w:cs="宋体" w:eastAsia="宋体" w:hint="default"/>
          <w:spacing w:val="-3"/>
          <w:w w:val="100"/>
          <w:sz w:val="21"/>
          <w:szCs w:val="21"/>
        </w:rPr>
        <w:t>股为基数，向全体股东每</w:t>
      </w:r>
      <w:r>
        <w:rPr>
          <w:rFonts w:ascii="宋体" w:hAnsi="宋体" w:cs="宋体" w:eastAsia="宋体" w:hint="default"/>
          <w:spacing w:val="-3"/>
          <w:w w:val="100"/>
          <w:sz w:val="21"/>
          <w:szCs w:val="21"/>
        </w:rPr>
        <w:t>10</w:t>
      </w:r>
      <w:r>
        <w:rPr>
          <w:rFonts w:ascii="宋体" w:hAnsi="宋体" w:cs="宋体" w:eastAsia="宋体" w:hint="default"/>
          <w:spacing w:val="-3"/>
          <w:w w:val="100"/>
          <w:sz w:val="21"/>
          <w:szCs w:val="21"/>
        </w:rPr>
        <w:t>股分配现金股利人</w:t>
      </w:r>
    </w:p>
    <w:p>
      <w:pPr>
        <w:pStyle w:val="BodyText"/>
        <w:spacing w:line="355" w:lineRule="auto" w:before="34"/>
        <w:ind w:left="138" w:right="125"/>
        <w:jc w:val="left"/>
      </w:pPr>
      <w:r>
        <w:rPr/>
        <w:t>民币</w:t>
      </w:r>
      <w:r>
        <w:rPr>
          <w:rFonts w:ascii="宋体" w:hAnsi="宋体" w:cs="宋体" w:eastAsia="宋体" w:hint="default"/>
        </w:rPr>
        <w:t>1.00</w:t>
      </w:r>
      <w:r>
        <w:rPr/>
        <w:t>元（含税），共计分配股利</w:t>
      </w:r>
      <w:r>
        <w:rPr>
          <w:rFonts w:ascii="宋体" w:hAnsi="宋体" w:cs="宋体" w:eastAsia="宋体" w:hint="default"/>
        </w:rPr>
        <w:t>106,212,851.10</w:t>
      </w:r>
      <w:r>
        <w:rPr/>
        <w:t>元；同时进行资本公积金转增股本，以</w:t>
      </w:r>
      <w:r>
        <w:rPr>
          <w:w w:val="100"/>
        </w:rPr>
        <w:t> </w:t>
      </w:r>
      <w:r>
        <w:rPr>
          <w:rFonts w:ascii="宋体" w:hAnsi="宋体" w:cs="宋体" w:eastAsia="宋体" w:hint="default"/>
          <w:spacing w:val="-3"/>
        </w:rPr>
        <w:t>1,062,128,511</w:t>
      </w:r>
      <w:r>
        <w:rPr>
          <w:spacing w:val="-3"/>
        </w:rPr>
        <w:t>股为基数向全体股东每</w:t>
      </w:r>
      <w:r>
        <w:rPr>
          <w:rFonts w:ascii="宋体" w:hAnsi="宋体" w:cs="宋体" w:eastAsia="宋体" w:hint="default"/>
          <w:spacing w:val="-3"/>
        </w:rPr>
        <w:t>10</w:t>
      </w:r>
      <w:r>
        <w:rPr>
          <w:spacing w:val="-3"/>
        </w:rPr>
        <w:t>股转增</w:t>
      </w:r>
      <w:r>
        <w:rPr>
          <w:rFonts w:ascii="宋体" w:hAnsi="宋体" w:cs="宋体" w:eastAsia="宋体" w:hint="default"/>
          <w:spacing w:val="-3"/>
        </w:rPr>
        <w:t>4</w:t>
      </w:r>
      <w:r>
        <w:rPr>
          <w:spacing w:val="-3"/>
        </w:rPr>
        <w:t>股，共计转增</w:t>
      </w:r>
      <w:r>
        <w:rPr>
          <w:rFonts w:ascii="宋体" w:hAnsi="宋体" w:cs="宋体" w:eastAsia="宋体" w:hint="default"/>
          <w:spacing w:val="-3"/>
        </w:rPr>
        <w:t>424,851,404</w:t>
      </w:r>
      <w:r>
        <w:rPr>
          <w:spacing w:val="-3"/>
        </w:rPr>
        <w:t>股，转增后公司总股本</w:t>
      </w:r>
      <w:r>
        <w:rPr>
          <w:spacing w:val="-40"/>
        </w:rPr>
        <w:t> </w:t>
      </w:r>
      <w:r>
        <w:rPr>
          <w:spacing w:val="-40"/>
        </w:rPr>
      </w:r>
      <w:r>
        <w:rPr/>
        <w:t>将增加至 </w:t>
      </w:r>
      <w:r>
        <w:rPr>
          <w:rFonts w:ascii="宋体" w:hAnsi="宋体" w:cs="宋体" w:eastAsia="宋体" w:hint="default"/>
        </w:rPr>
        <w:t>1,486,979,915</w:t>
      </w:r>
      <w:r>
        <w:rPr/>
        <w:t>股。</w:t>
      </w:r>
    </w:p>
    <w:p>
      <w:pPr>
        <w:spacing w:line="240" w:lineRule="auto" w:before="0"/>
        <w:rPr>
          <w:rFonts w:ascii="宋体" w:hAnsi="宋体" w:cs="宋体" w:eastAsia="宋体" w:hint="default"/>
          <w:sz w:val="20"/>
          <w:szCs w:val="20"/>
        </w:rPr>
      </w:pPr>
    </w:p>
    <w:p>
      <w:pPr>
        <w:pStyle w:val="Heading2"/>
        <w:spacing w:line="240" w:lineRule="auto" w:before="131"/>
        <w:ind w:left="138" w:right="125"/>
        <w:jc w:val="left"/>
        <w:rPr>
          <w:b w:val="0"/>
          <w:bCs w:val="0"/>
        </w:rPr>
      </w:pPr>
      <w:r>
        <w:rPr/>
        <w:t>六、</w:t>
      </w:r>
      <w:r>
        <w:rPr>
          <w:spacing w:val="-24"/>
        </w:rPr>
        <w:t> </w:t>
      </w:r>
      <w:r>
        <w:rPr/>
        <w:t>前瞻性陈述的风险声明</w:t>
      </w:r>
      <w:r>
        <w:rPr>
          <w:b w:val="0"/>
          <w:bCs w:val="0"/>
        </w:rPr>
      </w:r>
    </w:p>
    <w:p>
      <w:pPr>
        <w:pStyle w:val="BodyText"/>
        <w:spacing w:line="272" w:lineRule="exact" w:before="163"/>
        <w:ind w:left="558" w:right="125" w:hanging="420"/>
        <w:jc w:val="left"/>
      </w:pPr>
      <w:r>
        <w:rPr/>
        <w:t>√适用</w:t>
      </w:r>
      <w:r>
        <w:rPr>
          <w:spacing w:val="-2"/>
        </w:rPr>
        <w:t> </w:t>
      </w:r>
      <w:r>
        <w:rPr/>
        <w:t>□不适用</w:t>
      </w:r>
      <w:r>
        <w:rPr>
          <w:w w:val="100"/>
        </w:rPr>
        <w:t> </w:t>
      </w:r>
      <w:r>
        <w:rPr>
          <w:spacing w:val="-2"/>
        </w:rPr>
        <w:t>本报告所涉及的未来计划、发展战略等前瞻性陈述，不构成公司对投资者的实质承诺，敬请</w:t>
      </w:r>
    </w:p>
    <w:p>
      <w:pPr>
        <w:pStyle w:val="BodyText"/>
        <w:spacing w:line="240" w:lineRule="auto" w:before="108"/>
        <w:ind w:left="138" w:right="125"/>
        <w:jc w:val="left"/>
      </w:pPr>
      <w:r>
        <w:rPr/>
        <w:t>投资者注意投资风险。</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pStyle w:val="Heading2"/>
        <w:spacing w:line="424" w:lineRule="auto"/>
        <w:ind w:left="138" w:right="3467"/>
        <w:jc w:val="left"/>
        <w:rPr>
          <w:rFonts w:ascii="宋体" w:hAnsi="宋体" w:cs="宋体" w:eastAsia="宋体" w:hint="default"/>
          <w:b w:val="0"/>
          <w:bCs w:val="0"/>
        </w:rPr>
      </w:pPr>
      <w:r>
        <w:rPr/>
        <w:t>七、是否存在被控股股东及其关联方非经营性占用资金情况</w:t>
      </w:r>
      <w:r>
        <w:rPr>
          <w:spacing w:val="-97"/>
        </w:rPr>
        <w:t> </w:t>
      </w:r>
      <w:r>
        <w:rPr>
          <w:spacing w:val="-97"/>
        </w:rPr>
      </w:r>
      <w:r>
        <w:rPr>
          <w:rFonts w:ascii="宋体" w:hAnsi="宋体" w:cs="宋体" w:eastAsia="宋体" w:hint="default"/>
          <w:b w:val="0"/>
          <w:bCs w:val="0"/>
        </w:rPr>
        <w:t>否</w:t>
      </w:r>
    </w:p>
    <w:p>
      <w:pPr>
        <w:spacing w:line="240" w:lineRule="auto" w:before="11"/>
        <w:rPr>
          <w:rFonts w:ascii="宋体" w:hAnsi="宋体" w:cs="宋体" w:eastAsia="宋体" w:hint="default"/>
          <w:sz w:val="15"/>
          <w:szCs w:val="15"/>
        </w:rPr>
      </w:pPr>
    </w:p>
    <w:p>
      <w:pPr>
        <w:pStyle w:val="Heading2"/>
        <w:tabs>
          <w:tab w:pos="781" w:val="left" w:leader="none"/>
        </w:tabs>
        <w:spacing w:line="355" w:lineRule="auto"/>
        <w:ind w:left="138" w:right="3683"/>
        <w:jc w:val="left"/>
        <w:rPr>
          <w:rFonts w:ascii="宋体" w:hAnsi="宋体" w:cs="宋体" w:eastAsia="宋体" w:hint="default"/>
          <w:b w:val="0"/>
          <w:bCs w:val="0"/>
        </w:rPr>
      </w:pPr>
      <w:r>
        <w:rPr/>
        <w:t>八、</w:t>
        <w:tab/>
      </w:r>
      <w:r>
        <w:rPr>
          <w:spacing w:val="-1"/>
        </w:rPr>
        <w:t>是否存在违反规定决策程序对外提供担保的情况？</w:t>
      </w:r>
      <w:r>
        <w:rPr>
          <w:spacing w:val="-85"/>
        </w:rPr>
        <w:t> </w:t>
      </w:r>
      <w:r>
        <w:rPr>
          <w:spacing w:val="-85"/>
        </w:rPr>
      </w:r>
      <w:r>
        <w:rPr>
          <w:rFonts w:ascii="宋体" w:hAnsi="宋体" w:cs="宋体" w:eastAsia="宋体" w:hint="default"/>
          <w:b w:val="0"/>
          <w:bCs w:val="0"/>
        </w:rPr>
        <w:t>否</w:t>
      </w:r>
    </w:p>
    <w:p>
      <w:pPr>
        <w:tabs>
          <w:tab w:pos="781" w:val="left" w:leader="none"/>
        </w:tabs>
        <w:spacing w:line="355" w:lineRule="auto" w:before="169"/>
        <w:ind w:left="558" w:right="2240" w:hanging="420"/>
        <w:jc w:val="left"/>
        <w:rPr>
          <w:rFonts w:ascii="宋体" w:hAnsi="宋体" w:cs="宋体" w:eastAsia="宋体" w:hint="default"/>
          <w:sz w:val="21"/>
          <w:szCs w:val="21"/>
        </w:rPr>
      </w:pPr>
      <w:r>
        <w:rPr>
          <w:rFonts w:ascii="宋体" w:hAnsi="宋体" w:cs="宋体" w:eastAsia="宋体" w:hint="default"/>
          <w:b/>
          <w:bCs/>
          <w:sz w:val="21"/>
          <w:szCs w:val="21"/>
        </w:rPr>
        <w:t>九、</w:t>
        <w:tab/>
        <w:t>重大风险提示</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2"/>
          <w:sz w:val="21"/>
          <w:szCs w:val="21"/>
        </w:rPr>
        <w:t>报告期内，公司不存在对生产经营产生实质性影响的特别重大风险。</w:t>
      </w:r>
    </w:p>
    <w:p>
      <w:pPr>
        <w:pStyle w:val="BodyText"/>
        <w:spacing w:line="355" w:lineRule="auto" w:before="32"/>
        <w:ind w:left="138" w:right="125" w:firstLine="419"/>
        <w:jc w:val="left"/>
      </w:pPr>
      <w:r>
        <w:rPr>
          <w:spacing w:val="-2"/>
        </w:rPr>
        <w:t>公司已在本年度报告中详细描述可能面对的各种风险及应对措施，敬请查阅“第四节经营情</w:t>
      </w:r>
      <w:r>
        <w:rPr>
          <w:w w:val="100"/>
        </w:rPr>
        <w:t> </w:t>
      </w:r>
      <w:r>
        <w:rPr/>
        <w:t>况讨论与分析”中“可能面对的风险”部分的内容。</w:t>
      </w:r>
    </w:p>
    <w:p>
      <w:pPr>
        <w:spacing w:line="240" w:lineRule="auto" w:before="12"/>
        <w:rPr>
          <w:rFonts w:ascii="宋体" w:hAnsi="宋体" w:cs="宋体" w:eastAsia="宋体" w:hint="default"/>
          <w:sz w:val="22"/>
          <w:szCs w:val="22"/>
        </w:rPr>
      </w:pPr>
    </w:p>
    <w:p>
      <w:pPr>
        <w:spacing w:before="0"/>
        <w:ind w:left="138" w:right="125" w:firstLine="0"/>
        <w:jc w:val="left"/>
        <w:rPr>
          <w:rFonts w:ascii="宋体" w:hAnsi="宋体" w:cs="宋体" w:eastAsia="宋体" w:hint="default"/>
          <w:sz w:val="24"/>
          <w:szCs w:val="24"/>
        </w:rPr>
      </w:pPr>
      <w:r>
        <w:rPr>
          <w:rFonts w:ascii="宋体" w:hAnsi="宋体" w:cs="宋体" w:eastAsia="宋体" w:hint="default"/>
          <w:b/>
          <w:bCs/>
          <w:sz w:val="21"/>
          <w:szCs w:val="21"/>
        </w:rPr>
        <w:t>十、</w:t>
      </w:r>
      <w:r>
        <w:rPr>
          <w:rFonts w:ascii="宋体" w:hAnsi="宋体" w:cs="宋体" w:eastAsia="宋体" w:hint="default"/>
          <w:b/>
          <w:bCs/>
          <w:spacing w:val="61"/>
          <w:sz w:val="21"/>
          <w:szCs w:val="21"/>
        </w:rPr>
        <w:t> </w:t>
      </w:r>
      <w:r>
        <w:rPr>
          <w:rFonts w:ascii="宋体" w:hAnsi="宋体" w:cs="宋体" w:eastAsia="宋体" w:hint="default"/>
          <w:b/>
          <w:bCs/>
          <w:sz w:val="24"/>
          <w:szCs w:val="24"/>
        </w:rPr>
        <w:t>其他</w:t>
      </w:r>
      <w:r>
        <w:rPr>
          <w:rFonts w:ascii="宋体" w:hAnsi="宋体" w:cs="宋体" w:eastAsia="宋体" w:hint="default"/>
          <w:sz w:val="24"/>
          <w:szCs w:val="24"/>
        </w:rPr>
      </w:r>
    </w:p>
    <w:p>
      <w:pPr>
        <w:pStyle w:val="BodyText"/>
        <w:spacing w:line="240" w:lineRule="auto" w:before="160"/>
        <w:ind w:left="138" w:right="125"/>
        <w:jc w:val="left"/>
      </w:pPr>
      <w:r>
        <w:rPr/>
        <w:t>□适用</w:t>
      </w:r>
      <w:r>
        <w:rPr>
          <w:spacing w:val="-1"/>
        </w:rPr>
        <w:t> </w:t>
      </w:r>
      <w:r>
        <w:rPr/>
        <w:t>√不适用</w:t>
      </w:r>
    </w:p>
    <w:p>
      <w:pPr>
        <w:spacing w:after="0" w:line="240" w:lineRule="auto"/>
        <w:jc w:val="left"/>
        <w:sectPr>
          <w:pgSz w:w="11910" w:h="16840"/>
          <w:pgMar w:header="880"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spacing w:before="14"/>
        <w:ind w:left="2" w:right="0" w:firstLine="0"/>
        <w:jc w:val="center"/>
        <w:rPr>
          <w:rFonts w:ascii="宋体" w:hAnsi="宋体" w:cs="宋体" w:eastAsia="宋体" w:hint="default"/>
          <w:sz w:val="28"/>
          <w:szCs w:val="28"/>
        </w:rPr>
      </w:pPr>
      <w:r>
        <w:rPr>
          <w:rFonts w:ascii="宋体" w:hAnsi="宋体" w:cs="宋体" w:eastAsia="宋体" w:hint="default"/>
          <w:b/>
          <w:bCs/>
          <w:sz w:val="28"/>
          <w:szCs w:val="28"/>
        </w:rPr>
        <w:t>目录</w:t>
      </w:r>
      <w:r>
        <w:rPr>
          <w:rFonts w:ascii="宋体" w:hAnsi="宋体" w:cs="宋体" w:eastAsia="宋体" w:hint="default"/>
          <w:sz w:val="28"/>
          <w:szCs w:val="28"/>
        </w:rPr>
      </w:r>
    </w:p>
    <w:sdt>
      <w:sdtPr>
        <w:docPartObj>
          <w:docPartGallery w:val="Table of Contents"/>
          <w:docPartUnique/>
        </w:docPartObj>
      </w:sdtPr>
      <w:sdtEndPr/>
      <w:sdtContent>
        <w:p>
          <w:pPr>
            <w:pStyle w:val="TOC1"/>
            <w:tabs>
              <w:tab w:pos="1397" w:val="left" w:leader="none"/>
              <w:tab w:pos="8961" w:val="right" w:leader="dot"/>
            </w:tabs>
            <w:spacing w:line="240" w:lineRule="auto" w:before="37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1">
            <w:r>
              <w:rPr/>
              <w:t>第一节</w:t>
              <w:tab/>
              <w:t>释义</w:t>
            </w:r>
            <w:r>
              <w:rPr>
                <w:rFonts w:ascii="Times New Roman" w:hAnsi="Times New Roman" w:cs="Times New Roman" w:eastAsia="Times New Roman" w:hint="default"/>
              </w:rPr>
              <w:tab/>
              <w:t>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9"/>
            <w:ind w:right="0"/>
            <w:jc w:val="left"/>
            <w:rPr>
              <w:rFonts w:ascii="Times New Roman" w:hAnsi="Times New Roman" w:cs="Times New Roman" w:eastAsia="Times New Roman" w:hint="default"/>
              <w:b w:val="0"/>
              <w:bCs w:val="0"/>
            </w:rPr>
          </w:pPr>
          <w:hyperlink w:history="true" w:anchor="_TOC_250010">
            <w:r>
              <w:rPr/>
              <w:t>第二节</w:t>
              <w:tab/>
              <w:t>公司简介和主要财务指标</w:t>
            </w:r>
            <w:r>
              <w:rPr>
                <w:rFonts w:ascii="Times New Roman" w:hAnsi="Times New Roman" w:cs="Times New Roman" w:eastAsia="Times New Roman" w:hint="default"/>
              </w:rPr>
              <w:tab/>
              <w:t>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第三节</w:t>
              <w:tab/>
              <w:t>公司业务概要</w:t>
            </w:r>
            <w:r>
              <w:rPr>
                <w:rFonts w:ascii="Times New Roman" w:hAnsi="Times New Roman" w:cs="Times New Roman" w:eastAsia="Times New Roman" w:hint="default"/>
              </w:rPr>
              <w:tab/>
              <w:t>8</w:t>
            </w:r>
            <w:r>
              <w:rPr>
                <w:rFonts w:ascii="Times New Roman" w:hAnsi="Times New Roman" w:cs="Times New Roman" w:eastAsia="Times New Roman" w:hint="default"/>
                <w:b w:val="0"/>
                <w:bCs w:val="0"/>
              </w:rPr>
            </w:r>
          </w:hyperlink>
        </w:p>
        <w:p>
          <w:pPr>
            <w:pStyle w:val="TOC1"/>
            <w:tabs>
              <w:tab w:pos="1397" w:val="left" w:leader="none"/>
              <w:tab w:pos="8949"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第四节</w:t>
              <w:tab/>
              <w:t>经营情况讨论与分析</w:t>
            </w:r>
            <w:r>
              <w:rPr>
                <w:rFonts w:ascii="Times New Roman" w:hAnsi="Times New Roman" w:cs="Times New Roman" w:eastAsia="Times New Roman" w:hint="default"/>
              </w:rPr>
              <w:tab/>
            </w:r>
            <w:r>
              <w:rPr>
                <w:rFonts w:ascii="Times New Roman" w:hAnsi="Times New Roman" w:cs="Times New Roman" w:eastAsia="Times New Roman" w:hint="default"/>
                <w:spacing w:val="-12"/>
              </w:rPr>
              <w:t>11</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第五节</w:t>
              <w:tab/>
              <w:t>重要事项</w:t>
            </w:r>
            <w:r>
              <w:rPr>
                <w:rFonts w:ascii="Times New Roman" w:hAnsi="Times New Roman" w:cs="Times New Roman" w:eastAsia="Times New Roman" w:hint="default"/>
              </w:rPr>
              <w:tab/>
              <w:t>25</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9"/>
            <w:ind w:right="0"/>
            <w:jc w:val="left"/>
            <w:rPr>
              <w:rFonts w:ascii="Times New Roman" w:hAnsi="Times New Roman" w:cs="Times New Roman" w:eastAsia="Times New Roman" w:hint="default"/>
              <w:b w:val="0"/>
              <w:bCs w:val="0"/>
            </w:rPr>
          </w:pPr>
          <w:hyperlink w:history="true" w:anchor="_TOC_250006">
            <w:r>
              <w:rPr/>
              <w:t>第六节</w:t>
              <w:tab/>
              <w:t>普通股股份变动及股东情况</w:t>
            </w:r>
            <w:r>
              <w:rPr>
                <w:rFonts w:ascii="Times New Roman" w:hAnsi="Times New Roman" w:cs="Times New Roman" w:eastAsia="Times New Roman" w:hint="default"/>
              </w:rPr>
              <w:tab/>
              <w:t>45</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8"/>
            <w:ind w:right="0"/>
            <w:jc w:val="left"/>
            <w:rPr>
              <w:rFonts w:ascii="Times New Roman" w:hAnsi="Times New Roman" w:cs="Times New Roman" w:eastAsia="Times New Roman" w:hint="default"/>
              <w:b w:val="0"/>
              <w:bCs w:val="0"/>
            </w:rPr>
          </w:pPr>
          <w:hyperlink w:history="true" w:anchor="_TOC_250005">
            <w:r>
              <w:rPr/>
              <w:t>第七节</w:t>
              <w:tab/>
              <w:t>优先股相关情况</w:t>
            </w:r>
            <w:r>
              <w:rPr>
                <w:rFonts w:ascii="Times New Roman" w:hAnsi="Times New Roman" w:cs="Times New Roman" w:eastAsia="Times New Roman" w:hint="default"/>
              </w:rPr>
              <w:tab/>
              <w:t>50</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t>第八节</w:t>
              <w:tab/>
              <w:t>董事、监事、高级管理人员和员工情况</w:t>
            </w:r>
            <w:r>
              <w:rPr>
                <w:rFonts w:ascii="Times New Roman" w:hAnsi="Times New Roman" w:cs="Times New Roman" w:eastAsia="Times New Roman" w:hint="default"/>
              </w:rPr>
              <w:tab/>
              <w:t>51</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第九节</w:t>
              <w:tab/>
              <w:t>公司治理</w:t>
            </w:r>
            <w:r>
              <w:rPr>
                <w:rFonts w:ascii="Times New Roman" w:hAnsi="Times New Roman" w:cs="Times New Roman" w:eastAsia="Times New Roman" w:hint="default"/>
              </w:rPr>
              <w:tab/>
              <w:t>56</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第十节</w:t>
              <w:tab/>
              <w:t>公司债券相关情况</w:t>
            </w:r>
            <w:r>
              <w:rPr>
                <w:rFonts w:ascii="Times New Roman" w:hAnsi="Times New Roman" w:cs="Times New Roman" w:eastAsia="Times New Roman" w:hint="default"/>
              </w:rPr>
              <w:tab/>
              <w:t>59</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9"/>
            <w:ind w:right="0"/>
            <w:jc w:val="left"/>
            <w:rPr>
              <w:rFonts w:ascii="Times New Roman" w:hAnsi="Times New Roman" w:cs="Times New Roman" w:eastAsia="Times New Roman" w:hint="default"/>
              <w:b w:val="0"/>
              <w:bCs w:val="0"/>
            </w:rPr>
          </w:pPr>
          <w:hyperlink w:history="true" w:anchor="_TOC_250001">
            <w:r>
              <w:rPr/>
              <w:t>第十一节</w:t>
              <w:tab/>
              <w:t>财务报告</w:t>
            </w:r>
            <w:r>
              <w:rPr>
                <w:rFonts w:ascii="Times New Roman" w:hAnsi="Times New Roman" w:cs="Times New Roman" w:eastAsia="Times New Roman" w:hint="default"/>
              </w:rPr>
              <w:tab/>
              <w:t>60</w:t>
            </w:r>
            <w:r>
              <w:rPr>
                <w:rFonts w:ascii="Times New Roman" w:hAnsi="Times New Roman" w:cs="Times New Roman" w:eastAsia="Times New Roman" w:hint="default"/>
                <w:b w:val="0"/>
                <w:bCs w:val="0"/>
              </w:rPr>
            </w:r>
          </w:hyperlink>
        </w:p>
        <w:p>
          <w:pPr>
            <w:pStyle w:val="TOC1"/>
            <w:tabs>
              <w:tab w:pos="1397" w:val="left" w:leader="none"/>
              <w:tab w:pos="8964"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第十二节</w:t>
              <w:tab/>
              <w:t>备查文件目录</w:t>
            </w:r>
            <w:r>
              <w:rPr>
                <w:rFonts w:ascii="Times New Roman" w:hAnsi="Times New Roman" w:cs="Times New Roman" w:eastAsia="Times New Roman" w:hint="default"/>
              </w:rPr>
              <w:tab/>
              <w:t>170</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880" w:footer="1195" w:top="1120" w:bottom="1380" w:left="1660" w:right="1140"/>
        </w:sectPr>
      </w:pPr>
    </w:p>
    <w:p>
      <w:pPr>
        <w:pStyle w:val="Heading1"/>
        <w:tabs>
          <w:tab w:pos="1260" w:val="left" w:leader="none"/>
        </w:tabs>
        <w:spacing w:line="240" w:lineRule="auto" w:before="686"/>
        <w:ind w:right="17"/>
        <w:jc w:val="center"/>
        <w:rPr>
          <w:b w:val="0"/>
          <w:bCs w:val="0"/>
        </w:rPr>
      </w:pPr>
      <w:bookmarkStart w:name="_TOC_250011" w:id="1"/>
      <w:r>
        <w:rPr>
          <w:w w:val="95"/>
        </w:rPr>
        <w:t>第一节</w:t>
        <w:tab/>
      </w:r>
      <w:r>
        <w:rPr/>
        <w:t>释义</w:t>
      </w:r>
      <w:bookmarkEnd w:id="1"/>
      <w:r>
        <w:rPr>
          <w:b w:val="0"/>
          <w:bCs w:val="0"/>
        </w:rPr>
      </w:r>
    </w:p>
    <w:p>
      <w:pPr>
        <w:pStyle w:val="BodyText"/>
        <w:spacing w:line="290" w:lineRule="auto" w:before="253"/>
        <w:ind w:right="2497"/>
        <w:jc w:val="left"/>
      </w:pPr>
      <w:r>
        <w:rPr>
          <w:rFonts w:ascii="宋体" w:hAnsi="宋体" w:cs="宋体" w:eastAsia="宋体" w:hint="default"/>
          <w:b/>
          <w:bCs/>
        </w:rPr>
        <w:t>一、</w:t>
      </w:r>
      <w:r>
        <w:rPr>
          <w:rFonts w:ascii="宋体" w:hAnsi="宋体" w:cs="宋体" w:eastAsia="宋体" w:hint="default"/>
          <w:b/>
          <w:bCs/>
          <w:spacing w:val="58"/>
        </w:rPr>
        <w:t> </w:t>
      </w:r>
      <w:r>
        <w:rPr>
          <w:rFonts w:ascii="宋体" w:hAnsi="宋体" w:cs="宋体" w:eastAsia="宋体" w:hint="default"/>
          <w:b/>
          <w:bCs/>
        </w:rPr>
        <w:t>释义</w:t>
      </w:r>
      <w:r>
        <w:rPr>
          <w:rFonts w:ascii="宋体" w:hAnsi="宋体" w:cs="宋体" w:eastAsia="宋体" w:hint="default"/>
          <w:b/>
          <w:bCs/>
          <w:w w:val="100"/>
        </w:rPr>
        <w:t> </w:t>
      </w:r>
      <w:r>
        <w:rPr>
          <w:spacing w:val="-2"/>
        </w:rPr>
        <w:t>在本报告书中，除非文义另有所指，下列词语具有如下含义：</w:t>
      </w:r>
    </w:p>
    <w:tbl>
      <w:tblPr>
        <w:tblW w:w="0" w:type="auto"/>
        <w:jc w:val="left"/>
        <w:tblInd w:w="105" w:type="dxa"/>
        <w:tblLayout w:type="fixed"/>
        <w:tblCellMar>
          <w:top w:w="0" w:type="dxa"/>
          <w:left w:w="0" w:type="dxa"/>
          <w:bottom w:w="0" w:type="dxa"/>
          <w:right w:w="0" w:type="dxa"/>
        </w:tblCellMar>
        <w:tblLook w:val="01E0"/>
      </w:tblPr>
      <w:tblGrid>
        <w:gridCol w:w="3017"/>
        <w:gridCol w:w="3015"/>
        <w:gridCol w:w="3017"/>
      </w:tblGrid>
      <w:tr>
        <w:trPr>
          <w:trHeight w:val="281"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常用词语释义</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中国证监会</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394"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中国证券监督管理委员会</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上交所</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394"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r>
      <w:tr>
        <w:trPr>
          <w:trHeight w:val="55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公司、本公司、上市公司、安</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通控股</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394"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安通控股股份有限公司</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安通物流</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394"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泉州安通物流有限公司</w:t>
            </w:r>
          </w:p>
        </w:tc>
      </w:tr>
      <w:tr>
        <w:trPr>
          <w:trHeight w:val="28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安盛船务</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394"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泉州安盛船务有限公司</w:t>
            </w:r>
          </w:p>
        </w:tc>
      </w:tr>
      <w:tr>
        <w:trPr>
          <w:trHeight w:val="55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北京安铁</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394"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北京安铁供应链管理有限责任</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r>
      <w:tr>
        <w:trPr>
          <w:trHeight w:val="828"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黑化股份</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394"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原黑龙江黑化股份有限公司，</w:t>
            </w:r>
            <w:r>
              <w:rPr>
                <w:rFonts w:ascii="宋体" w:hAnsi="宋体" w:cs="宋体" w:eastAsia="宋体" w:hint="default"/>
                <w:sz w:val="21"/>
                <w:szCs w:val="21"/>
              </w:rPr>
            </w:r>
          </w:p>
          <w:p>
            <w:pPr>
              <w:pStyle w:val="TableParagraph"/>
              <w:spacing w:line="272" w:lineRule="exact" w:before="27"/>
              <w:ind w:left="103" w:right="96"/>
              <w:jc w:val="left"/>
              <w:rPr>
                <w:rFonts w:ascii="宋体" w:hAnsi="宋体" w:cs="宋体" w:eastAsia="宋体" w:hint="default"/>
                <w:sz w:val="21"/>
                <w:szCs w:val="21"/>
              </w:rPr>
            </w:pPr>
            <w:r>
              <w:rPr>
                <w:rFonts w:ascii="宋体" w:hAnsi="宋体" w:cs="宋体" w:eastAsia="宋体" w:hint="default"/>
                <w:spacing w:val="2"/>
                <w:sz w:val="21"/>
                <w:szCs w:val="21"/>
              </w:rPr>
              <w:t>现已更名为安通控股股份有限</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公司。</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仁建安通</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394"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泉州仁建安通集装箱有限公司</w:t>
            </w:r>
          </w:p>
        </w:tc>
      </w:tr>
      <w:tr>
        <w:trPr>
          <w:trHeight w:val="557"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394"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1</w:t>
            </w:r>
            <w:r>
              <w:rPr>
                <w:rFonts w:ascii="宋体" w:hAnsi="宋体" w:cs="宋体" w:eastAsia="宋体" w:hint="default"/>
                <w:spacing w:val="-45"/>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宋体" w:hAnsi="宋体" w:cs="宋体" w:eastAsia="宋体" w:hint="default"/>
                <w:sz w:val="21"/>
                <w:szCs w:val="21"/>
              </w:rPr>
              <w:t>1</w:t>
            </w:r>
            <w:r>
              <w:rPr>
                <w:rFonts w:ascii="宋体" w:hAnsi="宋体" w:cs="宋体" w:eastAsia="宋体" w:hint="default"/>
                <w:spacing w:val="-43"/>
                <w:sz w:val="21"/>
                <w:szCs w:val="21"/>
              </w:rPr>
              <w:t> </w:t>
            </w:r>
            <w:r>
              <w:rPr>
                <w:rFonts w:ascii="宋体" w:hAnsi="宋体" w:cs="宋体" w:eastAsia="宋体" w:hint="default"/>
                <w:sz w:val="21"/>
                <w:szCs w:val="21"/>
              </w:rPr>
              <w:t>日至</w:t>
            </w:r>
            <w:r>
              <w:rPr>
                <w:rFonts w:ascii="宋体" w:hAnsi="宋体" w:cs="宋体" w:eastAsia="宋体" w:hint="default"/>
                <w:spacing w:val="-45"/>
                <w:sz w:val="21"/>
                <w:szCs w:val="21"/>
              </w:rPr>
              <w:t> </w:t>
            </w:r>
            <w:r>
              <w:rPr>
                <w:rFonts w:ascii="宋体" w:hAnsi="宋体" w:cs="宋体" w:eastAsia="宋体" w:hint="default"/>
                <w:sz w:val="21"/>
                <w:szCs w:val="21"/>
              </w:rPr>
              <w:t>2017</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12</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55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元、万元、亿元</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394"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人民币元、人民币万元、人民</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币亿元</w:t>
            </w:r>
          </w:p>
        </w:tc>
      </w:tr>
      <w:tr>
        <w:trPr>
          <w:trHeight w:val="273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sz w:val="21"/>
              </w:rPr>
              <w:t>TEU</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394"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both"/>
              <w:rPr>
                <w:rFonts w:ascii="宋体" w:hAnsi="宋体" w:cs="宋体" w:eastAsia="宋体" w:hint="default"/>
                <w:sz w:val="21"/>
                <w:szCs w:val="21"/>
              </w:rPr>
            </w:pPr>
            <w:r>
              <w:rPr>
                <w:rFonts w:ascii="宋体" w:hAnsi="宋体" w:cs="宋体" w:eastAsia="宋体" w:hint="default"/>
                <w:sz w:val="21"/>
                <w:szCs w:val="21"/>
              </w:rPr>
              <w:t>英文 </w:t>
            </w:r>
            <w:r>
              <w:rPr>
                <w:rFonts w:ascii="宋体" w:hAnsi="宋体" w:cs="宋体" w:eastAsia="宋体" w:hint="default"/>
                <w:sz w:val="21"/>
                <w:szCs w:val="21"/>
              </w:rPr>
              <w:t>Twenty-feet</w:t>
            </w:r>
            <w:r>
              <w:rPr>
                <w:rFonts w:ascii="宋体" w:hAnsi="宋体" w:cs="宋体" w:eastAsia="宋体" w:hint="default"/>
                <w:spacing w:val="-35"/>
                <w:sz w:val="21"/>
                <w:szCs w:val="21"/>
              </w:rPr>
              <w:t> </w:t>
            </w:r>
            <w:r>
              <w:rPr>
                <w:rFonts w:ascii="宋体" w:hAnsi="宋体" w:cs="宋体" w:eastAsia="宋体" w:hint="default"/>
                <w:sz w:val="21"/>
                <w:szCs w:val="21"/>
              </w:rPr>
              <w:t>Equivalent</w:t>
            </w:r>
          </w:p>
          <w:p>
            <w:pPr>
              <w:pStyle w:val="TableParagraph"/>
              <w:spacing w:line="273" w:lineRule="exact"/>
              <w:ind w:left="103" w:right="0"/>
              <w:jc w:val="both"/>
              <w:rPr>
                <w:rFonts w:ascii="宋体" w:hAnsi="宋体" w:cs="宋体" w:eastAsia="宋体" w:hint="default"/>
                <w:sz w:val="21"/>
                <w:szCs w:val="21"/>
              </w:rPr>
            </w:pPr>
            <w:r>
              <w:rPr>
                <w:rFonts w:ascii="宋体" w:hAnsi="宋体" w:cs="宋体" w:eastAsia="宋体" w:hint="default"/>
                <w:sz w:val="21"/>
                <w:szCs w:val="21"/>
              </w:rPr>
              <w:t>Unit</w:t>
            </w:r>
            <w:r>
              <w:rPr>
                <w:rFonts w:ascii="宋体" w:hAnsi="宋体" w:cs="宋体" w:eastAsia="宋体" w:hint="default"/>
                <w:spacing w:val="-47"/>
                <w:sz w:val="21"/>
                <w:szCs w:val="21"/>
              </w:rPr>
              <w:t> </w:t>
            </w:r>
            <w:r>
              <w:rPr>
                <w:rFonts w:ascii="宋体" w:hAnsi="宋体" w:cs="宋体" w:eastAsia="宋体" w:hint="default"/>
                <w:spacing w:val="-5"/>
                <w:sz w:val="21"/>
                <w:szCs w:val="21"/>
              </w:rPr>
              <w:t>的缩写，是以尺寸为长</w:t>
            </w:r>
            <w:r>
              <w:rPr>
                <w:rFonts w:ascii="宋体" w:hAnsi="宋体" w:cs="宋体" w:eastAsia="宋体" w:hint="default"/>
                <w:spacing w:val="-43"/>
                <w:sz w:val="21"/>
                <w:szCs w:val="21"/>
              </w:rPr>
              <w:t> </w:t>
            </w:r>
            <w:r>
              <w:rPr>
                <w:rFonts w:ascii="宋体" w:hAnsi="宋体" w:cs="宋体" w:eastAsia="宋体" w:hint="default"/>
                <w:sz w:val="21"/>
                <w:szCs w:val="21"/>
              </w:rPr>
              <w:t>20</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z w:val="21"/>
                <w:szCs w:val="21"/>
              </w:rPr>
              <w:t>英尺（约合</w:t>
            </w:r>
            <w:r>
              <w:rPr>
                <w:rFonts w:ascii="宋体" w:hAnsi="宋体" w:cs="宋体" w:eastAsia="宋体" w:hint="default"/>
                <w:spacing w:val="-36"/>
                <w:sz w:val="21"/>
                <w:szCs w:val="21"/>
              </w:rPr>
              <w:t> </w:t>
            </w:r>
            <w:r>
              <w:rPr>
                <w:rFonts w:ascii="宋体" w:hAnsi="宋体" w:cs="宋体" w:eastAsia="宋体" w:hint="default"/>
                <w:sz w:val="21"/>
                <w:szCs w:val="21"/>
              </w:rPr>
              <w:t>5.69</w:t>
            </w:r>
            <w:r>
              <w:rPr>
                <w:rFonts w:ascii="宋体" w:hAnsi="宋体" w:cs="宋体" w:eastAsia="宋体" w:hint="default"/>
                <w:spacing w:val="-36"/>
                <w:sz w:val="21"/>
                <w:szCs w:val="21"/>
              </w:rPr>
              <w:t> </w:t>
            </w:r>
            <w:r>
              <w:rPr>
                <w:rFonts w:ascii="宋体" w:hAnsi="宋体" w:cs="宋体" w:eastAsia="宋体" w:hint="default"/>
                <w:sz w:val="21"/>
                <w:szCs w:val="21"/>
              </w:rPr>
              <w:t>米）</w:t>
            </w:r>
            <w:r>
              <w:rPr>
                <w:rFonts w:ascii="宋体" w:hAnsi="宋体" w:cs="宋体" w:eastAsia="宋体" w:hint="default"/>
                <w:sz w:val="21"/>
                <w:szCs w:val="21"/>
              </w:rPr>
              <w:t>*</w:t>
            </w:r>
            <w:r>
              <w:rPr>
                <w:rFonts w:ascii="宋体" w:hAnsi="宋体" w:cs="宋体" w:eastAsia="宋体" w:hint="default"/>
                <w:sz w:val="21"/>
                <w:szCs w:val="21"/>
              </w:rPr>
              <w:t>宽</w:t>
            </w:r>
            <w:r>
              <w:rPr>
                <w:rFonts w:ascii="宋体" w:hAnsi="宋体" w:cs="宋体" w:eastAsia="宋体" w:hint="default"/>
                <w:spacing w:val="-36"/>
                <w:sz w:val="21"/>
                <w:szCs w:val="21"/>
              </w:rPr>
              <w:t> </w:t>
            </w:r>
            <w:r>
              <w:rPr>
                <w:rFonts w:ascii="宋体" w:hAnsi="宋体" w:cs="宋体" w:eastAsia="宋体" w:hint="default"/>
                <w:sz w:val="21"/>
                <w:szCs w:val="21"/>
              </w:rPr>
              <w:t>8</w:t>
            </w:r>
            <w:r>
              <w:rPr>
                <w:rFonts w:ascii="宋体" w:hAnsi="宋体" w:cs="宋体" w:eastAsia="宋体" w:hint="default"/>
                <w:spacing w:val="-34"/>
                <w:sz w:val="21"/>
                <w:szCs w:val="21"/>
              </w:rPr>
              <w:t> </w:t>
            </w:r>
            <w:r>
              <w:rPr>
                <w:rFonts w:ascii="宋体" w:hAnsi="宋体" w:cs="宋体" w:eastAsia="宋体" w:hint="default"/>
                <w:sz w:val="21"/>
                <w:szCs w:val="21"/>
              </w:rPr>
              <w:t>英</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pacing w:val="-12"/>
                <w:sz w:val="21"/>
                <w:szCs w:val="21"/>
              </w:rPr>
              <w:t>尺（约合</w:t>
            </w:r>
            <w:r>
              <w:rPr>
                <w:rFonts w:ascii="宋体" w:hAnsi="宋体" w:cs="宋体" w:eastAsia="宋体" w:hint="default"/>
                <w:spacing w:val="-53"/>
                <w:sz w:val="21"/>
                <w:szCs w:val="21"/>
              </w:rPr>
              <w:t> </w:t>
            </w:r>
            <w:r>
              <w:rPr>
                <w:rFonts w:ascii="宋体" w:hAnsi="宋体" w:cs="宋体" w:eastAsia="宋体" w:hint="default"/>
                <w:sz w:val="21"/>
                <w:szCs w:val="21"/>
              </w:rPr>
              <w:t>2.13</w:t>
            </w:r>
            <w:r>
              <w:rPr>
                <w:rFonts w:ascii="宋体" w:hAnsi="宋体" w:cs="宋体" w:eastAsia="宋体" w:hint="default"/>
                <w:spacing w:val="-51"/>
                <w:sz w:val="21"/>
                <w:szCs w:val="21"/>
              </w:rPr>
              <w:t> </w:t>
            </w:r>
            <w:r>
              <w:rPr>
                <w:rFonts w:ascii="宋体" w:hAnsi="宋体" w:cs="宋体" w:eastAsia="宋体" w:hint="default"/>
                <w:spacing w:val="-13"/>
                <w:sz w:val="21"/>
                <w:szCs w:val="21"/>
              </w:rPr>
              <w:t>米）</w:t>
            </w:r>
            <w:r>
              <w:rPr>
                <w:rFonts w:ascii="宋体" w:hAnsi="宋体" w:cs="宋体" w:eastAsia="宋体" w:hint="default"/>
                <w:spacing w:val="-13"/>
                <w:sz w:val="21"/>
                <w:szCs w:val="21"/>
              </w:rPr>
              <w:t>*</w:t>
            </w:r>
            <w:r>
              <w:rPr>
                <w:rFonts w:ascii="宋体" w:hAnsi="宋体" w:cs="宋体" w:eastAsia="宋体" w:hint="default"/>
                <w:spacing w:val="-13"/>
                <w:sz w:val="21"/>
                <w:szCs w:val="21"/>
              </w:rPr>
              <w:t>高</w:t>
            </w:r>
            <w:r>
              <w:rPr>
                <w:rFonts w:ascii="宋体" w:hAnsi="宋体" w:cs="宋体" w:eastAsia="宋体" w:hint="default"/>
                <w:spacing w:val="-50"/>
                <w:sz w:val="21"/>
                <w:szCs w:val="21"/>
              </w:rPr>
              <w:t> </w:t>
            </w:r>
            <w:r>
              <w:rPr>
                <w:rFonts w:ascii="宋体" w:hAnsi="宋体" w:cs="宋体" w:eastAsia="宋体" w:hint="default"/>
                <w:sz w:val="21"/>
                <w:szCs w:val="21"/>
              </w:rPr>
              <w:t>8</w:t>
            </w:r>
            <w:r>
              <w:rPr>
                <w:rFonts w:ascii="宋体" w:hAnsi="宋体" w:cs="宋体" w:eastAsia="宋体" w:hint="default"/>
                <w:spacing w:val="-50"/>
                <w:sz w:val="21"/>
                <w:szCs w:val="21"/>
              </w:rPr>
              <w:t> </w:t>
            </w:r>
            <w:r>
              <w:rPr>
                <w:rFonts w:ascii="宋体" w:hAnsi="宋体" w:cs="宋体" w:eastAsia="宋体" w:hint="default"/>
                <w:sz w:val="21"/>
                <w:szCs w:val="21"/>
              </w:rPr>
              <w:t>英尺</w:t>
            </w:r>
            <w:r>
              <w:rPr>
                <w:rFonts w:ascii="宋体" w:hAnsi="宋体" w:cs="宋体" w:eastAsia="宋体" w:hint="default"/>
                <w:spacing w:val="-50"/>
                <w:sz w:val="21"/>
                <w:szCs w:val="21"/>
              </w:rPr>
              <w:t> </w:t>
            </w:r>
            <w:r>
              <w:rPr>
                <w:rFonts w:ascii="宋体" w:hAnsi="宋体" w:cs="宋体" w:eastAsia="宋体" w:hint="default"/>
                <w:sz w:val="21"/>
                <w:szCs w:val="21"/>
              </w:rPr>
              <w:t>6</w:t>
            </w:r>
          </w:p>
          <w:p>
            <w:pPr>
              <w:pStyle w:val="TableParagraph"/>
              <w:spacing w:line="237" w:lineRule="auto" w:before="2"/>
              <w:ind w:left="103" w:right="96"/>
              <w:jc w:val="both"/>
              <w:rPr>
                <w:rFonts w:ascii="宋体" w:hAnsi="宋体" w:cs="宋体" w:eastAsia="宋体" w:hint="default"/>
                <w:sz w:val="21"/>
                <w:szCs w:val="21"/>
              </w:rPr>
            </w:pPr>
            <w:r>
              <w:rPr>
                <w:rFonts w:ascii="宋体" w:hAnsi="宋体" w:cs="宋体" w:eastAsia="宋体" w:hint="default"/>
                <w:spacing w:val="-5"/>
                <w:sz w:val="21"/>
                <w:szCs w:val="21"/>
              </w:rPr>
              <w:t>英寸（约合</w:t>
            </w:r>
            <w:r>
              <w:rPr>
                <w:rFonts w:ascii="宋体" w:hAnsi="宋体" w:cs="宋体" w:eastAsia="宋体" w:hint="default"/>
                <w:spacing w:val="-45"/>
                <w:sz w:val="21"/>
                <w:szCs w:val="21"/>
              </w:rPr>
              <w:t> </w:t>
            </w:r>
            <w:r>
              <w:rPr>
                <w:rFonts w:ascii="宋体" w:hAnsi="宋体" w:cs="宋体" w:eastAsia="宋体" w:hint="default"/>
                <w:sz w:val="21"/>
                <w:szCs w:val="21"/>
              </w:rPr>
              <w:t>2.18</w:t>
            </w:r>
            <w:r>
              <w:rPr>
                <w:rFonts w:ascii="宋体" w:hAnsi="宋体" w:cs="宋体" w:eastAsia="宋体" w:hint="default"/>
                <w:spacing w:val="-46"/>
                <w:sz w:val="21"/>
                <w:szCs w:val="21"/>
              </w:rPr>
              <w:t> </w:t>
            </w:r>
            <w:r>
              <w:rPr>
                <w:rFonts w:ascii="宋体" w:hAnsi="宋体" w:cs="宋体" w:eastAsia="宋体" w:hint="default"/>
                <w:spacing w:val="-5"/>
                <w:sz w:val="21"/>
                <w:szCs w:val="21"/>
              </w:rPr>
              <w:t>米）的集装箱</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2"/>
                <w:sz w:val="21"/>
                <w:szCs w:val="21"/>
              </w:rPr>
              <w:t>为国际计量单位，也称国际标</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2"/>
                <w:sz w:val="21"/>
                <w:szCs w:val="21"/>
              </w:rPr>
              <w:t>准箱单位。通常用来表示船舶</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2"/>
                <w:sz w:val="21"/>
                <w:szCs w:val="21"/>
              </w:rPr>
              <w:t>装载集装箱的能力，也是集装</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2"/>
                <w:sz w:val="21"/>
                <w:szCs w:val="21"/>
              </w:rPr>
              <w:t>箱和港口吞吐量的重要统计、</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换算单位</w:t>
            </w:r>
          </w:p>
        </w:tc>
      </w:tr>
      <w:tr>
        <w:trPr>
          <w:trHeight w:val="55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计费箱量</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394"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集装箱物流服务提供商向客户</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收取运费的集装箱运输数量</w:t>
            </w:r>
          </w:p>
        </w:tc>
      </w:tr>
    </w:tbl>
    <w:p>
      <w:pPr>
        <w:spacing w:line="240" w:lineRule="auto" w:before="9"/>
        <w:rPr>
          <w:rFonts w:ascii="宋体" w:hAnsi="宋体" w:cs="宋体" w:eastAsia="宋体" w:hint="default"/>
          <w:sz w:val="41"/>
          <w:szCs w:val="41"/>
        </w:rPr>
      </w:pPr>
    </w:p>
    <w:p>
      <w:pPr>
        <w:pStyle w:val="Heading1"/>
        <w:tabs>
          <w:tab w:pos="3717" w:val="left" w:leader="none"/>
        </w:tabs>
        <w:spacing w:line="240" w:lineRule="auto"/>
        <w:ind w:left="2457" w:right="227"/>
        <w:jc w:val="left"/>
        <w:rPr>
          <w:b w:val="0"/>
          <w:bCs w:val="0"/>
        </w:rPr>
      </w:pPr>
      <w:bookmarkStart w:name="_TOC_250010" w:id="2"/>
      <w:r>
        <w:rPr>
          <w:w w:val="95"/>
        </w:rPr>
        <w:t>第二节</w:t>
        <w:tab/>
      </w:r>
      <w:r>
        <w:rPr/>
        <w:t>公司简介和主要财务指标</w:t>
      </w:r>
      <w:bookmarkEnd w:id="2"/>
      <w:r>
        <w:rPr>
          <w:b w:val="0"/>
          <w:bCs w:val="0"/>
        </w:rPr>
      </w:r>
    </w:p>
    <w:p>
      <w:pPr>
        <w:spacing w:line="240" w:lineRule="auto" w:before="7"/>
        <w:rPr>
          <w:rFonts w:ascii="黑体" w:hAnsi="黑体" w:cs="黑体" w:eastAsia="黑体" w:hint="default"/>
          <w:b/>
          <w:bCs/>
          <w:sz w:val="16"/>
          <w:szCs w:val="16"/>
        </w:rPr>
      </w:pPr>
    </w:p>
    <w:p>
      <w:pPr>
        <w:pStyle w:val="Heading2"/>
        <w:spacing w:line="240" w:lineRule="auto" w:before="36"/>
        <w:ind w:right="2497"/>
        <w:jc w:val="left"/>
        <w:rPr>
          <w:b w:val="0"/>
          <w:bCs w:val="0"/>
        </w:rPr>
      </w:pPr>
      <w:r>
        <w:rPr/>
        <w:t>一、</w:t>
      </w:r>
      <w:r>
        <w:rPr>
          <w:spacing w:val="40"/>
        </w:rPr>
        <w:t> </w:t>
      </w:r>
      <w:r>
        <w:rPr/>
        <w:t>公司信息</w:t>
      </w:r>
      <w:r>
        <w:rPr>
          <w:b w:val="0"/>
          <w:bCs w:val="0"/>
        </w:rPr>
      </w:r>
    </w:p>
    <w:p>
      <w:pPr>
        <w:spacing w:line="240" w:lineRule="auto" w:before="12"/>
        <w:rPr>
          <w:rFonts w:ascii="宋体" w:hAnsi="宋体" w:cs="宋体" w:eastAsia="宋体" w:hint="default"/>
          <w:b/>
          <w:bCs/>
          <w:sz w:val="6"/>
          <w:szCs w:val="6"/>
        </w:rPr>
      </w:pPr>
    </w:p>
    <w:tbl>
      <w:tblPr>
        <w:tblW w:w="0" w:type="auto"/>
        <w:jc w:val="left"/>
        <w:tblInd w:w="182" w:type="dxa"/>
        <w:tblLayout w:type="fixed"/>
        <w:tblCellMar>
          <w:top w:w="0" w:type="dxa"/>
          <w:left w:w="0" w:type="dxa"/>
          <w:bottom w:w="0" w:type="dxa"/>
          <w:right w:w="0" w:type="dxa"/>
        </w:tblCellMar>
        <w:tblLook w:val="01E0"/>
      </w:tblPr>
      <w:tblGrid>
        <w:gridCol w:w="3860"/>
        <w:gridCol w:w="5036"/>
      </w:tblGrid>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安通控股股份有限公司</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安通控股</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Antong HoldingsCo.,</w:t>
            </w:r>
            <w:r>
              <w:rPr>
                <w:rFonts w:ascii="宋体"/>
                <w:spacing w:val="-4"/>
                <w:sz w:val="21"/>
              </w:rPr>
              <w:t> </w:t>
            </w:r>
            <w:r>
              <w:rPr>
                <w:rFonts w:ascii="宋体"/>
                <w:sz w:val="21"/>
              </w:rPr>
              <w:t>Ltd.</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Antong Holdings</w:t>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郭东圣</w:t>
            </w:r>
          </w:p>
        </w:tc>
      </w:tr>
    </w:tbl>
    <w:p>
      <w:pPr>
        <w:spacing w:after="0" w:line="241" w:lineRule="exact"/>
        <w:jc w:val="left"/>
        <w:rPr>
          <w:rFonts w:ascii="宋体" w:hAnsi="宋体" w:cs="宋体" w:eastAsia="宋体" w:hint="default"/>
          <w:sz w:val="21"/>
          <w:szCs w:val="21"/>
        </w:rPr>
        <w:sectPr>
          <w:pgSz w:w="11910" w:h="16840"/>
          <w:pgMar w:header="880" w:footer="1195" w:top="1120" w:bottom="1380" w:left="1580" w:right="1040"/>
        </w:sectPr>
      </w:pPr>
    </w:p>
    <w:p>
      <w:pPr>
        <w:spacing w:line="240" w:lineRule="auto" w:before="4"/>
        <w:rPr>
          <w:rFonts w:ascii="宋体" w:hAnsi="宋体" w:cs="宋体" w:eastAsia="宋体" w:hint="default"/>
          <w:b/>
          <w:bCs/>
          <w:sz w:val="25"/>
          <w:szCs w:val="25"/>
        </w:rPr>
      </w:pPr>
    </w:p>
    <w:p>
      <w:pPr>
        <w:pStyle w:val="Heading2"/>
        <w:spacing w:line="240" w:lineRule="auto" w:before="36"/>
        <w:ind w:right="2497"/>
        <w:jc w:val="left"/>
        <w:rPr>
          <w:b w:val="0"/>
          <w:bCs w:val="0"/>
        </w:rPr>
      </w:pPr>
      <w:r>
        <w:rPr/>
        <w:t>二、</w:t>
      </w:r>
      <w:r>
        <w:rPr>
          <w:spacing w:val="41"/>
        </w:rPr>
        <w:t> </w:t>
      </w:r>
      <w:r>
        <w:rPr/>
        <w:t>联系人和联系方式</w:t>
      </w:r>
      <w:r>
        <w:rPr>
          <w:b w:val="0"/>
          <w:bCs w:val="0"/>
        </w:rPr>
      </w:r>
    </w:p>
    <w:p>
      <w:pPr>
        <w:spacing w:line="240" w:lineRule="auto" w:before="1"/>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2965"/>
        <w:gridCol w:w="2967"/>
        <w:gridCol w:w="2965"/>
      </w:tblGrid>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50"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4"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281"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颜联源</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黄志军</w:t>
            </w:r>
          </w:p>
        </w:tc>
      </w:tr>
      <w:tr>
        <w:trPr>
          <w:trHeight w:val="554"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福建省泉州市丰泽区东海街道</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通港西街</w:t>
            </w:r>
            <w:r>
              <w:rPr>
                <w:rFonts w:ascii="宋体" w:hAnsi="宋体" w:cs="宋体" w:eastAsia="宋体" w:hint="default"/>
                <w:sz w:val="21"/>
                <w:szCs w:val="21"/>
              </w:rPr>
              <w:t>156</w:t>
            </w:r>
            <w:r>
              <w:rPr>
                <w:rFonts w:ascii="宋体" w:hAnsi="宋体" w:cs="宋体" w:eastAsia="宋体" w:hint="default"/>
                <w:sz w:val="21"/>
                <w:szCs w:val="21"/>
              </w:rPr>
              <w:t>号安通控股大厦</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福建省泉州市丰泽区东海街道</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通港西街</w:t>
            </w:r>
            <w:r>
              <w:rPr>
                <w:rFonts w:ascii="宋体" w:hAnsi="宋体" w:cs="宋体" w:eastAsia="宋体" w:hint="default"/>
                <w:sz w:val="21"/>
                <w:szCs w:val="21"/>
              </w:rPr>
              <w:t>156</w:t>
            </w:r>
            <w:r>
              <w:rPr>
                <w:rFonts w:ascii="宋体" w:hAnsi="宋体" w:cs="宋体" w:eastAsia="宋体" w:hint="default"/>
                <w:sz w:val="21"/>
                <w:szCs w:val="21"/>
              </w:rPr>
              <w:t>号安通控股大厦</w:t>
            </w:r>
          </w:p>
        </w:tc>
      </w:tr>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0595-28092211</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0595-28092211</w:t>
            </w:r>
          </w:p>
        </w:tc>
      </w:tr>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0595-28092211</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0595-28092211</w:t>
            </w:r>
          </w:p>
        </w:tc>
      </w:tr>
      <w:tr>
        <w:trPr>
          <w:trHeight w:val="281"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hyperlink r:id="rId8">
              <w:r>
                <w:rPr>
                  <w:rFonts w:ascii="宋体"/>
                  <w:sz w:val="21"/>
                </w:rPr>
                <w:t>antong@renjian.cn</w:t>
              </w:r>
            </w:hyperlink>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hyperlink r:id="rId8">
              <w:r>
                <w:rPr>
                  <w:rFonts w:ascii="宋体"/>
                  <w:sz w:val="21"/>
                </w:rPr>
                <w:t>antong@renjian.cn</w:t>
              </w:r>
            </w:hyperlink>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pStyle w:val="Heading2"/>
        <w:spacing w:line="240" w:lineRule="auto" w:before="36"/>
        <w:ind w:right="2497"/>
        <w:jc w:val="left"/>
        <w:rPr>
          <w:b w:val="0"/>
          <w:bCs w:val="0"/>
        </w:rPr>
      </w:pPr>
      <w:r>
        <w:rPr/>
        <w:t>三、</w:t>
      </w:r>
      <w:r>
        <w:rPr>
          <w:spacing w:val="-29"/>
        </w:rPr>
        <w:t> </w:t>
      </w:r>
      <w:r>
        <w:rPr/>
        <w:t>基本情况简介</w:t>
      </w:r>
      <w:r>
        <w:rPr>
          <w:b w:val="0"/>
          <w:bCs w:val="0"/>
        </w:rPr>
      </w:r>
    </w:p>
    <w:p>
      <w:pPr>
        <w:spacing w:line="240" w:lineRule="auto" w:before="1"/>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3860"/>
        <w:gridCol w:w="5036"/>
      </w:tblGrid>
      <w:tr>
        <w:trPr>
          <w:trHeight w:val="303"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黑龙江省齐齐哈尔市富拉尔基区向阳大街</w:t>
            </w:r>
            <w:r>
              <w:rPr>
                <w:rFonts w:ascii="宋体" w:hAnsi="宋体" w:cs="宋体" w:eastAsia="宋体" w:hint="default"/>
                <w:sz w:val="21"/>
                <w:szCs w:val="21"/>
              </w:rPr>
              <w:t>2</w:t>
            </w:r>
            <w:r>
              <w:rPr>
                <w:rFonts w:ascii="宋体" w:hAnsi="宋体" w:cs="宋体" w:eastAsia="宋体" w:hint="default"/>
                <w:sz w:val="21"/>
                <w:szCs w:val="21"/>
              </w:rPr>
              <w:t>号</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公司注册地址的邮政编码</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161041</w:t>
            </w:r>
          </w:p>
        </w:tc>
      </w:tr>
      <w:tr>
        <w:trPr>
          <w:trHeight w:val="554"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福建省泉州市丰泽区东海街道通港西街</w:t>
            </w:r>
            <w:r>
              <w:rPr>
                <w:rFonts w:ascii="宋体" w:hAnsi="宋体" w:cs="宋体" w:eastAsia="宋体" w:hint="default"/>
                <w:sz w:val="21"/>
                <w:szCs w:val="21"/>
              </w:rPr>
              <w:t>156</w:t>
            </w:r>
            <w:r>
              <w:rPr>
                <w:rFonts w:ascii="宋体" w:hAnsi="宋体" w:cs="宋体" w:eastAsia="宋体" w:hint="default"/>
                <w:sz w:val="21"/>
                <w:szCs w:val="21"/>
              </w:rPr>
              <w:t>号安通控股</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大厦</w:t>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公司办公地址的邮政编码</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sz w:val="21"/>
              </w:rPr>
              <w:t>362000</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公司网址</w:t>
            </w:r>
          </w:p>
        </w:tc>
        <w:tc>
          <w:tcPr>
            <w:tcW w:w="5036" w:type="dxa"/>
            <w:tcBorders>
              <w:top w:val="single" w:sz="4" w:space="0" w:color="000000"/>
              <w:left w:val="single" w:sz="4" w:space="0" w:color="000000"/>
              <w:bottom w:val="single" w:sz="4" w:space="0" w:color="000000"/>
              <w:right w:val="single" w:sz="4" w:space="0" w:color="000000"/>
            </w:tcBorders>
          </w:tcPr>
          <w:p>
            <w:pP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hyperlink r:id="rId8">
              <w:r>
                <w:rPr>
                  <w:rFonts w:ascii="宋体"/>
                  <w:sz w:val="21"/>
                </w:rPr>
                <w:t>antong@renjian.cn</w:t>
              </w:r>
            </w:hyperlink>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pStyle w:val="Heading2"/>
        <w:spacing w:line="240" w:lineRule="auto" w:before="36"/>
        <w:ind w:right="2497"/>
        <w:jc w:val="left"/>
        <w:rPr>
          <w:b w:val="0"/>
          <w:bCs w:val="0"/>
        </w:rPr>
      </w:pPr>
      <w:r>
        <w:rPr/>
        <w:t>四、</w:t>
      </w:r>
      <w:r>
        <w:rPr>
          <w:spacing w:val="-28"/>
        </w:rPr>
        <w:t> </w:t>
      </w:r>
      <w:r>
        <w:rPr/>
        <w:t>信息披露及备置地点</w:t>
      </w:r>
      <w:r>
        <w:rPr>
          <w:b w:val="0"/>
          <w:bCs w:val="0"/>
        </w:rPr>
      </w:r>
    </w:p>
    <w:p>
      <w:pPr>
        <w:spacing w:line="240" w:lineRule="auto" w:before="1"/>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4143"/>
        <w:gridCol w:w="4753"/>
      </w:tblGrid>
      <w:tr>
        <w:trPr>
          <w:trHeight w:val="30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公司选定的信息披露媒体名称</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中国证券报、上海证券报</w:t>
            </w:r>
          </w:p>
        </w:tc>
      </w:tr>
      <w:tr>
        <w:trPr>
          <w:trHeight w:val="303"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hyperlink r:id="rId9">
              <w:r>
                <w:rPr>
                  <w:rFonts w:ascii="宋体"/>
                  <w:sz w:val="21"/>
                </w:rPr>
                <w:t>http://www.sse.com.cn/</w:t>
              </w:r>
            </w:hyperlink>
          </w:p>
        </w:tc>
      </w:tr>
      <w:tr>
        <w:trPr>
          <w:trHeight w:val="305"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公司证券投资部</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pStyle w:val="Heading2"/>
        <w:spacing w:line="240" w:lineRule="auto" w:before="36"/>
        <w:ind w:right="2497"/>
        <w:jc w:val="left"/>
        <w:rPr>
          <w:b w:val="0"/>
          <w:bCs w:val="0"/>
        </w:rPr>
      </w:pPr>
      <w:r>
        <w:rPr/>
        <w:t>五、</w:t>
      </w:r>
      <w:r>
        <w:rPr>
          <w:spacing w:val="41"/>
        </w:rPr>
        <w:t> </w:t>
      </w:r>
      <w:r>
        <w:rPr/>
        <w:t>公司股票简况</w:t>
      </w:r>
      <w:r>
        <w:rPr>
          <w:b w:val="0"/>
          <w:bCs w:val="0"/>
        </w:rPr>
      </w:r>
    </w:p>
    <w:p>
      <w:pPr>
        <w:spacing w:line="240" w:lineRule="auto" w:before="12"/>
        <w:rPr>
          <w:rFonts w:ascii="宋体" w:hAnsi="宋体" w:cs="宋体" w:eastAsia="宋体" w:hint="default"/>
          <w:b/>
          <w:bCs/>
          <w:sz w:val="6"/>
          <w:szCs w:val="6"/>
        </w:rPr>
      </w:pPr>
    </w:p>
    <w:tbl>
      <w:tblPr>
        <w:tblW w:w="0" w:type="auto"/>
        <w:jc w:val="left"/>
        <w:tblInd w:w="182" w:type="dxa"/>
        <w:tblLayout w:type="fixed"/>
        <w:tblCellMar>
          <w:top w:w="0" w:type="dxa"/>
          <w:left w:w="0" w:type="dxa"/>
          <w:bottom w:w="0" w:type="dxa"/>
          <w:right w:w="0" w:type="dxa"/>
        </w:tblCellMar>
        <w:tblLook w:val="01E0"/>
      </w:tblPr>
      <w:tblGrid>
        <w:gridCol w:w="1778"/>
        <w:gridCol w:w="1779"/>
        <w:gridCol w:w="1779"/>
        <w:gridCol w:w="1781"/>
        <w:gridCol w:w="1779"/>
      </w:tblGrid>
      <w:tr>
        <w:trPr>
          <w:trHeight w:val="302" w:hRule="exact"/>
        </w:trPr>
        <w:tc>
          <w:tcPr>
            <w:tcW w:w="889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305"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65" w:right="0"/>
              <w:jc w:val="left"/>
              <w:rPr>
                <w:rFonts w:ascii="宋体" w:hAnsi="宋体" w:cs="宋体" w:eastAsia="宋体" w:hint="default"/>
                <w:sz w:val="21"/>
                <w:szCs w:val="21"/>
              </w:rPr>
            </w:pPr>
            <w:r>
              <w:rPr>
                <w:rFonts w:ascii="宋体" w:hAnsi="宋体" w:cs="宋体" w:eastAsia="宋体" w:hint="default"/>
                <w:sz w:val="21"/>
                <w:szCs w:val="21"/>
              </w:rPr>
              <w:t>股票种类</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48" w:right="0"/>
              <w:jc w:val="left"/>
              <w:rPr>
                <w:rFonts w:ascii="宋体" w:hAnsi="宋体" w:cs="宋体" w:eastAsia="宋体" w:hint="default"/>
                <w:sz w:val="21"/>
                <w:szCs w:val="21"/>
              </w:rPr>
            </w:pPr>
            <w:r>
              <w:rPr>
                <w:rFonts w:ascii="宋体" w:hAnsi="宋体" w:cs="宋体" w:eastAsia="宋体" w:hint="default"/>
                <w:sz w:val="21"/>
                <w:szCs w:val="21"/>
              </w:rPr>
              <w:t>股票上市交易所</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63"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65" w:right="0"/>
              <w:jc w:val="left"/>
              <w:rPr>
                <w:rFonts w:ascii="宋体" w:hAnsi="宋体" w:cs="宋体" w:eastAsia="宋体" w:hint="default"/>
                <w:sz w:val="21"/>
                <w:szCs w:val="21"/>
              </w:rPr>
            </w:pPr>
            <w:r>
              <w:rPr>
                <w:rFonts w:ascii="宋体" w:hAnsi="宋体" w:cs="宋体" w:eastAsia="宋体" w:hint="default"/>
                <w:sz w:val="21"/>
                <w:szCs w:val="21"/>
              </w:rPr>
              <w:t>股票代码</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46" w:right="0"/>
              <w:jc w:val="left"/>
              <w:rPr>
                <w:rFonts w:ascii="宋体" w:hAnsi="宋体" w:cs="宋体" w:eastAsia="宋体" w:hint="default"/>
                <w:sz w:val="21"/>
                <w:szCs w:val="21"/>
              </w:rPr>
            </w:pPr>
            <w:r>
              <w:rPr>
                <w:rFonts w:ascii="宋体" w:hAnsi="宋体" w:cs="宋体" w:eastAsia="宋体" w:hint="default"/>
                <w:sz w:val="21"/>
                <w:szCs w:val="21"/>
              </w:rPr>
              <w:t>变更前股票简称</w:t>
            </w:r>
          </w:p>
        </w:tc>
      </w:tr>
      <w:tr>
        <w:trPr>
          <w:trHeight w:val="302"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z w:val="21"/>
                <w:szCs w:val="21"/>
              </w:rPr>
              <w:t>股</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安通控股</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600179</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*ST</w:t>
            </w:r>
            <w:r>
              <w:rPr>
                <w:rFonts w:ascii="宋体" w:hAnsi="宋体" w:cs="宋体" w:eastAsia="宋体" w:hint="default"/>
                <w:sz w:val="21"/>
                <w:szCs w:val="21"/>
              </w:rPr>
              <w:t>黑化</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pStyle w:val="Heading2"/>
        <w:spacing w:line="240" w:lineRule="auto" w:before="36"/>
        <w:ind w:right="2497"/>
        <w:jc w:val="left"/>
        <w:rPr>
          <w:b w:val="0"/>
          <w:bCs w:val="0"/>
        </w:rPr>
      </w:pPr>
      <w:r>
        <w:rPr/>
        <w:t>六、</w:t>
      </w:r>
      <w:r>
        <w:rPr>
          <w:spacing w:val="-29"/>
        </w:rPr>
        <w:t> </w:t>
      </w:r>
      <w:r>
        <w:rPr/>
        <w:t>其他相关资料</w:t>
      </w:r>
      <w:r>
        <w:rPr>
          <w:b w:val="0"/>
          <w:bCs w:val="0"/>
        </w:rPr>
      </w:r>
    </w:p>
    <w:p>
      <w:pPr>
        <w:spacing w:line="240" w:lineRule="auto" w:before="13"/>
        <w:rPr>
          <w:rFonts w:ascii="宋体" w:hAnsi="宋体" w:cs="宋体" w:eastAsia="宋体" w:hint="default"/>
          <w:b/>
          <w:bCs/>
          <w:sz w:val="6"/>
          <w:szCs w:val="6"/>
        </w:rPr>
      </w:pPr>
    </w:p>
    <w:tbl>
      <w:tblPr>
        <w:tblW w:w="0" w:type="auto"/>
        <w:jc w:val="left"/>
        <w:tblInd w:w="105" w:type="dxa"/>
        <w:tblLayout w:type="fixed"/>
        <w:tblCellMar>
          <w:top w:w="0" w:type="dxa"/>
          <w:left w:w="0" w:type="dxa"/>
          <w:bottom w:w="0" w:type="dxa"/>
          <w:right w:w="0" w:type="dxa"/>
        </w:tblCellMar>
        <w:tblLook w:val="01E0"/>
      </w:tblPr>
      <w:tblGrid>
        <w:gridCol w:w="2993"/>
        <w:gridCol w:w="1796"/>
        <w:gridCol w:w="4261"/>
      </w:tblGrid>
      <w:tr>
        <w:trPr>
          <w:trHeight w:val="283" w:hRule="exact"/>
        </w:trPr>
        <w:tc>
          <w:tcPr>
            <w:tcW w:w="2993" w:type="dxa"/>
            <w:vMerge w:val="restart"/>
            <w:tcBorders>
              <w:top w:val="single" w:sz="4" w:space="0" w:color="000000"/>
              <w:left w:val="single" w:sz="4" w:space="0" w:color="000000"/>
              <w:right w:val="single" w:sz="4" w:space="0" w:color="000000"/>
            </w:tcBorders>
          </w:tcPr>
          <w:p>
            <w:pPr>
              <w:pStyle w:val="TableParagraph"/>
              <w:spacing w:line="272" w:lineRule="exact" w:before="142"/>
              <w:ind w:left="103" w:right="99"/>
              <w:jc w:val="left"/>
              <w:rPr>
                <w:rFonts w:ascii="宋体" w:hAnsi="宋体" w:cs="宋体" w:eastAsia="宋体" w:hint="default"/>
                <w:sz w:val="21"/>
                <w:szCs w:val="21"/>
              </w:rPr>
            </w:pPr>
            <w:r>
              <w:rPr>
                <w:rFonts w:ascii="宋体" w:hAnsi="宋体" w:cs="宋体" w:eastAsia="宋体" w:hint="default"/>
                <w:spacing w:val="2"/>
                <w:sz w:val="21"/>
                <w:szCs w:val="21"/>
              </w:rPr>
              <w:t>公司聘请的会计师事务所（境</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内）</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华普天健会计师事务所（特殊普通合伙）</w:t>
            </w:r>
          </w:p>
        </w:tc>
      </w:tr>
      <w:tr>
        <w:trPr>
          <w:trHeight w:val="283" w:hRule="exact"/>
        </w:trPr>
        <w:tc>
          <w:tcPr>
            <w:tcW w:w="2993" w:type="dxa"/>
            <w:vMerge/>
            <w:tcBorders>
              <w:left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安徽省合肥市马鞍山南路世纪阳光大厦</w:t>
            </w:r>
            <w:r>
              <w:rPr>
                <w:rFonts w:ascii="宋体" w:hAnsi="宋体" w:cs="宋体" w:eastAsia="宋体" w:hint="default"/>
                <w:spacing w:val="-79"/>
                <w:sz w:val="21"/>
                <w:szCs w:val="21"/>
              </w:rPr>
              <w:t> </w:t>
            </w:r>
            <w:r>
              <w:rPr>
                <w:rFonts w:ascii="宋体" w:hAnsi="宋体" w:cs="宋体" w:eastAsia="宋体" w:hint="default"/>
                <w:sz w:val="21"/>
                <w:szCs w:val="21"/>
              </w:rPr>
              <w:t>20</w:t>
            </w:r>
            <w:r>
              <w:rPr>
                <w:rFonts w:ascii="宋体" w:hAnsi="宋体" w:cs="宋体" w:eastAsia="宋体" w:hint="default"/>
                <w:spacing w:val="-79"/>
                <w:sz w:val="21"/>
                <w:szCs w:val="21"/>
              </w:rPr>
              <w:t> </w:t>
            </w:r>
            <w:r>
              <w:rPr>
                <w:rFonts w:ascii="宋体" w:hAnsi="宋体" w:cs="宋体" w:eastAsia="宋体" w:hint="default"/>
                <w:sz w:val="21"/>
                <w:szCs w:val="21"/>
              </w:rPr>
              <w:t>层</w:t>
            </w:r>
          </w:p>
        </w:tc>
      </w:tr>
      <w:tr>
        <w:trPr>
          <w:trHeight w:val="281" w:hRule="exact"/>
        </w:trPr>
        <w:tc>
          <w:tcPr>
            <w:tcW w:w="2993" w:type="dxa"/>
            <w:vMerge/>
            <w:tcBorders>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张婕、蔡浩</w:t>
            </w:r>
          </w:p>
        </w:tc>
      </w:tr>
      <w:tr>
        <w:trPr>
          <w:trHeight w:val="283" w:hRule="exact"/>
        </w:trPr>
        <w:tc>
          <w:tcPr>
            <w:tcW w:w="2993"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9"/>
                <w:szCs w:val="29"/>
              </w:rPr>
            </w:pP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pacing w:val="2"/>
                <w:sz w:val="21"/>
                <w:szCs w:val="21"/>
              </w:rPr>
              <w:t>报告期内履行持续督导职责的</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财务顾问</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海通证券股份有限公司</w:t>
            </w:r>
          </w:p>
        </w:tc>
      </w:tr>
      <w:tr>
        <w:trPr>
          <w:trHeight w:val="283" w:hRule="exact"/>
        </w:trPr>
        <w:tc>
          <w:tcPr>
            <w:tcW w:w="2993" w:type="dxa"/>
            <w:vMerge/>
            <w:tcBorders>
              <w:left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上海市广东路</w:t>
            </w:r>
            <w:r>
              <w:rPr>
                <w:rFonts w:ascii="宋体" w:hAnsi="宋体" w:cs="宋体" w:eastAsia="宋体" w:hint="default"/>
                <w:spacing w:val="-53"/>
                <w:sz w:val="21"/>
                <w:szCs w:val="21"/>
              </w:rPr>
              <w:t> </w:t>
            </w:r>
            <w:r>
              <w:rPr>
                <w:rFonts w:ascii="宋体" w:hAnsi="宋体" w:cs="宋体" w:eastAsia="宋体" w:hint="default"/>
                <w:sz w:val="21"/>
                <w:szCs w:val="21"/>
              </w:rPr>
              <w:t>689</w:t>
            </w:r>
            <w:r>
              <w:rPr>
                <w:rFonts w:ascii="宋体" w:hAnsi="宋体" w:cs="宋体" w:eastAsia="宋体" w:hint="default"/>
                <w:spacing w:val="-53"/>
                <w:sz w:val="21"/>
                <w:szCs w:val="21"/>
              </w:rPr>
              <w:t> </w:t>
            </w:r>
            <w:r>
              <w:rPr>
                <w:rFonts w:ascii="宋体" w:hAnsi="宋体" w:cs="宋体" w:eastAsia="宋体" w:hint="default"/>
                <w:sz w:val="21"/>
                <w:szCs w:val="21"/>
              </w:rPr>
              <w:t>号</w:t>
            </w:r>
          </w:p>
        </w:tc>
      </w:tr>
      <w:tr>
        <w:trPr>
          <w:trHeight w:val="554" w:hRule="exact"/>
        </w:trPr>
        <w:tc>
          <w:tcPr>
            <w:tcW w:w="2993" w:type="dxa"/>
            <w:vMerge/>
            <w:tcBorders>
              <w:left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签字的财务顾问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主办人姓名</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叶成、褚歆辰</w:t>
            </w:r>
          </w:p>
        </w:tc>
      </w:tr>
      <w:tr>
        <w:trPr>
          <w:trHeight w:val="283" w:hRule="exact"/>
        </w:trPr>
        <w:tc>
          <w:tcPr>
            <w:tcW w:w="2993" w:type="dxa"/>
            <w:vMerge/>
            <w:tcBorders>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持续督导的期间</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4"/>
                <w:sz w:val="21"/>
                <w:szCs w:val="21"/>
              </w:rPr>
              <w:t> </w:t>
            </w:r>
            <w:r>
              <w:rPr>
                <w:rFonts w:ascii="宋体" w:hAnsi="宋体" w:cs="宋体" w:eastAsia="宋体" w:hint="default"/>
                <w:sz w:val="21"/>
                <w:szCs w:val="21"/>
              </w:rPr>
              <w:t>日</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p>
        </w:tc>
      </w:tr>
    </w:tbl>
    <w:p>
      <w:pPr>
        <w:spacing w:after="0" w:line="241" w:lineRule="exact"/>
        <w:jc w:val="left"/>
        <w:rPr>
          <w:rFonts w:ascii="宋体" w:hAnsi="宋体" w:cs="宋体" w:eastAsia="宋体" w:hint="default"/>
          <w:sz w:val="21"/>
          <w:szCs w:val="21"/>
        </w:rPr>
        <w:sectPr>
          <w:pgSz w:w="11910" w:h="16840"/>
          <w:pgMar w:header="880" w:footer="1195" w:top="1120" w:bottom="1380" w:left="1580" w:right="1040"/>
        </w:sectPr>
      </w:pPr>
    </w:p>
    <w:p>
      <w:pPr>
        <w:spacing w:line="240" w:lineRule="auto" w:before="4"/>
        <w:rPr>
          <w:rFonts w:ascii="宋体" w:hAnsi="宋体" w:cs="宋体" w:eastAsia="宋体" w:hint="default"/>
          <w:b/>
          <w:bCs/>
          <w:sz w:val="25"/>
          <w:szCs w:val="25"/>
        </w:rPr>
      </w:pPr>
    </w:p>
    <w:p>
      <w:pPr>
        <w:spacing w:after="0" w:line="240" w:lineRule="auto"/>
        <w:rPr>
          <w:rFonts w:ascii="宋体" w:hAnsi="宋体" w:cs="宋体" w:eastAsia="宋体" w:hint="default"/>
          <w:sz w:val="25"/>
          <w:szCs w:val="25"/>
        </w:rPr>
        <w:sectPr>
          <w:pgSz w:w="11910" w:h="16840"/>
          <w:pgMar w:header="880" w:footer="1195" w:top="1120" w:bottom="1380" w:left="1580" w:right="1040"/>
        </w:sectPr>
      </w:pPr>
    </w:p>
    <w:p>
      <w:pPr>
        <w:pStyle w:val="Heading2"/>
        <w:spacing w:line="240" w:lineRule="auto" w:before="36"/>
        <w:ind w:right="-18"/>
        <w:jc w:val="left"/>
        <w:rPr>
          <w:b w:val="0"/>
          <w:bCs w:val="0"/>
        </w:rPr>
      </w:pPr>
      <w:r>
        <w:rPr/>
        <w:t>七、</w:t>
      </w:r>
      <w:r>
        <w:rPr>
          <w:spacing w:val="-32"/>
        </w:rPr>
        <w:t> </w:t>
      </w:r>
      <w:r>
        <w:rPr/>
        <w:t>近三年主要会计数据和财务指标</w:t>
      </w:r>
      <w:r>
        <w:rPr>
          <w:b w:val="0"/>
          <w:bCs w:val="0"/>
        </w:rPr>
      </w:r>
    </w:p>
    <w:p>
      <w:pPr>
        <w:pStyle w:val="Heading2"/>
        <w:spacing w:line="240" w:lineRule="auto" w:before="58"/>
        <w:ind w:right="-1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主要会计数据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9" w:val="left" w:leader="none"/>
        </w:tabs>
        <w:spacing w:line="240" w:lineRule="auto" w:before="177"/>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667" w:space="2854"/>
            <w:col w:w="2769"/>
          </w:cols>
        </w:sectPr>
      </w:pPr>
    </w:p>
    <w:p>
      <w:pPr>
        <w:spacing w:line="240" w:lineRule="auto" w:before="3"/>
        <w:rPr>
          <w:rFonts w:ascii="宋体" w:hAnsi="宋体" w:cs="宋体" w:eastAsia="宋体" w:hint="default"/>
          <w:sz w:val="23"/>
          <w:szCs w:val="23"/>
        </w:rPr>
      </w:pPr>
    </w:p>
    <w:tbl>
      <w:tblPr>
        <w:tblW w:w="0" w:type="auto"/>
        <w:jc w:val="left"/>
        <w:tblInd w:w="105" w:type="dxa"/>
        <w:tblLayout w:type="fixed"/>
        <w:tblCellMar>
          <w:top w:w="0" w:type="dxa"/>
          <w:left w:w="0" w:type="dxa"/>
          <w:bottom w:w="0" w:type="dxa"/>
          <w:right w:w="0" w:type="dxa"/>
        </w:tblCellMar>
        <w:tblLook w:val="01E0"/>
      </w:tblPr>
      <w:tblGrid>
        <w:gridCol w:w="1810"/>
        <w:gridCol w:w="1985"/>
        <w:gridCol w:w="1985"/>
        <w:gridCol w:w="1373"/>
        <w:gridCol w:w="1897"/>
      </w:tblGrid>
      <w:tr>
        <w:trPr>
          <w:trHeight w:val="607"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68" w:right="0"/>
              <w:jc w:val="left"/>
              <w:rPr>
                <w:rFonts w:ascii="宋体" w:hAnsi="宋体" w:cs="宋体" w:eastAsia="宋体" w:hint="default"/>
                <w:sz w:val="21"/>
                <w:szCs w:val="21"/>
              </w:rPr>
            </w:pPr>
            <w:r>
              <w:rPr>
                <w:rFonts w:ascii="宋体" w:hAnsi="宋体" w:cs="宋体" w:eastAsia="宋体" w:hint="default"/>
                <w:sz w:val="21"/>
                <w:szCs w:val="21"/>
              </w:rPr>
              <w:t>主要会计数据</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3"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z w:val="21"/>
                <w:szCs w:val="21"/>
              </w:rPr>
              <w:t>年</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8"/>
              <w:ind w:left="100" w:right="103" w:firstLine="52"/>
              <w:jc w:val="left"/>
              <w:rPr>
                <w:rFonts w:ascii="宋体" w:hAnsi="宋体" w:cs="宋体" w:eastAsia="宋体" w:hint="default"/>
                <w:sz w:val="21"/>
                <w:szCs w:val="21"/>
              </w:rPr>
            </w:pPr>
            <w:r>
              <w:rPr>
                <w:rFonts w:ascii="宋体" w:hAnsi="宋体" w:cs="宋体" w:eastAsia="宋体" w:hint="default"/>
                <w:sz w:val="21"/>
                <w:szCs w:val="21"/>
              </w:rPr>
              <w:t>本期比上年</w:t>
            </w:r>
            <w:r>
              <w:rPr>
                <w:rFonts w:ascii="宋体" w:hAnsi="宋体" w:cs="宋体" w:eastAsia="宋体" w:hint="default"/>
                <w:w w:val="100"/>
                <w:sz w:val="21"/>
                <w:szCs w:val="21"/>
              </w:rPr>
              <w:t> </w:t>
            </w:r>
            <w:r>
              <w:rPr>
                <w:rFonts w:ascii="宋体" w:hAnsi="宋体" w:cs="宋体" w:eastAsia="宋体" w:hint="default"/>
                <w:sz w:val="21"/>
                <w:szCs w:val="21"/>
              </w:rPr>
              <w:t>同期增减</w:t>
            </w:r>
            <w:r>
              <w:rPr>
                <w:rFonts w:ascii="宋体" w:hAnsi="宋体" w:cs="宋体" w:eastAsia="宋体" w:hint="default"/>
                <w:sz w:val="21"/>
                <w:szCs w:val="21"/>
              </w:rPr>
              <w:t>(%)</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627"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z w:val="21"/>
                <w:szCs w:val="21"/>
              </w:rPr>
              <w:t>年</w:t>
            </w:r>
          </w:p>
        </w:tc>
      </w:tr>
      <w:tr>
        <w:trPr>
          <w:trHeight w:val="295"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w w:val="95"/>
                <w:sz w:val="20"/>
              </w:rPr>
              <w:t>6,760,621,855.82</w:t>
            </w:r>
            <w:r>
              <w:rPr>
                <w:rFonts w:ascii="宋体"/>
                <w:sz w:val="20"/>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w w:val="95"/>
                <w:sz w:val="20"/>
              </w:rPr>
              <w:t>3,798,127,101.17</w:t>
            </w:r>
            <w:r>
              <w:rPr>
                <w:rFonts w:ascii="宋体"/>
                <w:sz w:val="20"/>
              </w:rPr>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3"/>
              <w:jc w:val="right"/>
              <w:rPr>
                <w:rFonts w:ascii="宋体" w:hAnsi="宋体" w:cs="宋体" w:eastAsia="宋体" w:hint="default"/>
                <w:sz w:val="20"/>
                <w:szCs w:val="20"/>
              </w:rPr>
            </w:pPr>
            <w:r>
              <w:rPr>
                <w:rFonts w:ascii="宋体"/>
                <w:w w:val="95"/>
                <w:sz w:val="20"/>
              </w:rPr>
              <w:t>78.00</w:t>
            </w:r>
            <w:r>
              <w:rPr>
                <w:rFonts w:ascii="宋体"/>
                <w:sz w:val="20"/>
              </w:rPr>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w w:val="95"/>
                <w:sz w:val="20"/>
              </w:rPr>
              <w:t>3,087,871,412.32</w:t>
            </w:r>
            <w:r>
              <w:rPr>
                <w:rFonts w:ascii="宋体"/>
                <w:sz w:val="20"/>
              </w:rPr>
            </w:r>
          </w:p>
        </w:tc>
      </w:tr>
      <w:tr>
        <w:trPr>
          <w:trHeight w:val="55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归属于上市公司</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股东的净利润</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552,366,107.62</w:t>
            </w:r>
            <w:r>
              <w:rPr>
                <w:rFonts w:ascii="宋体"/>
                <w:sz w:val="20"/>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w w:val="95"/>
                <w:sz w:val="20"/>
              </w:rPr>
              <w:t>401,292,805.45</w:t>
            </w:r>
            <w:r>
              <w:rPr>
                <w:rFonts w:ascii="宋体"/>
                <w:sz w:val="20"/>
              </w:rPr>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3"/>
              <w:jc w:val="right"/>
              <w:rPr>
                <w:rFonts w:ascii="宋体" w:hAnsi="宋体" w:cs="宋体" w:eastAsia="宋体" w:hint="default"/>
                <w:sz w:val="20"/>
                <w:szCs w:val="20"/>
              </w:rPr>
            </w:pPr>
            <w:r>
              <w:rPr>
                <w:rFonts w:ascii="宋体"/>
                <w:w w:val="95"/>
                <w:sz w:val="20"/>
              </w:rPr>
              <w:t>37.65</w:t>
            </w:r>
            <w:r>
              <w:rPr>
                <w:rFonts w:ascii="宋体"/>
                <w:sz w:val="20"/>
              </w:rPr>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265,160,722.05</w:t>
            </w:r>
            <w:r>
              <w:rPr>
                <w:rFonts w:ascii="宋体"/>
                <w:sz w:val="20"/>
              </w:rPr>
            </w:r>
          </w:p>
        </w:tc>
      </w:tr>
      <w:tr>
        <w:trPr>
          <w:trHeight w:val="1100"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15"/>
                <w:sz w:val="21"/>
                <w:szCs w:val="21"/>
              </w:rPr>
              <w:t>归属于上市公司</w:t>
            </w:r>
          </w:p>
          <w:p>
            <w:pPr>
              <w:pStyle w:val="TableParagraph"/>
              <w:spacing w:line="237" w:lineRule="auto" w:before="2"/>
              <w:ind w:left="103" w:right="99"/>
              <w:jc w:val="both"/>
              <w:rPr>
                <w:rFonts w:ascii="宋体" w:hAnsi="宋体" w:cs="宋体" w:eastAsia="宋体" w:hint="default"/>
                <w:sz w:val="21"/>
                <w:szCs w:val="21"/>
              </w:rPr>
            </w:pPr>
            <w:r>
              <w:rPr>
                <w:rFonts w:ascii="宋体" w:hAnsi="宋体" w:cs="宋体" w:eastAsia="宋体" w:hint="default"/>
                <w:spacing w:val="15"/>
                <w:sz w:val="21"/>
                <w:szCs w:val="21"/>
              </w:rPr>
              <w:t>股东的扣除非经</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15"/>
                <w:sz w:val="21"/>
                <w:szCs w:val="21"/>
              </w:rPr>
              <w:t>常性损益的净利</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润</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487,859,686.62</w:t>
            </w:r>
            <w:r>
              <w:rPr>
                <w:rFonts w:ascii="宋体"/>
                <w:sz w:val="20"/>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w w:val="95"/>
                <w:sz w:val="20"/>
              </w:rPr>
              <w:t>357,358,914.75</w:t>
            </w:r>
            <w:r>
              <w:rPr>
                <w:rFonts w:ascii="宋体"/>
                <w:sz w:val="20"/>
              </w:rPr>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3"/>
              <w:jc w:val="right"/>
              <w:rPr>
                <w:rFonts w:ascii="宋体" w:hAnsi="宋体" w:cs="宋体" w:eastAsia="宋体" w:hint="default"/>
                <w:sz w:val="20"/>
                <w:szCs w:val="20"/>
              </w:rPr>
            </w:pPr>
            <w:r>
              <w:rPr>
                <w:rFonts w:ascii="宋体"/>
                <w:w w:val="95"/>
                <w:sz w:val="20"/>
              </w:rPr>
              <w:t>36.52</w:t>
            </w:r>
            <w:r>
              <w:rPr>
                <w:rFonts w:ascii="宋体"/>
                <w:sz w:val="20"/>
              </w:rPr>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261,841,644.45</w:t>
            </w:r>
            <w:r>
              <w:rPr>
                <w:rFonts w:ascii="宋体"/>
                <w:sz w:val="20"/>
              </w:rPr>
            </w:r>
          </w:p>
        </w:tc>
      </w:tr>
      <w:tr>
        <w:trPr>
          <w:trHeight w:val="55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经营活动产生的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851,990,302.02</w:t>
            </w:r>
            <w:r>
              <w:rPr>
                <w:rFonts w:ascii="宋体"/>
                <w:sz w:val="20"/>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w w:val="95"/>
                <w:sz w:val="20"/>
              </w:rPr>
              <w:t>939,692,854.16</w:t>
            </w:r>
            <w:r>
              <w:rPr>
                <w:rFonts w:ascii="宋体"/>
                <w:sz w:val="20"/>
              </w:rPr>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w w:val="95"/>
                <w:sz w:val="20"/>
              </w:rPr>
              <w:t>-9.33</w:t>
            </w:r>
            <w:r>
              <w:rPr>
                <w:rFonts w:ascii="宋体"/>
                <w:sz w:val="20"/>
              </w:rPr>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790,008,204.39</w:t>
            </w:r>
            <w:r>
              <w:rPr>
                <w:rFonts w:ascii="宋体"/>
                <w:sz w:val="20"/>
              </w:rPr>
            </w:r>
          </w:p>
        </w:tc>
      </w:tr>
      <w:tr>
        <w:trPr>
          <w:trHeight w:val="828" w:hRule="exact"/>
        </w:trPr>
        <w:tc>
          <w:tcPr>
            <w:tcW w:w="181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66"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年末</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66"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z w:val="21"/>
                <w:szCs w:val="21"/>
              </w:rPr>
              <w:t>年末</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3" w:right="0"/>
              <w:jc w:val="left"/>
              <w:rPr>
                <w:rFonts w:ascii="宋体" w:hAnsi="宋体" w:cs="宋体" w:eastAsia="宋体" w:hint="default"/>
                <w:sz w:val="21"/>
                <w:szCs w:val="21"/>
              </w:rPr>
            </w:pPr>
            <w:r>
              <w:rPr>
                <w:rFonts w:ascii="宋体" w:hAnsi="宋体" w:cs="宋体" w:eastAsia="宋体" w:hint="default"/>
                <w:sz w:val="21"/>
                <w:szCs w:val="21"/>
              </w:rPr>
              <w:t>本期末比上</w:t>
            </w:r>
          </w:p>
          <w:p>
            <w:pPr>
              <w:pStyle w:val="TableParagraph"/>
              <w:spacing w:line="272" w:lineRule="exact" w:before="27"/>
              <w:ind w:left="311" w:right="153" w:hanging="159"/>
              <w:jc w:val="left"/>
              <w:rPr>
                <w:rFonts w:ascii="宋体" w:hAnsi="宋体" w:cs="宋体" w:eastAsia="宋体" w:hint="default"/>
                <w:sz w:val="21"/>
                <w:szCs w:val="21"/>
              </w:rPr>
            </w:pPr>
            <w:r>
              <w:rPr>
                <w:rFonts w:ascii="宋体" w:hAnsi="宋体" w:cs="宋体" w:eastAsia="宋体" w:hint="default"/>
                <w:sz w:val="21"/>
                <w:szCs w:val="21"/>
              </w:rPr>
              <w:t>年同期末增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z w:val="21"/>
                <w:szCs w:val="21"/>
              </w:rPr>
              <w:t>年末</w:t>
            </w:r>
          </w:p>
        </w:tc>
      </w:tr>
      <w:tr>
        <w:trPr>
          <w:trHeight w:val="55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归属于上市公司</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股东的净资产</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w w:val="95"/>
                <w:sz w:val="20"/>
              </w:rPr>
              <w:t>2,998,862,609.54</w:t>
            </w:r>
            <w:r>
              <w:rPr>
                <w:rFonts w:ascii="宋体"/>
                <w:sz w:val="20"/>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w w:val="95"/>
                <w:sz w:val="20"/>
              </w:rPr>
              <w:t>2,446,504,734.55</w:t>
            </w:r>
            <w:r>
              <w:rPr>
                <w:rFonts w:ascii="宋体"/>
                <w:sz w:val="20"/>
              </w:rPr>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3"/>
              <w:jc w:val="right"/>
              <w:rPr>
                <w:rFonts w:ascii="宋体" w:hAnsi="宋体" w:cs="宋体" w:eastAsia="宋体" w:hint="default"/>
                <w:sz w:val="20"/>
                <w:szCs w:val="20"/>
              </w:rPr>
            </w:pPr>
            <w:r>
              <w:rPr>
                <w:rFonts w:ascii="宋体"/>
                <w:w w:val="95"/>
                <w:sz w:val="20"/>
              </w:rPr>
              <w:t>22.58</w:t>
            </w:r>
            <w:r>
              <w:rPr>
                <w:rFonts w:ascii="宋体"/>
                <w:sz w:val="20"/>
              </w:rPr>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w w:val="95"/>
                <w:sz w:val="20"/>
              </w:rPr>
              <w:t>1,381,271,980.42</w:t>
            </w:r>
            <w:r>
              <w:rPr>
                <w:rFonts w:ascii="宋体"/>
                <w:sz w:val="20"/>
              </w:rPr>
            </w:r>
          </w:p>
        </w:tc>
      </w:tr>
      <w:tr>
        <w:trPr>
          <w:trHeight w:val="295"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w w:val="95"/>
                <w:sz w:val="20"/>
              </w:rPr>
              <w:t>8,680,048,642.34</w:t>
            </w:r>
            <w:r>
              <w:rPr>
                <w:rFonts w:ascii="宋体"/>
                <w:sz w:val="20"/>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w w:val="95"/>
                <w:sz w:val="20"/>
              </w:rPr>
              <w:t>6,640,965,598.37</w:t>
            </w:r>
            <w:r>
              <w:rPr>
                <w:rFonts w:ascii="宋体"/>
                <w:sz w:val="20"/>
              </w:rPr>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3"/>
              <w:jc w:val="right"/>
              <w:rPr>
                <w:rFonts w:ascii="宋体" w:hAnsi="宋体" w:cs="宋体" w:eastAsia="宋体" w:hint="default"/>
                <w:sz w:val="20"/>
                <w:szCs w:val="20"/>
              </w:rPr>
            </w:pPr>
            <w:r>
              <w:rPr>
                <w:rFonts w:ascii="宋体"/>
                <w:w w:val="95"/>
                <w:sz w:val="20"/>
              </w:rPr>
              <w:t>30.70</w:t>
            </w:r>
            <w:r>
              <w:rPr>
                <w:rFonts w:ascii="宋体"/>
                <w:sz w:val="20"/>
              </w:rPr>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w w:val="95"/>
                <w:sz w:val="20"/>
              </w:rPr>
              <w:t>5,706,247,675.29</w:t>
            </w:r>
            <w:r>
              <w:rPr>
                <w:rFonts w:ascii="宋体"/>
                <w:sz w:val="20"/>
              </w:rPr>
            </w:r>
          </w:p>
        </w:tc>
      </w:tr>
    </w:tbl>
    <w:p>
      <w:pPr>
        <w:spacing w:line="240" w:lineRule="auto" w:before="12"/>
        <w:rPr>
          <w:rFonts w:ascii="宋体" w:hAnsi="宋体" w:cs="宋体" w:eastAsia="宋体" w:hint="default"/>
          <w:sz w:val="19"/>
          <w:szCs w:val="19"/>
        </w:rPr>
      </w:pPr>
    </w:p>
    <w:p>
      <w:pPr>
        <w:pStyle w:val="Heading2"/>
        <w:tabs>
          <w:tab w:pos="1057" w:val="left" w:leader="none"/>
        </w:tabs>
        <w:spacing w:line="240" w:lineRule="auto" w:before="36"/>
        <w:ind w:right="2497"/>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主要财务指标</w:t>
      </w:r>
      <w:r>
        <w:rPr>
          <w:b w:val="0"/>
          <w:bCs w:val="0"/>
        </w:rPr>
      </w:r>
    </w:p>
    <w:p>
      <w:pPr>
        <w:spacing w:line="240" w:lineRule="auto" w:before="2"/>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3032"/>
        <w:gridCol w:w="1414"/>
        <w:gridCol w:w="1529"/>
        <w:gridCol w:w="1539"/>
        <w:gridCol w:w="1536"/>
      </w:tblGrid>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80" w:right="0"/>
              <w:jc w:val="left"/>
              <w:rPr>
                <w:rFonts w:ascii="宋体" w:hAnsi="宋体" w:cs="宋体" w:eastAsia="宋体" w:hint="default"/>
                <w:sz w:val="21"/>
                <w:szCs w:val="21"/>
              </w:rPr>
            </w:pPr>
            <w:r>
              <w:rPr>
                <w:rFonts w:ascii="宋体" w:hAnsi="宋体" w:cs="宋体" w:eastAsia="宋体" w:hint="default"/>
                <w:sz w:val="21"/>
                <w:szCs w:val="21"/>
              </w:rPr>
              <w:t>主要财务指标</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4"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42"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z w:val="21"/>
                <w:szCs w:val="21"/>
              </w:rPr>
              <w:t>年</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本期比上年同</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期增减</w:t>
            </w:r>
            <w:r>
              <w:rPr>
                <w:rFonts w:ascii="宋体" w:hAnsi="宋体" w:cs="宋体" w:eastAsia="宋体" w:hint="default"/>
                <w:sz w:val="21"/>
                <w:szCs w:val="21"/>
              </w:rPr>
              <w:t>(%)</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46"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z w:val="21"/>
                <w:szCs w:val="21"/>
              </w:rPr>
              <w:t>年</w:t>
            </w:r>
          </w:p>
        </w:tc>
      </w:tr>
      <w:tr>
        <w:trPr>
          <w:trHeight w:val="283"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0.52</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0.50</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4.00%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0.46</w:t>
            </w:r>
          </w:p>
        </w:tc>
      </w:tr>
      <w:tr>
        <w:trPr>
          <w:trHeight w:val="281"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0.52</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0.50</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4.00%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0.46</w:t>
            </w:r>
          </w:p>
        </w:tc>
      </w:tr>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扣除非经常性损益后的基本每</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股收益（元／股）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0.46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0.45</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2.22%</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0.45</w:t>
            </w:r>
          </w:p>
        </w:tc>
      </w:tr>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20.29</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22.24</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5"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z w:val="21"/>
                <w:szCs w:val="21"/>
              </w:rPr>
              <w:t>1.95</w:t>
            </w:r>
            <w:r>
              <w:rPr>
                <w:rFonts w:ascii="宋体" w:hAnsi="宋体" w:cs="宋体" w:eastAsia="宋体" w:hint="default"/>
                <w:sz w:val="21"/>
                <w:szCs w:val="21"/>
              </w:rPr>
              <w:t>个百</w:t>
            </w:r>
          </w:p>
          <w:p>
            <w:pPr>
              <w:pStyle w:val="TableParagraph"/>
              <w:spacing w:line="274" w:lineRule="exact"/>
              <w:ind w:left="1005" w:right="0"/>
              <w:jc w:val="left"/>
              <w:rPr>
                <w:rFonts w:ascii="宋体" w:hAnsi="宋体" w:cs="宋体" w:eastAsia="宋体" w:hint="default"/>
                <w:sz w:val="21"/>
                <w:szCs w:val="21"/>
              </w:rPr>
            </w:pPr>
            <w:r>
              <w:rPr>
                <w:rFonts w:ascii="宋体" w:hAnsi="宋体" w:cs="宋体" w:eastAsia="宋体" w:hint="default"/>
                <w:sz w:val="21"/>
                <w:szCs w:val="21"/>
              </w:rPr>
              <w:t>分点</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21.29</w:t>
            </w:r>
          </w:p>
        </w:tc>
      </w:tr>
      <w:tr>
        <w:trPr>
          <w:trHeight w:val="557"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扣除非经常性损益后的加权平</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17.92</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19.80</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5"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z w:val="21"/>
                <w:szCs w:val="21"/>
              </w:rPr>
              <w:t>1.88</w:t>
            </w:r>
            <w:r>
              <w:rPr>
                <w:rFonts w:ascii="宋体" w:hAnsi="宋体" w:cs="宋体" w:eastAsia="宋体" w:hint="default"/>
                <w:sz w:val="21"/>
                <w:szCs w:val="21"/>
              </w:rPr>
              <w:t>个百</w:t>
            </w:r>
          </w:p>
          <w:p>
            <w:pPr>
              <w:pStyle w:val="TableParagraph"/>
              <w:spacing w:line="273" w:lineRule="exact"/>
              <w:ind w:left="1005" w:right="0"/>
              <w:jc w:val="left"/>
              <w:rPr>
                <w:rFonts w:ascii="宋体" w:hAnsi="宋体" w:cs="宋体" w:eastAsia="宋体" w:hint="default"/>
                <w:sz w:val="21"/>
                <w:szCs w:val="21"/>
              </w:rPr>
            </w:pPr>
            <w:r>
              <w:rPr>
                <w:rFonts w:ascii="宋体" w:hAnsi="宋体" w:cs="宋体" w:eastAsia="宋体" w:hint="default"/>
                <w:sz w:val="21"/>
                <w:szCs w:val="21"/>
              </w:rPr>
              <w:t>分点</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21.02</w:t>
            </w:r>
          </w:p>
        </w:tc>
      </w:tr>
    </w:tbl>
    <w:p>
      <w:pPr>
        <w:spacing w:line="240" w:lineRule="auto" w:before="5"/>
        <w:rPr>
          <w:rFonts w:ascii="宋体" w:hAnsi="宋体" w:cs="宋体" w:eastAsia="宋体" w:hint="default"/>
          <w:b/>
          <w:bCs/>
          <w:sz w:val="15"/>
          <w:szCs w:val="15"/>
        </w:rPr>
      </w:pPr>
    </w:p>
    <w:p>
      <w:pPr>
        <w:pStyle w:val="BodyText"/>
        <w:spacing w:line="274" w:lineRule="exact" w:before="36"/>
        <w:ind w:right="2497"/>
        <w:jc w:val="left"/>
      </w:pPr>
      <w:r>
        <w:rPr/>
        <w:t>报告期末公司前三年主要会计数据和财务指标的说明</w:t>
      </w:r>
    </w:p>
    <w:p>
      <w:pPr>
        <w:pStyle w:val="BodyText"/>
        <w:spacing w:line="274" w:lineRule="exact"/>
        <w:ind w:right="249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497"/>
        <w:jc w:val="left"/>
        <w:rPr>
          <w:b w:val="0"/>
          <w:bCs w:val="0"/>
        </w:rPr>
      </w:pPr>
      <w:r>
        <w:rPr/>
        <w:t>八、</w:t>
      </w:r>
      <w:r>
        <w:rPr>
          <w:spacing w:val="-32"/>
        </w:rPr>
        <w:t> </w:t>
      </w:r>
      <w:r>
        <w:rPr/>
        <w:t>境内外会计准则下会计数据差异</w:t>
      </w:r>
      <w:r>
        <w:rPr>
          <w:b w:val="0"/>
          <w:bCs w:val="0"/>
        </w:rPr>
      </w:r>
    </w:p>
    <w:p>
      <w:pPr>
        <w:pStyle w:val="Heading2"/>
        <w:spacing w:line="274" w:lineRule="exact" w:before="82"/>
        <w:ind w:left="638" w:right="227" w:hanging="420"/>
        <w:jc w:val="left"/>
        <w:rPr>
          <w:b w:val="0"/>
          <w:bCs w:val="0"/>
        </w:rPr>
      </w:pPr>
      <w:r>
        <w:rPr>
          <w:rFonts w:ascii="Calibri" w:hAnsi="Calibri" w:cs="Calibri" w:eastAsia="Calibri" w:hint="default"/>
        </w:rPr>
        <w:t>(</w:t>
      </w:r>
      <w:r>
        <w:rPr/>
        <w:t>一</w:t>
      </w:r>
      <w:r>
        <w:rPr>
          <w:rFonts w:ascii="Calibri" w:hAnsi="Calibri" w:cs="Calibri" w:eastAsia="Calibri" w:hint="default"/>
        </w:rPr>
        <w:t>) </w:t>
      </w:r>
      <w:r>
        <w:rPr>
          <w:spacing w:val="2"/>
        </w:rPr>
        <w:t>同时按照国际会计准则与按中国会计准则披露的财务报告中净利润和归属于上市公司股东</w:t>
      </w:r>
      <w:r>
        <w:rPr>
          <w:spacing w:val="-85"/>
        </w:rPr>
        <w:t> </w:t>
      </w:r>
      <w:r>
        <w:rPr>
          <w:spacing w:val="-85"/>
        </w:rPr>
      </w:r>
      <w:r>
        <w:rPr/>
        <w:t>的净资产差异情况</w:t>
      </w:r>
      <w:r>
        <w:rPr>
          <w:b w:val="0"/>
          <w:bCs w:val="0"/>
        </w:rPr>
      </w:r>
    </w:p>
    <w:p>
      <w:pPr>
        <w:pStyle w:val="BodyText"/>
        <w:spacing w:line="240" w:lineRule="auto" w:before="31"/>
        <w:ind w:right="2497"/>
        <w:jc w:val="left"/>
      </w:pPr>
      <w:r>
        <w:rPr/>
        <w:t>□适用</w:t>
      </w:r>
      <w:r>
        <w:rPr>
          <w:spacing w:val="-1"/>
        </w:rPr>
        <w:t> </w:t>
      </w:r>
      <w:r>
        <w:rPr/>
        <w:t>√不适用</w:t>
      </w:r>
    </w:p>
    <w:p>
      <w:pPr>
        <w:pStyle w:val="Heading2"/>
        <w:spacing w:line="272" w:lineRule="exact" w:before="86"/>
        <w:ind w:left="585" w:right="227" w:hanging="368"/>
        <w:jc w:val="left"/>
        <w:rPr>
          <w:b w:val="0"/>
          <w:bCs w:val="0"/>
        </w:rPr>
      </w:pPr>
      <w:r>
        <w:rPr>
          <w:rFonts w:ascii="Calibri" w:hAnsi="Calibri" w:cs="Calibri" w:eastAsia="Calibri" w:hint="default"/>
        </w:rPr>
        <w:t>(</w:t>
      </w:r>
      <w:r>
        <w:rPr/>
        <w:t>二</w:t>
      </w:r>
      <w:r>
        <w:rPr>
          <w:rFonts w:ascii="Calibri" w:hAnsi="Calibri" w:cs="Calibri" w:eastAsia="Calibri" w:hint="default"/>
        </w:rPr>
        <w:t>) </w:t>
      </w:r>
      <w:r>
        <w:rPr/>
        <w:t>同时按照境外会计准则与按中国会计准则披露的财务报告中净利润和归属于上市公司股东的</w:t>
      </w:r>
      <w:r>
        <w:rPr>
          <w:spacing w:val="-98"/>
        </w:rPr>
        <w:t> </w:t>
      </w:r>
      <w:r>
        <w:rPr>
          <w:spacing w:val="-98"/>
        </w:rPr>
      </w:r>
      <w:r>
        <w:rPr/>
        <w:t>净资产差异情况</w:t>
      </w:r>
      <w:r>
        <w:rPr>
          <w:b w:val="0"/>
          <w:bCs w:val="0"/>
        </w:rPr>
      </w:r>
    </w:p>
    <w:p>
      <w:pPr>
        <w:pStyle w:val="BodyText"/>
        <w:spacing w:line="240" w:lineRule="auto" w:before="34"/>
        <w:ind w:right="2497"/>
        <w:jc w:val="left"/>
      </w:pPr>
      <w:r>
        <w:rPr/>
        <w:t>□适用</w:t>
      </w:r>
      <w:r>
        <w:rPr>
          <w:spacing w:val="-1"/>
        </w:rPr>
        <w:t> </w:t>
      </w:r>
      <w:r>
        <w:rPr/>
        <w:t>√不适用</w:t>
      </w:r>
    </w:p>
    <w:p>
      <w:pPr>
        <w:pStyle w:val="Heading2"/>
        <w:spacing w:line="240" w:lineRule="auto" w:before="56"/>
        <w:ind w:right="2497"/>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境内外会计准则差异的说明：</w:t>
      </w:r>
      <w:r>
        <w:rPr>
          <w:b w:val="0"/>
          <w:bCs w:val="0"/>
        </w:rPr>
      </w:r>
    </w:p>
    <w:p>
      <w:pPr>
        <w:pStyle w:val="BodyText"/>
        <w:spacing w:line="240" w:lineRule="auto" w:before="30"/>
        <w:ind w:right="2497"/>
        <w:jc w:val="left"/>
      </w:pPr>
      <w:r>
        <w:rPr/>
        <w:t>□适用</w:t>
      </w:r>
      <w:r>
        <w:rPr>
          <w:spacing w:val="-1"/>
        </w:rPr>
        <w:t> </w:t>
      </w:r>
      <w:r>
        <w:rPr/>
        <w:t>√不适用</w:t>
      </w:r>
    </w:p>
    <w:p>
      <w:pPr>
        <w:spacing w:after="0" w:line="240" w:lineRule="auto"/>
        <w:jc w:val="left"/>
        <w:sectPr>
          <w:type w:val="continuous"/>
          <w:pgSz w:w="11910" w:h="16840"/>
          <w:pgMar w:top="1120" w:bottom="1380" w:left="1580" w:right="1040"/>
        </w:sectPr>
      </w:pPr>
    </w:p>
    <w:p>
      <w:pPr>
        <w:spacing w:line="240" w:lineRule="auto" w:before="4"/>
        <w:rPr>
          <w:rFonts w:ascii="宋体" w:hAnsi="宋体" w:cs="宋体" w:eastAsia="宋体" w:hint="default"/>
          <w:sz w:val="25"/>
          <w:szCs w:val="25"/>
        </w:rPr>
      </w:pPr>
    </w:p>
    <w:p>
      <w:pPr>
        <w:pStyle w:val="Heading2"/>
        <w:spacing w:line="240" w:lineRule="auto" w:before="36"/>
        <w:ind w:right="2497"/>
        <w:jc w:val="left"/>
        <w:rPr>
          <w:b w:val="0"/>
          <w:bCs w:val="0"/>
        </w:rPr>
      </w:pPr>
      <w:r>
        <w:rPr/>
        <w:t>九、 </w:t>
      </w:r>
      <w:r>
        <w:rPr>
          <w:rFonts w:ascii="Arial" w:hAnsi="Arial" w:cs="Arial" w:eastAsia="Arial" w:hint="default"/>
        </w:rPr>
        <w:t>2017</w:t>
      </w:r>
      <w:r>
        <w:rPr>
          <w:rFonts w:ascii="Arial" w:hAnsi="Arial" w:cs="Arial" w:eastAsia="Arial" w:hint="default"/>
          <w:spacing w:val="-39"/>
        </w:rPr>
        <w:t> </w:t>
      </w:r>
      <w:r>
        <w:rPr/>
        <w:t>年分季度主要财务数据</w:t>
      </w:r>
      <w:r>
        <w:rPr>
          <w:b w:val="0"/>
          <w:bCs w:val="0"/>
        </w:rPr>
      </w:r>
    </w:p>
    <w:p>
      <w:pPr>
        <w:pStyle w:val="BodyText"/>
        <w:tabs>
          <w:tab w:pos="1051" w:val="left" w:leader="none"/>
        </w:tabs>
        <w:spacing w:line="240" w:lineRule="auto" w:before="44"/>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464"/>
        <w:gridCol w:w="1897"/>
        <w:gridCol w:w="1896"/>
        <w:gridCol w:w="1896"/>
        <w:gridCol w:w="1897"/>
      </w:tblGrid>
      <w:tr>
        <w:trPr>
          <w:trHeight w:val="554" w:hRule="exact"/>
        </w:trPr>
        <w:tc>
          <w:tcPr>
            <w:tcW w:w="1464"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第一季度</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1-3</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第二季度</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4-6</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第三季度</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7-9</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第四季度</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10-12</w:t>
            </w:r>
            <w:r>
              <w:rPr>
                <w:rFonts w:ascii="宋体" w:hAnsi="宋体" w:cs="宋体" w:eastAsia="宋体" w:hint="default"/>
                <w:spacing w:val="-52"/>
                <w:sz w:val="21"/>
                <w:szCs w:val="21"/>
              </w:rPr>
              <w:t> </w:t>
            </w:r>
            <w:r>
              <w:rPr>
                <w:rFonts w:ascii="宋体" w:hAnsi="宋体" w:cs="宋体" w:eastAsia="宋体" w:hint="default"/>
                <w:sz w:val="21"/>
                <w:szCs w:val="21"/>
              </w:rPr>
              <w:t>月份）</w:t>
            </w:r>
          </w:p>
        </w:tc>
      </w:tr>
      <w:tr>
        <w:trPr>
          <w:trHeight w:val="283"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1,161,735,553.72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1,404,980,776.10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1,906,362,041.95</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2,287,543,484.05</w:t>
            </w:r>
          </w:p>
        </w:tc>
      </w:tr>
      <w:tr>
        <w:trPr>
          <w:trHeight w:val="828"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w:t>
            </w:r>
          </w:p>
          <w:p>
            <w:pPr>
              <w:pStyle w:val="TableParagraph"/>
              <w:spacing w:line="272" w:lineRule="exact" w:before="27"/>
              <w:ind w:left="103" w:right="295"/>
              <w:jc w:val="left"/>
              <w:rPr>
                <w:rFonts w:ascii="宋体" w:hAnsi="宋体" w:cs="宋体" w:eastAsia="宋体" w:hint="default"/>
                <w:sz w:val="21"/>
                <w:szCs w:val="21"/>
              </w:rPr>
            </w:pPr>
            <w:r>
              <w:rPr>
                <w:rFonts w:ascii="宋体" w:hAnsi="宋体" w:cs="宋体" w:eastAsia="宋体" w:hint="default"/>
                <w:sz w:val="21"/>
                <w:szCs w:val="21"/>
              </w:rPr>
              <w:t>公司股东的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净利润</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121,113,166.88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107,322,823.48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137,126,369.86</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186,803,747.40</w:t>
            </w:r>
          </w:p>
        </w:tc>
      </w:tr>
      <w:tr>
        <w:trPr>
          <w:trHeight w:val="1371"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归属于上市</w:t>
            </w:r>
          </w:p>
          <w:p>
            <w:pPr>
              <w:pStyle w:val="TableParagraph"/>
              <w:spacing w:line="237" w:lineRule="auto"/>
              <w:ind w:left="103" w:right="295"/>
              <w:jc w:val="both"/>
              <w:rPr>
                <w:rFonts w:ascii="宋体" w:hAnsi="宋体" w:cs="宋体" w:eastAsia="宋体" w:hint="default"/>
                <w:sz w:val="21"/>
                <w:szCs w:val="21"/>
              </w:rPr>
            </w:pPr>
            <w:r>
              <w:rPr>
                <w:rFonts w:ascii="宋体" w:hAnsi="宋体" w:cs="宋体" w:eastAsia="宋体" w:hint="default"/>
                <w:sz w:val="21"/>
                <w:szCs w:val="21"/>
              </w:rPr>
              <w:t>公司股东的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扣除非经常</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性损益后的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净利润</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137,907,202.62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84,365,698.83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101,658,827.49</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163,927,957.68</w:t>
            </w:r>
          </w:p>
        </w:tc>
      </w:tr>
      <w:tr>
        <w:trPr>
          <w:trHeight w:val="828"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w:t>
            </w:r>
          </w:p>
          <w:p>
            <w:pPr>
              <w:pStyle w:val="TableParagraph"/>
              <w:spacing w:line="272" w:lineRule="exact" w:before="27"/>
              <w:ind w:left="103" w:right="295"/>
              <w:jc w:val="left"/>
              <w:rPr>
                <w:rFonts w:ascii="宋体" w:hAnsi="宋体" w:cs="宋体" w:eastAsia="宋体" w:hint="default"/>
                <w:sz w:val="21"/>
                <w:szCs w:val="21"/>
              </w:rPr>
            </w:pPr>
            <w:r>
              <w:rPr>
                <w:rFonts w:ascii="宋体" w:hAnsi="宋体" w:cs="宋体" w:eastAsia="宋体" w:hint="default"/>
                <w:sz w:val="21"/>
                <w:szCs w:val="21"/>
              </w:rPr>
              <w:t>生的现金流</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量净额</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234,234,313.47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106,854,438.99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172,449,672.79</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338,451,876.77</w:t>
            </w:r>
          </w:p>
        </w:tc>
      </w:tr>
    </w:tbl>
    <w:p>
      <w:pPr>
        <w:spacing w:line="240" w:lineRule="auto" w:before="7"/>
        <w:rPr>
          <w:rFonts w:ascii="宋体" w:hAnsi="宋体" w:cs="宋体" w:eastAsia="宋体" w:hint="default"/>
          <w:sz w:val="15"/>
          <w:szCs w:val="15"/>
        </w:rPr>
      </w:pPr>
    </w:p>
    <w:p>
      <w:pPr>
        <w:pStyle w:val="BodyText"/>
        <w:spacing w:line="273" w:lineRule="exact" w:before="36"/>
        <w:ind w:right="2497"/>
        <w:jc w:val="left"/>
      </w:pPr>
      <w:r>
        <w:rPr/>
        <w:t>季度数据与已披露定期报告数据差异说明</w:t>
      </w:r>
    </w:p>
    <w:p>
      <w:pPr>
        <w:pStyle w:val="BodyText"/>
        <w:spacing w:line="273" w:lineRule="exact"/>
        <w:ind w:right="2497"/>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0" w:footer="1195" w:top="1120" w:bottom="1380" w:left="1580" w:right="1040"/>
        </w:sectPr>
      </w:pPr>
    </w:p>
    <w:p>
      <w:pPr>
        <w:pStyle w:val="Heading2"/>
        <w:spacing w:line="240" w:lineRule="auto" w:before="36"/>
        <w:ind w:right="-18"/>
        <w:jc w:val="left"/>
        <w:rPr>
          <w:b w:val="0"/>
          <w:bCs w:val="0"/>
        </w:rPr>
      </w:pPr>
      <w:r>
        <w:rPr/>
        <w:t>十、</w:t>
      </w:r>
      <w:r>
        <w:rPr>
          <w:spacing w:val="-31"/>
        </w:rPr>
        <w:t> </w:t>
      </w:r>
      <w:r>
        <w:rPr/>
        <w:t>非经常性损益项目和金额</w:t>
      </w:r>
      <w:r>
        <w:rPr>
          <w:b w:val="0"/>
          <w:bCs w:val="0"/>
        </w:rPr>
      </w:r>
    </w:p>
    <w:p>
      <w:pPr>
        <w:pStyle w:val="BodyText"/>
        <w:spacing w:line="240" w:lineRule="auto" w:before="56"/>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64"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3036" w:space="3697"/>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46"/>
        <w:gridCol w:w="1685"/>
        <w:gridCol w:w="946"/>
        <w:gridCol w:w="1688"/>
        <w:gridCol w:w="1685"/>
      </w:tblGrid>
      <w:tr>
        <w:trPr>
          <w:trHeight w:val="828"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676"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年金额</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附注</w:t>
            </w:r>
          </w:p>
          <w:p>
            <w:pPr>
              <w:pStyle w:val="TableParagraph"/>
              <w:spacing w:line="272" w:lineRule="exact" w:before="26"/>
              <w:ind w:left="151" w:right="149"/>
              <w:jc w:val="center"/>
              <w:rPr>
                <w:rFonts w:ascii="宋体" w:hAnsi="宋体" w:cs="宋体" w:eastAsia="宋体" w:hint="default"/>
                <w:sz w:val="21"/>
                <w:szCs w:val="21"/>
              </w:rPr>
            </w:pPr>
            <w:r>
              <w:rPr>
                <w:rFonts w:ascii="宋体" w:hAnsi="宋体" w:cs="宋体" w:eastAsia="宋体" w:hint="default"/>
                <w:sz w:val="21"/>
                <w:szCs w:val="21"/>
              </w:rPr>
              <w:t>（如适</w:t>
            </w:r>
            <w:r>
              <w:rPr>
                <w:rFonts w:ascii="宋体" w:hAnsi="宋体" w:cs="宋体" w:eastAsia="宋体" w:hint="default"/>
                <w:w w:val="100"/>
                <w:sz w:val="21"/>
                <w:szCs w:val="21"/>
              </w:rPr>
              <w:t> </w:t>
            </w:r>
            <w:r>
              <w:rPr>
                <w:rFonts w:ascii="宋体" w:hAnsi="宋体" w:cs="宋体" w:eastAsia="宋体" w:hint="default"/>
                <w:sz w:val="21"/>
                <w:szCs w:val="21"/>
              </w:rPr>
              <w:t>用）</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年金额</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87"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年金额</w:t>
            </w:r>
          </w:p>
        </w:tc>
      </w:tr>
      <w:tr>
        <w:trPr>
          <w:trHeight w:val="283"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-39,383,950.57</w:t>
            </w:r>
          </w:p>
        </w:tc>
        <w:tc>
          <w:tcPr>
            <w:tcW w:w="94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-2,945,247.29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-47,200,945.72</w:t>
            </w:r>
          </w:p>
        </w:tc>
      </w:tr>
      <w:tr>
        <w:trPr>
          <w:trHeight w:val="554"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5"/>
              <w:jc w:val="left"/>
              <w:rPr>
                <w:rFonts w:ascii="宋体" w:hAnsi="宋体" w:cs="宋体" w:eastAsia="宋体" w:hint="default"/>
                <w:sz w:val="21"/>
                <w:szCs w:val="21"/>
              </w:rPr>
            </w:pPr>
            <w:r>
              <w:rPr>
                <w:rFonts w:ascii="宋体" w:hAnsi="宋体" w:cs="宋体" w:eastAsia="宋体" w:hint="default"/>
                <w:spacing w:val="-2"/>
                <w:sz w:val="21"/>
                <w:szCs w:val="21"/>
              </w:rPr>
              <w:t>越权审批，或无正式批准文件，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或偶发性的税收返还、减免</w:t>
            </w:r>
          </w:p>
        </w:tc>
        <w:tc>
          <w:tcPr>
            <w:tcW w:w="1685"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1370"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计入当期损益的政府补助，但</w:t>
            </w:r>
          </w:p>
          <w:p>
            <w:pPr>
              <w:pStyle w:val="TableParagraph"/>
              <w:spacing w:line="237" w:lineRule="auto"/>
              <w:ind w:left="103" w:right="197"/>
              <w:jc w:val="left"/>
              <w:rPr>
                <w:rFonts w:ascii="宋体" w:hAnsi="宋体" w:cs="宋体" w:eastAsia="宋体" w:hint="default"/>
                <w:sz w:val="21"/>
                <w:szCs w:val="21"/>
              </w:rPr>
            </w:pPr>
            <w:r>
              <w:rPr>
                <w:rFonts w:ascii="宋体" w:hAnsi="宋体" w:cs="宋体" w:eastAsia="宋体" w:hint="default"/>
                <w:sz w:val="21"/>
                <w:szCs w:val="21"/>
              </w:rPr>
              <w:t>与公司正常经营业务密切相</w:t>
            </w:r>
            <w:r>
              <w:rPr>
                <w:rFonts w:ascii="宋体" w:hAnsi="宋体" w:cs="宋体" w:eastAsia="宋体" w:hint="default"/>
                <w:w w:val="100"/>
                <w:sz w:val="21"/>
                <w:szCs w:val="21"/>
              </w:rPr>
              <w:t> </w:t>
            </w:r>
            <w:r>
              <w:rPr>
                <w:rFonts w:ascii="宋体" w:hAnsi="宋体" w:cs="宋体" w:eastAsia="宋体" w:hint="default"/>
                <w:spacing w:val="-2"/>
                <w:sz w:val="21"/>
                <w:szCs w:val="21"/>
              </w:rPr>
              <w:t>关，符合国家政策规定、按照</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一定标准定额或定量持续享受</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的政府补助除外</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124,450,716.20</w:t>
            </w:r>
          </w:p>
        </w:tc>
        <w:tc>
          <w:tcPr>
            <w:tcW w:w="94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64,133,718.30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60,891,610.20</w:t>
            </w:r>
          </w:p>
        </w:tc>
      </w:tr>
      <w:tr>
        <w:trPr>
          <w:trHeight w:val="555"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收取的资金占用费</w:t>
            </w:r>
          </w:p>
        </w:tc>
        <w:tc>
          <w:tcPr>
            <w:tcW w:w="1685"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企业取得子公司、联营企业及</w:t>
            </w:r>
          </w:p>
          <w:p>
            <w:pPr>
              <w:pStyle w:val="TableParagraph"/>
              <w:spacing w:line="237" w:lineRule="auto"/>
              <w:ind w:left="103" w:right="197"/>
              <w:jc w:val="both"/>
              <w:rPr>
                <w:rFonts w:ascii="宋体" w:hAnsi="宋体" w:cs="宋体" w:eastAsia="宋体" w:hint="default"/>
                <w:sz w:val="21"/>
                <w:szCs w:val="21"/>
              </w:rPr>
            </w:pPr>
            <w:r>
              <w:rPr>
                <w:rFonts w:ascii="宋体" w:hAnsi="宋体" w:cs="宋体" w:eastAsia="宋体" w:hint="default"/>
                <w:spacing w:val="-2"/>
                <w:sz w:val="21"/>
                <w:szCs w:val="21"/>
              </w:rPr>
              <w:t>合营企业的投资成本小于取得</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投资时应享有被投资单位可辨</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认净资产公允价值产生的收益</w:t>
            </w:r>
          </w:p>
        </w:tc>
        <w:tc>
          <w:tcPr>
            <w:tcW w:w="1685"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1685"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1685"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w:t>
            </w:r>
          </w:p>
          <w:p>
            <w:pPr>
              <w:pStyle w:val="TableParagraph"/>
              <w:spacing w:line="272" w:lineRule="exact" w:before="27"/>
              <w:ind w:left="103" w:right="197"/>
              <w:jc w:val="left"/>
              <w:rPr>
                <w:rFonts w:ascii="宋体" w:hAnsi="宋体" w:cs="宋体" w:eastAsia="宋体" w:hint="default"/>
                <w:sz w:val="21"/>
                <w:szCs w:val="21"/>
              </w:rPr>
            </w:pPr>
            <w:r>
              <w:rPr>
                <w:rFonts w:ascii="宋体" w:hAnsi="宋体" w:cs="宋体" w:eastAsia="宋体" w:hint="default"/>
                <w:spacing w:val="-2"/>
                <w:sz w:val="21"/>
                <w:szCs w:val="21"/>
              </w:rPr>
              <w:t>灾害而计提的各项资产减值准</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备</w:t>
            </w:r>
          </w:p>
        </w:tc>
        <w:tc>
          <w:tcPr>
            <w:tcW w:w="1685"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685"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支出、整合费用等</w:t>
            </w:r>
          </w:p>
        </w:tc>
        <w:tc>
          <w:tcPr>
            <w:tcW w:w="1685"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046"/>
        <w:gridCol w:w="1685"/>
        <w:gridCol w:w="946"/>
        <w:gridCol w:w="1688"/>
        <w:gridCol w:w="1685"/>
      </w:tblGrid>
      <w:tr>
        <w:trPr>
          <w:trHeight w:val="557"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的超过公允价值部分的损益</w:t>
            </w:r>
          </w:p>
        </w:tc>
        <w:tc>
          <w:tcPr>
            <w:tcW w:w="1685"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w:t>
            </w:r>
          </w:p>
          <w:p>
            <w:pPr>
              <w:pStyle w:val="TableParagraph"/>
              <w:spacing w:line="240" w:lineRule="auto"/>
              <w:ind w:left="103" w:right="197"/>
              <w:jc w:val="left"/>
              <w:rPr>
                <w:rFonts w:ascii="宋体" w:hAnsi="宋体" w:cs="宋体" w:eastAsia="宋体" w:hint="default"/>
                <w:sz w:val="21"/>
                <w:szCs w:val="21"/>
              </w:rPr>
            </w:pPr>
            <w:r>
              <w:rPr>
                <w:rFonts w:ascii="宋体" w:hAnsi="宋体" w:cs="宋体" w:eastAsia="宋体" w:hint="default"/>
                <w:spacing w:val="-2"/>
                <w:sz w:val="21"/>
                <w:szCs w:val="21"/>
              </w:rPr>
              <w:t>公司期初至合并日的当期净损</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益</w:t>
            </w:r>
          </w:p>
        </w:tc>
        <w:tc>
          <w:tcPr>
            <w:tcW w:w="1685"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有事项产生的损益</w:t>
            </w:r>
          </w:p>
        </w:tc>
        <w:tc>
          <w:tcPr>
            <w:tcW w:w="1685"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1918"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w:t>
            </w:r>
          </w:p>
          <w:p>
            <w:pPr>
              <w:pStyle w:val="TableParagraph"/>
              <w:spacing w:line="237" w:lineRule="auto" w:before="2"/>
              <w:ind w:left="103" w:right="197"/>
              <w:jc w:val="both"/>
              <w:rPr>
                <w:rFonts w:ascii="宋体" w:hAnsi="宋体" w:cs="宋体" w:eastAsia="宋体" w:hint="default"/>
                <w:sz w:val="21"/>
                <w:szCs w:val="21"/>
              </w:rPr>
            </w:pPr>
            <w:r>
              <w:rPr>
                <w:rFonts w:ascii="宋体" w:hAnsi="宋体" w:cs="宋体" w:eastAsia="宋体" w:hint="default"/>
                <w:spacing w:val="-2"/>
                <w:sz w:val="21"/>
                <w:szCs w:val="21"/>
              </w:rPr>
              <w:t>有效套期保值业务外，持有交</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易性金融资产、交易性金融负</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债产生的公允价值变动损益，</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以及处置交易性金融资产、交</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易性金融负债和可供出售金融</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资产取得的投资收益</w:t>
            </w:r>
          </w:p>
        </w:tc>
        <w:tc>
          <w:tcPr>
            <w:tcW w:w="1685"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减值准备转回</w:t>
            </w:r>
          </w:p>
        </w:tc>
        <w:tc>
          <w:tcPr>
            <w:tcW w:w="1685"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685"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w:t>
            </w:r>
          </w:p>
          <w:p>
            <w:pPr>
              <w:pStyle w:val="TableParagraph"/>
              <w:spacing w:line="240" w:lineRule="auto"/>
              <w:ind w:left="103" w:right="197"/>
              <w:jc w:val="left"/>
              <w:rPr>
                <w:rFonts w:ascii="宋体" w:hAnsi="宋体" w:cs="宋体" w:eastAsia="宋体" w:hint="default"/>
                <w:sz w:val="21"/>
                <w:szCs w:val="21"/>
              </w:rPr>
            </w:pPr>
            <w:r>
              <w:rPr>
                <w:rFonts w:ascii="宋体" w:hAnsi="宋体" w:cs="宋体" w:eastAsia="宋体" w:hint="default"/>
                <w:spacing w:val="-2"/>
                <w:sz w:val="21"/>
                <w:szCs w:val="21"/>
              </w:rPr>
              <w:t>量的投资性房地产公允价值变</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动产生的损益</w:t>
            </w:r>
          </w:p>
        </w:tc>
        <w:tc>
          <w:tcPr>
            <w:tcW w:w="1685"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根据税收、会计等法律、法规</w:t>
            </w:r>
          </w:p>
          <w:p>
            <w:pPr>
              <w:pStyle w:val="TableParagraph"/>
              <w:spacing w:line="272" w:lineRule="exact" w:before="27"/>
              <w:ind w:left="103" w:right="197"/>
              <w:jc w:val="left"/>
              <w:rPr>
                <w:rFonts w:ascii="宋体" w:hAnsi="宋体" w:cs="宋体" w:eastAsia="宋体" w:hint="default"/>
                <w:sz w:val="21"/>
                <w:szCs w:val="21"/>
              </w:rPr>
            </w:pPr>
            <w:r>
              <w:rPr>
                <w:rFonts w:ascii="宋体" w:hAnsi="宋体" w:cs="宋体" w:eastAsia="宋体" w:hint="default"/>
                <w:spacing w:val="-2"/>
                <w:sz w:val="21"/>
                <w:szCs w:val="21"/>
              </w:rPr>
              <w:t>的要求对当期损益进行一次性</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调整对当期损益的影响</w:t>
            </w:r>
          </w:p>
        </w:tc>
        <w:tc>
          <w:tcPr>
            <w:tcW w:w="1685"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1685"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收入和支出</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177,524.87</w:t>
            </w:r>
          </w:p>
        </w:tc>
        <w:tc>
          <w:tcPr>
            <w:tcW w:w="94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-3,584,875.70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-7,396,332.09</w:t>
            </w:r>
          </w:p>
        </w:tc>
      </w:tr>
      <w:tr>
        <w:trPr>
          <w:trHeight w:val="557"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损益项目</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764,270.83</w:t>
            </w:r>
          </w:p>
        </w:tc>
        <w:tc>
          <w:tcPr>
            <w:tcW w:w="94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974,925.63</w:t>
            </w: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685"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-21,502,140.33</w:t>
            </w:r>
          </w:p>
        </w:tc>
        <w:tc>
          <w:tcPr>
            <w:tcW w:w="94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-14,644,630.24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-2,975,254.79</w:t>
            </w:r>
          </w:p>
        </w:tc>
      </w:tr>
      <w:tr>
        <w:trPr>
          <w:trHeight w:val="283"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64,506,421.00</w:t>
            </w:r>
          </w:p>
        </w:tc>
        <w:tc>
          <w:tcPr>
            <w:tcW w:w="94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43,933,890.70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3,319,077.60</w:t>
            </w:r>
          </w:p>
        </w:tc>
      </w:tr>
    </w:tbl>
    <w:p>
      <w:pPr>
        <w:spacing w:line="240" w:lineRule="auto" w:before="12"/>
        <w:rPr>
          <w:rFonts w:ascii="宋体" w:hAnsi="宋体" w:cs="宋体" w:eastAsia="宋体" w:hint="default"/>
          <w:sz w:val="19"/>
          <w:szCs w:val="19"/>
        </w:rPr>
      </w:pPr>
    </w:p>
    <w:p>
      <w:pPr>
        <w:pStyle w:val="Heading2"/>
        <w:tabs>
          <w:tab w:pos="1057" w:val="left" w:leader="none"/>
        </w:tabs>
        <w:spacing w:line="240" w:lineRule="auto" w:before="36"/>
        <w:ind w:right="2497"/>
        <w:jc w:val="left"/>
        <w:rPr>
          <w:b w:val="0"/>
          <w:bCs w:val="0"/>
        </w:rPr>
      </w:pPr>
      <w:r>
        <w:rPr/>
        <w:t>十一、</w:t>
        <w:tab/>
        <w:t>采用公允价值计量的项目</w:t>
      </w:r>
      <w:r>
        <w:rPr>
          <w:b w:val="0"/>
          <w:bCs w:val="0"/>
        </w:rPr>
      </w:r>
    </w:p>
    <w:p>
      <w:pPr>
        <w:tabs>
          <w:tab w:pos="1057" w:val="left" w:leader="none"/>
        </w:tabs>
        <w:spacing w:line="290" w:lineRule="auto" w:before="58"/>
        <w:ind w:left="218" w:right="748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十二、</w:t>
        <w:tab/>
        <w:t>其他</w:t>
      </w:r>
      <w:r>
        <w:rPr>
          <w:rFonts w:ascii="宋体" w:hAnsi="宋体" w:cs="宋体" w:eastAsia="宋体" w:hint="default"/>
          <w:sz w:val="21"/>
          <w:szCs w:val="21"/>
        </w:rPr>
      </w:r>
    </w:p>
    <w:p>
      <w:pPr>
        <w:pStyle w:val="BodyText"/>
        <w:spacing w:line="240" w:lineRule="auto" w:before="15"/>
        <w:ind w:right="2497"/>
        <w:jc w:val="left"/>
      </w:pPr>
      <w:r>
        <w:rPr/>
        <w:t>□适用</w:t>
      </w:r>
      <w:r>
        <w:rPr>
          <w:spacing w:val="-1"/>
        </w:rPr>
        <w:t> </w:t>
      </w:r>
      <w:r>
        <w:rPr/>
        <w:t>√不适用</w:t>
      </w:r>
    </w:p>
    <w:p>
      <w:pPr>
        <w:pStyle w:val="Heading1"/>
        <w:tabs>
          <w:tab w:pos="1259" w:val="left" w:leader="none"/>
        </w:tabs>
        <w:spacing w:line="240" w:lineRule="auto" w:before="42"/>
        <w:ind w:right="15"/>
        <w:jc w:val="center"/>
        <w:rPr>
          <w:b w:val="0"/>
          <w:bCs w:val="0"/>
        </w:rPr>
      </w:pPr>
      <w:bookmarkStart w:name="_TOC_250009" w:id="3"/>
      <w:r>
        <w:rPr>
          <w:w w:val="95"/>
        </w:rPr>
        <w:t>第三节</w:t>
        <w:tab/>
      </w:r>
      <w:r>
        <w:rPr/>
        <w:t>公司业务概要</w:t>
      </w:r>
      <w:bookmarkEnd w:id="3"/>
      <w:r>
        <w:rPr>
          <w:b w:val="0"/>
          <w:bCs w:val="0"/>
        </w:rPr>
      </w:r>
    </w:p>
    <w:p>
      <w:pPr>
        <w:spacing w:line="240" w:lineRule="auto" w:before="4"/>
        <w:rPr>
          <w:rFonts w:ascii="黑体" w:hAnsi="黑体" w:cs="黑体" w:eastAsia="黑体" w:hint="default"/>
          <w:b/>
          <w:bCs/>
          <w:sz w:val="19"/>
          <w:szCs w:val="19"/>
        </w:rPr>
      </w:pPr>
    </w:p>
    <w:p>
      <w:pPr>
        <w:spacing w:line="343" w:lineRule="auto" w:before="0"/>
        <w:ind w:left="638" w:right="2497" w:hanging="420"/>
        <w:jc w:val="left"/>
        <w:rPr>
          <w:rFonts w:ascii="宋体" w:hAnsi="宋体" w:cs="宋体" w:eastAsia="宋体" w:hint="default"/>
          <w:sz w:val="21"/>
          <w:szCs w:val="21"/>
        </w:rPr>
      </w:pPr>
      <w:r>
        <w:rPr>
          <w:rFonts w:ascii="宋体" w:hAnsi="宋体" w:cs="宋体" w:eastAsia="宋体" w:hint="default"/>
          <w:b/>
          <w:bCs/>
          <w:spacing w:val="-1"/>
          <w:sz w:val="21"/>
          <w:szCs w:val="21"/>
        </w:rPr>
        <w:t>一、报告期内公司所从事的主要业务、经营模式及行业情况说明</w:t>
      </w:r>
      <w:r>
        <w:rPr>
          <w:rFonts w:ascii="宋体" w:hAnsi="宋体" w:cs="宋体" w:eastAsia="宋体" w:hint="default"/>
          <w:b/>
          <w:bCs/>
          <w:spacing w:val="-76"/>
          <w:sz w:val="21"/>
          <w:szCs w:val="21"/>
        </w:rPr>
        <w:t> </w:t>
      </w:r>
      <w:r>
        <w:rPr>
          <w:rFonts w:ascii="宋体" w:hAnsi="宋体" w:cs="宋体" w:eastAsia="宋体" w:hint="default"/>
          <w:b/>
          <w:bCs/>
          <w:spacing w:val="-76"/>
          <w:sz w:val="21"/>
          <w:szCs w:val="21"/>
        </w:rPr>
      </w:r>
      <w:r>
        <w:rPr>
          <w:rFonts w:ascii="宋体" w:hAnsi="宋体" w:cs="宋体" w:eastAsia="宋体" w:hint="default"/>
          <w:sz w:val="21"/>
          <w:szCs w:val="21"/>
        </w:rPr>
        <w:t>1</w:t>
      </w:r>
      <w:r>
        <w:rPr>
          <w:rFonts w:ascii="宋体" w:hAnsi="宋体" w:cs="宋体" w:eastAsia="宋体" w:hint="default"/>
          <w:sz w:val="21"/>
          <w:szCs w:val="21"/>
        </w:rPr>
        <w:t>、公司所从事的主要业务：</w:t>
      </w:r>
    </w:p>
    <w:p>
      <w:pPr>
        <w:pStyle w:val="BodyText"/>
        <w:spacing w:line="357" w:lineRule="auto" w:before="163"/>
        <w:ind w:right="228" w:firstLine="419"/>
        <w:jc w:val="both"/>
      </w:pPr>
      <w:r>
        <w:rPr>
          <w:spacing w:val="-2"/>
        </w:rPr>
        <w:t>安通控股股份有限公司，是一家以集装箱多式联运物流服务为主业，集实业投资、船舶服务</w:t>
      </w:r>
      <w:r>
        <w:rPr>
          <w:w w:val="100"/>
        </w:rPr>
        <w:t> </w:t>
      </w:r>
      <w:r>
        <w:rPr>
          <w:spacing w:val="-3"/>
        </w:rPr>
        <w:t>等产业并举发展的多式联运综合物流服务商。目前，公司旗下拥有全国</w:t>
      </w:r>
      <w:r>
        <w:rPr>
          <w:spacing w:val="-23"/>
        </w:rPr>
        <w:t> </w:t>
      </w:r>
      <w:r>
        <w:rPr>
          <w:rFonts w:ascii="宋体" w:hAnsi="宋体" w:cs="宋体" w:eastAsia="宋体" w:hint="default"/>
        </w:rPr>
        <w:t>5A</w:t>
      </w:r>
      <w:r>
        <w:rPr/>
        <w:t>级物流企业泉州安通物</w:t>
      </w:r>
      <w:r>
        <w:rPr>
          <w:spacing w:val="-93"/>
        </w:rPr>
        <w:t> </w:t>
      </w:r>
      <w:r>
        <w:rPr>
          <w:spacing w:val="-93"/>
        </w:rPr>
      </w:r>
      <w:r>
        <w:rPr>
          <w:spacing w:val="-2"/>
        </w:rPr>
        <w:t>流有限公司和国内水路运输龙头企业泉州安盛船务有限公司两家主要的全资子公司。公司通过整</w:t>
      </w:r>
      <w:r>
        <w:rPr>
          <w:spacing w:val="-25"/>
        </w:rPr>
        <w:t> </w:t>
      </w:r>
      <w:r>
        <w:rPr>
          <w:spacing w:val="-25"/>
        </w:rPr>
      </w:r>
      <w:r>
        <w:rPr>
          <w:spacing w:val="-2"/>
        </w:rPr>
        <w:t>合水路、铁路、公路运输资源协同运作，依托综合物流信息化平台为支撑，通过广布的沿海航线</w:t>
      </w:r>
    </w:p>
    <w:p>
      <w:pPr>
        <w:spacing w:after="0" w:line="357" w:lineRule="auto"/>
        <w:jc w:val="both"/>
        <w:sectPr>
          <w:pgSz w:w="11910" w:h="16840"/>
          <w:pgMar w:header="880" w:footer="1195" w:top="1120" w:bottom="1380" w:left="1580" w:right="1040"/>
        </w:sectPr>
      </w:pPr>
    </w:p>
    <w:p>
      <w:pPr>
        <w:spacing w:line="240" w:lineRule="auto" w:before="4"/>
        <w:rPr>
          <w:rFonts w:ascii="宋体" w:hAnsi="宋体" w:cs="宋体" w:eastAsia="宋体" w:hint="default"/>
          <w:sz w:val="25"/>
          <w:szCs w:val="25"/>
        </w:rPr>
      </w:pPr>
    </w:p>
    <w:p>
      <w:pPr>
        <w:pStyle w:val="BodyText"/>
        <w:spacing w:line="357" w:lineRule="auto" w:before="36"/>
        <w:ind w:left="138" w:right="104"/>
        <w:jc w:val="left"/>
      </w:pPr>
      <w:r>
        <w:rPr>
          <w:spacing w:val="-2"/>
        </w:rPr>
        <w:t>以及海铁联运运输网络将服务覆盖国内主要沿海区域并延伸至内陆、内河地区，同时，不断拓展</w:t>
      </w:r>
      <w:r>
        <w:rPr>
          <w:spacing w:val="-25"/>
        </w:rPr>
        <w:t> </w:t>
      </w:r>
      <w:r>
        <w:rPr>
          <w:spacing w:val="-25"/>
        </w:rPr>
      </w:r>
      <w:r>
        <w:rPr/>
        <w:t>综合物流、供应链金融、投资管理、船舶服务、物流园区等领域的业务。</w:t>
      </w:r>
    </w:p>
    <w:p>
      <w:pPr>
        <w:pStyle w:val="BodyText"/>
        <w:spacing w:line="240" w:lineRule="auto" w:before="150"/>
        <w:ind w:left="558" w:right="104"/>
        <w:jc w:val="left"/>
      </w:pPr>
      <w:r>
        <w:rPr>
          <w:rFonts w:ascii="宋体" w:hAnsi="宋体" w:cs="宋体" w:eastAsia="宋体" w:hint="default"/>
        </w:rPr>
        <w:t>2</w:t>
      </w:r>
      <w:r>
        <w:rPr/>
        <w:t>、公司的主要经营模式：</w:t>
      </w:r>
    </w:p>
    <w:p>
      <w:pPr>
        <w:spacing w:line="240" w:lineRule="auto" w:before="5"/>
        <w:rPr>
          <w:rFonts w:ascii="宋体" w:hAnsi="宋体" w:cs="宋体" w:eastAsia="宋体" w:hint="default"/>
          <w:sz w:val="19"/>
          <w:szCs w:val="19"/>
        </w:rPr>
      </w:pPr>
    </w:p>
    <w:p>
      <w:pPr>
        <w:pStyle w:val="BodyText"/>
        <w:spacing w:line="357" w:lineRule="auto"/>
        <w:ind w:left="138" w:right="208" w:firstLine="419"/>
        <w:jc w:val="both"/>
      </w:pPr>
      <w:r>
        <w:rPr>
          <w:spacing w:val="-7"/>
        </w:rPr>
        <w:t>公司以集装箱多式联运物流服务为主业，坚持“产业经营”与“资本运营”并举发展的模式，</w:t>
      </w:r>
      <w:r>
        <w:rPr>
          <w:w w:val="100"/>
        </w:rPr>
        <w:t> </w:t>
      </w:r>
      <w:r>
        <w:rPr>
          <w:spacing w:val="-4"/>
        </w:rPr>
        <w:t>围绕“物流</w:t>
      </w:r>
      <w:r>
        <w:rPr>
          <w:rFonts w:ascii="宋体" w:hAnsi="宋体" w:cs="宋体" w:eastAsia="宋体" w:hint="default"/>
          <w:spacing w:val="-4"/>
        </w:rPr>
        <w:t>+</w:t>
      </w:r>
      <w:r>
        <w:rPr>
          <w:spacing w:val="-4"/>
        </w:rPr>
        <w:t>金融、物流</w:t>
      </w:r>
      <w:r>
        <w:rPr>
          <w:rFonts w:ascii="宋体" w:hAnsi="宋体" w:cs="宋体" w:eastAsia="宋体" w:hint="default"/>
          <w:spacing w:val="-4"/>
        </w:rPr>
        <w:t>+</w:t>
      </w:r>
      <w:r>
        <w:rPr>
          <w:spacing w:val="-4"/>
        </w:rPr>
        <w:t>资本运营、物流</w:t>
      </w:r>
      <w:r>
        <w:rPr>
          <w:rFonts w:ascii="宋体" w:hAnsi="宋体" w:cs="宋体" w:eastAsia="宋体" w:hint="default"/>
          <w:spacing w:val="-4"/>
        </w:rPr>
        <w:t>+</w:t>
      </w:r>
      <w:r>
        <w:rPr>
          <w:spacing w:val="-4"/>
        </w:rPr>
        <w:t>信息化”的发展战略，不断做大、做精、做强集装箱物</w:t>
      </w:r>
      <w:r>
        <w:rPr>
          <w:spacing w:val="-35"/>
        </w:rPr>
        <w:t> </w:t>
      </w:r>
      <w:r>
        <w:rPr>
          <w:spacing w:val="-35"/>
        </w:rPr>
      </w:r>
      <w:r>
        <w:rPr>
          <w:spacing w:val="-6"/>
          <w:w w:val="100"/>
        </w:rPr>
        <w:t>流主营业务，利用多式联运的网络优势和信息化的平台基础，不断扩展和延伸综合物流服务能力，</w:t>
      </w:r>
      <w:r>
        <w:rPr>
          <w:w w:val="100"/>
        </w:rPr>
        <w:t> </w:t>
      </w:r>
      <w:r>
        <w:rPr>
          <w:spacing w:val="-2"/>
        </w:rPr>
        <w:t>努力构建闭环式、一站式的产业生态，为客户提供定制化的物流解决方案。同时，开展富有成效</w:t>
      </w:r>
      <w:r>
        <w:rPr>
          <w:spacing w:val="-25"/>
        </w:rPr>
        <w:t> </w:t>
      </w:r>
      <w:r>
        <w:rPr>
          <w:spacing w:val="-25"/>
        </w:rPr>
      </w:r>
      <w:r>
        <w:rPr>
          <w:spacing w:val="-2"/>
        </w:rPr>
        <w:t>的资本运作与投资管理，借助资本的力量去整合渠道、网络、服务互补性强的优质供应商资源，</w:t>
      </w:r>
      <w:r>
        <w:rPr>
          <w:spacing w:val="-25"/>
        </w:rPr>
        <w:t> </w:t>
      </w:r>
      <w:r>
        <w:rPr>
          <w:spacing w:val="-25"/>
        </w:rPr>
      </w:r>
      <w:r>
        <w:rPr>
          <w:spacing w:val="-2"/>
        </w:rPr>
        <w:t>扩大公司业务规模，并致力优化融资渠道和融资形式，打造出了一条适合企业发展的多层次的融</w:t>
      </w:r>
      <w:r>
        <w:rPr>
          <w:spacing w:val="-25"/>
        </w:rPr>
        <w:t> </w:t>
      </w:r>
      <w:r>
        <w:rPr>
          <w:spacing w:val="-25"/>
        </w:rPr>
      </w:r>
      <w:r>
        <w:rPr>
          <w:spacing w:val="-2"/>
        </w:rPr>
        <w:t>资渠道组合，形成了实体产业与投资之间的协同效应，打造企业发展产融结合的双擎动力，推动</w:t>
      </w:r>
      <w:r>
        <w:rPr>
          <w:spacing w:val="-25"/>
        </w:rPr>
        <w:t> </w:t>
      </w:r>
      <w:r>
        <w:rPr>
          <w:spacing w:val="-25"/>
        </w:rPr>
      </w:r>
      <w:r>
        <w:rPr/>
        <w:t>公司持续发展。</w:t>
      </w:r>
    </w:p>
    <w:p>
      <w:pPr>
        <w:pStyle w:val="BodyText"/>
        <w:spacing w:line="240" w:lineRule="auto" w:before="150"/>
        <w:ind w:left="558" w:right="104"/>
        <w:jc w:val="left"/>
      </w:pPr>
      <w:r>
        <w:rPr>
          <w:rFonts w:ascii="宋体" w:hAnsi="宋体" w:cs="宋体" w:eastAsia="宋体" w:hint="default"/>
        </w:rPr>
        <w:t>3</w:t>
      </w:r>
      <w:r>
        <w:rPr/>
        <w:t>、公司的行业情况：</w:t>
      </w:r>
    </w:p>
    <w:p>
      <w:pPr>
        <w:spacing w:line="240" w:lineRule="auto" w:before="5"/>
        <w:rPr>
          <w:rFonts w:ascii="宋体" w:hAnsi="宋体" w:cs="宋体" w:eastAsia="宋体" w:hint="default"/>
          <w:sz w:val="19"/>
          <w:szCs w:val="19"/>
        </w:rPr>
      </w:pPr>
    </w:p>
    <w:p>
      <w:pPr>
        <w:pStyle w:val="BodyText"/>
        <w:spacing w:line="357" w:lineRule="auto"/>
        <w:ind w:left="138" w:right="104" w:firstLine="419"/>
        <w:jc w:val="left"/>
        <w:rPr>
          <w:rFonts w:ascii="宋体" w:hAnsi="宋体" w:cs="宋体" w:eastAsia="宋体" w:hint="default"/>
        </w:rPr>
      </w:pPr>
      <w:r>
        <w:rPr>
          <w:rFonts w:ascii="宋体" w:hAnsi="宋体" w:cs="宋体" w:eastAsia="宋体" w:hint="default"/>
        </w:rPr>
        <w:t>2017</w:t>
      </w:r>
      <w:r>
        <w:rPr>
          <w:rFonts w:ascii="宋体" w:hAnsi="宋体" w:cs="宋体" w:eastAsia="宋体" w:hint="default"/>
          <w:spacing w:val="-35"/>
        </w:rPr>
        <w:t> </w:t>
      </w:r>
      <w:r>
        <w:rPr>
          <w:spacing w:val="-3"/>
        </w:rPr>
        <w:t>年是航运业全面复苏的一年，全球航运市场整体好于预期，受益于全球航运复苏及国内</w:t>
      </w:r>
      <w:r>
        <w:rPr>
          <w:w w:val="100"/>
        </w:rPr>
        <w:t> </w:t>
      </w:r>
      <w:r>
        <w:rPr/>
        <w:t>消费升级、“一带一路”战略、京津冀协同发展、长江经济带等区域战略规划的出台，区域间商</w:t>
      </w:r>
      <w:r>
        <w:rPr>
          <w:w w:val="100"/>
        </w:rPr>
        <w:t> </w:t>
      </w:r>
      <w:r>
        <w:rPr/>
        <w:t>品交换将更为频繁，国内市场需求得到释放，多品种、多批次货物运输需求的增加，企业运力投</w:t>
      </w:r>
      <w:r>
        <w:rPr>
          <w:w w:val="100"/>
        </w:rPr>
        <w:t> </w:t>
      </w:r>
      <w:r>
        <w:rPr>
          <w:spacing w:val="-3"/>
        </w:rPr>
        <w:t>资意愿持续增强，为我国港口内贸集装箱运输市场提供广阔的发展空间。数据显示，</w:t>
      </w:r>
      <w:r>
        <w:rPr>
          <w:rFonts w:ascii="宋体" w:hAnsi="宋体" w:cs="宋体" w:eastAsia="宋体" w:hint="default"/>
          <w:spacing w:val="-3"/>
        </w:rPr>
        <w:t>2017 </w:t>
      </w:r>
      <w:r>
        <w:rPr/>
        <w:t>年全年</w:t>
      </w:r>
      <w:r>
        <w:rPr>
          <w:spacing w:val="-81"/>
        </w:rPr>
        <w:t> </w:t>
      </w:r>
      <w:r>
        <w:rPr>
          <w:spacing w:val="-81"/>
        </w:rPr>
      </w:r>
      <w:r>
        <w:rPr>
          <w:spacing w:val="-2"/>
          <w:w w:val="100"/>
        </w:rPr>
        <w:t>我国规模以上港口完成货物吞吐量</w:t>
      </w:r>
      <w:r>
        <w:rPr>
          <w:spacing w:val="-52"/>
          <w:w w:val="100"/>
        </w:rPr>
        <w:t> </w:t>
      </w:r>
      <w:r>
        <w:rPr>
          <w:rFonts w:ascii="宋体" w:hAnsi="宋体" w:cs="宋体" w:eastAsia="宋体" w:hint="default"/>
          <w:spacing w:val="-1"/>
          <w:w w:val="100"/>
        </w:rPr>
        <w:t>126.44</w:t>
      </w:r>
      <w:r>
        <w:rPr>
          <w:rFonts w:ascii="宋体" w:hAnsi="宋体" w:cs="宋体" w:eastAsia="宋体" w:hint="default"/>
          <w:spacing w:val="-52"/>
          <w:w w:val="100"/>
        </w:rPr>
        <w:t> </w:t>
      </w:r>
      <w:r>
        <w:rPr>
          <w:spacing w:val="-16"/>
          <w:w w:val="100"/>
        </w:rPr>
        <w:t>亿吨，同比增长</w:t>
      </w:r>
      <w:r>
        <w:rPr>
          <w:spacing w:val="-52"/>
          <w:w w:val="100"/>
        </w:rPr>
        <w:t> </w:t>
      </w:r>
      <w:r>
        <w:rPr>
          <w:rFonts w:ascii="宋体" w:hAnsi="宋体" w:cs="宋体" w:eastAsia="宋体" w:hint="default"/>
          <w:spacing w:val="-9"/>
          <w:w w:val="100"/>
        </w:rPr>
        <w:t>6.4%</w:t>
      </w:r>
      <w:r>
        <w:rPr>
          <w:spacing w:val="-9"/>
          <w:w w:val="100"/>
        </w:rPr>
        <w:t>，完成集装箱吞吐量</w:t>
      </w:r>
      <w:r>
        <w:rPr>
          <w:spacing w:val="-51"/>
          <w:w w:val="100"/>
        </w:rPr>
        <w:t> </w:t>
      </w:r>
      <w:r>
        <w:rPr>
          <w:rFonts w:ascii="宋体" w:hAnsi="宋体" w:cs="宋体" w:eastAsia="宋体" w:hint="default"/>
          <w:spacing w:val="-1"/>
          <w:w w:val="100"/>
        </w:rPr>
        <w:t>2.27</w:t>
      </w:r>
      <w:r>
        <w:rPr>
          <w:rFonts w:ascii="宋体" w:hAnsi="宋体" w:cs="宋体" w:eastAsia="宋体" w:hint="default"/>
          <w:spacing w:val="-52"/>
          <w:w w:val="100"/>
        </w:rPr>
        <w:t> </w:t>
      </w:r>
      <w:r>
        <w:rPr>
          <w:w w:val="100"/>
        </w:rPr>
        <w:t>亿</w:t>
      </w:r>
      <w:r>
        <w:rPr>
          <w:spacing w:val="-54"/>
          <w:w w:val="100"/>
        </w:rPr>
        <w:t> </w:t>
      </w:r>
      <w:r>
        <w:rPr>
          <w:rFonts w:ascii="宋体" w:hAnsi="宋体" w:cs="宋体" w:eastAsia="宋体" w:hint="default"/>
          <w:spacing w:val="-1"/>
          <w:w w:val="100"/>
        </w:rPr>
        <w:t>TEU</w:t>
      </w:r>
      <w:r>
        <w:rPr>
          <w:spacing w:val="-1"/>
          <w:w w:val="100"/>
        </w:rPr>
        <w:t>，</w:t>
      </w:r>
      <w:r>
        <w:rPr>
          <w:spacing w:val="-102"/>
          <w:w w:val="100"/>
        </w:rPr>
        <w:t> </w:t>
      </w:r>
      <w:r>
        <w:rPr/>
        <w:t>同比增长</w:t>
      </w:r>
      <w:r>
        <w:rPr>
          <w:spacing w:val="-10"/>
        </w:rPr>
        <w:t> </w:t>
      </w:r>
      <w:r>
        <w:rPr>
          <w:rFonts w:ascii="宋体" w:hAnsi="宋体" w:cs="宋体" w:eastAsia="宋体" w:hint="default"/>
        </w:rPr>
        <w:t>8.3%</w:t>
      </w:r>
      <w:r>
        <w:rPr/>
        <w:t>。各大港口纷纷加大集装箱物流的基础设施建设投入，内贸集装箱运输行业向好。</w:t>
      </w:r>
      <w:r>
        <w:rPr>
          <w:spacing w:val="-94"/>
        </w:rPr>
        <w:t> </w:t>
      </w:r>
      <w:r>
        <w:rPr>
          <w:spacing w:val="-94"/>
        </w:rPr>
      </w:r>
      <w:r>
        <w:rPr/>
        <w:t>截止</w:t>
      </w:r>
      <w:r>
        <w:rPr>
          <w:spacing w:val="-49"/>
        </w:rPr>
        <w:t> </w:t>
      </w:r>
      <w:r>
        <w:rPr>
          <w:rFonts w:ascii="宋体" w:hAnsi="宋体" w:cs="宋体" w:eastAsia="宋体" w:hint="default"/>
        </w:rPr>
        <w:t>2017</w:t>
      </w:r>
      <w:r>
        <w:rPr>
          <w:rFonts w:ascii="宋体" w:hAnsi="宋体" w:cs="宋体" w:eastAsia="宋体" w:hint="default"/>
          <w:spacing w:val="-51"/>
        </w:rPr>
        <w:t> </w:t>
      </w:r>
      <w:r>
        <w:rPr/>
        <w:t>年</w:t>
      </w:r>
      <w:r>
        <w:rPr>
          <w:spacing w:val="-49"/>
        </w:rPr>
        <w:t> </w:t>
      </w:r>
      <w:r>
        <w:rPr>
          <w:rFonts w:ascii="宋体" w:hAnsi="宋体" w:cs="宋体" w:eastAsia="宋体" w:hint="default"/>
        </w:rPr>
        <w:t>12</w:t>
      </w:r>
      <w:r>
        <w:rPr>
          <w:rFonts w:ascii="宋体" w:hAnsi="宋体" w:cs="宋体" w:eastAsia="宋体" w:hint="default"/>
          <w:spacing w:val="-51"/>
        </w:rPr>
        <w:t> </w:t>
      </w:r>
      <w:r>
        <w:rPr/>
        <w:t>月</w:t>
      </w:r>
      <w:r>
        <w:rPr>
          <w:spacing w:val="-49"/>
        </w:rPr>
        <w:t> </w:t>
      </w:r>
      <w:r>
        <w:rPr>
          <w:rFonts w:ascii="宋体" w:hAnsi="宋体" w:cs="宋体" w:eastAsia="宋体" w:hint="default"/>
        </w:rPr>
        <w:t>31</w:t>
      </w:r>
      <w:r>
        <w:rPr>
          <w:rFonts w:ascii="宋体" w:hAnsi="宋体" w:cs="宋体" w:eastAsia="宋体" w:hint="default"/>
          <w:spacing w:val="-49"/>
        </w:rPr>
        <w:t> </w:t>
      </w:r>
      <w:r>
        <w:rPr>
          <w:spacing w:val="-8"/>
        </w:rPr>
        <w:t>日，公司总运力达</w:t>
      </w:r>
      <w:r>
        <w:rPr>
          <w:spacing w:val="-48"/>
        </w:rPr>
        <w:t> </w:t>
      </w:r>
      <w:r>
        <w:rPr>
          <w:rFonts w:ascii="宋体" w:hAnsi="宋体" w:cs="宋体" w:eastAsia="宋体" w:hint="default"/>
        </w:rPr>
        <w:t>166</w:t>
      </w:r>
      <w:r>
        <w:rPr>
          <w:rFonts w:ascii="宋体" w:hAnsi="宋体" w:cs="宋体" w:eastAsia="宋体" w:hint="default"/>
          <w:spacing w:val="-49"/>
        </w:rPr>
        <w:t> </w:t>
      </w:r>
      <w:r>
        <w:rPr>
          <w:spacing w:val="-5"/>
        </w:rPr>
        <w:t>万载重吨，公司经营管理的船舶共</w:t>
      </w:r>
      <w:r>
        <w:rPr>
          <w:spacing w:val="-48"/>
        </w:rPr>
        <w:t> </w:t>
      </w:r>
      <w:r>
        <w:rPr>
          <w:rFonts w:ascii="宋体" w:hAnsi="宋体" w:cs="宋体" w:eastAsia="宋体" w:hint="default"/>
        </w:rPr>
        <w:t>101</w:t>
      </w:r>
      <w:r>
        <w:rPr>
          <w:rFonts w:ascii="宋体" w:hAnsi="宋体" w:cs="宋体" w:eastAsia="宋体" w:hint="default"/>
          <w:spacing w:val="-51"/>
        </w:rPr>
        <w:t> </w:t>
      </w:r>
      <w:r>
        <w:rPr>
          <w:spacing w:val="-14"/>
        </w:rPr>
        <w:t>艘，相比</w:t>
      </w:r>
      <w:r>
        <w:rPr>
          <w:spacing w:val="-49"/>
        </w:rPr>
        <w:t> </w:t>
      </w:r>
      <w:r>
        <w:rPr>
          <w:rFonts w:ascii="宋体" w:hAnsi="宋体" w:cs="宋体" w:eastAsia="宋体" w:hint="default"/>
        </w:rPr>
        <w:t>2016</w:t>
      </w:r>
    </w:p>
    <w:p>
      <w:pPr>
        <w:pStyle w:val="BodyText"/>
        <w:spacing w:line="240" w:lineRule="auto" w:before="30"/>
        <w:ind w:left="138" w:right="104"/>
        <w:jc w:val="left"/>
      </w:pPr>
      <w:r>
        <w:rPr/>
        <w:t>年末增加</w:t>
      </w:r>
      <w:r>
        <w:rPr>
          <w:spacing w:val="-56"/>
        </w:rPr>
        <w:t> </w:t>
      </w:r>
      <w:r>
        <w:rPr>
          <w:rFonts w:ascii="宋体" w:hAnsi="宋体" w:cs="宋体" w:eastAsia="宋体" w:hint="default"/>
        </w:rPr>
        <w:t>24</w:t>
      </w:r>
      <w:r>
        <w:rPr>
          <w:rFonts w:ascii="宋体" w:hAnsi="宋体" w:cs="宋体" w:eastAsia="宋体" w:hint="default"/>
          <w:spacing w:val="-56"/>
        </w:rPr>
        <w:t> </w:t>
      </w:r>
      <w:r>
        <w:rPr/>
        <w:t>艘，位居全国内贸集装箱物流企业前三甲。</w:t>
      </w:r>
    </w:p>
    <w:p>
      <w:pPr>
        <w:pStyle w:val="BodyText"/>
        <w:spacing w:line="357" w:lineRule="auto" w:before="135"/>
        <w:ind w:left="138" w:right="208" w:firstLine="419"/>
        <w:jc w:val="both"/>
      </w:pPr>
      <w:r>
        <w:rPr>
          <w:rFonts w:ascii="宋体" w:hAnsi="宋体" w:cs="宋体" w:eastAsia="宋体" w:hint="default"/>
        </w:rPr>
        <w:t>2017</w:t>
      </w:r>
      <w:r>
        <w:rPr>
          <w:rFonts w:ascii="宋体" w:hAnsi="宋体" w:cs="宋体" w:eastAsia="宋体" w:hint="default"/>
          <w:spacing w:val="-7"/>
        </w:rPr>
        <w:t> </w:t>
      </w:r>
      <w:r>
        <w:rPr>
          <w:spacing w:val="-3"/>
        </w:rPr>
        <w:t>年交通运输部多次发文强调重点发展多式联运，并相继出台了《交通运输部等十八个部</w:t>
      </w:r>
      <w:r>
        <w:rPr>
          <w:w w:val="100"/>
        </w:rPr>
        <w:t> </w:t>
      </w:r>
      <w:r>
        <w:rPr>
          <w:spacing w:val="-2"/>
        </w:rPr>
        <w:t>门关于进一步鼓励开展多式联运工作的通知》、《关于开展多式联运示范工程的通知》、《关于</w:t>
      </w:r>
      <w:r>
        <w:rPr>
          <w:spacing w:val="-25"/>
        </w:rPr>
        <w:t> </w:t>
      </w:r>
      <w:r>
        <w:rPr>
          <w:spacing w:val="-25"/>
        </w:rPr>
      </w:r>
      <w:r>
        <w:rPr>
          <w:spacing w:val="-2"/>
        </w:rPr>
        <w:t>进一步鼓励开展多式联运工作的通知》等国家层面与多式联运相关的政策，明确表明我国要加快</w:t>
      </w:r>
      <w:r>
        <w:rPr>
          <w:spacing w:val="-25"/>
        </w:rPr>
        <w:t> </w:t>
      </w:r>
      <w:r>
        <w:rPr>
          <w:spacing w:val="-25"/>
        </w:rPr>
      </w:r>
      <w:r>
        <w:rPr/>
        <w:t>多式联运的建设，提出</w:t>
      </w:r>
      <w:r>
        <w:rPr>
          <w:spacing w:val="-54"/>
        </w:rPr>
        <w:t> </w:t>
      </w:r>
      <w:r>
        <w:rPr>
          <w:rFonts w:ascii="宋体" w:hAnsi="宋体" w:cs="宋体" w:eastAsia="宋体" w:hint="default"/>
        </w:rPr>
        <w:t>2020</w:t>
      </w:r>
      <w:r>
        <w:rPr>
          <w:rFonts w:ascii="宋体" w:hAnsi="宋体" w:cs="宋体" w:eastAsia="宋体" w:hint="default"/>
          <w:spacing w:val="-55"/>
        </w:rPr>
        <w:t> </w:t>
      </w:r>
      <w:r>
        <w:rPr/>
        <w:t>年实现多式联运货运量相比</w:t>
      </w:r>
      <w:r>
        <w:rPr>
          <w:spacing w:val="-55"/>
        </w:rPr>
        <w:t> </w:t>
      </w:r>
      <w:r>
        <w:rPr>
          <w:rFonts w:ascii="宋体" w:hAnsi="宋体" w:cs="宋体" w:eastAsia="宋体" w:hint="default"/>
        </w:rPr>
        <w:t>2015</w:t>
      </w:r>
      <w:r>
        <w:rPr>
          <w:rFonts w:ascii="宋体" w:hAnsi="宋体" w:cs="宋体" w:eastAsia="宋体" w:hint="default"/>
          <w:spacing w:val="-57"/>
        </w:rPr>
        <w:t> </w:t>
      </w:r>
      <w:r>
        <w:rPr/>
        <w:t>年增加</w:t>
      </w:r>
      <w:r>
        <w:rPr>
          <w:spacing w:val="-55"/>
        </w:rPr>
        <w:t> </w:t>
      </w:r>
      <w:r>
        <w:rPr>
          <w:rFonts w:ascii="宋体" w:hAnsi="宋体" w:cs="宋体" w:eastAsia="宋体" w:hint="default"/>
        </w:rPr>
        <w:t>1.5</w:t>
      </w:r>
      <w:r>
        <w:rPr>
          <w:rFonts w:ascii="宋体" w:hAnsi="宋体" w:cs="宋体" w:eastAsia="宋体" w:hint="default"/>
          <w:spacing w:val="-55"/>
        </w:rPr>
        <w:t> </w:t>
      </w:r>
      <w:r>
        <w:rPr/>
        <w:t>倍，多式联运的发展进</w:t>
      </w:r>
      <w:r>
        <w:rPr>
          <w:w w:val="100"/>
        </w:rPr>
        <w:t> </w:t>
      </w:r>
      <w:r>
        <w:rPr>
          <w:spacing w:val="-2"/>
        </w:rPr>
        <w:t>入快车道。公司近年来不断加大对多式联运布局的投入，通过吸收铁路资产形成“水运</w:t>
      </w:r>
      <w:r>
        <w:rPr>
          <w:rFonts w:ascii="宋体" w:hAnsi="宋体" w:cs="宋体" w:eastAsia="宋体" w:hint="default"/>
          <w:spacing w:val="-2"/>
        </w:rPr>
        <w:t>+</w:t>
      </w:r>
      <w:r>
        <w:rPr>
          <w:spacing w:val="-2"/>
        </w:rPr>
        <w:t>铁路</w:t>
      </w:r>
      <w:r>
        <w:rPr>
          <w:rFonts w:ascii="宋体" w:hAnsi="宋体" w:cs="宋体" w:eastAsia="宋体" w:hint="default"/>
          <w:spacing w:val="-2"/>
        </w:rPr>
        <w:t>+</w:t>
      </w:r>
      <w:r>
        <w:rPr>
          <w:spacing w:val="-2"/>
        </w:rPr>
        <w:t>公</w:t>
      </w:r>
      <w:r>
        <w:rPr>
          <w:spacing w:val="-23"/>
        </w:rPr>
        <w:t> </w:t>
      </w:r>
      <w:r>
        <w:rPr>
          <w:spacing w:val="-2"/>
        </w:rPr>
        <w:t>路”全方位的多式联运模式，充分发挥不同运输方式的组合优势以及切实大力发展公铁水联运模</w:t>
      </w:r>
      <w:r>
        <w:rPr>
          <w:spacing w:val="-25"/>
        </w:rPr>
        <w:t> </w:t>
      </w:r>
      <w:r>
        <w:rPr>
          <w:spacing w:val="-25"/>
        </w:rPr>
      </w:r>
      <w:r>
        <w:rPr>
          <w:spacing w:val="-2"/>
        </w:rPr>
        <w:t>式，借此进一步为客户提升“门到门一站式”的集装箱综合物流服务体验、公司综合竞争力以及</w:t>
      </w:r>
      <w:r>
        <w:rPr>
          <w:spacing w:val="-25"/>
        </w:rPr>
        <w:t> </w:t>
      </w:r>
      <w:r>
        <w:rPr>
          <w:spacing w:val="-25"/>
        </w:rPr>
      </w:r>
      <w:r>
        <w:rPr/>
        <w:t>综合效益。</w:t>
      </w:r>
    </w:p>
    <w:p>
      <w:pPr>
        <w:spacing w:line="240" w:lineRule="auto" w:before="11"/>
        <w:rPr>
          <w:rFonts w:ascii="宋体" w:hAnsi="宋体" w:cs="宋体" w:eastAsia="宋体" w:hint="default"/>
          <w:sz w:val="27"/>
          <w:szCs w:val="27"/>
        </w:rPr>
      </w:pPr>
    </w:p>
    <w:p>
      <w:pPr>
        <w:pStyle w:val="Heading2"/>
        <w:spacing w:line="240" w:lineRule="auto"/>
        <w:ind w:left="138" w:right="104"/>
        <w:jc w:val="left"/>
        <w:rPr>
          <w:b w:val="0"/>
          <w:bCs w:val="0"/>
        </w:rPr>
      </w:pPr>
      <w:r>
        <w:rPr/>
        <w:t>二、报告期内公司主要资产发生重大变化情况的说明</w:t>
      </w:r>
      <w:r>
        <w:rPr>
          <w:b w:val="0"/>
          <w:bCs w:val="0"/>
        </w:rPr>
      </w:r>
    </w:p>
    <w:p>
      <w:pPr>
        <w:pStyle w:val="BodyText"/>
        <w:spacing w:line="240" w:lineRule="auto" w:before="56"/>
        <w:ind w:left="138" w:right="104"/>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104"/>
        <w:jc w:val="left"/>
        <w:rPr>
          <w:b w:val="0"/>
          <w:bCs w:val="0"/>
        </w:rPr>
      </w:pPr>
      <w:r>
        <w:rPr/>
        <w:t>三、报告期内核心竞争力分析</w:t>
      </w:r>
      <w:r>
        <w:rPr>
          <w:b w:val="0"/>
          <w:bCs w:val="0"/>
        </w:rPr>
      </w:r>
    </w:p>
    <w:p>
      <w:pPr>
        <w:pStyle w:val="BodyText"/>
        <w:spacing w:line="240" w:lineRule="auto" w:before="58"/>
        <w:ind w:left="138" w:right="104"/>
        <w:jc w:val="left"/>
      </w:pPr>
      <w:r>
        <w:rPr/>
        <w:t>√适用</w:t>
      </w:r>
      <w:r>
        <w:rPr>
          <w:spacing w:val="-1"/>
        </w:rPr>
        <w:t> </w:t>
      </w:r>
      <w:r>
        <w:rPr/>
        <w:t>□不适用</w:t>
      </w:r>
    </w:p>
    <w:p>
      <w:pPr>
        <w:spacing w:after="0" w:line="240" w:lineRule="auto"/>
        <w:jc w:val="left"/>
        <w:sectPr>
          <w:pgSz w:w="11910" w:h="16840"/>
          <w:pgMar w:header="880" w:footer="1195" w:top="1120" w:bottom="1380" w:left="1660" w:right="1060"/>
        </w:sectPr>
      </w:pPr>
    </w:p>
    <w:p>
      <w:pPr>
        <w:spacing w:line="240" w:lineRule="auto" w:before="4"/>
        <w:rPr>
          <w:rFonts w:ascii="宋体" w:hAnsi="宋体" w:cs="宋体" w:eastAsia="宋体" w:hint="default"/>
          <w:sz w:val="25"/>
          <w:szCs w:val="25"/>
        </w:rPr>
      </w:pPr>
    </w:p>
    <w:p>
      <w:pPr>
        <w:pStyle w:val="BodyText"/>
        <w:spacing w:line="240" w:lineRule="auto" w:before="36"/>
        <w:ind w:left="558" w:right="125"/>
        <w:jc w:val="left"/>
      </w:pPr>
      <w:r>
        <w:rPr>
          <w:rFonts w:ascii="宋体" w:hAnsi="宋体" w:cs="宋体" w:eastAsia="宋体" w:hint="default"/>
        </w:rPr>
        <w:t>1</w:t>
      </w:r>
      <w:r>
        <w:rPr/>
        <w:t>、成本优势</w:t>
      </w:r>
    </w:p>
    <w:p>
      <w:pPr>
        <w:pStyle w:val="BodyText"/>
        <w:spacing w:line="355" w:lineRule="auto" w:before="135"/>
        <w:ind w:left="558" w:right="125"/>
        <w:jc w:val="left"/>
      </w:pPr>
      <w:r>
        <w:rPr/>
        <w:t>（</w:t>
      </w:r>
      <w:r>
        <w:rPr>
          <w:rFonts w:ascii="宋体" w:hAnsi="宋体" w:cs="宋体" w:eastAsia="宋体" w:hint="default"/>
        </w:rPr>
        <w:t>1</w:t>
      </w:r>
      <w:r>
        <w:rPr/>
        <w:t>）运营成本合理化</w:t>
      </w:r>
      <w:r>
        <w:rPr>
          <w:w w:val="100"/>
        </w:rPr>
        <w:t> </w:t>
      </w:r>
      <w:r>
        <w:rPr>
          <w:spacing w:val="-2"/>
        </w:rPr>
        <w:t>作为第三方物流服务提供商，公司可实现不同客户共同运输、共同仓储、共同配送，创造平</w:t>
      </w:r>
    </w:p>
    <w:p>
      <w:pPr>
        <w:pStyle w:val="BodyText"/>
        <w:spacing w:line="357" w:lineRule="auto" w:before="32"/>
        <w:ind w:left="138" w:right="128"/>
        <w:jc w:val="both"/>
      </w:pPr>
      <w:r>
        <w:rPr>
          <w:spacing w:val="-6"/>
        </w:rPr>
        <w:t>台效应；随着客户与服务范围的不断扩张，平台效应将带来服务和成本的双重规模化优势。目前，</w:t>
      </w:r>
      <w:r>
        <w:rPr>
          <w:spacing w:val="-54"/>
        </w:rPr>
        <w:t> </w:t>
      </w:r>
      <w:r>
        <w:rPr>
          <w:spacing w:val="-54"/>
        </w:rPr>
      </w:r>
      <w:r>
        <w:rPr>
          <w:spacing w:val="-2"/>
        </w:rPr>
        <w:t>安通控股拥有众多客户源，保证了稳定的货源供给，并与各国内主要港口建立了良好的战略合作</w:t>
      </w:r>
      <w:r>
        <w:rPr>
          <w:spacing w:val="-25"/>
        </w:rPr>
        <w:t> </w:t>
      </w:r>
      <w:r>
        <w:rPr>
          <w:spacing w:val="-25"/>
        </w:rPr>
      </w:r>
      <w:r>
        <w:rPr>
          <w:spacing w:val="-2"/>
        </w:rPr>
        <w:t>关系，能够有效降低了船舶在港时间，节约油耗，降低运营成本。同时，利用高效的多式联运网</w:t>
      </w:r>
      <w:r>
        <w:rPr>
          <w:spacing w:val="-25"/>
        </w:rPr>
        <w:t> </w:t>
      </w:r>
      <w:r>
        <w:rPr>
          <w:spacing w:val="-25"/>
        </w:rPr>
      </w:r>
      <w:r>
        <w:rPr/>
        <w:t>络布局，发挥各种运输方式的比较优势和组合效率，也进一步降低了物流成本。</w:t>
      </w:r>
    </w:p>
    <w:p>
      <w:pPr>
        <w:pStyle w:val="BodyText"/>
        <w:spacing w:line="240" w:lineRule="auto" w:before="30"/>
        <w:ind w:left="558" w:right="125"/>
        <w:jc w:val="left"/>
      </w:pPr>
      <w:r>
        <w:rPr/>
        <w:t>（</w:t>
      </w:r>
      <w:r>
        <w:rPr>
          <w:rFonts w:ascii="宋体" w:hAnsi="宋体" w:cs="宋体" w:eastAsia="宋体" w:hint="default"/>
        </w:rPr>
        <w:t>2</w:t>
      </w:r>
      <w:r>
        <w:rPr/>
        <w:t>）运力规模效应</w:t>
      </w:r>
    </w:p>
    <w:p>
      <w:pPr>
        <w:pStyle w:val="BodyText"/>
        <w:spacing w:line="357" w:lineRule="auto" w:before="133"/>
        <w:ind w:left="138" w:right="130" w:firstLine="419"/>
        <w:jc w:val="both"/>
      </w:pPr>
      <w:r>
        <w:rPr/>
        <w:t>公司经营管理的船舶共有</w:t>
      </w:r>
      <w:r>
        <w:rPr>
          <w:spacing w:val="-56"/>
        </w:rPr>
        <w:t> </w:t>
      </w:r>
      <w:r>
        <w:rPr>
          <w:rFonts w:ascii="宋体" w:hAnsi="宋体" w:cs="宋体" w:eastAsia="宋体" w:hint="default"/>
        </w:rPr>
        <w:t>101</w:t>
      </w:r>
      <w:r>
        <w:rPr>
          <w:rFonts w:ascii="宋体" w:hAnsi="宋体" w:cs="宋体" w:eastAsia="宋体" w:hint="default"/>
          <w:spacing w:val="-54"/>
        </w:rPr>
        <w:t> </w:t>
      </w:r>
      <w:r>
        <w:rPr/>
        <w:t>艘，总运力达</w:t>
      </w:r>
      <w:r>
        <w:rPr>
          <w:spacing w:val="-54"/>
        </w:rPr>
        <w:t> </w:t>
      </w:r>
      <w:r>
        <w:rPr>
          <w:rFonts w:ascii="宋体" w:hAnsi="宋体" w:cs="宋体" w:eastAsia="宋体" w:hint="default"/>
        </w:rPr>
        <w:t>165.5</w:t>
      </w:r>
      <w:r>
        <w:rPr>
          <w:rFonts w:ascii="宋体" w:hAnsi="宋体" w:cs="宋体" w:eastAsia="宋体" w:hint="default"/>
          <w:spacing w:val="-56"/>
        </w:rPr>
        <w:t> </w:t>
      </w:r>
      <w:r>
        <w:rPr/>
        <w:t>万载重吨，其中</w:t>
      </w:r>
      <w:r>
        <w:rPr>
          <w:spacing w:val="-54"/>
        </w:rPr>
        <w:t> </w:t>
      </w:r>
      <w:r>
        <w:rPr>
          <w:rFonts w:ascii="宋体" w:hAnsi="宋体" w:cs="宋体" w:eastAsia="宋体" w:hint="default"/>
        </w:rPr>
        <w:t>43</w:t>
      </w:r>
      <w:r>
        <w:rPr>
          <w:rFonts w:ascii="宋体" w:hAnsi="宋体" w:cs="宋体" w:eastAsia="宋体" w:hint="default"/>
          <w:spacing w:val="-56"/>
        </w:rPr>
        <w:t> </w:t>
      </w:r>
      <w:r>
        <w:rPr/>
        <w:t>艘为自有船舶，</w:t>
      </w:r>
      <w:r>
        <w:rPr>
          <w:rFonts w:ascii="宋体" w:hAnsi="宋体" w:cs="宋体" w:eastAsia="宋体" w:hint="default"/>
        </w:rPr>
        <w:t>58</w:t>
      </w:r>
      <w:r>
        <w:rPr>
          <w:rFonts w:ascii="宋体" w:hAnsi="宋体" w:cs="宋体" w:eastAsia="宋体" w:hint="default"/>
          <w:spacing w:val="-54"/>
        </w:rPr>
        <w:t> </w:t>
      </w:r>
      <w:r>
        <w:rPr/>
        <w:t>艘</w:t>
      </w:r>
      <w:r>
        <w:rPr>
          <w:w w:val="100"/>
        </w:rPr>
        <w:t> </w:t>
      </w:r>
      <w:r>
        <w:rPr>
          <w:spacing w:val="-4"/>
        </w:rPr>
        <w:t>为外租船舶。根据国际集装箱权威研究机构法国</w:t>
      </w:r>
      <w:r>
        <w:rPr>
          <w:spacing w:val="-28"/>
        </w:rPr>
        <w:t> </w:t>
      </w:r>
      <w:r>
        <w:rPr>
          <w:rFonts w:ascii="宋体" w:hAnsi="宋体" w:cs="宋体" w:eastAsia="宋体" w:hint="default"/>
        </w:rPr>
        <w:t>Alphaliner</w:t>
      </w:r>
      <w:r>
        <w:rPr>
          <w:rFonts w:ascii="宋体" w:hAnsi="宋体" w:cs="宋体" w:eastAsia="宋体" w:hint="default"/>
          <w:spacing w:val="-31"/>
        </w:rPr>
        <w:t> </w:t>
      </w:r>
      <w:r>
        <w:rPr>
          <w:spacing w:val="-5"/>
        </w:rPr>
        <w:t>的航运物流行业的最新研究报告，公</w:t>
      </w:r>
      <w:r>
        <w:rPr>
          <w:spacing w:val="-94"/>
        </w:rPr>
        <w:t> </w:t>
      </w:r>
      <w:r>
        <w:rPr>
          <w:spacing w:val="-94"/>
        </w:rPr>
      </w:r>
      <w:r>
        <w:rPr/>
        <w:t>司在全球集装箱船舶企业中综合运力的排名第</w:t>
      </w:r>
      <w:r>
        <w:rPr>
          <w:spacing w:val="-43"/>
        </w:rPr>
        <w:t> </w:t>
      </w:r>
      <w:r>
        <w:rPr>
          <w:rFonts w:ascii="宋体" w:hAnsi="宋体" w:cs="宋体" w:eastAsia="宋体" w:hint="default"/>
        </w:rPr>
        <w:t>17</w:t>
      </w:r>
      <w:r>
        <w:rPr>
          <w:rFonts w:ascii="宋体" w:hAnsi="宋体" w:cs="宋体" w:eastAsia="宋体" w:hint="default"/>
          <w:spacing w:val="-46"/>
        </w:rPr>
        <w:t> </w:t>
      </w:r>
      <w:r>
        <w:rPr>
          <w:spacing w:val="-6"/>
        </w:rPr>
        <w:t>位。随着公司运力规模的扩大，有效地实现了规</w:t>
      </w:r>
      <w:r>
        <w:rPr>
          <w:spacing w:val="-101"/>
        </w:rPr>
        <w:t> </w:t>
      </w:r>
      <w:r>
        <w:rPr>
          <w:spacing w:val="-101"/>
        </w:rPr>
      </w:r>
      <w:r>
        <w:rPr/>
        <w:t>模效应，降低了其物流单位成本。</w:t>
      </w:r>
    </w:p>
    <w:p>
      <w:pPr>
        <w:pStyle w:val="BodyText"/>
        <w:spacing w:line="355" w:lineRule="auto" w:before="30"/>
        <w:ind w:left="558" w:right="125"/>
        <w:jc w:val="left"/>
      </w:pPr>
      <w:r>
        <w:rPr/>
        <w:t>（</w:t>
      </w:r>
      <w:r>
        <w:rPr>
          <w:rFonts w:ascii="宋体" w:hAnsi="宋体" w:cs="宋体" w:eastAsia="宋体" w:hint="default"/>
        </w:rPr>
        <w:t>3</w:t>
      </w:r>
      <w:r>
        <w:rPr/>
        <w:t>）梯队式的船舶结构，最优船舶配置</w:t>
      </w:r>
      <w:r>
        <w:rPr>
          <w:w w:val="100"/>
        </w:rPr>
        <w:t> </w:t>
      </w:r>
      <w:r>
        <w:rPr>
          <w:spacing w:val="-2"/>
        </w:rPr>
        <w:t>安通控股旗下船舶以梯队式进行打造，以满足不同港口及不同客戶对货运的差异化需求，并</w:t>
      </w:r>
    </w:p>
    <w:p>
      <w:pPr>
        <w:pStyle w:val="BodyText"/>
        <w:spacing w:line="240" w:lineRule="auto" w:before="32"/>
        <w:ind w:left="138" w:right="0"/>
        <w:jc w:val="both"/>
      </w:pPr>
      <w:r>
        <w:rPr/>
        <w:t>有利于控制公司成本。按载重吨计，公司运营的船舶共分为</w:t>
      </w:r>
      <w:r>
        <w:rPr>
          <w:spacing w:val="-54"/>
        </w:rPr>
        <w:t> </w:t>
      </w:r>
      <w:r>
        <w:rPr>
          <w:rFonts w:ascii="宋体" w:hAnsi="宋体" w:cs="宋体" w:eastAsia="宋体" w:hint="default"/>
        </w:rPr>
        <w:t>5</w:t>
      </w:r>
      <w:r>
        <w:rPr>
          <w:rFonts w:ascii="宋体" w:hAnsi="宋体" w:cs="宋体" w:eastAsia="宋体" w:hint="default"/>
          <w:spacing w:val="-56"/>
        </w:rPr>
        <w:t> </w:t>
      </w:r>
      <w:r>
        <w:rPr/>
        <w:t>个梯队，载重吨分别为：</w:t>
      </w:r>
      <w:r>
        <w:rPr>
          <w:rFonts w:ascii="宋体" w:hAnsi="宋体" w:cs="宋体" w:eastAsia="宋体" w:hint="default"/>
        </w:rPr>
        <w:t>3,600</w:t>
      </w:r>
      <w:r>
        <w:rPr>
          <w:rFonts w:ascii="宋体" w:hAnsi="宋体" w:cs="宋体" w:eastAsia="宋体" w:hint="default"/>
          <w:spacing w:val="-54"/>
        </w:rPr>
        <w:t> </w:t>
      </w:r>
      <w:r>
        <w:rPr/>
        <w:t>吨</w:t>
      </w:r>
    </w:p>
    <w:p>
      <w:pPr>
        <w:pStyle w:val="BodyText"/>
        <w:spacing w:line="240" w:lineRule="auto" w:before="135"/>
        <w:ind w:left="138" w:right="0"/>
        <w:jc w:val="both"/>
        <w:rPr>
          <w:rFonts w:ascii="宋体" w:hAnsi="宋体" w:cs="宋体" w:eastAsia="宋体" w:hint="default"/>
        </w:rPr>
      </w:pPr>
      <w:r>
        <w:rPr>
          <w:rFonts w:ascii="宋体" w:hAnsi="宋体" w:cs="宋体" w:eastAsia="宋体" w:hint="default"/>
        </w:rPr>
        <w:t>-6,000</w:t>
      </w:r>
      <w:r>
        <w:rPr>
          <w:rFonts w:ascii="宋体" w:hAnsi="宋体" w:cs="宋体" w:eastAsia="宋体" w:hint="default"/>
          <w:spacing w:val="-54"/>
        </w:rPr>
        <w:t> </w:t>
      </w:r>
      <w:r>
        <w:rPr/>
        <w:t>吨、</w:t>
      </w:r>
      <w:r>
        <w:rPr>
          <w:rFonts w:ascii="宋体" w:hAnsi="宋体" w:cs="宋体" w:eastAsia="宋体" w:hint="default"/>
        </w:rPr>
        <w:t>6,000</w:t>
      </w:r>
      <w:r>
        <w:rPr>
          <w:rFonts w:ascii="宋体" w:hAnsi="宋体" w:cs="宋体" w:eastAsia="宋体" w:hint="default"/>
          <w:spacing w:val="-54"/>
        </w:rPr>
        <w:t> </w:t>
      </w:r>
      <w:r>
        <w:rPr/>
        <w:t>吨</w:t>
      </w:r>
      <w:r>
        <w:rPr>
          <w:rFonts w:ascii="宋体" w:hAnsi="宋体" w:cs="宋体" w:eastAsia="宋体" w:hint="default"/>
        </w:rPr>
        <w:t>-8,000</w:t>
      </w:r>
      <w:r>
        <w:rPr>
          <w:rFonts w:ascii="宋体" w:hAnsi="宋体" w:cs="宋体" w:eastAsia="宋体" w:hint="default"/>
          <w:spacing w:val="-53"/>
        </w:rPr>
        <w:t> </w:t>
      </w:r>
      <w:r>
        <w:rPr/>
        <w:t>吨、</w:t>
      </w:r>
      <w:r>
        <w:rPr>
          <w:rFonts w:ascii="宋体" w:hAnsi="宋体" w:cs="宋体" w:eastAsia="宋体" w:hint="default"/>
        </w:rPr>
        <w:t>8,000</w:t>
      </w:r>
      <w:r>
        <w:rPr>
          <w:rFonts w:ascii="宋体" w:hAnsi="宋体" w:cs="宋体" w:eastAsia="宋体" w:hint="default"/>
          <w:spacing w:val="-54"/>
        </w:rPr>
        <w:t> </w:t>
      </w:r>
      <w:r>
        <w:rPr/>
        <w:t>吨</w:t>
      </w:r>
      <w:r>
        <w:rPr>
          <w:rFonts w:ascii="宋体" w:hAnsi="宋体" w:cs="宋体" w:eastAsia="宋体" w:hint="default"/>
        </w:rPr>
        <w:t>-20,000</w:t>
      </w:r>
      <w:r>
        <w:rPr>
          <w:rFonts w:ascii="宋体" w:hAnsi="宋体" w:cs="宋体" w:eastAsia="宋体" w:hint="default"/>
          <w:spacing w:val="-56"/>
        </w:rPr>
        <w:t> </w:t>
      </w:r>
      <w:r>
        <w:rPr/>
        <w:t>吨、</w:t>
      </w:r>
      <w:r>
        <w:rPr>
          <w:rFonts w:ascii="宋体" w:hAnsi="宋体" w:cs="宋体" w:eastAsia="宋体" w:hint="default"/>
        </w:rPr>
        <w:t>20,000</w:t>
      </w:r>
      <w:r>
        <w:rPr>
          <w:rFonts w:ascii="宋体" w:hAnsi="宋体" w:cs="宋体" w:eastAsia="宋体" w:hint="default"/>
          <w:spacing w:val="-56"/>
        </w:rPr>
        <w:t> </w:t>
      </w:r>
      <w:r>
        <w:rPr/>
        <w:t>吨</w:t>
      </w:r>
      <w:r>
        <w:rPr>
          <w:rFonts w:ascii="宋体" w:hAnsi="宋体" w:cs="宋体" w:eastAsia="宋体" w:hint="default"/>
        </w:rPr>
        <w:t>-30,000</w:t>
      </w:r>
      <w:r>
        <w:rPr>
          <w:rFonts w:ascii="宋体" w:hAnsi="宋体" w:cs="宋体" w:eastAsia="宋体" w:hint="default"/>
          <w:spacing w:val="-56"/>
        </w:rPr>
        <w:t> </w:t>
      </w:r>
      <w:r>
        <w:rPr/>
        <w:t>吨、</w:t>
      </w:r>
      <w:r>
        <w:rPr>
          <w:rFonts w:ascii="宋体" w:hAnsi="宋体" w:cs="宋体" w:eastAsia="宋体" w:hint="default"/>
        </w:rPr>
        <w:t>40,000</w:t>
      </w:r>
      <w:r>
        <w:rPr>
          <w:rFonts w:ascii="宋体" w:hAnsi="宋体" w:cs="宋体" w:eastAsia="宋体" w:hint="default"/>
          <w:spacing w:val="-56"/>
        </w:rPr>
        <w:t> </w:t>
      </w:r>
      <w:r>
        <w:rPr/>
        <w:t>吨</w:t>
      </w:r>
      <w:r>
        <w:rPr>
          <w:rFonts w:ascii="宋体" w:hAnsi="宋体" w:cs="宋体" w:eastAsia="宋体" w:hint="default"/>
        </w:rPr>
        <w:t>-60,000</w:t>
      </w:r>
    </w:p>
    <w:p>
      <w:pPr>
        <w:pStyle w:val="BodyText"/>
        <w:spacing w:line="355" w:lineRule="auto" w:before="133"/>
        <w:ind w:left="138" w:right="137"/>
        <w:jc w:val="both"/>
      </w:pPr>
      <w:r>
        <w:rPr>
          <w:spacing w:val="-2"/>
        </w:rPr>
        <w:t>吨。合理的船舶梯队分布以及贴合内贸物流运输特点的船型设计，使公司可以灵活根据承运货物</w:t>
      </w:r>
      <w:r>
        <w:rPr>
          <w:spacing w:val="-25"/>
        </w:rPr>
        <w:t> </w:t>
      </w:r>
      <w:r>
        <w:rPr>
          <w:spacing w:val="-25"/>
        </w:rPr>
      </w:r>
      <w:r>
        <w:rPr>
          <w:spacing w:val="-2"/>
        </w:rPr>
        <w:t>量、货运航线等因素调配合理船舶资源；并且扩大航线覆盖区域向内陆支线航道地区延伸，迎合</w:t>
      </w:r>
      <w:r>
        <w:rPr>
          <w:spacing w:val="-25"/>
        </w:rPr>
        <w:t> </w:t>
      </w:r>
      <w:r>
        <w:rPr>
          <w:spacing w:val="-25"/>
        </w:rPr>
      </w:r>
      <w:r>
        <w:rPr/>
        <w:t>市场多元化需求；同时也能尽量规避单一航线波动对公司带来的冲击。</w:t>
      </w:r>
    </w:p>
    <w:p>
      <w:pPr>
        <w:pStyle w:val="BodyText"/>
        <w:spacing w:line="357" w:lineRule="auto" w:before="32"/>
        <w:ind w:left="558" w:right="125"/>
        <w:jc w:val="left"/>
      </w:pPr>
      <w:r>
        <w:rPr/>
        <w:t>（</w:t>
      </w:r>
      <w:r>
        <w:rPr>
          <w:rFonts w:ascii="宋体" w:hAnsi="宋体" w:cs="宋体" w:eastAsia="宋体" w:hint="default"/>
        </w:rPr>
        <w:t>4</w:t>
      </w:r>
      <w:r>
        <w:rPr/>
        <w:t>）节能化设计下的新型集装箱运输船舶</w:t>
      </w:r>
      <w:r>
        <w:rPr>
          <w:w w:val="100"/>
        </w:rPr>
        <w:t> </w:t>
      </w:r>
      <w:r>
        <w:rPr>
          <w:spacing w:val="-2"/>
        </w:rPr>
        <w:t>公司秉承“节能环保”经营管理理念，投入匹配个性化和差异化需求、节能减排的新型绿色</w:t>
      </w:r>
    </w:p>
    <w:p>
      <w:pPr>
        <w:pStyle w:val="BodyText"/>
        <w:spacing w:line="357" w:lineRule="auto" w:before="30"/>
        <w:ind w:left="138" w:right="130"/>
        <w:jc w:val="both"/>
      </w:pPr>
      <w:r>
        <w:rPr>
          <w:spacing w:val="-2"/>
        </w:rPr>
        <w:t>内贸集装箱船舶，在降低船舶油料消耗的同时，提高了船舶营运效益。目前，多艘船舶通过了中</w:t>
      </w:r>
      <w:r>
        <w:rPr>
          <w:spacing w:val="-25"/>
        </w:rPr>
        <w:t> </w:t>
      </w:r>
      <w:r>
        <w:rPr>
          <w:spacing w:val="-25"/>
        </w:rPr>
      </w:r>
      <w:r>
        <w:rPr>
          <w:spacing w:val="-5"/>
        </w:rPr>
        <w:t>国船级社绿色船型评估，并获得</w:t>
      </w:r>
      <w:r>
        <w:rPr>
          <w:spacing w:val="-24"/>
        </w:rPr>
        <w:t> </w:t>
      </w:r>
      <w:r>
        <w:rPr>
          <w:rFonts w:ascii="宋体" w:hAnsi="宋体" w:cs="宋体" w:eastAsia="宋体" w:hint="default"/>
        </w:rPr>
        <w:t>EEDI</w:t>
      </w:r>
      <w:r>
        <w:rPr>
          <w:rFonts w:ascii="宋体" w:hAnsi="宋体" w:cs="宋体" w:eastAsia="宋体" w:hint="default"/>
          <w:spacing w:val="-24"/>
        </w:rPr>
        <w:t> </w:t>
      </w:r>
      <w:r>
        <w:rPr>
          <w:spacing w:val="-4"/>
        </w:rPr>
        <w:t>设计能效附加标志入级证书。在国家对船舶运输企业淘汰船</w:t>
      </w:r>
      <w:r>
        <w:rPr>
          <w:spacing w:val="-93"/>
        </w:rPr>
        <w:t> </w:t>
      </w:r>
      <w:r>
        <w:rPr>
          <w:spacing w:val="-93"/>
        </w:rPr>
      </w:r>
      <w:r>
        <w:rPr>
          <w:spacing w:val="-2"/>
        </w:rPr>
        <w:t>舶的拆解提供优惠补贴政策的背景下，安通控股也在不断根据自身业务发展需求及运营成本控制</w:t>
      </w:r>
      <w:r>
        <w:rPr>
          <w:spacing w:val="-25"/>
        </w:rPr>
        <w:t> </w:t>
      </w:r>
      <w:r>
        <w:rPr>
          <w:spacing w:val="-25"/>
        </w:rPr>
      </w:r>
      <w:r>
        <w:rPr>
          <w:spacing w:val="-7"/>
        </w:rPr>
        <w:t>等因素，合理规划运输船舶设备更新，推动船队结构向“高效低耗、低排放、低污染”方向转型。</w:t>
      </w:r>
    </w:p>
    <w:p>
      <w:pPr>
        <w:pStyle w:val="BodyText"/>
        <w:spacing w:line="240" w:lineRule="auto" w:before="30"/>
        <w:ind w:left="558" w:right="125"/>
        <w:jc w:val="left"/>
      </w:pPr>
      <w:r>
        <w:rPr>
          <w:rFonts w:ascii="宋体" w:hAnsi="宋体" w:cs="宋体" w:eastAsia="宋体" w:hint="default"/>
        </w:rPr>
        <w:t>2</w:t>
      </w:r>
      <w:r>
        <w:rPr/>
        <w:t>、营运优势</w:t>
      </w:r>
    </w:p>
    <w:p>
      <w:pPr>
        <w:pStyle w:val="BodyText"/>
        <w:spacing w:line="355" w:lineRule="auto" w:before="133"/>
        <w:ind w:left="558" w:right="125"/>
        <w:jc w:val="left"/>
      </w:pPr>
      <w:r>
        <w:rPr/>
        <w:t>（</w:t>
      </w:r>
      <w:r>
        <w:rPr>
          <w:rFonts w:ascii="宋体" w:hAnsi="宋体" w:cs="宋体" w:eastAsia="宋体" w:hint="default"/>
        </w:rPr>
        <w:t>1</w:t>
      </w:r>
      <w:r>
        <w:rPr/>
        <w:t>）高效的运营管理体系</w:t>
      </w:r>
      <w:r>
        <w:rPr>
          <w:w w:val="100"/>
        </w:rPr>
        <w:t> </w:t>
      </w:r>
      <w:r>
        <w:rPr>
          <w:spacing w:val="-2"/>
        </w:rPr>
        <w:t>集装箱内物流运输服务受天气变化、港口班轮管制、港口货物吞吐量等客观因素影响，船期</w:t>
      </w:r>
    </w:p>
    <w:p>
      <w:pPr>
        <w:pStyle w:val="BodyText"/>
        <w:spacing w:line="357" w:lineRule="auto" w:before="32"/>
        <w:ind w:left="138" w:right="137"/>
        <w:jc w:val="both"/>
      </w:pPr>
      <w:r>
        <w:rPr>
          <w:spacing w:val="-2"/>
        </w:rPr>
        <w:t>准点率普遍不高。公司凭借多年经营内贸集装箱物流的经验和高效的多式联运布局，坚持科学调</w:t>
      </w:r>
      <w:r>
        <w:rPr>
          <w:spacing w:val="-25"/>
        </w:rPr>
        <w:t> </w:t>
      </w:r>
      <w:r>
        <w:rPr>
          <w:spacing w:val="-25"/>
        </w:rPr>
      </w:r>
      <w:r>
        <w:rPr>
          <w:spacing w:val="-2"/>
        </w:rPr>
        <w:t>度、多方联动，近几年公司班轮运输准点率平稳保持在业内较高水平。此外，安通控股多年来注</w:t>
      </w:r>
      <w:r>
        <w:rPr>
          <w:spacing w:val="-25"/>
        </w:rPr>
        <w:t> </w:t>
      </w:r>
      <w:r>
        <w:rPr>
          <w:spacing w:val="-25"/>
        </w:rPr>
      </w:r>
      <w:r>
        <w:rPr>
          <w:spacing w:val="-2"/>
        </w:rPr>
        <w:t>重内部员工的专业化培训和技能提升，并建立了与业务运营相匹配的管理制度，加强各物流环节</w:t>
      </w:r>
      <w:r>
        <w:rPr>
          <w:spacing w:val="-25"/>
        </w:rPr>
        <w:t> </w:t>
      </w:r>
      <w:r>
        <w:rPr>
          <w:spacing w:val="-25"/>
        </w:rPr>
      </w:r>
      <w:r>
        <w:rPr/>
        <w:t>的管控与协调，有效保障了货物的安全，降低了公司整体经营风险，也保障了投资者利益。</w:t>
      </w:r>
    </w:p>
    <w:p>
      <w:pPr>
        <w:pStyle w:val="BodyText"/>
        <w:spacing w:line="240" w:lineRule="auto" w:before="30"/>
        <w:ind w:left="558" w:right="125"/>
        <w:jc w:val="left"/>
      </w:pPr>
      <w:r>
        <w:rPr/>
        <w:t>（</w:t>
      </w:r>
      <w:r>
        <w:rPr>
          <w:rFonts w:ascii="宋体" w:hAnsi="宋体" w:cs="宋体" w:eastAsia="宋体" w:hint="default"/>
        </w:rPr>
        <w:t>2</w:t>
      </w:r>
      <w:r>
        <w:rPr/>
        <w:t>）创新的物流服务模式</w:t>
      </w:r>
    </w:p>
    <w:p>
      <w:pPr>
        <w:spacing w:after="0" w:line="240" w:lineRule="auto"/>
        <w:jc w:val="left"/>
        <w:sectPr>
          <w:footerReference w:type="default" r:id="rId10"/>
          <w:pgSz w:w="11910" w:h="16840"/>
          <w:pgMar w:footer="1195" w:header="880" w:top="1120" w:bottom="1380" w:left="1660" w:right="1140"/>
        </w:sectPr>
      </w:pPr>
    </w:p>
    <w:p>
      <w:pPr>
        <w:spacing w:line="240" w:lineRule="auto" w:before="4"/>
        <w:rPr>
          <w:rFonts w:ascii="宋体" w:hAnsi="宋体" w:cs="宋体" w:eastAsia="宋体" w:hint="default"/>
          <w:sz w:val="25"/>
          <w:szCs w:val="25"/>
        </w:rPr>
      </w:pPr>
    </w:p>
    <w:p>
      <w:pPr>
        <w:pStyle w:val="BodyText"/>
        <w:spacing w:line="357" w:lineRule="auto" w:before="36"/>
        <w:ind w:left="138" w:right="217" w:firstLine="419"/>
        <w:jc w:val="both"/>
      </w:pPr>
      <w:r>
        <w:rPr>
          <w:spacing w:val="-2"/>
        </w:rPr>
        <w:t>安通控股适时把握移动互联网发展潮流，搭建了综合物流信息化平台，对产业上下游进行高</w:t>
      </w:r>
      <w:r>
        <w:rPr>
          <w:w w:val="100"/>
        </w:rPr>
        <w:t> </w:t>
      </w:r>
      <w:r>
        <w:rPr>
          <w:spacing w:val="-2"/>
        </w:rPr>
        <w:t>效整合，通过与港口码头、合作客户、供应商以及金融机构等物流相关参与方共享信息，提升与</w:t>
      </w:r>
      <w:r>
        <w:rPr>
          <w:spacing w:val="-25"/>
        </w:rPr>
        <w:t> </w:t>
      </w:r>
      <w:r>
        <w:rPr>
          <w:spacing w:val="-25"/>
        </w:rPr>
      </w:r>
      <w:r>
        <w:rPr>
          <w:spacing w:val="-2"/>
        </w:rPr>
        <w:t>各方的业务协同指数，提高了整体物流效率。同时，打造了创新性的指尖物流服务平台，实现传</w:t>
      </w:r>
      <w:r>
        <w:rPr>
          <w:spacing w:val="-25"/>
        </w:rPr>
        <w:t> </w:t>
      </w:r>
      <w:r>
        <w:rPr>
          <w:spacing w:val="-25"/>
        </w:rPr>
      </w:r>
      <w:r>
        <w:rPr>
          <w:spacing w:val="-2"/>
        </w:rPr>
        <w:t>统互联网与移动互联网的有效结合，客户可通过手机移动端轻松进行运价查询、网上订舱、支付</w:t>
      </w:r>
      <w:r>
        <w:rPr>
          <w:spacing w:val="-25"/>
        </w:rPr>
        <w:t> </w:t>
      </w:r>
      <w:r>
        <w:rPr>
          <w:spacing w:val="-25"/>
        </w:rPr>
      </w:r>
      <w:r>
        <w:rPr>
          <w:spacing w:val="-2"/>
        </w:rPr>
        <w:t>结算、货物跟踪等服务，体验更优质的、更便捷的服务模式和沟通方式。目前该平台已经处于推</w:t>
      </w:r>
      <w:r>
        <w:rPr>
          <w:spacing w:val="-25"/>
        </w:rPr>
        <w:t> </w:t>
      </w:r>
      <w:r>
        <w:rPr>
          <w:spacing w:val="-25"/>
        </w:rPr>
      </w:r>
      <w:r>
        <w:rPr>
          <w:spacing w:val="-2"/>
        </w:rPr>
        <w:t>广和应用阶段，在物流的各个环节实现了可视、可控，大大降低业务经营风险，同时，依托信息</w:t>
      </w:r>
      <w:r>
        <w:rPr>
          <w:spacing w:val="-25"/>
        </w:rPr>
        <w:t> </w:t>
      </w:r>
      <w:r>
        <w:rPr>
          <w:spacing w:val="-25"/>
        </w:rPr>
      </w:r>
      <w:r>
        <w:rPr/>
        <w:t>化平台公司也能够衍生出其他高附加值的业务模式。</w:t>
      </w:r>
    </w:p>
    <w:p>
      <w:pPr>
        <w:pStyle w:val="BodyText"/>
        <w:spacing w:line="357" w:lineRule="auto" w:before="30"/>
        <w:ind w:left="558" w:right="104"/>
        <w:jc w:val="left"/>
      </w:pPr>
      <w:r>
        <w:rPr>
          <w:rFonts w:ascii="宋体" w:hAnsi="宋体" w:cs="宋体" w:eastAsia="宋体" w:hint="default"/>
        </w:rPr>
        <w:t>3</w:t>
      </w:r>
      <w:r>
        <w:rPr/>
        <w:t>、物流网络优势</w:t>
      </w:r>
      <w:r>
        <w:rPr>
          <w:w w:val="100"/>
        </w:rPr>
        <w:t> </w:t>
      </w:r>
      <w:r>
        <w:rPr>
          <w:spacing w:val="-2"/>
        </w:rPr>
        <w:t>公司根据客户的集装箱运输需求，建立了广阔的多式物流网络，目前已建成“覆盖沿海、沿</w:t>
      </w:r>
    </w:p>
    <w:p>
      <w:pPr>
        <w:pStyle w:val="BodyText"/>
        <w:spacing w:line="240" w:lineRule="auto" w:before="30"/>
        <w:ind w:left="138" w:right="104"/>
        <w:jc w:val="left"/>
      </w:pPr>
      <w:r>
        <w:rPr>
          <w:spacing w:val="-9"/>
        </w:rPr>
        <w:t>江，纵深内陆”的业务网络布局形态。截至</w:t>
      </w:r>
      <w:r>
        <w:rPr>
          <w:spacing w:val="-45"/>
        </w:rPr>
        <w:t> </w:t>
      </w:r>
      <w:r>
        <w:rPr>
          <w:rFonts w:ascii="宋体" w:hAnsi="宋体" w:cs="宋体" w:eastAsia="宋体" w:hint="default"/>
        </w:rPr>
        <w:t>2017</w:t>
      </w:r>
      <w:r>
        <w:rPr>
          <w:rFonts w:ascii="宋体" w:hAnsi="宋体" w:cs="宋体" w:eastAsia="宋体" w:hint="default"/>
          <w:spacing w:val="-48"/>
        </w:rPr>
        <w:t> </w:t>
      </w:r>
      <w:r>
        <w:rPr/>
        <w:t>年</w:t>
      </w:r>
      <w:r>
        <w:rPr>
          <w:spacing w:val="-44"/>
        </w:rPr>
        <w:t> </w:t>
      </w:r>
      <w:r>
        <w:rPr>
          <w:rFonts w:ascii="宋体" w:hAnsi="宋体" w:cs="宋体" w:eastAsia="宋体" w:hint="default"/>
        </w:rPr>
        <w:t>12</w:t>
      </w:r>
      <w:r>
        <w:rPr>
          <w:rFonts w:ascii="宋体" w:hAnsi="宋体" w:cs="宋体" w:eastAsia="宋体" w:hint="default"/>
          <w:spacing w:val="-48"/>
        </w:rPr>
        <w:t> </w:t>
      </w:r>
      <w:r>
        <w:rPr/>
        <w:t>月</w:t>
      </w:r>
      <w:r>
        <w:rPr>
          <w:spacing w:val="-45"/>
        </w:rPr>
        <w:t> </w:t>
      </w:r>
      <w:r>
        <w:rPr>
          <w:rFonts w:ascii="宋体" w:hAnsi="宋体" w:cs="宋体" w:eastAsia="宋体" w:hint="default"/>
        </w:rPr>
        <w:t>31</w:t>
      </w:r>
      <w:r>
        <w:rPr>
          <w:rFonts w:ascii="宋体" w:hAnsi="宋体" w:cs="宋体" w:eastAsia="宋体" w:hint="default"/>
          <w:spacing w:val="-48"/>
        </w:rPr>
        <w:t> </w:t>
      </w:r>
      <w:r>
        <w:rPr>
          <w:spacing w:val="-7"/>
        </w:rPr>
        <w:t>日，公司在全国设立海运网点</w:t>
      </w:r>
      <w:r>
        <w:rPr>
          <w:spacing w:val="-45"/>
        </w:rPr>
        <w:t> </w:t>
      </w:r>
      <w:r>
        <w:rPr>
          <w:rFonts w:ascii="宋体" w:hAnsi="宋体" w:cs="宋体" w:eastAsia="宋体" w:hint="default"/>
        </w:rPr>
        <w:t>89</w:t>
      </w:r>
      <w:r>
        <w:rPr>
          <w:rFonts w:ascii="宋体" w:hAnsi="宋体" w:cs="宋体" w:eastAsia="宋体" w:hint="default"/>
          <w:spacing w:val="-45"/>
        </w:rPr>
        <w:t> </w:t>
      </w:r>
      <w:r>
        <w:rPr>
          <w:spacing w:val="-3"/>
        </w:rPr>
        <w:t>个，</w:t>
      </w:r>
      <w:r>
        <w:rPr/>
      </w:r>
    </w:p>
    <w:p>
      <w:pPr>
        <w:pStyle w:val="BodyText"/>
        <w:spacing w:line="240" w:lineRule="auto" w:before="135"/>
        <w:ind w:left="138" w:right="104"/>
        <w:jc w:val="left"/>
        <w:rPr>
          <w:rFonts w:ascii="宋体" w:hAnsi="宋体" w:cs="宋体" w:eastAsia="宋体" w:hint="default"/>
        </w:rPr>
      </w:pPr>
      <w:r>
        <w:rPr/>
        <w:t>涉及业务口岸</w:t>
      </w:r>
      <w:r>
        <w:rPr>
          <w:spacing w:val="-54"/>
        </w:rPr>
        <w:t> </w:t>
      </w:r>
      <w:r>
        <w:rPr>
          <w:rFonts w:ascii="宋体" w:hAnsi="宋体" w:cs="宋体" w:eastAsia="宋体" w:hint="default"/>
        </w:rPr>
        <w:t>148</w:t>
      </w:r>
      <w:r>
        <w:rPr>
          <w:rFonts w:ascii="宋体" w:hAnsi="宋体" w:cs="宋体" w:eastAsia="宋体" w:hint="default"/>
          <w:spacing w:val="-54"/>
        </w:rPr>
        <w:t> </w:t>
      </w:r>
      <w:r>
        <w:rPr/>
        <w:t>个，设立铁路网点</w:t>
      </w:r>
      <w:r>
        <w:rPr>
          <w:spacing w:val="-53"/>
        </w:rPr>
        <w:t> </w:t>
      </w:r>
      <w:r>
        <w:rPr>
          <w:rFonts w:ascii="宋体" w:hAnsi="宋体" w:cs="宋体" w:eastAsia="宋体" w:hint="default"/>
        </w:rPr>
        <w:t>18</w:t>
      </w:r>
      <w:r>
        <w:rPr>
          <w:rFonts w:ascii="宋体" w:hAnsi="宋体" w:cs="宋体" w:eastAsia="宋体" w:hint="default"/>
          <w:spacing w:val="-56"/>
        </w:rPr>
        <w:t> </w:t>
      </w:r>
      <w:r>
        <w:rPr/>
        <w:t>个，涉及业务铁路站点</w:t>
      </w:r>
      <w:r>
        <w:rPr>
          <w:spacing w:val="-54"/>
        </w:rPr>
        <w:t> </w:t>
      </w:r>
      <w:r>
        <w:rPr>
          <w:rFonts w:ascii="宋体" w:hAnsi="宋体" w:cs="宋体" w:eastAsia="宋体" w:hint="default"/>
        </w:rPr>
        <w:t>527</w:t>
      </w:r>
      <w:r>
        <w:rPr>
          <w:rFonts w:ascii="宋体" w:hAnsi="宋体" w:cs="宋体" w:eastAsia="宋体" w:hint="default"/>
          <w:spacing w:val="-56"/>
        </w:rPr>
        <w:t> </w:t>
      </w:r>
      <w:r>
        <w:rPr/>
        <w:t>个，铁路服务覆盖</w:t>
      </w:r>
      <w:r>
        <w:rPr>
          <w:spacing w:val="-53"/>
        </w:rPr>
        <w:t> </w:t>
      </w:r>
      <w:r>
        <w:rPr>
          <w:rFonts w:ascii="宋体" w:hAnsi="宋体" w:cs="宋体" w:eastAsia="宋体" w:hint="default"/>
        </w:rPr>
        <w:t>31</w:t>
      </w:r>
      <w:r>
        <w:rPr>
          <w:rFonts w:ascii="宋体" w:hAnsi="宋体" w:cs="宋体" w:eastAsia="宋体" w:hint="default"/>
          <w:spacing w:val="-54"/>
        </w:rPr>
        <w:t> </w:t>
      </w:r>
      <w:r>
        <w:rPr/>
        <w:t>省</w:t>
      </w:r>
      <w:r>
        <w:rPr>
          <w:spacing w:val="-56"/>
        </w:rPr>
        <w:t> </w:t>
      </w:r>
      <w:r>
        <w:rPr>
          <w:rFonts w:ascii="宋体" w:hAnsi="宋体" w:cs="宋体" w:eastAsia="宋体" w:hint="default"/>
        </w:rPr>
        <w:t>65</w:t>
      </w:r>
    </w:p>
    <w:p>
      <w:pPr>
        <w:pStyle w:val="BodyText"/>
        <w:spacing w:line="355" w:lineRule="auto" w:before="133"/>
        <w:ind w:left="138" w:right="220"/>
        <w:jc w:val="left"/>
      </w:pPr>
      <w:r>
        <w:rPr/>
        <w:t>城市，设立拼箱网点</w:t>
      </w:r>
      <w:r>
        <w:rPr>
          <w:spacing w:val="-55"/>
        </w:rPr>
        <w:t> </w:t>
      </w:r>
      <w:r>
        <w:rPr>
          <w:rFonts w:ascii="宋体" w:hAnsi="宋体" w:cs="宋体" w:eastAsia="宋体" w:hint="default"/>
        </w:rPr>
        <w:t>16</w:t>
      </w:r>
      <w:r>
        <w:rPr>
          <w:rFonts w:ascii="宋体" w:hAnsi="宋体" w:cs="宋体" w:eastAsia="宋体" w:hint="default"/>
          <w:spacing w:val="-57"/>
        </w:rPr>
        <w:t> </w:t>
      </w:r>
      <w:r>
        <w:rPr/>
        <w:t>个，仓储资源近</w:t>
      </w:r>
      <w:r>
        <w:rPr>
          <w:spacing w:val="-55"/>
        </w:rPr>
        <w:t> </w:t>
      </w:r>
      <w:r>
        <w:rPr>
          <w:rFonts w:ascii="宋体" w:hAnsi="宋体" w:cs="宋体" w:eastAsia="宋体" w:hint="default"/>
        </w:rPr>
        <w:t>70,000</w:t>
      </w:r>
      <w:r>
        <w:rPr>
          <w:rFonts w:ascii="宋体" w:hAnsi="宋体" w:cs="宋体" w:eastAsia="宋体" w:hint="default"/>
          <w:spacing w:val="-55"/>
        </w:rPr>
        <w:t> </w:t>
      </w:r>
      <w:r>
        <w:rPr/>
        <w:t>㎡。公司通过强力整合“水路、铁路、公路”多</w:t>
      </w:r>
      <w:r>
        <w:rPr>
          <w:w w:val="100"/>
        </w:rPr>
        <w:t> </w:t>
      </w:r>
      <w:r>
        <w:rPr/>
        <w:t>式联运资源，现已形成多层次，广覆盖的物流网络资源。</w:t>
      </w:r>
    </w:p>
    <w:p>
      <w:pPr>
        <w:pStyle w:val="BodyText"/>
        <w:spacing w:line="240" w:lineRule="auto" w:before="32"/>
        <w:ind w:left="558" w:right="104"/>
        <w:jc w:val="left"/>
      </w:pPr>
      <w:r>
        <w:rPr>
          <w:rFonts w:ascii="宋体" w:hAnsi="宋体" w:cs="宋体" w:eastAsia="宋体" w:hint="default"/>
        </w:rPr>
        <w:t>4</w:t>
      </w:r>
      <w:r>
        <w:rPr/>
        <w:t>、品牌优势</w:t>
      </w:r>
    </w:p>
    <w:p>
      <w:pPr>
        <w:pStyle w:val="BodyText"/>
        <w:spacing w:line="357" w:lineRule="auto" w:before="133"/>
        <w:ind w:left="138" w:right="208" w:firstLine="419"/>
        <w:jc w:val="both"/>
      </w:pPr>
      <w:r>
        <w:rPr>
          <w:spacing w:val="-5"/>
        </w:rPr>
        <w:t>安通控股旗下目前拥有多家全资子公司，其中，安通物流是全国 </w:t>
      </w:r>
      <w:r>
        <w:rPr>
          <w:rFonts w:ascii="宋体" w:hAnsi="宋体" w:cs="宋体" w:eastAsia="宋体" w:hint="default"/>
        </w:rPr>
        <w:t>5A</w:t>
      </w:r>
      <w:r>
        <w:rPr>
          <w:rFonts w:ascii="宋体" w:hAnsi="宋体" w:cs="宋体" w:eastAsia="宋体" w:hint="default"/>
          <w:spacing w:val="-67"/>
        </w:rPr>
        <w:t> </w:t>
      </w:r>
      <w:r>
        <w:rPr/>
        <w:t>级物流企业和全国物流行</w:t>
      </w:r>
      <w:r>
        <w:rPr>
          <w:w w:val="100"/>
        </w:rPr>
        <w:t> </w:t>
      </w:r>
      <w:r>
        <w:rPr>
          <w:spacing w:val="-2"/>
        </w:rPr>
        <w:t>业先进集体，安盛船务是国内水路运输龙头企业，在行业内拥有广泛的影响力。基于良好的品牌</w:t>
      </w:r>
      <w:r>
        <w:rPr>
          <w:spacing w:val="-25"/>
        </w:rPr>
        <w:t> </w:t>
      </w:r>
      <w:r>
        <w:rPr>
          <w:spacing w:val="-25"/>
        </w:rPr>
      </w:r>
      <w:r>
        <w:rPr/>
        <w:t>效应，安通控股能有力地提升资源整合能力和业务拓展能力，带动服务价值的提升。</w:t>
      </w:r>
    </w:p>
    <w:p>
      <w:pPr>
        <w:spacing w:line="240" w:lineRule="auto" w:before="9"/>
        <w:rPr>
          <w:rFonts w:ascii="宋体" w:hAnsi="宋体" w:cs="宋体" w:eastAsia="宋体" w:hint="default"/>
          <w:sz w:val="26"/>
          <w:szCs w:val="26"/>
        </w:rPr>
      </w:pPr>
    </w:p>
    <w:p>
      <w:pPr>
        <w:pStyle w:val="Heading1"/>
        <w:tabs>
          <w:tab w:pos="1259" w:val="left" w:leader="none"/>
        </w:tabs>
        <w:spacing w:line="240" w:lineRule="auto"/>
        <w:ind w:right="77"/>
        <w:jc w:val="center"/>
        <w:rPr>
          <w:b w:val="0"/>
          <w:bCs w:val="0"/>
        </w:rPr>
      </w:pPr>
      <w:bookmarkStart w:name="_TOC_250008" w:id="4"/>
      <w:r>
        <w:rPr>
          <w:w w:val="95"/>
        </w:rPr>
        <w:t>第四节</w:t>
        <w:tab/>
      </w:r>
      <w:r>
        <w:rPr/>
        <w:t>经营情况讨论与分析</w:t>
      </w:r>
      <w:bookmarkEnd w:id="4"/>
      <w:r>
        <w:rPr>
          <w:b w:val="0"/>
          <w:bCs w:val="0"/>
        </w:rPr>
      </w:r>
    </w:p>
    <w:p>
      <w:pPr>
        <w:pStyle w:val="Heading2"/>
        <w:spacing w:line="240" w:lineRule="auto" w:before="250"/>
        <w:ind w:left="138" w:right="104"/>
        <w:jc w:val="left"/>
        <w:rPr>
          <w:b w:val="0"/>
          <w:bCs w:val="0"/>
        </w:rPr>
      </w:pPr>
      <w:r>
        <w:rPr/>
        <w:t>一、经营情况讨论与分析</w:t>
      </w:r>
      <w:r>
        <w:rPr>
          <w:b w:val="0"/>
          <w:bCs w:val="0"/>
        </w:rPr>
      </w:r>
    </w:p>
    <w:p>
      <w:pPr>
        <w:spacing w:line="357" w:lineRule="auto" w:before="61"/>
        <w:ind w:left="138" w:right="231" w:firstLine="419"/>
        <w:jc w:val="both"/>
        <w:rPr>
          <w:rFonts w:ascii="宋体" w:hAnsi="宋体" w:cs="宋体" w:eastAsia="宋体" w:hint="default"/>
          <w:sz w:val="20"/>
          <w:szCs w:val="20"/>
        </w:rPr>
      </w:pPr>
      <w:r>
        <w:rPr>
          <w:rFonts w:ascii="宋体" w:hAnsi="宋体" w:cs="宋体" w:eastAsia="宋体" w:hint="default"/>
          <w:w w:val="95"/>
          <w:sz w:val="20"/>
          <w:szCs w:val="20"/>
        </w:rPr>
        <w:t>2017</w:t>
      </w:r>
      <w:r>
        <w:rPr>
          <w:rFonts w:ascii="宋体" w:hAnsi="宋体" w:cs="宋体" w:eastAsia="宋体" w:hint="default"/>
          <w:w w:val="95"/>
          <w:sz w:val="20"/>
          <w:szCs w:val="20"/>
        </w:rPr>
        <w:t>年，是全面落实“十三五”战略规划的关键年，是供给侧结构性改革的深化之年，集装箱运</w:t>
      </w:r>
      <w:r>
        <w:rPr>
          <w:rFonts w:ascii="宋体" w:hAnsi="宋体" w:cs="宋体" w:eastAsia="宋体" w:hint="default"/>
          <w:w w:val="99"/>
          <w:sz w:val="20"/>
          <w:szCs w:val="20"/>
        </w:rPr>
        <w:t> </w:t>
      </w:r>
      <w:r>
        <w:rPr>
          <w:rFonts w:ascii="宋体" w:hAnsi="宋体" w:cs="宋体" w:eastAsia="宋体" w:hint="default"/>
          <w:sz w:val="20"/>
          <w:szCs w:val="20"/>
        </w:rPr>
        <w:t>输及中国物流业正经历深远的变化：</w:t>
      </w:r>
    </w:p>
    <w:p>
      <w:pPr>
        <w:spacing w:line="357" w:lineRule="auto" w:before="29"/>
        <w:ind w:left="138" w:right="219" w:firstLine="400"/>
        <w:jc w:val="right"/>
        <w:rPr>
          <w:rFonts w:ascii="宋体" w:hAnsi="宋体" w:cs="宋体" w:eastAsia="宋体" w:hint="default"/>
          <w:sz w:val="20"/>
          <w:szCs w:val="20"/>
        </w:rPr>
      </w:pPr>
      <w:r>
        <w:rPr>
          <w:rFonts w:ascii="宋体" w:hAnsi="宋体" w:cs="宋体" w:eastAsia="宋体" w:hint="default"/>
          <w:w w:val="95"/>
          <w:sz w:val="20"/>
          <w:szCs w:val="20"/>
        </w:rPr>
        <w:t>1</w:t>
      </w:r>
      <w:r>
        <w:rPr>
          <w:rFonts w:ascii="宋体" w:hAnsi="宋体" w:cs="宋体" w:eastAsia="宋体" w:hint="default"/>
          <w:w w:val="95"/>
          <w:sz w:val="20"/>
          <w:szCs w:val="20"/>
        </w:rPr>
        <w:t>、</w:t>
      </w:r>
      <w:r>
        <w:rPr>
          <w:rFonts w:ascii="宋体" w:hAnsi="宋体" w:cs="宋体" w:eastAsia="宋体" w:hint="default"/>
          <w:w w:val="95"/>
          <w:sz w:val="20"/>
          <w:szCs w:val="20"/>
        </w:rPr>
        <w:t>2017</w:t>
      </w:r>
      <w:r>
        <w:rPr>
          <w:rFonts w:ascii="宋体" w:hAnsi="宋体" w:cs="宋体" w:eastAsia="宋体" w:hint="default"/>
          <w:w w:val="95"/>
          <w:sz w:val="20"/>
          <w:szCs w:val="20"/>
        </w:rPr>
        <w:t>年沿海集装箱运价指数均值</w:t>
      </w:r>
      <w:r>
        <w:rPr>
          <w:rFonts w:ascii="宋体" w:hAnsi="宋体" w:cs="宋体" w:eastAsia="宋体" w:hint="default"/>
          <w:w w:val="95"/>
          <w:sz w:val="20"/>
          <w:szCs w:val="20"/>
        </w:rPr>
        <w:t>766.5</w:t>
      </w:r>
      <w:r>
        <w:rPr>
          <w:rFonts w:ascii="宋体" w:hAnsi="宋体" w:cs="宋体" w:eastAsia="宋体" w:hint="default"/>
          <w:w w:val="95"/>
          <w:sz w:val="20"/>
          <w:szCs w:val="20"/>
        </w:rPr>
        <w:t>，同比增长</w:t>
      </w:r>
      <w:r>
        <w:rPr>
          <w:rFonts w:ascii="宋体" w:hAnsi="宋体" w:cs="宋体" w:eastAsia="宋体" w:hint="default"/>
          <w:w w:val="95"/>
          <w:sz w:val="20"/>
          <w:szCs w:val="20"/>
        </w:rPr>
        <w:t>3.5%</w:t>
      </w:r>
      <w:r>
        <w:rPr>
          <w:rFonts w:ascii="宋体" w:hAnsi="宋体" w:cs="宋体" w:eastAsia="宋体" w:hint="default"/>
          <w:w w:val="95"/>
          <w:sz w:val="20"/>
          <w:szCs w:val="20"/>
        </w:rPr>
        <w:t>，运价整体在低位徘徊，内贸集装箱物</w:t>
      </w:r>
      <w:r>
        <w:rPr>
          <w:rFonts w:ascii="宋体" w:hAnsi="宋体" w:cs="宋体" w:eastAsia="宋体" w:hint="default"/>
          <w:w w:val="99"/>
          <w:sz w:val="20"/>
          <w:szCs w:val="20"/>
        </w:rPr>
        <w:t> </w:t>
      </w:r>
      <w:r>
        <w:rPr>
          <w:rFonts w:ascii="宋体" w:hAnsi="宋体" w:cs="宋体" w:eastAsia="宋体" w:hint="default"/>
          <w:w w:val="95"/>
          <w:sz w:val="20"/>
          <w:szCs w:val="20"/>
        </w:rPr>
        <w:t>流三足鼎立的竞争格局依旧，单一依靠集装箱海运经营方式的物流主体将持续面临市场的波动和不确</w:t>
      </w:r>
      <w:r>
        <w:rPr>
          <w:rFonts w:ascii="宋体" w:hAnsi="宋体" w:cs="宋体" w:eastAsia="宋体" w:hint="default"/>
          <w:spacing w:val="12"/>
          <w:w w:val="95"/>
          <w:sz w:val="20"/>
          <w:szCs w:val="20"/>
        </w:rPr>
        <w:t> </w:t>
      </w:r>
      <w:r>
        <w:rPr>
          <w:rFonts w:ascii="宋体" w:hAnsi="宋体" w:cs="宋体" w:eastAsia="宋体" w:hint="default"/>
          <w:spacing w:val="12"/>
          <w:w w:val="95"/>
          <w:sz w:val="20"/>
          <w:szCs w:val="20"/>
        </w:rPr>
      </w:r>
      <w:r>
        <w:rPr>
          <w:rFonts w:ascii="宋体" w:hAnsi="宋体" w:cs="宋体" w:eastAsia="宋体" w:hint="default"/>
          <w:spacing w:val="-4"/>
          <w:sz w:val="20"/>
          <w:szCs w:val="20"/>
        </w:rPr>
        <w:t>定性，行业寻求产业链布局、上下游合作、多元化发展、开放化平台、数字化营销将成为阶段性特征。</w:t>
      </w:r>
      <w:r>
        <w:rPr>
          <w:rFonts w:ascii="宋体" w:hAnsi="宋体" w:cs="宋体" w:eastAsia="宋体" w:hint="default"/>
          <w:w w:val="99"/>
          <w:sz w:val="20"/>
          <w:szCs w:val="20"/>
        </w:rPr>
        <w:t> </w:t>
      </w:r>
      <w:r>
        <w:rPr>
          <w:rFonts w:ascii="宋体" w:hAnsi="宋体" w:cs="宋体" w:eastAsia="宋体" w:hint="default"/>
          <w:w w:val="95"/>
          <w:sz w:val="20"/>
          <w:szCs w:val="20"/>
        </w:rPr>
        <w:t>2</w:t>
      </w:r>
      <w:r>
        <w:rPr>
          <w:rFonts w:ascii="宋体" w:hAnsi="宋体" w:cs="宋体" w:eastAsia="宋体" w:hint="default"/>
          <w:w w:val="95"/>
          <w:sz w:val="20"/>
          <w:szCs w:val="20"/>
        </w:rPr>
        <w:t>、</w:t>
      </w:r>
      <w:r>
        <w:rPr>
          <w:rFonts w:ascii="宋体" w:hAnsi="宋体" w:cs="宋体" w:eastAsia="宋体" w:hint="default"/>
          <w:w w:val="95"/>
          <w:sz w:val="20"/>
          <w:szCs w:val="20"/>
        </w:rPr>
        <w:t>2017</w:t>
      </w:r>
      <w:r>
        <w:rPr>
          <w:rFonts w:ascii="宋体" w:hAnsi="宋体" w:cs="宋体" w:eastAsia="宋体" w:hint="default"/>
          <w:w w:val="95"/>
          <w:sz w:val="20"/>
          <w:szCs w:val="20"/>
        </w:rPr>
        <w:t>年社会物流总费用</w:t>
      </w:r>
      <w:r>
        <w:rPr>
          <w:rFonts w:ascii="宋体" w:hAnsi="宋体" w:cs="宋体" w:eastAsia="宋体" w:hint="default"/>
          <w:w w:val="95"/>
          <w:sz w:val="20"/>
          <w:szCs w:val="20"/>
        </w:rPr>
        <w:t>12.1</w:t>
      </w:r>
      <w:r>
        <w:rPr>
          <w:rFonts w:ascii="宋体" w:hAnsi="宋体" w:cs="宋体" w:eastAsia="宋体" w:hint="default"/>
          <w:w w:val="95"/>
          <w:sz w:val="20"/>
          <w:szCs w:val="20"/>
        </w:rPr>
        <w:t>万亿元，同比增长</w:t>
      </w:r>
      <w:r>
        <w:rPr>
          <w:rFonts w:ascii="宋体" w:hAnsi="宋体" w:cs="宋体" w:eastAsia="宋体" w:hint="default"/>
          <w:w w:val="95"/>
          <w:sz w:val="20"/>
          <w:szCs w:val="20"/>
        </w:rPr>
        <w:t>9.2%</w:t>
      </w:r>
      <w:r>
        <w:rPr>
          <w:rFonts w:ascii="宋体" w:hAnsi="宋体" w:cs="宋体" w:eastAsia="宋体" w:hint="default"/>
          <w:w w:val="95"/>
          <w:sz w:val="20"/>
          <w:szCs w:val="20"/>
        </w:rPr>
        <w:t>；其中，运费费用占比</w:t>
      </w:r>
      <w:r>
        <w:rPr>
          <w:rFonts w:ascii="宋体" w:hAnsi="宋体" w:cs="宋体" w:eastAsia="宋体" w:hint="default"/>
          <w:w w:val="95"/>
          <w:sz w:val="20"/>
          <w:szCs w:val="20"/>
        </w:rPr>
        <w:t>55%</w:t>
      </w:r>
      <w:r>
        <w:rPr>
          <w:rFonts w:ascii="宋体" w:hAnsi="宋体" w:cs="宋体" w:eastAsia="宋体" w:hint="default"/>
          <w:w w:val="95"/>
          <w:sz w:val="20"/>
          <w:szCs w:val="20"/>
        </w:rPr>
        <w:t>；保管费用占比</w:t>
      </w:r>
      <w:r>
        <w:rPr>
          <w:rFonts w:ascii="宋体" w:hAnsi="宋体" w:cs="宋体" w:eastAsia="宋体" w:hint="default"/>
          <w:sz w:val="20"/>
          <w:szCs w:val="20"/>
        </w:rPr>
      </w:r>
    </w:p>
    <w:p>
      <w:pPr>
        <w:spacing w:line="357" w:lineRule="auto" w:before="29"/>
        <w:ind w:left="138" w:right="104" w:firstLine="0"/>
        <w:jc w:val="left"/>
        <w:rPr>
          <w:rFonts w:ascii="宋体" w:hAnsi="宋体" w:cs="宋体" w:eastAsia="宋体" w:hint="default"/>
          <w:sz w:val="20"/>
          <w:szCs w:val="20"/>
        </w:rPr>
      </w:pPr>
      <w:r>
        <w:rPr>
          <w:rFonts w:ascii="宋体" w:hAnsi="宋体" w:cs="宋体" w:eastAsia="宋体" w:hint="default"/>
          <w:sz w:val="20"/>
          <w:szCs w:val="20"/>
        </w:rPr>
        <w:t>32%</w:t>
      </w:r>
      <w:r>
        <w:rPr>
          <w:rFonts w:ascii="宋体" w:hAnsi="宋体" w:cs="宋体" w:eastAsia="宋体" w:hint="default"/>
          <w:sz w:val="20"/>
          <w:szCs w:val="20"/>
        </w:rPr>
        <w:t>；管理费用占比</w:t>
      </w:r>
      <w:r>
        <w:rPr>
          <w:rFonts w:ascii="宋体" w:hAnsi="宋体" w:cs="宋体" w:eastAsia="宋体" w:hint="default"/>
          <w:sz w:val="20"/>
          <w:szCs w:val="20"/>
        </w:rPr>
        <w:t>13%</w:t>
      </w:r>
      <w:r>
        <w:rPr>
          <w:rFonts w:ascii="宋体" w:hAnsi="宋体" w:cs="宋体" w:eastAsia="宋体" w:hint="default"/>
          <w:sz w:val="20"/>
          <w:szCs w:val="20"/>
        </w:rPr>
        <w:t>；社会物流费用的稳步增长及非运输端费用接近</w:t>
      </w:r>
      <w:r>
        <w:rPr>
          <w:rFonts w:ascii="宋体" w:hAnsi="宋体" w:cs="宋体" w:eastAsia="宋体" w:hint="default"/>
          <w:sz w:val="20"/>
          <w:szCs w:val="20"/>
        </w:rPr>
        <w:t>45%</w:t>
      </w:r>
      <w:r>
        <w:rPr>
          <w:rFonts w:ascii="宋体" w:hAnsi="宋体" w:cs="宋体" w:eastAsia="宋体" w:hint="default"/>
          <w:sz w:val="20"/>
          <w:szCs w:val="20"/>
        </w:rPr>
        <w:t>的占比充分说明多式联运、</w:t>
      </w:r>
      <w:r>
        <w:rPr>
          <w:rFonts w:ascii="宋体" w:hAnsi="宋体" w:cs="宋体" w:eastAsia="宋体" w:hint="default"/>
          <w:spacing w:val="-80"/>
          <w:sz w:val="20"/>
          <w:szCs w:val="20"/>
        </w:rPr>
        <w:t> </w:t>
      </w:r>
      <w:r>
        <w:rPr>
          <w:rFonts w:ascii="宋体" w:hAnsi="宋体" w:cs="宋体" w:eastAsia="宋体" w:hint="default"/>
          <w:spacing w:val="-80"/>
          <w:sz w:val="20"/>
          <w:szCs w:val="20"/>
        </w:rPr>
      </w:r>
      <w:r>
        <w:rPr>
          <w:rFonts w:ascii="宋体" w:hAnsi="宋体" w:cs="宋体" w:eastAsia="宋体" w:hint="default"/>
          <w:spacing w:val="-3"/>
          <w:w w:val="99"/>
          <w:sz w:val="20"/>
          <w:szCs w:val="20"/>
        </w:rPr>
        <w:t>门到门物流解决方案仍将有巨大潜力；同时，</w:t>
      </w:r>
      <w:r>
        <w:rPr>
          <w:rFonts w:ascii="宋体" w:hAnsi="宋体" w:cs="宋体" w:eastAsia="宋体" w:hint="default"/>
          <w:spacing w:val="-3"/>
          <w:w w:val="99"/>
          <w:sz w:val="20"/>
          <w:szCs w:val="20"/>
        </w:rPr>
        <w:t>2017</w:t>
      </w:r>
      <w:r>
        <w:rPr>
          <w:rFonts w:ascii="宋体" w:hAnsi="宋体" w:cs="宋体" w:eastAsia="宋体" w:hint="default"/>
          <w:spacing w:val="-3"/>
          <w:w w:val="99"/>
          <w:sz w:val="20"/>
          <w:szCs w:val="20"/>
        </w:rPr>
        <w:t>年含货值口径下的全社会物流总额高达</w:t>
      </w:r>
      <w:r>
        <w:rPr>
          <w:rFonts w:ascii="宋体" w:hAnsi="宋体" w:cs="宋体" w:eastAsia="宋体" w:hint="default"/>
          <w:spacing w:val="-3"/>
          <w:w w:val="99"/>
          <w:sz w:val="20"/>
          <w:szCs w:val="20"/>
        </w:rPr>
        <w:t>252.8</w:t>
      </w:r>
      <w:r>
        <w:rPr>
          <w:rFonts w:ascii="宋体" w:hAnsi="宋体" w:cs="宋体" w:eastAsia="宋体" w:hint="default"/>
          <w:spacing w:val="-3"/>
          <w:w w:val="99"/>
          <w:sz w:val="20"/>
          <w:szCs w:val="20"/>
        </w:rPr>
        <w:t>万亿元，</w:t>
      </w:r>
      <w:r>
        <w:rPr>
          <w:rFonts w:ascii="宋体" w:hAnsi="宋体" w:cs="宋体" w:eastAsia="宋体" w:hint="default"/>
          <w:spacing w:val="-85"/>
          <w:w w:val="99"/>
          <w:sz w:val="20"/>
          <w:szCs w:val="20"/>
        </w:rPr>
        <w:t> </w:t>
      </w:r>
      <w:r>
        <w:rPr>
          <w:rFonts w:ascii="宋体" w:hAnsi="宋体" w:cs="宋体" w:eastAsia="宋体" w:hint="default"/>
          <w:sz w:val="20"/>
          <w:szCs w:val="20"/>
        </w:rPr>
        <w:t>具备高客户粘度、平台价值、信息化布局的物流企业切入至供应链管理，提供运输、贸易、融资等多</w:t>
      </w:r>
      <w:r>
        <w:rPr>
          <w:rFonts w:ascii="宋体" w:hAnsi="宋体" w:cs="宋体" w:eastAsia="宋体" w:hint="default"/>
          <w:w w:val="99"/>
          <w:sz w:val="20"/>
          <w:szCs w:val="20"/>
        </w:rPr>
        <w:t> </w:t>
      </w:r>
      <w:r>
        <w:rPr>
          <w:rFonts w:ascii="宋体" w:hAnsi="宋体" w:cs="宋体" w:eastAsia="宋体" w:hint="default"/>
          <w:sz w:val="20"/>
          <w:szCs w:val="20"/>
        </w:rPr>
        <w:t>维度服务将成为必然趋势。</w:t>
      </w:r>
    </w:p>
    <w:p>
      <w:pPr>
        <w:spacing w:line="357" w:lineRule="auto" w:before="29"/>
        <w:ind w:left="138" w:right="249" w:firstLine="400"/>
        <w:jc w:val="both"/>
        <w:rPr>
          <w:rFonts w:ascii="宋体" w:hAnsi="宋体" w:cs="宋体" w:eastAsia="宋体" w:hint="default"/>
          <w:sz w:val="20"/>
          <w:szCs w:val="20"/>
        </w:rPr>
      </w:pPr>
      <w:r>
        <w:rPr>
          <w:rFonts w:ascii="宋体" w:hAnsi="宋体" w:cs="宋体" w:eastAsia="宋体" w:hint="default"/>
          <w:w w:val="95"/>
          <w:sz w:val="20"/>
          <w:szCs w:val="20"/>
        </w:rPr>
        <w:t>基于产业的上述特点，</w:t>
      </w:r>
      <w:r>
        <w:rPr>
          <w:rFonts w:ascii="宋体" w:hAnsi="宋体" w:cs="宋体" w:eastAsia="宋体" w:hint="default"/>
          <w:w w:val="95"/>
          <w:sz w:val="20"/>
          <w:szCs w:val="20"/>
        </w:rPr>
        <w:t>2017</w:t>
      </w:r>
      <w:r>
        <w:rPr>
          <w:rFonts w:ascii="宋体" w:hAnsi="宋体" w:cs="宋体" w:eastAsia="宋体" w:hint="default"/>
          <w:w w:val="95"/>
          <w:sz w:val="20"/>
          <w:szCs w:val="20"/>
        </w:rPr>
        <w:t>年亦是安通控股转型发展最重要的一年，公司立足于多式联运发展道</w:t>
      </w:r>
      <w:r>
        <w:rPr>
          <w:rFonts w:ascii="宋体" w:hAnsi="宋体" w:cs="宋体" w:eastAsia="宋体" w:hint="default"/>
          <w:spacing w:val="-82"/>
          <w:w w:val="95"/>
          <w:sz w:val="20"/>
          <w:szCs w:val="20"/>
        </w:rPr>
        <w:t> </w:t>
      </w:r>
      <w:r>
        <w:rPr>
          <w:rFonts w:ascii="宋体" w:hAnsi="宋体" w:cs="宋体" w:eastAsia="宋体" w:hint="default"/>
          <w:spacing w:val="-82"/>
          <w:w w:val="95"/>
          <w:sz w:val="20"/>
          <w:szCs w:val="20"/>
        </w:rPr>
      </w:r>
      <w:r>
        <w:rPr>
          <w:rFonts w:ascii="宋体" w:hAnsi="宋体" w:cs="宋体" w:eastAsia="宋体" w:hint="default"/>
          <w:w w:val="95"/>
          <w:sz w:val="20"/>
          <w:szCs w:val="20"/>
        </w:rPr>
        <w:t>路，在整合各方资源的基础上，对产品、服务模式进行了多维度升级，同时对公司战略进行了适时的</w:t>
      </w:r>
      <w:r>
        <w:rPr>
          <w:rFonts w:ascii="宋体" w:hAnsi="宋体" w:cs="宋体" w:eastAsia="宋体" w:hint="default"/>
          <w:spacing w:val="52"/>
          <w:w w:val="95"/>
          <w:sz w:val="20"/>
          <w:szCs w:val="20"/>
        </w:rPr>
        <w:t> </w:t>
      </w:r>
      <w:r>
        <w:rPr>
          <w:rFonts w:ascii="宋体" w:hAnsi="宋体" w:cs="宋体" w:eastAsia="宋体" w:hint="default"/>
          <w:spacing w:val="52"/>
          <w:w w:val="95"/>
          <w:sz w:val="20"/>
          <w:szCs w:val="20"/>
        </w:rPr>
      </w:r>
      <w:r>
        <w:rPr>
          <w:rFonts w:ascii="宋体" w:hAnsi="宋体" w:cs="宋体" w:eastAsia="宋体" w:hint="default"/>
          <w:sz w:val="20"/>
          <w:szCs w:val="20"/>
        </w:rPr>
        <w:t>调整，努力扩大公司平台和品牌效应，具体包括：</w:t>
      </w:r>
    </w:p>
    <w:p>
      <w:pPr>
        <w:spacing w:before="29"/>
        <w:ind w:left="541" w:right="104" w:firstLine="0"/>
        <w:jc w:val="left"/>
        <w:rPr>
          <w:rFonts w:ascii="宋体" w:hAnsi="宋体" w:cs="宋体" w:eastAsia="宋体" w:hint="default"/>
          <w:sz w:val="20"/>
          <w:szCs w:val="20"/>
        </w:rPr>
      </w:pPr>
      <w:r>
        <w:rPr>
          <w:rFonts w:ascii="宋体" w:hAnsi="宋体" w:cs="宋体" w:eastAsia="宋体" w:hint="default"/>
          <w:b/>
          <w:bCs/>
          <w:sz w:val="20"/>
          <w:szCs w:val="20"/>
        </w:rPr>
        <w:t>1</w:t>
      </w:r>
      <w:r>
        <w:rPr>
          <w:rFonts w:ascii="宋体" w:hAnsi="宋体" w:cs="宋体" w:eastAsia="宋体" w:hint="default"/>
          <w:b/>
          <w:bCs/>
          <w:sz w:val="20"/>
          <w:szCs w:val="20"/>
        </w:rPr>
        <w:t>、全面对接铁路，联运模式再升级：</w:t>
      </w:r>
      <w:r>
        <w:rPr>
          <w:rFonts w:ascii="宋体" w:hAnsi="宋体" w:cs="宋体" w:eastAsia="宋体" w:hint="default"/>
          <w:sz w:val="20"/>
          <w:szCs w:val="20"/>
        </w:rPr>
        <w:t>2017</w:t>
      </w:r>
      <w:r>
        <w:rPr>
          <w:rFonts w:ascii="宋体" w:hAnsi="宋体" w:cs="宋体" w:eastAsia="宋体" w:hint="default"/>
          <w:sz w:val="20"/>
          <w:szCs w:val="20"/>
        </w:rPr>
        <w:t>年公司在强化传统“水运</w:t>
      </w:r>
      <w:r>
        <w:rPr>
          <w:rFonts w:ascii="宋体" w:hAnsi="宋体" w:cs="宋体" w:eastAsia="宋体" w:hint="default"/>
          <w:sz w:val="20"/>
          <w:szCs w:val="20"/>
        </w:rPr>
        <w:t>+</w:t>
      </w:r>
      <w:r>
        <w:rPr>
          <w:rFonts w:ascii="宋体" w:hAnsi="宋体" w:cs="宋体" w:eastAsia="宋体" w:hint="default"/>
          <w:sz w:val="20"/>
          <w:szCs w:val="20"/>
        </w:rPr>
        <w:t>公路”联运服务优势外，加</w:t>
      </w:r>
    </w:p>
    <w:p>
      <w:pPr>
        <w:spacing w:after="0"/>
        <w:jc w:val="left"/>
        <w:rPr>
          <w:rFonts w:ascii="宋体" w:hAnsi="宋体" w:cs="宋体" w:eastAsia="宋体" w:hint="default"/>
          <w:sz w:val="20"/>
          <w:szCs w:val="20"/>
        </w:rPr>
        <w:sectPr>
          <w:footerReference w:type="default" r:id="rId11"/>
          <w:pgSz w:w="11910" w:h="16840"/>
          <w:pgMar w:footer="1195" w:header="880" w:top="1120" w:bottom="1380" w:left="1660" w:right="1060"/>
          <w:pgNumType w:start="11"/>
        </w:sectPr>
      </w:pPr>
    </w:p>
    <w:p>
      <w:pPr>
        <w:spacing w:line="240" w:lineRule="auto" w:before="4"/>
        <w:rPr>
          <w:rFonts w:ascii="宋体" w:hAnsi="宋体" w:cs="宋体" w:eastAsia="宋体" w:hint="default"/>
          <w:sz w:val="25"/>
          <w:szCs w:val="25"/>
        </w:rPr>
      </w:pPr>
    </w:p>
    <w:p>
      <w:pPr>
        <w:spacing w:line="357" w:lineRule="auto" w:before="37"/>
        <w:ind w:left="218" w:right="227" w:firstLine="0"/>
        <w:jc w:val="left"/>
        <w:rPr>
          <w:rFonts w:ascii="宋体" w:hAnsi="宋体" w:cs="宋体" w:eastAsia="宋体" w:hint="default"/>
          <w:sz w:val="20"/>
          <w:szCs w:val="20"/>
        </w:rPr>
      </w:pPr>
      <w:r>
        <w:rPr>
          <w:rFonts w:ascii="宋体" w:hAnsi="宋体" w:cs="宋体" w:eastAsia="宋体" w:hint="default"/>
          <w:w w:val="95"/>
          <w:sz w:val="20"/>
          <w:szCs w:val="20"/>
        </w:rPr>
        <w:t>速拓展并对接货运铁路及周边物流场站相关资源，物流产品的多样化、时效性和覆盖半径得到大幅提</w:t>
      </w:r>
      <w:r>
        <w:rPr>
          <w:rFonts w:ascii="宋体" w:hAnsi="宋体" w:cs="宋体" w:eastAsia="宋体" w:hint="default"/>
          <w:spacing w:val="52"/>
          <w:w w:val="95"/>
          <w:sz w:val="20"/>
          <w:szCs w:val="20"/>
        </w:rPr>
        <w:t> </w:t>
      </w:r>
      <w:r>
        <w:rPr>
          <w:rFonts w:ascii="宋体" w:hAnsi="宋体" w:cs="宋体" w:eastAsia="宋体" w:hint="default"/>
          <w:spacing w:val="52"/>
          <w:w w:val="95"/>
          <w:sz w:val="20"/>
          <w:szCs w:val="20"/>
        </w:rPr>
      </w:r>
      <w:r>
        <w:rPr>
          <w:rFonts w:ascii="宋体" w:hAnsi="宋体" w:cs="宋体" w:eastAsia="宋体" w:hint="default"/>
          <w:sz w:val="20"/>
          <w:szCs w:val="20"/>
        </w:rPr>
        <w:t>升，客户潜在需求被有效激发，包括存量和增量两个维度。</w:t>
      </w:r>
    </w:p>
    <w:p>
      <w:pPr>
        <w:spacing w:line="357" w:lineRule="auto" w:before="29"/>
        <w:ind w:left="218" w:right="233" w:firstLine="403"/>
        <w:jc w:val="both"/>
        <w:rPr>
          <w:rFonts w:ascii="宋体" w:hAnsi="宋体" w:cs="宋体" w:eastAsia="宋体" w:hint="default"/>
          <w:sz w:val="20"/>
          <w:szCs w:val="20"/>
        </w:rPr>
      </w:pPr>
      <w:r>
        <w:rPr>
          <w:rFonts w:ascii="宋体" w:hAnsi="宋体" w:cs="宋体" w:eastAsia="宋体" w:hint="default"/>
          <w:b/>
          <w:bCs/>
          <w:spacing w:val="-1"/>
          <w:w w:val="95"/>
          <w:sz w:val="20"/>
          <w:szCs w:val="20"/>
        </w:rPr>
        <w:t>2</w:t>
      </w:r>
      <w:r>
        <w:rPr>
          <w:rFonts w:ascii="宋体" w:hAnsi="宋体" w:cs="宋体" w:eastAsia="宋体" w:hint="default"/>
          <w:b/>
          <w:bCs/>
          <w:spacing w:val="-1"/>
          <w:w w:val="95"/>
          <w:sz w:val="20"/>
          <w:szCs w:val="20"/>
        </w:rPr>
        <w:t>、布局仓储及多式联运物流基地，提升服务附加值和客户粘度：</w:t>
      </w:r>
      <w:r>
        <w:rPr>
          <w:rFonts w:ascii="宋体" w:hAnsi="宋体" w:cs="宋体" w:eastAsia="宋体" w:hint="default"/>
          <w:spacing w:val="-1"/>
          <w:w w:val="95"/>
          <w:sz w:val="20"/>
          <w:szCs w:val="20"/>
        </w:rPr>
        <w:t>得益于铁路资源对原有联运网络</w:t>
      </w:r>
      <w:r>
        <w:rPr>
          <w:rFonts w:ascii="宋体" w:hAnsi="宋体" w:cs="宋体" w:eastAsia="宋体" w:hint="default"/>
          <w:w w:val="99"/>
          <w:sz w:val="20"/>
          <w:szCs w:val="20"/>
        </w:rPr>
        <w:t> </w:t>
      </w:r>
      <w:r>
        <w:rPr>
          <w:rFonts w:ascii="宋体" w:hAnsi="宋体" w:cs="宋体" w:eastAsia="宋体" w:hint="default"/>
          <w:sz w:val="20"/>
          <w:szCs w:val="20"/>
        </w:rPr>
        <w:t>的进一步充实，公司对货物全程把控力进一步增强并适时加速推进在客户端的驻场物流，将服务进一</w:t>
      </w:r>
      <w:r>
        <w:rPr>
          <w:rFonts w:ascii="宋体" w:hAnsi="宋体" w:cs="宋体" w:eastAsia="宋体" w:hint="default"/>
          <w:w w:val="99"/>
          <w:sz w:val="20"/>
          <w:szCs w:val="20"/>
        </w:rPr>
        <w:t> </w:t>
      </w:r>
      <w:r>
        <w:rPr>
          <w:rFonts w:ascii="宋体" w:hAnsi="宋体" w:cs="宋体" w:eastAsia="宋体" w:hint="default"/>
          <w:spacing w:val="-1"/>
          <w:w w:val="95"/>
          <w:sz w:val="20"/>
          <w:szCs w:val="20"/>
        </w:rPr>
        <w:t>步延伸至仓储、拣选、配送环节；同时，公司已启动多式联运物流基地项目，未来将着力打造“水运</w:t>
      </w:r>
      <w:r>
        <w:rPr>
          <w:rFonts w:ascii="宋体" w:hAnsi="宋体" w:cs="宋体" w:eastAsia="宋体" w:hint="default"/>
          <w:spacing w:val="-1"/>
          <w:w w:val="95"/>
          <w:sz w:val="20"/>
          <w:szCs w:val="20"/>
        </w:rPr>
        <w:t>+</w:t>
      </w:r>
      <w:r>
        <w:rPr>
          <w:rFonts w:ascii="宋体" w:hAnsi="宋体" w:cs="宋体" w:eastAsia="宋体" w:hint="default"/>
          <w:spacing w:val="38"/>
          <w:w w:val="95"/>
          <w:sz w:val="20"/>
          <w:szCs w:val="20"/>
        </w:rPr>
        <w:t> </w:t>
      </w:r>
      <w:r>
        <w:rPr>
          <w:rFonts w:ascii="宋体" w:hAnsi="宋体" w:cs="宋体" w:eastAsia="宋体" w:hint="default"/>
          <w:sz w:val="20"/>
          <w:szCs w:val="20"/>
        </w:rPr>
        <w:t>陆运</w:t>
      </w:r>
      <w:r>
        <w:rPr>
          <w:rFonts w:ascii="宋体" w:hAnsi="宋体" w:cs="宋体" w:eastAsia="宋体" w:hint="default"/>
          <w:sz w:val="20"/>
          <w:szCs w:val="20"/>
        </w:rPr>
        <w:t>+</w:t>
      </w:r>
      <w:r>
        <w:rPr>
          <w:rFonts w:ascii="宋体" w:hAnsi="宋体" w:cs="宋体" w:eastAsia="宋体" w:hint="default"/>
          <w:sz w:val="20"/>
          <w:szCs w:val="20"/>
        </w:rPr>
        <w:t>铁路</w:t>
      </w:r>
      <w:r>
        <w:rPr>
          <w:rFonts w:ascii="宋体" w:hAnsi="宋体" w:cs="宋体" w:eastAsia="宋体" w:hint="default"/>
          <w:sz w:val="20"/>
          <w:szCs w:val="20"/>
        </w:rPr>
        <w:t>+</w:t>
      </w:r>
      <w:r>
        <w:rPr>
          <w:rFonts w:ascii="宋体" w:hAnsi="宋体" w:cs="宋体" w:eastAsia="宋体" w:hint="default"/>
          <w:sz w:val="20"/>
          <w:szCs w:val="20"/>
        </w:rPr>
        <w:t>多式联运场站基地”的一站式服务网络生态，产业链服务附加值及品牌护城河有望持续提</w:t>
      </w:r>
      <w:r>
        <w:rPr>
          <w:rFonts w:ascii="宋体" w:hAnsi="宋体" w:cs="宋体" w:eastAsia="宋体" w:hint="default"/>
          <w:w w:val="99"/>
          <w:sz w:val="20"/>
          <w:szCs w:val="20"/>
        </w:rPr>
        <w:t> </w:t>
      </w:r>
      <w:r>
        <w:rPr>
          <w:rFonts w:ascii="宋体" w:hAnsi="宋体" w:cs="宋体" w:eastAsia="宋体" w:hint="default"/>
          <w:sz w:val="20"/>
          <w:szCs w:val="20"/>
        </w:rPr>
        <w:t>升。</w:t>
      </w:r>
    </w:p>
    <w:p>
      <w:pPr>
        <w:spacing w:line="357" w:lineRule="auto" w:before="29"/>
        <w:ind w:left="218" w:right="235" w:firstLine="403"/>
        <w:jc w:val="both"/>
        <w:rPr>
          <w:rFonts w:ascii="宋体" w:hAnsi="宋体" w:cs="宋体" w:eastAsia="宋体" w:hint="default"/>
          <w:sz w:val="20"/>
          <w:szCs w:val="20"/>
        </w:rPr>
      </w:pPr>
      <w:r>
        <w:rPr>
          <w:rFonts w:ascii="宋体" w:hAnsi="宋体" w:cs="宋体" w:eastAsia="宋体" w:hint="default"/>
          <w:b/>
          <w:bCs/>
          <w:spacing w:val="-1"/>
          <w:w w:val="95"/>
          <w:sz w:val="20"/>
          <w:szCs w:val="20"/>
        </w:rPr>
        <w:t>3</w:t>
      </w:r>
      <w:r>
        <w:rPr>
          <w:rFonts w:ascii="宋体" w:hAnsi="宋体" w:cs="宋体" w:eastAsia="宋体" w:hint="default"/>
          <w:b/>
          <w:bCs/>
          <w:spacing w:val="-1"/>
          <w:w w:val="95"/>
          <w:sz w:val="20"/>
          <w:szCs w:val="20"/>
        </w:rPr>
        <w:t>、拓展冷链、危化品物流业务：</w:t>
      </w:r>
      <w:r>
        <w:rPr>
          <w:rFonts w:ascii="宋体" w:hAnsi="宋体" w:cs="宋体" w:eastAsia="宋体" w:hint="default"/>
          <w:spacing w:val="-1"/>
          <w:w w:val="95"/>
          <w:sz w:val="20"/>
          <w:szCs w:val="20"/>
        </w:rPr>
        <w:t>近年来大众消费品占公司承运货物比重不断提升，同时零售业电</w:t>
      </w:r>
      <w:r>
        <w:rPr>
          <w:rFonts w:ascii="宋体" w:hAnsi="宋体" w:cs="宋体" w:eastAsia="宋体" w:hint="default"/>
          <w:w w:val="99"/>
          <w:sz w:val="20"/>
          <w:szCs w:val="20"/>
        </w:rPr>
        <w:t> </w:t>
      </w:r>
      <w:r>
        <w:rPr>
          <w:rFonts w:ascii="宋体" w:hAnsi="宋体" w:cs="宋体" w:eastAsia="宋体" w:hint="default"/>
          <w:sz w:val="20"/>
          <w:szCs w:val="20"/>
        </w:rPr>
        <w:t>商化的趋势对库存管理提出更严苛的要求，小批次、高频次的物流需求将成为未来市场的主流，尤其</w:t>
      </w:r>
      <w:r>
        <w:rPr>
          <w:rFonts w:ascii="宋体" w:hAnsi="宋体" w:cs="宋体" w:eastAsia="宋体" w:hint="default"/>
          <w:w w:val="99"/>
          <w:sz w:val="20"/>
          <w:szCs w:val="20"/>
        </w:rPr>
        <w:t> </w:t>
      </w:r>
      <w:r>
        <w:rPr>
          <w:rFonts w:ascii="宋体" w:hAnsi="宋体" w:cs="宋体" w:eastAsia="宋体" w:hint="default"/>
          <w:sz w:val="20"/>
          <w:szCs w:val="20"/>
        </w:rPr>
        <w:t>是附加值较高、对物流时效性要求较高的冷链产品和危化品，伴随时效性、安全性较高的铁路资源持</w:t>
      </w:r>
      <w:r>
        <w:rPr>
          <w:rFonts w:ascii="宋体" w:hAnsi="宋体" w:cs="宋体" w:eastAsia="宋体" w:hint="default"/>
          <w:w w:val="99"/>
          <w:sz w:val="20"/>
          <w:szCs w:val="20"/>
        </w:rPr>
        <w:t> </w:t>
      </w:r>
      <w:r>
        <w:rPr>
          <w:rFonts w:ascii="宋体" w:hAnsi="宋体" w:cs="宋体" w:eastAsia="宋体" w:hint="default"/>
          <w:sz w:val="20"/>
          <w:szCs w:val="20"/>
        </w:rPr>
        <w:t>续导入，公司上述品类的业务占比将呈稳步提升态势。</w:t>
      </w:r>
    </w:p>
    <w:p>
      <w:pPr>
        <w:spacing w:line="357" w:lineRule="auto" w:before="29"/>
        <w:ind w:left="218" w:right="236" w:firstLine="403"/>
        <w:jc w:val="both"/>
        <w:rPr>
          <w:rFonts w:ascii="宋体" w:hAnsi="宋体" w:cs="宋体" w:eastAsia="宋体" w:hint="default"/>
          <w:sz w:val="20"/>
          <w:szCs w:val="20"/>
        </w:rPr>
      </w:pPr>
      <w:r>
        <w:rPr>
          <w:rFonts w:ascii="宋体" w:hAnsi="宋体" w:cs="宋体" w:eastAsia="宋体" w:hint="default"/>
          <w:b/>
          <w:bCs/>
          <w:spacing w:val="-2"/>
          <w:w w:val="95"/>
          <w:sz w:val="20"/>
          <w:szCs w:val="20"/>
        </w:rPr>
        <w:t>4</w:t>
      </w:r>
      <w:r>
        <w:rPr>
          <w:rFonts w:ascii="宋体" w:hAnsi="宋体" w:cs="宋体" w:eastAsia="宋体" w:hint="default"/>
          <w:b/>
          <w:bCs/>
          <w:spacing w:val="-2"/>
          <w:w w:val="95"/>
          <w:sz w:val="20"/>
          <w:szCs w:val="20"/>
        </w:rPr>
        <w:t>、搭建了综合物流信息化平台，推进信息化建设：</w:t>
      </w:r>
      <w:r>
        <w:rPr>
          <w:rFonts w:ascii="宋体" w:hAnsi="宋体" w:cs="宋体" w:eastAsia="宋体" w:hint="default"/>
          <w:spacing w:val="-2"/>
          <w:w w:val="95"/>
          <w:sz w:val="20"/>
          <w:szCs w:val="20"/>
        </w:rPr>
        <w:t>公司利用云技术、物联网、移动互联网、大数</w:t>
      </w:r>
      <w:r>
        <w:rPr>
          <w:rFonts w:ascii="宋体" w:hAnsi="宋体" w:cs="宋体" w:eastAsia="宋体" w:hint="default"/>
          <w:spacing w:val="-85"/>
          <w:w w:val="95"/>
          <w:sz w:val="20"/>
          <w:szCs w:val="20"/>
        </w:rPr>
        <w:t> </w:t>
      </w:r>
      <w:r>
        <w:rPr>
          <w:rFonts w:ascii="宋体" w:hAnsi="宋体" w:cs="宋体" w:eastAsia="宋体" w:hint="default"/>
          <w:spacing w:val="-85"/>
          <w:w w:val="95"/>
          <w:sz w:val="20"/>
          <w:szCs w:val="20"/>
        </w:rPr>
      </w:r>
      <w:r>
        <w:rPr>
          <w:rFonts w:ascii="宋体" w:hAnsi="宋体" w:cs="宋体" w:eastAsia="宋体" w:hint="default"/>
          <w:sz w:val="20"/>
          <w:szCs w:val="20"/>
        </w:rPr>
        <w:t>据等技术搭建综合物流信息化平台，与公司全覆盖式的物流网络有机结合，使得</w:t>
      </w:r>
      <w:r>
        <w:rPr>
          <w:rFonts w:ascii="宋体" w:hAnsi="宋体" w:cs="宋体" w:eastAsia="宋体" w:hint="default"/>
          <w:b/>
          <w:bCs/>
          <w:sz w:val="20"/>
          <w:szCs w:val="20"/>
        </w:rPr>
        <w:t>“线上平台”与“线</w:t>
      </w:r>
      <w:r>
        <w:rPr>
          <w:rFonts w:ascii="宋体" w:hAnsi="宋体" w:cs="宋体" w:eastAsia="宋体" w:hint="default"/>
          <w:sz w:val="20"/>
          <w:szCs w:val="20"/>
        </w:rPr>
      </w:r>
    </w:p>
    <w:p>
      <w:pPr>
        <w:spacing w:line="357" w:lineRule="auto" w:before="29"/>
        <w:ind w:left="218" w:right="230" w:firstLine="0"/>
        <w:jc w:val="both"/>
        <w:rPr>
          <w:rFonts w:ascii="宋体" w:hAnsi="宋体" w:cs="宋体" w:eastAsia="宋体" w:hint="default"/>
          <w:sz w:val="20"/>
          <w:szCs w:val="20"/>
        </w:rPr>
      </w:pPr>
      <w:r>
        <w:rPr>
          <w:rFonts w:ascii="宋体" w:hAnsi="宋体" w:cs="宋体" w:eastAsia="宋体" w:hint="default"/>
          <w:b/>
          <w:bCs/>
          <w:spacing w:val="-4"/>
          <w:sz w:val="20"/>
          <w:szCs w:val="20"/>
        </w:rPr>
        <w:t>下网络”</w:t>
      </w:r>
      <w:r>
        <w:rPr>
          <w:rFonts w:ascii="宋体" w:hAnsi="宋体" w:cs="宋体" w:eastAsia="宋体" w:hint="default"/>
          <w:spacing w:val="-4"/>
          <w:sz w:val="20"/>
          <w:szCs w:val="20"/>
        </w:rPr>
        <w:t>高效对接、相互呼应，真正实现业务一体化运作，实现</w:t>
      </w:r>
      <w:r>
        <w:rPr>
          <w:rFonts w:ascii="宋体" w:hAnsi="宋体" w:cs="宋体" w:eastAsia="宋体" w:hint="default"/>
          <w:b/>
          <w:bCs/>
          <w:spacing w:val="-4"/>
          <w:sz w:val="20"/>
          <w:szCs w:val="20"/>
        </w:rPr>
        <w:t>“天网”</w:t>
      </w:r>
      <w:r>
        <w:rPr>
          <w:rFonts w:ascii="宋体" w:hAnsi="宋体" w:cs="宋体" w:eastAsia="宋体" w:hint="default"/>
          <w:spacing w:val="-4"/>
          <w:sz w:val="20"/>
          <w:szCs w:val="20"/>
        </w:rPr>
        <w:t>与</w:t>
      </w:r>
      <w:r>
        <w:rPr>
          <w:rFonts w:ascii="宋体" w:hAnsi="宋体" w:cs="宋体" w:eastAsia="宋体" w:hint="default"/>
          <w:b/>
          <w:bCs/>
          <w:spacing w:val="-4"/>
          <w:sz w:val="20"/>
          <w:szCs w:val="20"/>
        </w:rPr>
        <w:t>“地网”</w:t>
      </w:r>
      <w:r>
        <w:rPr>
          <w:rFonts w:ascii="宋体" w:hAnsi="宋体" w:cs="宋体" w:eastAsia="宋体" w:hint="default"/>
          <w:spacing w:val="-4"/>
          <w:sz w:val="20"/>
          <w:szCs w:val="20"/>
        </w:rPr>
        <w:t>的</w:t>
      </w:r>
      <w:r>
        <w:rPr>
          <w:rFonts w:ascii="宋体" w:hAnsi="宋体" w:cs="宋体" w:eastAsia="宋体" w:hint="default"/>
          <w:b/>
          <w:bCs/>
          <w:spacing w:val="-4"/>
          <w:sz w:val="20"/>
          <w:szCs w:val="20"/>
        </w:rPr>
        <w:t>“天地融合”</w:t>
      </w:r>
      <w:r>
        <w:rPr>
          <w:rFonts w:ascii="宋体" w:hAnsi="宋体" w:cs="宋体" w:eastAsia="宋体" w:hint="default"/>
          <w:spacing w:val="-4"/>
          <w:sz w:val="20"/>
          <w:szCs w:val="20"/>
        </w:rPr>
        <w:t>。</w:t>
      </w:r>
      <w:r>
        <w:rPr>
          <w:rFonts w:ascii="宋体" w:hAnsi="宋体" w:cs="宋体" w:eastAsia="宋体" w:hint="default"/>
          <w:w w:val="99"/>
          <w:sz w:val="20"/>
          <w:szCs w:val="20"/>
        </w:rPr>
        <w:t> </w:t>
      </w:r>
      <w:r>
        <w:rPr>
          <w:rFonts w:ascii="宋体" w:hAnsi="宋体" w:cs="宋体" w:eastAsia="宋体" w:hint="default"/>
          <w:sz w:val="20"/>
          <w:szCs w:val="20"/>
        </w:rPr>
        <w:t>目前，公司的综合物流信息化平台系统包括财商平台、价格发布、船务管理、集装箱管理、客户电子</w:t>
      </w:r>
      <w:r>
        <w:rPr>
          <w:rFonts w:ascii="宋体" w:hAnsi="宋体" w:cs="宋体" w:eastAsia="宋体" w:hint="default"/>
          <w:w w:val="99"/>
          <w:sz w:val="20"/>
          <w:szCs w:val="20"/>
        </w:rPr>
        <w:t> </w:t>
      </w:r>
      <w:r>
        <w:rPr>
          <w:rFonts w:ascii="宋体" w:hAnsi="宋体" w:cs="宋体" w:eastAsia="宋体" w:hint="default"/>
          <w:spacing w:val="-4"/>
          <w:sz w:val="20"/>
          <w:szCs w:val="20"/>
        </w:rPr>
        <w:t>商务平台、移动平台、集卡平台、司机平台、客服管理，分析管理平台等，平台之间实现一体化管控，</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z w:val="20"/>
          <w:szCs w:val="20"/>
        </w:rPr>
        <w:t>实现一个数据中心，多业务发展的模式，同时已实现对整个物流环节的实时监控。</w:t>
      </w:r>
    </w:p>
    <w:p>
      <w:pPr>
        <w:spacing w:before="29"/>
        <w:ind w:left="621" w:right="2497" w:firstLine="0"/>
        <w:jc w:val="left"/>
        <w:rPr>
          <w:rFonts w:ascii="宋体" w:hAnsi="宋体" w:cs="宋体" w:eastAsia="宋体" w:hint="default"/>
          <w:sz w:val="20"/>
          <w:szCs w:val="20"/>
        </w:rPr>
      </w:pPr>
      <w:r>
        <w:rPr>
          <w:rFonts w:ascii="宋体" w:hAnsi="宋体" w:cs="宋体" w:eastAsia="宋体" w:hint="default"/>
          <w:b/>
          <w:bCs/>
          <w:sz w:val="20"/>
          <w:szCs w:val="20"/>
        </w:rPr>
        <w:t>2017</w:t>
      </w:r>
      <w:r>
        <w:rPr>
          <w:rFonts w:ascii="宋体" w:hAnsi="宋体" w:cs="宋体" w:eastAsia="宋体" w:hint="default"/>
          <w:b/>
          <w:bCs/>
          <w:spacing w:val="-54"/>
          <w:sz w:val="20"/>
          <w:szCs w:val="20"/>
        </w:rPr>
        <w:t> </w:t>
      </w:r>
      <w:r>
        <w:rPr>
          <w:rFonts w:ascii="宋体" w:hAnsi="宋体" w:cs="宋体" w:eastAsia="宋体" w:hint="default"/>
          <w:b/>
          <w:bCs/>
          <w:sz w:val="20"/>
          <w:szCs w:val="20"/>
        </w:rPr>
        <w:t>年公司的主要业务发展情况</w:t>
      </w:r>
      <w:r>
        <w:rPr>
          <w:rFonts w:ascii="宋体" w:hAnsi="宋体" w:cs="宋体" w:eastAsia="宋体" w:hint="default"/>
          <w:sz w:val="20"/>
          <w:szCs w:val="20"/>
        </w:rPr>
      </w:r>
    </w:p>
    <w:p>
      <w:pPr>
        <w:spacing w:line="357" w:lineRule="auto" w:before="127"/>
        <w:ind w:left="618" w:right="248" w:firstLine="2"/>
        <w:jc w:val="left"/>
        <w:rPr>
          <w:rFonts w:ascii="宋体" w:hAnsi="宋体" w:cs="宋体" w:eastAsia="宋体" w:hint="default"/>
          <w:sz w:val="20"/>
          <w:szCs w:val="20"/>
        </w:rPr>
      </w:pPr>
      <w:r>
        <w:rPr>
          <w:rFonts w:ascii="宋体" w:hAnsi="宋体" w:cs="宋体" w:eastAsia="宋体" w:hint="default"/>
          <w:b/>
          <w:bCs/>
          <w:sz w:val="20"/>
          <w:szCs w:val="20"/>
        </w:rPr>
        <w:t>（一）水运板块</w:t>
      </w:r>
      <w:r>
        <w:rPr>
          <w:rFonts w:ascii="宋体" w:hAnsi="宋体" w:cs="宋体" w:eastAsia="宋体" w:hint="default"/>
          <w:b/>
          <w:bCs/>
          <w:w w:val="99"/>
          <w:sz w:val="20"/>
          <w:szCs w:val="20"/>
        </w:rPr>
        <w:t> </w:t>
      </w:r>
      <w:r>
        <w:rPr>
          <w:rFonts w:ascii="宋体" w:hAnsi="宋体" w:cs="宋体" w:eastAsia="宋体" w:hint="default"/>
          <w:sz w:val="20"/>
          <w:szCs w:val="20"/>
        </w:rPr>
        <w:t>截止至</w:t>
      </w:r>
      <w:r>
        <w:rPr>
          <w:rFonts w:ascii="宋体" w:hAnsi="宋体" w:cs="宋体" w:eastAsia="宋体" w:hint="default"/>
          <w:sz w:val="20"/>
          <w:szCs w:val="20"/>
        </w:rPr>
        <w:t>2017</w:t>
      </w:r>
      <w:r>
        <w:rPr>
          <w:rFonts w:ascii="宋体" w:hAnsi="宋体" w:cs="宋体" w:eastAsia="宋体" w:hint="default"/>
          <w:sz w:val="20"/>
          <w:szCs w:val="20"/>
        </w:rPr>
        <w:t>年</w:t>
      </w:r>
      <w:r>
        <w:rPr>
          <w:rFonts w:ascii="宋体" w:hAnsi="宋体" w:cs="宋体" w:eastAsia="宋体" w:hint="default"/>
          <w:sz w:val="20"/>
          <w:szCs w:val="20"/>
        </w:rPr>
        <w:t>12</w:t>
      </w:r>
      <w:r>
        <w:rPr>
          <w:rFonts w:ascii="宋体" w:hAnsi="宋体" w:cs="宋体" w:eastAsia="宋体" w:hint="default"/>
          <w:sz w:val="20"/>
          <w:szCs w:val="20"/>
        </w:rPr>
        <w:t>月</w:t>
      </w:r>
      <w:r>
        <w:rPr>
          <w:rFonts w:ascii="宋体" w:hAnsi="宋体" w:cs="宋体" w:eastAsia="宋体" w:hint="default"/>
          <w:sz w:val="20"/>
          <w:szCs w:val="20"/>
        </w:rPr>
        <w:t>31</w:t>
      </w:r>
      <w:r>
        <w:rPr>
          <w:rFonts w:ascii="宋体" w:hAnsi="宋体" w:cs="宋体" w:eastAsia="宋体" w:hint="default"/>
          <w:sz w:val="20"/>
          <w:szCs w:val="20"/>
        </w:rPr>
        <w:t>日，公司在全国设立海运网点</w:t>
      </w:r>
      <w:r>
        <w:rPr>
          <w:rFonts w:ascii="宋体" w:hAnsi="宋体" w:cs="宋体" w:eastAsia="宋体" w:hint="default"/>
          <w:sz w:val="20"/>
          <w:szCs w:val="20"/>
        </w:rPr>
        <w:t>89</w:t>
      </w:r>
      <w:r>
        <w:rPr>
          <w:rFonts w:ascii="宋体" w:hAnsi="宋体" w:cs="宋体" w:eastAsia="宋体" w:hint="default"/>
          <w:sz w:val="20"/>
          <w:szCs w:val="20"/>
        </w:rPr>
        <w:t>个，涉及业务口岸</w:t>
      </w:r>
      <w:r>
        <w:rPr>
          <w:rFonts w:ascii="宋体" w:hAnsi="宋体" w:cs="宋体" w:eastAsia="宋体" w:hint="default"/>
          <w:sz w:val="20"/>
          <w:szCs w:val="20"/>
        </w:rPr>
        <w:t>148</w:t>
      </w:r>
      <w:r>
        <w:rPr>
          <w:rFonts w:ascii="宋体" w:hAnsi="宋体" w:cs="宋体" w:eastAsia="宋体" w:hint="default"/>
          <w:sz w:val="20"/>
          <w:szCs w:val="20"/>
        </w:rPr>
        <w:t>个，经营</w:t>
      </w:r>
      <w:r>
        <w:rPr>
          <w:rFonts w:ascii="宋体" w:hAnsi="宋体" w:cs="宋体" w:eastAsia="宋体" w:hint="default"/>
          <w:sz w:val="20"/>
          <w:szCs w:val="20"/>
        </w:rPr>
        <w:t>101</w:t>
      </w:r>
      <w:r>
        <w:rPr>
          <w:rFonts w:ascii="宋体" w:hAnsi="宋体" w:cs="宋体" w:eastAsia="宋体" w:hint="default"/>
          <w:sz w:val="20"/>
          <w:szCs w:val="20"/>
        </w:rPr>
        <w:t>条集装箱</w:t>
      </w:r>
    </w:p>
    <w:p>
      <w:pPr>
        <w:spacing w:line="357" w:lineRule="auto" w:before="31"/>
        <w:ind w:left="218" w:right="232" w:firstLine="0"/>
        <w:jc w:val="both"/>
        <w:rPr>
          <w:rFonts w:ascii="宋体" w:hAnsi="宋体" w:cs="宋体" w:eastAsia="宋体" w:hint="default"/>
          <w:sz w:val="20"/>
          <w:szCs w:val="20"/>
        </w:rPr>
      </w:pPr>
      <w:r>
        <w:rPr>
          <w:rFonts w:ascii="宋体" w:hAnsi="宋体" w:cs="宋体" w:eastAsia="宋体" w:hint="default"/>
          <w:spacing w:val="-1"/>
          <w:w w:val="95"/>
          <w:sz w:val="20"/>
          <w:szCs w:val="20"/>
        </w:rPr>
        <w:t>船舶；总运力</w:t>
      </w:r>
      <w:r>
        <w:rPr>
          <w:rFonts w:ascii="宋体" w:hAnsi="宋体" w:cs="宋体" w:eastAsia="宋体" w:hint="default"/>
          <w:spacing w:val="-1"/>
          <w:w w:val="95"/>
          <w:sz w:val="20"/>
          <w:szCs w:val="20"/>
        </w:rPr>
        <w:t>11.19</w:t>
      </w:r>
      <w:r>
        <w:rPr>
          <w:rFonts w:ascii="宋体" w:hAnsi="宋体" w:cs="宋体" w:eastAsia="宋体" w:hint="default"/>
          <w:spacing w:val="-1"/>
          <w:w w:val="95"/>
          <w:sz w:val="20"/>
          <w:szCs w:val="20"/>
        </w:rPr>
        <w:t>万</w:t>
      </w:r>
      <w:r>
        <w:rPr>
          <w:rFonts w:ascii="宋体" w:hAnsi="宋体" w:cs="宋体" w:eastAsia="宋体" w:hint="default"/>
          <w:spacing w:val="-1"/>
          <w:w w:val="95"/>
          <w:sz w:val="20"/>
          <w:szCs w:val="20"/>
        </w:rPr>
        <w:t>TEU</w:t>
      </w:r>
      <w:r>
        <w:rPr>
          <w:rFonts w:ascii="宋体" w:hAnsi="宋体" w:cs="宋体" w:eastAsia="宋体" w:hint="default"/>
          <w:spacing w:val="-1"/>
          <w:w w:val="95"/>
          <w:sz w:val="20"/>
          <w:szCs w:val="20"/>
        </w:rPr>
        <w:t>，同比</w:t>
      </w:r>
      <w:r>
        <w:rPr>
          <w:rFonts w:ascii="宋体" w:hAnsi="宋体" w:cs="宋体" w:eastAsia="宋体" w:hint="default"/>
          <w:spacing w:val="-1"/>
          <w:w w:val="95"/>
          <w:sz w:val="20"/>
          <w:szCs w:val="20"/>
        </w:rPr>
        <w:t>2016</w:t>
      </w:r>
      <w:r>
        <w:rPr>
          <w:rFonts w:ascii="宋体" w:hAnsi="宋体" w:cs="宋体" w:eastAsia="宋体" w:hint="default"/>
          <w:spacing w:val="-1"/>
          <w:w w:val="95"/>
          <w:sz w:val="20"/>
          <w:szCs w:val="20"/>
        </w:rPr>
        <w:t>年增长约</w:t>
      </w:r>
      <w:r>
        <w:rPr>
          <w:rFonts w:ascii="宋体" w:hAnsi="宋体" w:cs="宋体" w:eastAsia="宋体" w:hint="default"/>
          <w:spacing w:val="-1"/>
          <w:w w:val="95"/>
          <w:sz w:val="20"/>
          <w:szCs w:val="20"/>
        </w:rPr>
        <w:t>60%</w:t>
      </w:r>
      <w:r>
        <w:rPr>
          <w:rFonts w:ascii="宋体" w:hAnsi="宋体" w:cs="宋体" w:eastAsia="宋体" w:hint="default"/>
          <w:spacing w:val="-1"/>
          <w:w w:val="95"/>
          <w:sz w:val="20"/>
          <w:szCs w:val="20"/>
        </w:rPr>
        <w:t>；总载重吨总</w:t>
      </w:r>
      <w:r>
        <w:rPr>
          <w:rFonts w:ascii="宋体" w:hAnsi="宋体" w:cs="宋体" w:eastAsia="宋体" w:hint="default"/>
          <w:spacing w:val="-1"/>
          <w:w w:val="95"/>
          <w:sz w:val="20"/>
          <w:szCs w:val="20"/>
        </w:rPr>
        <w:t>165.5</w:t>
      </w:r>
      <w:r>
        <w:rPr>
          <w:rFonts w:ascii="宋体" w:hAnsi="宋体" w:cs="宋体" w:eastAsia="宋体" w:hint="default"/>
          <w:spacing w:val="-1"/>
          <w:w w:val="95"/>
          <w:sz w:val="20"/>
          <w:szCs w:val="20"/>
        </w:rPr>
        <w:t>万吨，同比</w:t>
      </w:r>
      <w:r>
        <w:rPr>
          <w:rFonts w:ascii="宋体" w:hAnsi="宋体" w:cs="宋体" w:eastAsia="宋体" w:hint="default"/>
          <w:spacing w:val="-1"/>
          <w:w w:val="95"/>
          <w:sz w:val="20"/>
          <w:szCs w:val="20"/>
        </w:rPr>
        <w:t>2016</w:t>
      </w:r>
      <w:r>
        <w:rPr>
          <w:rFonts w:ascii="宋体" w:hAnsi="宋体" w:cs="宋体" w:eastAsia="宋体" w:hint="default"/>
          <w:spacing w:val="-1"/>
          <w:w w:val="95"/>
          <w:sz w:val="20"/>
          <w:szCs w:val="20"/>
        </w:rPr>
        <w:t>年增长约</w:t>
      </w:r>
      <w:r>
        <w:rPr>
          <w:rFonts w:ascii="宋体" w:hAnsi="宋体" w:cs="宋体" w:eastAsia="宋体" w:hint="default"/>
          <w:spacing w:val="-1"/>
          <w:w w:val="95"/>
          <w:sz w:val="20"/>
          <w:szCs w:val="20"/>
        </w:rPr>
        <w:t>50%</w:t>
      </w:r>
      <w:r>
        <w:rPr>
          <w:rFonts w:ascii="宋体" w:hAnsi="宋体" w:cs="宋体" w:eastAsia="宋体" w:hint="default"/>
          <w:spacing w:val="-1"/>
          <w:w w:val="95"/>
          <w:sz w:val="20"/>
          <w:szCs w:val="20"/>
        </w:rPr>
        <w:t>；全</w:t>
      </w:r>
      <w:r>
        <w:rPr>
          <w:rFonts w:ascii="宋体" w:hAnsi="宋体" w:cs="宋体" w:eastAsia="宋体" w:hint="default"/>
          <w:spacing w:val="-2"/>
          <w:w w:val="95"/>
          <w:sz w:val="20"/>
          <w:szCs w:val="20"/>
        </w:rPr>
        <w:t> </w:t>
      </w:r>
      <w:r>
        <w:rPr>
          <w:rFonts w:ascii="宋体" w:hAnsi="宋体" w:cs="宋体" w:eastAsia="宋体" w:hint="default"/>
          <w:spacing w:val="-1"/>
          <w:w w:val="95"/>
          <w:sz w:val="20"/>
          <w:szCs w:val="20"/>
        </w:rPr>
        <w:t>年完成计费箱量</w:t>
      </w:r>
      <w:r>
        <w:rPr>
          <w:rFonts w:ascii="宋体" w:hAnsi="宋体" w:cs="宋体" w:eastAsia="宋体" w:hint="default"/>
          <w:spacing w:val="-1"/>
          <w:w w:val="95"/>
          <w:sz w:val="20"/>
          <w:szCs w:val="20"/>
        </w:rPr>
        <w:t>245</w:t>
      </w:r>
      <w:r>
        <w:rPr>
          <w:rFonts w:ascii="宋体" w:hAnsi="宋体" w:cs="宋体" w:eastAsia="宋体" w:hint="default"/>
          <w:spacing w:val="-1"/>
          <w:w w:val="95"/>
          <w:sz w:val="20"/>
          <w:szCs w:val="20"/>
        </w:rPr>
        <w:t>万</w:t>
      </w:r>
      <w:r>
        <w:rPr>
          <w:rFonts w:ascii="宋体" w:hAnsi="宋体" w:cs="宋体" w:eastAsia="宋体" w:hint="default"/>
          <w:spacing w:val="-1"/>
          <w:w w:val="95"/>
          <w:sz w:val="20"/>
          <w:szCs w:val="20"/>
        </w:rPr>
        <w:t>TEU</w:t>
      </w:r>
      <w:r>
        <w:rPr>
          <w:rFonts w:ascii="宋体" w:hAnsi="宋体" w:cs="宋体" w:eastAsia="宋体" w:hint="default"/>
          <w:spacing w:val="-1"/>
          <w:w w:val="95"/>
          <w:sz w:val="20"/>
          <w:szCs w:val="20"/>
        </w:rPr>
        <w:t>，同比</w:t>
      </w:r>
      <w:r>
        <w:rPr>
          <w:rFonts w:ascii="宋体" w:hAnsi="宋体" w:cs="宋体" w:eastAsia="宋体" w:hint="default"/>
          <w:spacing w:val="-1"/>
          <w:w w:val="95"/>
          <w:sz w:val="20"/>
          <w:szCs w:val="20"/>
        </w:rPr>
        <w:t>2016</w:t>
      </w:r>
      <w:r>
        <w:rPr>
          <w:rFonts w:ascii="宋体" w:hAnsi="宋体" w:cs="宋体" w:eastAsia="宋体" w:hint="default"/>
          <w:spacing w:val="-1"/>
          <w:w w:val="95"/>
          <w:sz w:val="20"/>
          <w:szCs w:val="20"/>
        </w:rPr>
        <w:t>年增长</w:t>
      </w:r>
      <w:r>
        <w:rPr>
          <w:rFonts w:ascii="宋体" w:hAnsi="宋体" w:cs="宋体" w:eastAsia="宋体" w:hint="default"/>
          <w:spacing w:val="-1"/>
          <w:w w:val="95"/>
          <w:sz w:val="20"/>
          <w:szCs w:val="20"/>
        </w:rPr>
        <w:t>42%</w:t>
      </w:r>
      <w:r>
        <w:rPr>
          <w:rFonts w:ascii="宋体" w:hAnsi="宋体" w:cs="宋体" w:eastAsia="宋体" w:hint="default"/>
          <w:spacing w:val="-1"/>
          <w:w w:val="95"/>
          <w:sz w:val="20"/>
          <w:szCs w:val="20"/>
        </w:rPr>
        <w:t>。根据法国海运资讯—</w:t>
      </w:r>
      <w:r>
        <w:rPr>
          <w:rFonts w:ascii="宋体" w:hAnsi="宋体" w:cs="宋体" w:eastAsia="宋体" w:hint="default"/>
          <w:spacing w:val="-1"/>
          <w:w w:val="95"/>
          <w:sz w:val="20"/>
          <w:szCs w:val="20"/>
        </w:rPr>
        <w:t>Alphaliner</w:t>
      </w:r>
      <w:r>
        <w:rPr>
          <w:rFonts w:ascii="宋体" w:hAnsi="宋体" w:cs="宋体" w:eastAsia="宋体" w:hint="default"/>
          <w:spacing w:val="-1"/>
          <w:w w:val="95"/>
          <w:sz w:val="20"/>
          <w:szCs w:val="20"/>
        </w:rPr>
        <w:t>公司截至本公告日披</w:t>
      </w:r>
      <w:r>
        <w:rPr>
          <w:rFonts w:ascii="宋体" w:hAnsi="宋体" w:cs="宋体" w:eastAsia="宋体" w:hint="default"/>
          <w:spacing w:val="42"/>
          <w:w w:val="95"/>
          <w:sz w:val="20"/>
          <w:szCs w:val="20"/>
        </w:rPr>
        <w:t> </w:t>
      </w:r>
      <w:r>
        <w:rPr>
          <w:rFonts w:ascii="宋体" w:hAnsi="宋体" w:cs="宋体" w:eastAsia="宋体" w:hint="default"/>
          <w:spacing w:val="42"/>
          <w:w w:val="95"/>
          <w:sz w:val="20"/>
          <w:szCs w:val="20"/>
        </w:rPr>
      </w:r>
      <w:r>
        <w:rPr>
          <w:rFonts w:ascii="宋体" w:hAnsi="宋体" w:cs="宋体" w:eastAsia="宋体" w:hint="default"/>
          <w:sz w:val="20"/>
          <w:szCs w:val="20"/>
        </w:rPr>
        <w:t>露最新排名，公司集装箱船舶运力规模据全球第</w:t>
      </w:r>
      <w:r>
        <w:rPr>
          <w:rFonts w:ascii="宋体" w:hAnsi="宋体" w:cs="宋体" w:eastAsia="宋体" w:hint="default"/>
          <w:sz w:val="20"/>
          <w:szCs w:val="20"/>
        </w:rPr>
        <w:t>17</w:t>
      </w:r>
      <w:r>
        <w:rPr>
          <w:rFonts w:ascii="宋体" w:hAnsi="宋体" w:cs="宋体" w:eastAsia="宋体" w:hint="default"/>
          <w:sz w:val="20"/>
          <w:szCs w:val="20"/>
        </w:rPr>
        <w:t>位，位居全国内贸集装箱物流企业第二位。同时，</w:t>
      </w:r>
      <w:r>
        <w:rPr>
          <w:rFonts w:ascii="宋体" w:hAnsi="宋体" w:cs="宋体" w:eastAsia="宋体" w:hint="default"/>
          <w:w w:val="99"/>
          <w:sz w:val="20"/>
          <w:szCs w:val="20"/>
        </w:rPr>
        <w:t> </w:t>
      </w:r>
      <w:r>
        <w:rPr>
          <w:rFonts w:ascii="宋体" w:hAnsi="宋体" w:cs="宋体" w:eastAsia="宋体" w:hint="default"/>
          <w:spacing w:val="-1"/>
          <w:w w:val="95"/>
          <w:sz w:val="20"/>
          <w:szCs w:val="20"/>
        </w:rPr>
        <w:t>得益于运力提升，公司航线网络挂靠港口</w:t>
      </w:r>
      <w:r>
        <w:rPr>
          <w:rFonts w:ascii="宋体" w:hAnsi="宋体" w:cs="宋体" w:eastAsia="宋体" w:hint="default"/>
          <w:spacing w:val="-1"/>
          <w:w w:val="95"/>
          <w:sz w:val="20"/>
          <w:szCs w:val="20"/>
        </w:rPr>
        <w:t>159</w:t>
      </w:r>
      <w:r>
        <w:rPr>
          <w:rFonts w:ascii="宋体" w:hAnsi="宋体" w:cs="宋体" w:eastAsia="宋体" w:hint="default"/>
          <w:spacing w:val="-1"/>
          <w:w w:val="95"/>
          <w:sz w:val="20"/>
          <w:szCs w:val="20"/>
        </w:rPr>
        <w:t>个，同比</w:t>
      </w:r>
      <w:r>
        <w:rPr>
          <w:rFonts w:ascii="宋体" w:hAnsi="宋体" w:cs="宋体" w:eastAsia="宋体" w:hint="default"/>
          <w:spacing w:val="-1"/>
          <w:w w:val="95"/>
          <w:sz w:val="20"/>
          <w:szCs w:val="20"/>
        </w:rPr>
        <w:t>2016</w:t>
      </w:r>
      <w:r>
        <w:rPr>
          <w:rFonts w:ascii="宋体" w:hAnsi="宋体" w:cs="宋体" w:eastAsia="宋体" w:hint="default"/>
          <w:spacing w:val="-1"/>
          <w:w w:val="95"/>
          <w:sz w:val="20"/>
          <w:szCs w:val="20"/>
        </w:rPr>
        <w:t>年增长</w:t>
      </w:r>
      <w:r>
        <w:rPr>
          <w:rFonts w:ascii="宋体" w:hAnsi="宋体" w:cs="宋体" w:eastAsia="宋体" w:hint="default"/>
          <w:spacing w:val="-1"/>
          <w:w w:val="95"/>
          <w:sz w:val="20"/>
          <w:szCs w:val="20"/>
        </w:rPr>
        <w:t>45</w:t>
      </w:r>
      <w:r>
        <w:rPr>
          <w:rFonts w:ascii="宋体" w:hAnsi="宋体" w:cs="宋体" w:eastAsia="宋体" w:hint="default"/>
          <w:spacing w:val="-1"/>
          <w:w w:val="95"/>
          <w:sz w:val="20"/>
          <w:szCs w:val="20"/>
        </w:rPr>
        <w:t>个，内贸箱吞吐量在</w:t>
      </w:r>
      <w:r>
        <w:rPr>
          <w:rFonts w:ascii="宋体" w:hAnsi="宋体" w:cs="宋体" w:eastAsia="宋体" w:hint="default"/>
          <w:spacing w:val="-1"/>
          <w:w w:val="95"/>
          <w:sz w:val="20"/>
          <w:szCs w:val="20"/>
        </w:rPr>
        <w:t>63</w:t>
      </w:r>
      <w:r>
        <w:rPr>
          <w:rFonts w:ascii="宋体" w:hAnsi="宋体" w:cs="宋体" w:eastAsia="宋体" w:hint="default"/>
          <w:spacing w:val="-1"/>
          <w:w w:val="95"/>
          <w:sz w:val="20"/>
          <w:szCs w:val="20"/>
        </w:rPr>
        <w:t>个主要港口</w:t>
      </w:r>
      <w:r>
        <w:rPr>
          <w:rFonts w:ascii="宋体" w:hAnsi="宋体" w:cs="宋体" w:eastAsia="宋体" w:hint="default"/>
          <w:spacing w:val="40"/>
          <w:w w:val="95"/>
          <w:sz w:val="20"/>
          <w:szCs w:val="20"/>
        </w:rPr>
        <w:t> </w:t>
      </w:r>
      <w:r>
        <w:rPr>
          <w:rFonts w:ascii="宋体" w:hAnsi="宋体" w:cs="宋体" w:eastAsia="宋体" w:hint="default"/>
          <w:spacing w:val="40"/>
          <w:w w:val="95"/>
          <w:sz w:val="20"/>
          <w:szCs w:val="20"/>
        </w:rPr>
      </w:r>
      <w:r>
        <w:rPr>
          <w:rFonts w:ascii="宋体" w:hAnsi="宋体" w:cs="宋体" w:eastAsia="宋体" w:hint="default"/>
          <w:sz w:val="20"/>
          <w:szCs w:val="20"/>
        </w:rPr>
        <w:t>常年位列前三，在海口、石湖、黄岛、洋浦、南沙三期、黄埔老港常年位居第一。目前，公司主营国</w:t>
      </w:r>
      <w:r>
        <w:rPr>
          <w:rFonts w:ascii="宋体" w:hAnsi="宋体" w:cs="宋体" w:eastAsia="宋体" w:hint="default"/>
          <w:w w:val="99"/>
          <w:sz w:val="20"/>
          <w:szCs w:val="20"/>
        </w:rPr>
        <w:t> </w:t>
      </w:r>
      <w:r>
        <w:rPr>
          <w:rFonts w:ascii="宋体" w:hAnsi="宋体" w:cs="宋体" w:eastAsia="宋体" w:hint="default"/>
          <w:sz w:val="20"/>
          <w:szCs w:val="20"/>
        </w:rPr>
        <w:t>内航线干线</w:t>
      </w:r>
      <w:r>
        <w:rPr>
          <w:rFonts w:ascii="宋体" w:hAnsi="宋体" w:cs="宋体" w:eastAsia="宋体" w:hint="default"/>
          <w:sz w:val="20"/>
          <w:szCs w:val="20"/>
        </w:rPr>
        <w:t>48</w:t>
      </w:r>
      <w:r>
        <w:rPr>
          <w:rFonts w:ascii="宋体" w:hAnsi="宋体" w:cs="宋体" w:eastAsia="宋体" w:hint="default"/>
          <w:sz w:val="20"/>
          <w:szCs w:val="20"/>
        </w:rPr>
        <w:t>条，国际物流航线</w:t>
      </w:r>
      <w:r>
        <w:rPr>
          <w:rFonts w:ascii="宋体" w:hAnsi="宋体" w:cs="宋体" w:eastAsia="宋体" w:hint="default"/>
          <w:sz w:val="20"/>
          <w:szCs w:val="20"/>
        </w:rPr>
        <w:t>5</w:t>
      </w:r>
      <w:r>
        <w:rPr>
          <w:rFonts w:ascii="宋体" w:hAnsi="宋体" w:cs="宋体" w:eastAsia="宋体" w:hint="default"/>
          <w:sz w:val="20"/>
          <w:szCs w:val="20"/>
        </w:rPr>
        <w:t>条，国内航线基本覆盖国内主要干线港口，其中精品航线如下：</w:t>
      </w:r>
    </w:p>
    <w:p>
      <w:pPr>
        <w:spacing w:line="240" w:lineRule="auto" w:before="9"/>
        <w:rPr>
          <w:rFonts w:ascii="宋体" w:hAnsi="宋体" w:cs="宋体" w:eastAsia="宋体" w:hint="default"/>
          <w:sz w:val="4"/>
          <w:szCs w:val="4"/>
        </w:rPr>
      </w:pPr>
    </w:p>
    <w:tbl>
      <w:tblPr>
        <w:tblW w:w="0" w:type="auto"/>
        <w:jc w:val="left"/>
        <w:tblInd w:w="105" w:type="dxa"/>
        <w:tblLayout w:type="fixed"/>
        <w:tblCellMar>
          <w:top w:w="0" w:type="dxa"/>
          <w:left w:w="0" w:type="dxa"/>
          <w:bottom w:w="0" w:type="dxa"/>
          <w:right w:w="0" w:type="dxa"/>
        </w:tblCellMar>
        <w:tblLook w:val="01E0"/>
      </w:tblPr>
      <w:tblGrid>
        <w:gridCol w:w="1807"/>
        <w:gridCol w:w="2410"/>
        <w:gridCol w:w="4832"/>
      </w:tblGrid>
      <w:tr>
        <w:trPr>
          <w:trHeight w:val="401" w:hRule="exact"/>
        </w:trPr>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94" w:right="0"/>
              <w:jc w:val="center"/>
              <w:rPr>
                <w:rFonts w:ascii="宋体" w:hAnsi="宋体" w:cs="宋体" w:eastAsia="宋体" w:hint="default"/>
                <w:sz w:val="20"/>
                <w:szCs w:val="20"/>
              </w:rPr>
            </w:pPr>
            <w:r>
              <w:rPr>
                <w:rFonts w:ascii="宋体" w:hAnsi="宋体" w:cs="宋体" w:eastAsia="宋体" w:hint="default"/>
                <w:sz w:val="20"/>
                <w:szCs w:val="20"/>
              </w:rPr>
              <w:t>序号</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92" w:right="0"/>
              <w:jc w:val="center"/>
              <w:rPr>
                <w:rFonts w:ascii="宋体" w:hAnsi="宋体" w:cs="宋体" w:eastAsia="宋体" w:hint="default"/>
                <w:sz w:val="20"/>
                <w:szCs w:val="20"/>
              </w:rPr>
            </w:pPr>
            <w:r>
              <w:rPr>
                <w:rFonts w:ascii="宋体" w:hAnsi="宋体" w:cs="宋体" w:eastAsia="宋体" w:hint="default"/>
                <w:sz w:val="20"/>
                <w:szCs w:val="20"/>
              </w:rPr>
              <w:t>航线</w:t>
            </w:r>
          </w:p>
        </w:tc>
        <w:tc>
          <w:tcPr>
            <w:tcW w:w="483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94" w:right="0"/>
              <w:jc w:val="center"/>
              <w:rPr>
                <w:rFonts w:ascii="宋体" w:hAnsi="宋体" w:cs="宋体" w:eastAsia="宋体" w:hint="default"/>
                <w:sz w:val="20"/>
                <w:szCs w:val="20"/>
              </w:rPr>
            </w:pPr>
            <w:r>
              <w:rPr>
                <w:rFonts w:ascii="宋体" w:hAnsi="宋体" w:cs="宋体" w:eastAsia="宋体" w:hint="default"/>
                <w:sz w:val="20"/>
                <w:szCs w:val="20"/>
              </w:rPr>
              <w:t>挂港顺序</w:t>
            </w:r>
          </w:p>
        </w:tc>
      </w:tr>
      <w:tr>
        <w:trPr>
          <w:trHeight w:val="398" w:hRule="exact"/>
        </w:trPr>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97" w:right="0"/>
              <w:jc w:val="center"/>
              <w:rPr>
                <w:rFonts w:ascii="宋体" w:hAnsi="宋体" w:cs="宋体" w:eastAsia="宋体" w:hint="default"/>
                <w:sz w:val="20"/>
                <w:szCs w:val="20"/>
              </w:rPr>
            </w:pPr>
            <w:r>
              <w:rPr>
                <w:rFonts w:ascii="宋体"/>
                <w:w w:val="99"/>
                <w:sz w:val="20"/>
              </w:rPr>
              <w:t>1</w:t>
            </w:r>
            <w:r>
              <w:rPr>
                <w:rFonts w:ascii="宋体"/>
                <w:sz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95" w:right="0"/>
              <w:jc w:val="center"/>
              <w:rPr>
                <w:rFonts w:ascii="宋体" w:hAnsi="宋体" w:cs="宋体" w:eastAsia="宋体" w:hint="default"/>
                <w:sz w:val="20"/>
                <w:szCs w:val="20"/>
              </w:rPr>
            </w:pPr>
            <w:r>
              <w:rPr>
                <w:rFonts w:ascii="宋体" w:hAnsi="宋体" w:cs="宋体" w:eastAsia="宋体" w:hint="default"/>
                <w:sz w:val="20"/>
                <w:szCs w:val="20"/>
              </w:rPr>
              <w:t>华东线</w:t>
            </w:r>
          </w:p>
        </w:tc>
        <w:tc>
          <w:tcPr>
            <w:tcW w:w="483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94" w:right="0"/>
              <w:jc w:val="center"/>
              <w:rPr>
                <w:rFonts w:ascii="宋体" w:hAnsi="宋体" w:cs="宋体" w:eastAsia="宋体" w:hint="default"/>
                <w:sz w:val="20"/>
                <w:szCs w:val="20"/>
              </w:rPr>
            </w:pPr>
            <w:r>
              <w:rPr>
                <w:rFonts w:ascii="宋体" w:hAnsi="宋体" w:cs="宋体" w:eastAsia="宋体" w:hint="default"/>
                <w:sz w:val="20"/>
                <w:szCs w:val="20"/>
              </w:rPr>
              <w:t>营口</w:t>
            </w:r>
            <w:r>
              <w:rPr>
                <w:rFonts w:ascii="宋体" w:hAnsi="宋体" w:cs="宋体" w:eastAsia="宋体" w:hint="default"/>
                <w:sz w:val="20"/>
                <w:szCs w:val="20"/>
              </w:rPr>
              <w:t>-</w:t>
            </w:r>
            <w:r>
              <w:rPr>
                <w:rFonts w:ascii="宋体" w:hAnsi="宋体" w:cs="宋体" w:eastAsia="宋体" w:hint="default"/>
                <w:sz w:val="20"/>
                <w:szCs w:val="20"/>
              </w:rPr>
              <w:t>上海</w:t>
            </w:r>
          </w:p>
        </w:tc>
      </w:tr>
      <w:tr>
        <w:trPr>
          <w:trHeight w:val="398" w:hRule="exact"/>
        </w:trPr>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97" w:right="0"/>
              <w:jc w:val="center"/>
              <w:rPr>
                <w:rFonts w:ascii="宋体" w:hAnsi="宋体" w:cs="宋体" w:eastAsia="宋体" w:hint="default"/>
                <w:sz w:val="20"/>
                <w:szCs w:val="20"/>
              </w:rPr>
            </w:pPr>
            <w:r>
              <w:rPr>
                <w:rFonts w:ascii="宋体"/>
                <w:w w:val="99"/>
                <w:sz w:val="20"/>
              </w:rPr>
              <w:t>2</w:t>
            </w:r>
            <w:r>
              <w:rPr>
                <w:rFonts w:ascii="宋体"/>
                <w:sz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95" w:right="0"/>
              <w:jc w:val="center"/>
              <w:rPr>
                <w:rFonts w:ascii="宋体" w:hAnsi="宋体" w:cs="宋体" w:eastAsia="宋体" w:hint="default"/>
                <w:sz w:val="20"/>
                <w:szCs w:val="20"/>
              </w:rPr>
            </w:pPr>
            <w:r>
              <w:rPr>
                <w:rFonts w:ascii="宋体" w:hAnsi="宋体" w:cs="宋体" w:eastAsia="宋体" w:hint="default"/>
                <w:sz w:val="20"/>
                <w:szCs w:val="20"/>
              </w:rPr>
              <w:t>华东线</w:t>
            </w:r>
          </w:p>
        </w:tc>
        <w:tc>
          <w:tcPr>
            <w:tcW w:w="483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94" w:right="0"/>
              <w:jc w:val="center"/>
              <w:rPr>
                <w:rFonts w:ascii="宋体" w:hAnsi="宋体" w:cs="宋体" w:eastAsia="宋体" w:hint="default"/>
                <w:sz w:val="20"/>
                <w:szCs w:val="20"/>
              </w:rPr>
            </w:pPr>
            <w:r>
              <w:rPr>
                <w:rFonts w:ascii="宋体" w:hAnsi="宋体" w:cs="宋体" w:eastAsia="宋体" w:hint="default"/>
                <w:sz w:val="20"/>
                <w:szCs w:val="20"/>
              </w:rPr>
              <w:t>大连</w:t>
            </w:r>
            <w:r>
              <w:rPr>
                <w:rFonts w:ascii="宋体" w:hAnsi="宋体" w:cs="宋体" w:eastAsia="宋体" w:hint="default"/>
                <w:sz w:val="20"/>
                <w:szCs w:val="20"/>
              </w:rPr>
              <w:t>-</w:t>
            </w:r>
            <w:r>
              <w:rPr>
                <w:rFonts w:ascii="宋体" w:hAnsi="宋体" w:cs="宋体" w:eastAsia="宋体" w:hint="default"/>
                <w:sz w:val="20"/>
                <w:szCs w:val="20"/>
              </w:rPr>
              <w:t>上海</w:t>
            </w:r>
          </w:p>
        </w:tc>
      </w:tr>
      <w:tr>
        <w:trPr>
          <w:trHeight w:val="398" w:hRule="exact"/>
        </w:trPr>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97" w:right="0"/>
              <w:jc w:val="center"/>
              <w:rPr>
                <w:rFonts w:ascii="宋体" w:hAnsi="宋体" w:cs="宋体" w:eastAsia="宋体" w:hint="default"/>
                <w:sz w:val="20"/>
                <w:szCs w:val="20"/>
              </w:rPr>
            </w:pPr>
            <w:r>
              <w:rPr>
                <w:rFonts w:ascii="宋体"/>
                <w:w w:val="99"/>
                <w:sz w:val="20"/>
              </w:rPr>
              <w:t>3</w:t>
            </w:r>
            <w:r>
              <w:rPr>
                <w:rFonts w:ascii="宋体"/>
                <w:sz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95" w:right="0"/>
              <w:jc w:val="center"/>
              <w:rPr>
                <w:rFonts w:ascii="宋体" w:hAnsi="宋体" w:cs="宋体" w:eastAsia="宋体" w:hint="default"/>
                <w:sz w:val="20"/>
                <w:szCs w:val="20"/>
              </w:rPr>
            </w:pPr>
            <w:r>
              <w:rPr>
                <w:rFonts w:ascii="宋体" w:hAnsi="宋体" w:cs="宋体" w:eastAsia="宋体" w:hint="default"/>
                <w:sz w:val="20"/>
                <w:szCs w:val="20"/>
              </w:rPr>
              <w:t>华东线</w:t>
            </w:r>
          </w:p>
        </w:tc>
        <w:tc>
          <w:tcPr>
            <w:tcW w:w="483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94" w:right="0"/>
              <w:jc w:val="center"/>
              <w:rPr>
                <w:rFonts w:ascii="宋体" w:hAnsi="宋体" w:cs="宋体" w:eastAsia="宋体" w:hint="default"/>
                <w:sz w:val="20"/>
                <w:szCs w:val="20"/>
              </w:rPr>
            </w:pPr>
            <w:r>
              <w:rPr>
                <w:rFonts w:ascii="宋体" w:hAnsi="宋体" w:cs="宋体" w:eastAsia="宋体" w:hint="default"/>
                <w:sz w:val="20"/>
                <w:szCs w:val="20"/>
              </w:rPr>
              <w:t>天津</w:t>
            </w:r>
            <w:r>
              <w:rPr>
                <w:rFonts w:ascii="宋体" w:hAnsi="宋体" w:cs="宋体" w:eastAsia="宋体" w:hint="default"/>
                <w:sz w:val="20"/>
                <w:szCs w:val="20"/>
              </w:rPr>
              <w:t>-</w:t>
            </w:r>
            <w:r>
              <w:rPr>
                <w:rFonts w:ascii="宋体" w:hAnsi="宋体" w:cs="宋体" w:eastAsia="宋体" w:hint="default"/>
                <w:sz w:val="20"/>
                <w:szCs w:val="20"/>
              </w:rPr>
              <w:t>上海</w:t>
            </w:r>
          </w:p>
        </w:tc>
      </w:tr>
      <w:tr>
        <w:trPr>
          <w:trHeight w:val="401" w:hRule="exact"/>
        </w:trPr>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97" w:right="0"/>
              <w:jc w:val="center"/>
              <w:rPr>
                <w:rFonts w:ascii="宋体" w:hAnsi="宋体" w:cs="宋体" w:eastAsia="宋体" w:hint="default"/>
                <w:sz w:val="20"/>
                <w:szCs w:val="20"/>
              </w:rPr>
            </w:pPr>
            <w:r>
              <w:rPr>
                <w:rFonts w:ascii="宋体"/>
                <w:w w:val="99"/>
                <w:sz w:val="20"/>
              </w:rPr>
              <w:t>4</w:t>
            </w:r>
            <w:r>
              <w:rPr>
                <w:rFonts w:ascii="宋体"/>
                <w:sz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95" w:right="0"/>
              <w:jc w:val="center"/>
              <w:rPr>
                <w:rFonts w:ascii="宋体" w:hAnsi="宋体" w:cs="宋体" w:eastAsia="宋体" w:hint="default"/>
                <w:sz w:val="20"/>
                <w:szCs w:val="20"/>
              </w:rPr>
            </w:pPr>
            <w:r>
              <w:rPr>
                <w:rFonts w:ascii="宋体" w:hAnsi="宋体" w:cs="宋体" w:eastAsia="宋体" w:hint="default"/>
                <w:sz w:val="20"/>
                <w:szCs w:val="20"/>
              </w:rPr>
              <w:t>东南线</w:t>
            </w:r>
          </w:p>
        </w:tc>
        <w:tc>
          <w:tcPr>
            <w:tcW w:w="483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94" w:right="0"/>
              <w:jc w:val="center"/>
              <w:rPr>
                <w:rFonts w:ascii="宋体" w:hAnsi="宋体" w:cs="宋体" w:eastAsia="宋体" w:hint="default"/>
                <w:sz w:val="20"/>
                <w:szCs w:val="20"/>
              </w:rPr>
            </w:pPr>
            <w:r>
              <w:rPr>
                <w:rFonts w:ascii="宋体" w:hAnsi="宋体" w:cs="宋体" w:eastAsia="宋体" w:hint="default"/>
                <w:sz w:val="20"/>
                <w:szCs w:val="20"/>
              </w:rPr>
              <w:t>营口</w:t>
            </w:r>
            <w:r>
              <w:rPr>
                <w:rFonts w:ascii="宋体" w:hAnsi="宋体" w:cs="宋体" w:eastAsia="宋体" w:hint="default"/>
                <w:sz w:val="20"/>
                <w:szCs w:val="20"/>
              </w:rPr>
              <w:t>-</w:t>
            </w:r>
            <w:r>
              <w:rPr>
                <w:rFonts w:ascii="宋体" w:hAnsi="宋体" w:cs="宋体" w:eastAsia="宋体" w:hint="default"/>
                <w:sz w:val="20"/>
                <w:szCs w:val="20"/>
              </w:rPr>
              <w:t>泉州</w:t>
            </w:r>
            <w:r>
              <w:rPr>
                <w:rFonts w:ascii="宋体" w:hAnsi="宋体" w:cs="宋体" w:eastAsia="宋体" w:hint="default"/>
                <w:sz w:val="20"/>
                <w:szCs w:val="20"/>
              </w:rPr>
              <w:t>-</w:t>
            </w:r>
            <w:r>
              <w:rPr>
                <w:rFonts w:ascii="宋体" w:hAnsi="宋体" w:cs="宋体" w:eastAsia="宋体" w:hint="default"/>
                <w:sz w:val="20"/>
                <w:szCs w:val="20"/>
              </w:rPr>
              <w:t>南沙</w:t>
            </w:r>
          </w:p>
        </w:tc>
      </w:tr>
      <w:tr>
        <w:trPr>
          <w:trHeight w:val="398" w:hRule="exact"/>
        </w:trPr>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97" w:right="0"/>
              <w:jc w:val="center"/>
              <w:rPr>
                <w:rFonts w:ascii="宋体" w:hAnsi="宋体" w:cs="宋体" w:eastAsia="宋体" w:hint="default"/>
                <w:sz w:val="20"/>
                <w:szCs w:val="20"/>
              </w:rPr>
            </w:pPr>
            <w:r>
              <w:rPr>
                <w:rFonts w:ascii="宋体"/>
                <w:w w:val="99"/>
                <w:sz w:val="20"/>
              </w:rPr>
              <w:t>5</w:t>
            </w:r>
            <w:r>
              <w:rPr>
                <w:rFonts w:ascii="宋体"/>
                <w:sz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95" w:right="0"/>
              <w:jc w:val="center"/>
              <w:rPr>
                <w:rFonts w:ascii="宋体" w:hAnsi="宋体" w:cs="宋体" w:eastAsia="宋体" w:hint="default"/>
                <w:sz w:val="20"/>
                <w:szCs w:val="20"/>
              </w:rPr>
            </w:pPr>
            <w:r>
              <w:rPr>
                <w:rFonts w:ascii="宋体" w:hAnsi="宋体" w:cs="宋体" w:eastAsia="宋体" w:hint="default"/>
                <w:sz w:val="20"/>
                <w:szCs w:val="20"/>
              </w:rPr>
              <w:t>东南线</w:t>
            </w:r>
          </w:p>
        </w:tc>
        <w:tc>
          <w:tcPr>
            <w:tcW w:w="483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94" w:right="0"/>
              <w:jc w:val="center"/>
              <w:rPr>
                <w:rFonts w:ascii="宋体" w:hAnsi="宋体" w:cs="宋体" w:eastAsia="宋体" w:hint="default"/>
                <w:sz w:val="20"/>
                <w:szCs w:val="20"/>
              </w:rPr>
            </w:pPr>
            <w:r>
              <w:rPr>
                <w:rFonts w:ascii="宋体" w:hAnsi="宋体" w:cs="宋体" w:eastAsia="宋体" w:hint="default"/>
                <w:sz w:val="20"/>
                <w:szCs w:val="20"/>
              </w:rPr>
              <w:t>天津</w:t>
            </w:r>
            <w:r>
              <w:rPr>
                <w:rFonts w:ascii="宋体" w:hAnsi="宋体" w:cs="宋体" w:eastAsia="宋体" w:hint="default"/>
                <w:sz w:val="20"/>
                <w:szCs w:val="20"/>
              </w:rPr>
              <w:t>-</w:t>
            </w:r>
            <w:r>
              <w:rPr>
                <w:rFonts w:ascii="宋体" w:hAnsi="宋体" w:cs="宋体" w:eastAsia="宋体" w:hint="default"/>
                <w:sz w:val="20"/>
                <w:szCs w:val="20"/>
              </w:rPr>
              <w:t>泉州</w:t>
            </w:r>
          </w:p>
        </w:tc>
      </w:tr>
      <w:tr>
        <w:trPr>
          <w:trHeight w:val="398" w:hRule="exact"/>
        </w:trPr>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97" w:right="0"/>
              <w:jc w:val="center"/>
              <w:rPr>
                <w:rFonts w:ascii="宋体" w:hAnsi="宋体" w:cs="宋体" w:eastAsia="宋体" w:hint="default"/>
                <w:sz w:val="20"/>
                <w:szCs w:val="20"/>
              </w:rPr>
            </w:pPr>
            <w:r>
              <w:rPr>
                <w:rFonts w:ascii="宋体"/>
                <w:w w:val="99"/>
                <w:sz w:val="20"/>
              </w:rPr>
              <w:t>6</w:t>
            </w:r>
            <w:r>
              <w:rPr>
                <w:rFonts w:ascii="宋体"/>
                <w:sz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95" w:right="0"/>
              <w:jc w:val="center"/>
              <w:rPr>
                <w:rFonts w:ascii="宋体" w:hAnsi="宋体" w:cs="宋体" w:eastAsia="宋体" w:hint="default"/>
                <w:sz w:val="20"/>
                <w:szCs w:val="20"/>
              </w:rPr>
            </w:pPr>
            <w:r>
              <w:rPr>
                <w:rFonts w:ascii="宋体" w:hAnsi="宋体" w:cs="宋体" w:eastAsia="宋体" w:hint="default"/>
                <w:sz w:val="20"/>
                <w:szCs w:val="20"/>
              </w:rPr>
              <w:t>东南线</w:t>
            </w:r>
          </w:p>
        </w:tc>
        <w:tc>
          <w:tcPr>
            <w:tcW w:w="483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94" w:right="0"/>
              <w:jc w:val="center"/>
              <w:rPr>
                <w:rFonts w:ascii="宋体" w:hAnsi="宋体" w:cs="宋体" w:eastAsia="宋体" w:hint="default"/>
                <w:sz w:val="20"/>
                <w:szCs w:val="20"/>
              </w:rPr>
            </w:pPr>
            <w:r>
              <w:rPr>
                <w:rFonts w:ascii="宋体" w:hAnsi="宋体" w:cs="宋体" w:eastAsia="宋体" w:hint="default"/>
                <w:sz w:val="20"/>
                <w:szCs w:val="20"/>
              </w:rPr>
              <w:t>黄岛</w:t>
            </w:r>
            <w:r>
              <w:rPr>
                <w:rFonts w:ascii="宋体" w:hAnsi="宋体" w:cs="宋体" w:eastAsia="宋体" w:hint="default"/>
                <w:sz w:val="20"/>
                <w:szCs w:val="20"/>
              </w:rPr>
              <w:t>-</w:t>
            </w:r>
            <w:r>
              <w:rPr>
                <w:rFonts w:ascii="宋体" w:hAnsi="宋体" w:cs="宋体" w:eastAsia="宋体" w:hint="default"/>
                <w:sz w:val="20"/>
                <w:szCs w:val="20"/>
              </w:rPr>
              <w:t>泉州</w:t>
            </w:r>
          </w:p>
        </w:tc>
      </w:tr>
      <w:tr>
        <w:trPr>
          <w:trHeight w:val="399" w:hRule="exact"/>
        </w:trPr>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97" w:right="0"/>
              <w:jc w:val="center"/>
              <w:rPr>
                <w:rFonts w:ascii="宋体" w:hAnsi="宋体" w:cs="宋体" w:eastAsia="宋体" w:hint="default"/>
                <w:sz w:val="20"/>
                <w:szCs w:val="20"/>
              </w:rPr>
            </w:pPr>
            <w:r>
              <w:rPr>
                <w:rFonts w:ascii="宋体"/>
                <w:w w:val="99"/>
                <w:sz w:val="20"/>
              </w:rPr>
              <w:t>7</w:t>
            </w:r>
            <w:r>
              <w:rPr>
                <w:rFonts w:ascii="宋体"/>
                <w:sz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95" w:right="0"/>
              <w:jc w:val="center"/>
              <w:rPr>
                <w:rFonts w:ascii="宋体" w:hAnsi="宋体" w:cs="宋体" w:eastAsia="宋体" w:hint="default"/>
                <w:sz w:val="20"/>
                <w:szCs w:val="20"/>
              </w:rPr>
            </w:pPr>
            <w:r>
              <w:rPr>
                <w:rFonts w:ascii="宋体" w:hAnsi="宋体" w:cs="宋体" w:eastAsia="宋体" w:hint="default"/>
                <w:sz w:val="20"/>
                <w:szCs w:val="20"/>
              </w:rPr>
              <w:t>东南线</w:t>
            </w:r>
          </w:p>
        </w:tc>
        <w:tc>
          <w:tcPr>
            <w:tcW w:w="483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94" w:right="0"/>
              <w:jc w:val="center"/>
              <w:rPr>
                <w:rFonts w:ascii="宋体" w:hAnsi="宋体" w:cs="宋体" w:eastAsia="宋体" w:hint="default"/>
                <w:sz w:val="20"/>
                <w:szCs w:val="20"/>
              </w:rPr>
            </w:pPr>
            <w:r>
              <w:rPr>
                <w:rFonts w:ascii="宋体" w:hAnsi="宋体" w:cs="宋体" w:eastAsia="宋体" w:hint="default"/>
                <w:sz w:val="20"/>
                <w:szCs w:val="20"/>
              </w:rPr>
              <w:t>日照</w:t>
            </w:r>
            <w:r>
              <w:rPr>
                <w:rFonts w:ascii="宋体" w:hAnsi="宋体" w:cs="宋体" w:eastAsia="宋体" w:hint="default"/>
                <w:sz w:val="20"/>
                <w:szCs w:val="20"/>
              </w:rPr>
              <w:t>-</w:t>
            </w:r>
            <w:r>
              <w:rPr>
                <w:rFonts w:ascii="宋体" w:hAnsi="宋体" w:cs="宋体" w:eastAsia="宋体" w:hint="default"/>
                <w:sz w:val="20"/>
                <w:szCs w:val="20"/>
              </w:rPr>
              <w:t>泉州</w:t>
            </w:r>
          </w:p>
        </w:tc>
      </w:tr>
      <w:tr>
        <w:trPr>
          <w:trHeight w:val="401" w:hRule="exact"/>
        </w:trPr>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97" w:right="0"/>
              <w:jc w:val="center"/>
              <w:rPr>
                <w:rFonts w:ascii="宋体" w:hAnsi="宋体" w:cs="宋体" w:eastAsia="宋体" w:hint="default"/>
                <w:sz w:val="20"/>
                <w:szCs w:val="20"/>
              </w:rPr>
            </w:pPr>
            <w:r>
              <w:rPr>
                <w:rFonts w:ascii="宋体"/>
                <w:w w:val="99"/>
                <w:sz w:val="20"/>
              </w:rPr>
              <w:t>8</w:t>
            </w:r>
            <w:r>
              <w:rPr>
                <w:rFonts w:ascii="宋体"/>
                <w:sz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95" w:right="0"/>
              <w:jc w:val="center"/>
              <w:rPr>
                <w:rFonts w:ascii="宋体" w:hAnsi="宋体" w:cs="宋体" w:eastAsia="宋体" w:hint="default"/>
                <w:sz w:val="20"/>
                <w:szCs w:val="20"/>
              </w:rPr>
            </w:pPr>
            <w:r>
              <w:rPr>
                <w:rFonts w:ascii="宋体" w:hAnsi="宋体" w:cs="宋体" w:eastAsia="宋体" w:hint="default"/>
                <w:sz w:val="20"/>
                <w:szCs w:val="20"/>
              </w:rPr>
              <w:t>东南线</w:t>
            </w:r>
          </w:p>
        </w:tc>
        <w:tc>
          <w:tcPr>
            <w:tcW w:w="483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94" w:right="0"/>
              <w:jc w:val="center"/>
              <w:rPr>
                <w:rFonts w:ascii="宋体" w:hAnsi="宋体" w:cs="宋体" w:eastAsia="宋体" w:hint="default"/>
                <w:sz w:val="20"/>
                <w:szCs w:val="20"/>
              </w:rPr>
            </w:pPr>
            <w:r>
              <w:rPr>
                <w:rFonts w:ascii="宋体" w:hAnsi="宋体" w:cs="宋体" w:eastAsia="宋体" w:hint="default"/>
                <w:sz w:val="20"/>
                <w:szCs w:val="20"/>
              </w:rPr>
              <w:t>上海</w:t>
            </w:r>
            <w:r>
              <w:rPr>
                <w:rFonts w:ascii="宋体" w:hAnsi="宋体" w:cs="宋体" w:eastAsia="宋体" w:hint="default"/>
                <w:sz w:val="20"/>
                <w:szCs w:val="20"/>
              </w:rPr>
              <w:t>-</w:t>
            </w:r>
            <w:r>
              <w:rPr>
                <w:rFonts w:ascii="宋体" w:hAnsi="宋体" w:cs="宋体" w:eastAsia="宋体" w:hint="default"/>
                <w:sz w:val="20"/>
                <w:szCs w:val="20"/>
              </w:rPr>
              <w:t>泉州</w:t>
            </w:r>
          </w:p>
        </w:tc>
      </w:tr>
    </w:tbl>
    <w:p>
      <w:pPr>
        <w:spacing w:after="0" w:line="232" w:lineRule="exact"/>
        <w:jc w:val="center"/>
        <w:rPr>
          <w:rFonts w:ascii="宋体" w:hAnsi="宋体" w:cs="宋体" w:eastAsia="宋体" w:hint="default"/>
          <w:sz w:val="20"/>
          <w:szCs w:val="20"/>
        </w:rPr>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807"/>
        <w:gridCol w:w="2410"/>
        <w:gridCol w:w="4832"/>
      </w:tblGrid>
      <w:tr>
        <w:trPr>
          <w:trHeight w:val="396" w:hRule="exact"/>
        </w:trPr>
        <w:tc>
          <w:tcPr>
            <w:tcW w:w="1807" w:type="dxa"/>
            <w:tcBorders>
              <w:top w:val="nil" w:sz="6" w:space="0" w:color="auto"/>
              <w:left w:val="single" w:sz="4" w:space="0" w:color="000000"/>
              <w:bottom w:val="single" w:sz="4" w:space="0" w:color="000000"/>
              <w:right w:val="single" w:sz="4" w:space="0" w:color="000000"/>
            </w:tcBorders>
          </w:tcPr>
          <w:p>
            <w:pPr>
              <w:pStyle w:val="TableParagraph"/>
              <w:spacing w:line="230" w:lineRule="exact"/>
              <w:ind w:right="749"/>
              <w:jc w:val="right"/>
              <w:rPr>
                <w:rFonts w:ascii="宋体" w:hAnsi="宋体" w:cs="宋体" w:eastAsia="宋体" w:hint="default"/>
                <w:sz w:val="20"/>
                <w:szCs w:val="20"/>
              </w:rPr>
            </w:pPr>
            <w:r>
              <w:rPr>
                <w:rFonts w:ascii="宋体"/>
                <w:w w:val="99"/>
                <w:sz w:val="20"/>
              </w:rPr>
              <w:t>9</w:t>
            </w:r>
            <w:r>
              <w:rPr>
                <w:rFonts w:ascii="宋体"/>
                <w:sz w:val="20"/>
              </w:rPr>
            </w:r>
          </w:p>
        </w:tc>
        <w:tc>
          <w:tcPr>
            <w:tcW w:w="2410" w:type="dxa"/>
            <w:tcBorders>
              <w:top w:val="nil" w:sz="6" w:space="0" w:color="auto"/>
              <w:left w:val="single" w:sz="4" w:space="0" w:color="000000"/>
              <w:bottom w:val="single" w:sz="4" w:space="0" w:color="000000"/>
              <w:right w:val="single" w:sz="4" w:space="0" w:color="000000"/>
            </w:tcBorders>
          </w:tcPr>
          <w:p>
            <w:pPr>
              <w:pStyle w:val="TableParagraph"/>
              <w:spacing w:line="230" w:lineRule="exact"/>
              <w:ind w:right="803"/>
              <w:jc w:val="right"/>
              <w:rPr>
                <w:rFonts w:ascii="宋体" w:hAnsi="宋体" w:cs="宋体" w:eastAsia="宋体" w:hint="default"/>
                <w:sz w:val="20"/>
                <w:szCs w:val="20"/>
              </w:rPr>
            </w:pPr>
            <w:r>
              <w:rPr>
                <w:rFonts w:ascii="宋体" w:hAnsi="宋体" w:cs="宋体" w:eastAsia="宋体" w:hint="default"/>
                <w:w w:val="95"/>
                <w:sz w:val="20"/>
                <w:szCs w:val="20"/>
              </w:rPr>
              <w:t>华南线</w:t>
            </w:r>
            <w:r>
              <w:rPr>
                <w:rFonts w:ascii="宋体" w:hAnsi="宋体" w:cs="宋体" w:eastAsia="宋体" w:hint="default"/>
                <w:sz w:val="20"/>
                <w:szCs w:val="20"/>
              </w:rPr>
            </w:r>
          </w:p>
        </w:tc>
        <w:tc>
          <w:tcPr>
            <w:tcW w:w="4832" w:type="dxa"/>
            <w:tcBorders>
              <w:top w:val="nil" w:sz="6" w:space="0" w:color="auto"/>
              <w:left w:val="single" w:sz="4" w:space="0" w:color="000000"/>
              <w:bottom w:val="single" w:sz="4" w:space="0" w:color="000000"/>
              <w:right w:val="single" w:sz="4" w:space="0" w:color="000000"/>
            </w:tcBorders>
          </w:tcPr>
          <w:p>
            <w:pPr>
              <w:pStyle w:val="TableParagraph"/>
              <w:spacing w:line="230" w:lineRule="exact"/>
              <w:ind w:left="194" w:right="0"/>
              <w:jc w:val="center"/>
              <w:rPr>
                <w:rFonts w:ascii="宋体" w:hAnsi="宋体" w:cs="宋体" w:eastAsia="宋体" w:hint="default"/>
                <w:sz w:val="20"/>
                <w:szCs w:val="20"/>
              </w:rPr>
            </w:pPr>
            <w:r>
              <w:rPr>
                <w:rFonts w:ascii="宋体" w:hAnsi="宋体" w:cs="宋体" w:eastAsia="宋体" w:hint="default"/>
                <w:sz w:val="20"/>
                <w:szCs w:val="20"/>
              </w:rPr>
              <w:t>天津</w:t>
            </w:r>
            <w:r>
              <w:rPr>
                <w:rFonts w:ascii="宋体" w:hAnsi="宋体" w:cs="宋体" w:eastAsia="宋体" w:hint="default"/>
                <w:sz w:val="20"/>
                <w:szCs w:val="20"/>
              </w:rPr>
              <w:t>-</w:t>
            </w:r>
            <w:r>
              <w:rPr>
                <w:rFonts w:ascii="宋体" w:hAnsi="宋体" w:cs="宋体" w:eastAsia="宋体" w:hint="default"/>
                <w:sz w:val="20"/>
                <w:szCs w:val="20"/>
              </w:rPr>
              <w:t>南沙</w:t>
            </w:r>
          </w:p>
        </w:tc>
      </w:tr>
      <w:tr>
        <w:trPr>
          <w:trHeight w:val="398" w:hRule="exact"/>
        </w:trPr>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696"/>
              <w:jc w:val="right"/>
              <w:rPr>
                <w:rFonts w:ascii="宋体" w:hAnsi="宋体" w:cs="宋体" w:eastAsia="宋体" w:hint="default"/>
                <w:sz w:val="20"/>
                <w:szCs w:val="20"/>
              </w:rPr>
            </w:pPr>
            <w:r>
              <w:rPr>
                <w:rFonts w:ascii="宋体"/>
                <w:sz w:val="20"/>
              </w:rPr>
              <w:t>10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803"/>
              <w:jc w:val="right"/>
              <w:rPr>
                <w:rFonts w:ascii="宋体" w:hAnsi="宋体" w:cs="宋体" w:eastAsia="宋体" w:hint="default"/>
                <w:sz w:val="20"/>
                <w:szCs w:val="20"/>
              </w:rPr>
            </w:pPr>
            <w:r>
              <w:rPr>
                <w:rFonts w:ascii="宋体" w:hAnsi="宋体" w:cs="宋体" w:eastAsia="宋体" w:hint="default"/>
                <w:w w:val="95"/>
                <w:sz w:val="20"/>
                <w:szCs w:val="20"/>
              </w:rPr>
              <w:t>华南线</w:t>
            </w:r>
            <w:r>
              <w:rPr>
                <w:rFonts w:ascii="宋体" w:hAnsi="宋体" w:cs="宋体" w:eastAsia="宋体" w:hint="default"/>
                <w:sz w:val="20"/>
                <w:szCs w:val="20"/>
              </w:rPr>
            </w:r>
          </w:p>
        </w:tc>
        <w:tc>
          <w:tcPr>
            <w:tcW w:w="483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94" w:right="0"/>
              <w:jc w:val="center"/>
              <w:rPr>
                <w:rFonts w:ascii="宋体" w:hAnsi="宋体" w:cs="宋体" w:eastAsia="宋体" w:hint="default"/>
                <w:sz w:val="20"/>
                <w:szCs w:val="20"/>
              </w:rPr>
            </w:pPr>
            <w:r>
              <w:rPr>
                <w:rFonts w:ascii="宋体" w:hAnsi="宋体" w:cs="宋体" w:eastAsia="宋体" w:hint="default"/>
                <w:sz w:val="20"/>
                <w:szCs w:val="20"/>
              </w:rPr>
              <w:t>日照</w:t>
            </w:r>
            <w:r>
              <w:rPr>
                <w:rFonts w:ascii="宋体" w:hAnsi="宋体" w:cs="宋体" w:eastAsia="宋体" w:hint="default"/>
                <w:sz w:val="20"/>
                <w:szCs w:val="20"/>
              </w:rPr>
              <w:t>-</w:t>
            </w:r>
            <w:r>
              <w:rPr>
                <w:rFonts w:ascii="宋体" w:hAnsi="宋体" w:cs="宋体" w:eastAsia="宋体" w:hint="default"/>
                <w:sz w:val="20"/>
                <w:szCs w:val="20"/>
              </w:rPr>
              <w:t>黄岛</w:t>
            </w:r>
            <w:r>
              <w:rPr>
                <w:rFonts w:ascii="宋体" w:hAnsi="宋体" w:cs="宋体" w:eastAsia="宋体" w:hint="default"/>
                <w:sz w:val="20"/>
                <w:szCs w:val="20"/>
              </w:rPr>
              <w:t>-</w:t>
            </w:r>
            <w:r>
              <w:rPr>
                <w:rFonts w:ascii="宋体" w:hAnsi="宋体" w:cs="宋体" w:eastAsia="宋体" w:hint="default"/>
                <w:sz w:val="20"/>
                <w:szCs w:val="20"/>
              </w:rPr>
              <w:t>南沙</w:t>
            </w:r>
          </w:p>
        </w:tc>
      </w:tr>
      <w:tr>
        <w:trPr>
          <w:trHeight w:val="398" w:hRule="exact"/>
        </w:trPr>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696"/>
              <w:jc w:val="right"/>
              <w:rPr>
                <w:rFonts w:ascii="宋体" w:hAnsi="宋体" w:cs="宋体" w:eastAsia="宋体" w:hint="default"/>
                <w:sz w:val="20"/>
                <w:szCs w:val="20"/>
              </w:rPr>
            </w:pPr>
            <w:r>
              <w:rPr>
                <w:rFonts w:ascii="宋体"/>
                <w:sz w:val="20"/>
              </w:rPr>
              <w:t>11</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803"/>
              <w:jc w:val="right"/>
              <w:rPr>
                <w:rFonts w:ascii="宋体" w:hAnsi="宋体" w:cs="宋体" w:eastAsia="宋体" w:hint="default"/>
                <w:sz w:val="20"/>
                <w:szCs w:val="20"/>
              </w:rPr>
            </w:pPr>
            <w:r>
              <w:rPr>
                <w:rFonts w:ascii="宋体" w:hAnsi="宋体" w:cs="宋体" w:eastAsia="宋体" w:hint="default"/>
                <w:w w:val="95"/>
                <w:sz w:val="20"/>
                <w:szCs w:val="20"/>
              </w:rPr>
              <w:t>华南线</w:t>
            </w:r>
            <w:r>
              <w:rPr>
                <w:rFonts w:ascii="宋体" w:hAnsi="宋体" w:cs="宋体" w:eastAsia="宋体" w:hint="default"/>
                <w:sz w:val="20"/>
                <w:szCs w:val="20"/>
              </w:rPr>
            </w:r>
          </w:p>
        </w:tc>
        <w:tc>
          <w:tcPr>
            <w:tcW w:w="483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94" w:right="0"/>
              <w:jc w:val="center"/>
              <w:rPr>
                <w:rFonts w:ascii="宋体" w:hAnsi="宋体" w:cs="宋体" w:eastAsia="宋体" w:hint="default"/>
                <w:sz w:val="20"/>
                <w:szCs w:val="20"/>
              </w:rPr>
            </w:pPr>
            <w:r>
              <w:rPr>
                <w:rFonts w:ascii="宋体" w:hAnsi="宋体" w:cs="宋体" w:eastAsia="宋体" w:hint="default"/>
                <w:sz w:val="20"/>
                <w:szCs w:val="20"/>
              </w:rPr>
              <w:t>上海</w:t>
            </w:r>
            <w:r>
              <w:rPr>
                <w:rFonts w:ascii="宋体" w:hAnsi="宋体" w:cs="宋体" w:eastAsia="宋体" w:hint="default"/>
                <w:sz w:val="20"/>
                <w:szCs w:val="20"/>
              </w:rPr>
              <w:t>-</w:t>
            </w:r>
            <w:r>
              <w:rPr>
                <w:rFonts w:ascii="宋体" w:hAnsi="宋体" w:cs="宋体" w:eastAsia="宋体" w:hint="default"/>
                <w:sz w:val="20"/>
                <w:szCs w:val="20"/>
              </w:rPr>
              <w:t>黄埔</w:t>
            </w:r>
          </w:p>
        </w:tc>
      </w:tr>
      <w:tr>
        <w:trPr>
          <w:trHeight w:val="398" w:hRule="exact"/>
        </w:trPr>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696"/>
              <w:jc w:val="right"/>
              <w:rPr>
                <w:rFonts w:ascii="宋体" w:hAnsi="宋体" w:cs="宋体" w:eastAsia="宋体" w:hint="default"/>
                <w:sz w:val="20"/>
                <w:szCs w:val="20"/>
              </w:rPr>
            </w:pPr>
            <w:r>
              <w:rPr>
                <w:rFonts w:ascii="宋体"/>
                <w:sz w:val="20"/>
              </w:rPr>
              <w:t>12</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803"/>
              <w:jc w:val="right"/>
              <w:rPr>
                <w:rFonts w:ascii="宋体" w:hAnsi="宋体" w:cs="宋体" w:eastAsia="宋体" w:hint="default"/>
                <w:sz w:val="20"/>
                <w:szCs w:val="20"/>
              </w:rPr>
            </w:pPr>
            <w:r>
              <w:rPr>
                <w:rFonts w:ascii="宋体" w:hAnsi="宋体" w:cs="宋体" w:eastAsia="宋体" w:hint="default"/>
                <w:w w:val="95"/>
                <w:sz w:val="20"/>
                <w:szCs w:val="20"/>
              </w:rPr>
              <w:t>华南线</w:t>
            </w:r>
            <w:r>
              <w:rPr>
                <w:rFonts w:ascii="宋体" w:hAnsi="宋体" w:cs="宋体" w:eastAsia="宋体" w:hint="default"/>
                <w:sz w:val="20"/>
                <w:szCs w:val="20"/>
              </w:rPr>
            </w:r>
          </w:p>
        </w:tc>
        <w:tc>
          <w:tcPr>
            <w:tcW w:w="483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94" w:right="0"/>
              <w:jc w:val="center"/>
              <w:rPr>
                <w:rFonts w:ascii="宋体" w:hAnsi="宋体" w:cs="宋体" w:eastAsia="宋体" w:hint="default"/>
                <w:sz w:val="20"/>
                <w:szCs w:val="20"/>
              </w:rPr>
            </w:pPr>
            <w:r>
              <w:rPr>
                <w:rFonts w:ascii="宋体" w:hAnsi="宋体" w:cs="宋体" w:eastAsia="宋体" w:hint="default"/>
                <w:sz w:val="20"/>
                <w:szCs w:val="20"/>
              </w:rPr>
              <w:t>温州</w:t>
            </w:r>
            <w:r>
              <w:rPr>
                <w:rFonts w:ascii="宋体" w:hAnsi="宋体" w:cs="宋体" w:eastAsia="宋体" w:hint="default"/>
                <w:sz w:val="20"/>
                <w:szCs w:val="20"/>
              </w:rPr>
              <w:t>-</w:t>
            </w:r>
            <w:r>
              <w:rPr>
                <w:rFonts w:ascii="宋体" w:hAnsi="宋体" w:cs="宋体" w:eastAsia="宋体" w:hint="default"/>
                <w:sz w:val="20"/>
                <w:szCs w:val="20"/>
              </w:rPr>
              <w:t>黄埔</w:t>
            </w:r>
          </w:p>
        </w:tc>
      </w:tr>
      <w:tr>
        <w:trPr>
          <w:trHeight w:val="401" w:hRule="exact"/>
        </w:trPr>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696"/>
              <w:jc w:val="right"/>
              <w:rPr>
                <w:rFonts w:ascii="宋体" w:hAnsi="宋体" w:cs="宋体" w:eastAsia="宋体" w:hint="default"/>
                <w:sz w:val="20"/>
                <w:szCs w:val="20"/>
              </w:rPr>
            </w:pPr>
            <w:r>
              <w:rPr>
                <w:rFonts w:ascii="宋体"/>
                <w:sz w:val="20"/>
              </w:rPr>
              <w:t>13</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803"/>
              <w:jc w:val="right"/>
              <w:rPr>
                <w:rFonts w:ascii="宋体" w:hAnsi="宋体" w:cs="宋体" w:eastAsia="宋体" w:hint="default"/>
                <w:sz w:val="20"/>
                <w:szCs w:val="20"/>
              </w:rPr>
            </w:pPr>
            <w:r>
              <w:rPr>
                <w:rFonts w:ascii="宋体" w:hAnsi="宋体" w:cs="宋体" w:eastAsia="宋体" w:hint="default"/>
                <w:w w:val="95"/>
                <w:sz w:val="20"/>
                <w:szCs w:val="20"/>
              </w:rPr>
              <w:t>华南线</w:t>
            </w:r>
            <w:r>
              <w:rPr>
                <w:rFonts w:ascii="宋体" w:hAnsi="宋体" w:cs="宋体" w:eastAsia="宋体" w:hint="default"/>
                <w:sz w:val="20"/>
                <w:szCs w:val="20"/>
              </w:rPr>
            </w:r>
          </w:p>
        </w:tc>
        <w:tc>
          <w:tcPr>
            <w:tcW w:w="483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94" w:right="0"/>
              <w:jc w:val="center"/>
              <w:rPr>
                <w:rFonts w:ascii="宋体" w:hAnsi="宋体" w:cs="宋体" w:eastAsia="宋体" w:hint="default"/>
                <w:sz w:val="20"/>
                <w:szCs w:val="20"/>
              </w:rPr>
            </w:pPr>
            <w:r>
              <w:rPr>
                <w:rFonts w:ascii="宋体" w:hAnsi="宋体" w:cs="宋体" w:eastAsia="宋体" w:hint="default"/>
                <w:sz w:val="20"/>
                <w:szCs w:val="20"/>
              </w:rPr>
              <w:t>宁波</w:t>
            </w:r>
            <w:r>
              <w:rPr>
                <w:rFonts w:ascii="宋体" w:hAnsi="宋体" w:cs="宋体" w:eastAsia="宋体" w:hint="default"/>
                <w:sz w:val="20"/>
                <w:szCs w:val="20"/>
              </w:rPr>
              <w:t>-</w:t>
            </w:r>
            <w:r>
              <w:rPr>
                <w:rFonts w:ascii="宋体" w:hAnsi="宋体" w:cs="宋体" w:eastAsia="宋体" w:hint="default"/>
                <w:sz w:val="20"/>
                <w:szCs w:val="20"/>
              </w:rPr>
              <w:t>南沙</w:t>
            </w:r>
            <w:r>
              <w:rPr>
                <w:rFonts w:ascii="宋体" w:hAnsi="宋体" w:cs="宋体" w:eastAsia="宋体" w:hint="default"/>
                <w:sz w:val="20"/>
                <w:szCs w:val="20"/>
              </w:rPr>
              <w:t>-</w:t>
            </w:r>
            <w:r>
              <w:rPr>
                <w:rFonts w:ascii="宋体" w:hAnsi="宋体" w:cs="宋体" w:eastAsia="宋体" w:hint="default"/>
                <w:sz w:val="20"/>
                <w:szCs w:val="20"/>
              </w:rPr>
              <w:t>洋浦</w:t>
            </w:r>
          </w:p>
        </w:tc>
      </w:tr>
      <w:tr>
        <w:trPr>
          <w:trHeight w:val="398" w:hRule="exact"/>
        </w:trPr>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696"/>
              <w:jc w:val="right"/>
              <w:rPr>
                <w:rFonts w:ascii="宋体" w:hAnsi="宋体" w:cs="宋体" w:eastAsia="宋体" w:hint="default"/>
                <w:sz w:val="20"/>
                <w:szCs w:val="20"/>
              </w:rPr>
            </w:pPr>
            <w:r>
              <w:rPr>
                <w:rFonts w:ascii="宋体"/>
                <w:sz w:val="20"/>
              </w:rPr>
              <w:t>14</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803"/>
              <w:jc w:val="right"/>
              <w:rPr>
                <w:rFonts w:ascii="宋体" w:hAnsi="宋体" w:cs="宋体" w:eastAsia="宋体" w:hint="default"/>
                <w:sz w:val="20"/>
                <w:szCs w:val="20"/>
              </w:rPr>
            </w:pPr>
            <w:r>
              <w:rPr>
                <w:rFonts w:ascii="宋体" w:hAnsi="宋体" w:cs="宋体" w:eastAsia="宋体" w:hint="default"/>
                <w:w w:val="95"/>
                <w:sz w:val="20"/>
                <w:szCs w:val="20"/>
              </w:rPr>
              <w:t>西南线</w:t>
            </w:r>
            <w:r>
              <w:rPr>
                <w:rFonts w:ascii="宋体" w:hAnsi="宋体" w:cs="宋体" w:eastAsia="宋体" w:hint="default"/>
                <w:sz w:val="20"/>
                <w:szCs w:val="20"/>
              </w:rPr>
            </w:r>
          </w:p>
        </w:tc>
        <w:tc>
          <w:tcPr>
            <w:tcW w:w="483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94" w:right="0"/>
              <w:jc w:val="center"/>
              <w:rPr>
                <w:rFonts w:ascii="宋体" w:hAnsi="宋体" w:cs="宋体" w:eastAsia="宋体" w:hint="default"/>
                <w:sz w:val="20"/>
                <w:szCs w:val="20"/>
              </w:rPr>
            </w:pPr>
            <w:r>
              <w:rPr>
                <w:rFonts w:ascii="宋体" w:hAnsi="宋体" w:cs="宋体" w:eastAsia="宋体" w:hint="default"/>
                <w:sz w:val="20"/>
                <w:szCs w:val="20"/>
              </w:rPr>
              <w:t>营口</w:t>
            </w:r>
            <w:r>
              <w:rPr>
                <w:rFonts w:ascii="宋体" w:hAnsi="宋体" w:cs="宋体" w:eastAsia="宋体" w:hint="default"/>
                <w:sz w:val="20"/>
                <w:szCs w:val="20"/>
              </w:rPr>
              <w:t>-</w:t>
            </w:r>
            <w:r>
              <w:rPr>
                <w:rFonts w:ascii="宋体" w:hAnsi="宋体" w:cs="宋体" w:eastAsia="宋体" w:hint="default"/>
                <w:sz w:val="20"/>
                <w:szCs w:val="20"/>
              </w:rPr>
              <w:t>海口</w:t>
            </w:r>
          </w:p>
        </w:tc>
      </w:tr>
      <w:tr>
        <w:trPr>
          <w:trHeight w:val="398" w:hRule="exact"/>
        </w:trPr>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696"/>
              <w:jc w:val="right"/>
              <w:rPr>
                <w:rFonts w:ascii="宋体" w:hAnsi="宋体" w:cs="宋体" w:eastAsia="宋体" w:hint="default"/>
                <w:sz w:val="20"/>
                <w:szCs w:val="20"/>
              </w:rPr>
            </w:pPr>
            <w:r>
              <w:rPr>
                <w:rFonts w:ascii="宋体"/>
                <w:sz w:val="20"/>
              </w:rPr>
              <w:t>15</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803"/>
              <w:jc w:val="right"/>
              <w:rPr>
                <w:rFonts w:ascii="宋体" w:hAnsi="宋体" w:cs="宋体" w:eastAsia="宋体" w:hint="default"/>
                <w:sz w:val="20"/>
                <w:szCs w:val="20"/>
              </w:rPr>
            </w:pPr>
            <w:r>
              <w:rPr>
                <w:rFonts w:ascii="宋体" w:hAnsi="宋体" w:cs="宋体" w:eastAsia="宋体" w:hint="default"/>
                <w:w w:val="95"/>
                <w:sz w:val="20"/>
                <w:szCs w:val="20"/>
              </w:rPr>
              <w:t>西南线</w:t>
            </w:r>
            <w:r>
              <w:rPr>
                <w:rFonts w:ascii="宋体" w:hAnsi="宋体" w:cs="宋体" w:eastAsia="宋体" w:hint="default"/>
                <w:sz w:val="20"/>
                <w:szCs w:val="20"/>
              </w:rPr>
            </w:r>
          </w:p>
        </w:tc>
        <w:tc>
          <w:tcPr>
            <w:tcW w:w="483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94" w:right="0"/>
              <w:jc w:val="center"/>
              <w:rPr>
                <w:rFonts w:ascii="宋体" w:hAnsi="宋体" w:cs="宋体" w:eastAsia="宋体" w:hint="default"/>
                <w:sz w:val="20"/>
                <w:szCs w:val="20"/>
              </w:rPr>
            </w:pPr>
            <w:r>
              <w:rPr>
                <w:rFonts w:ascii="宋体" w:hAnsi="宋体" w:cs="宋体" w:eastAsia="宋体" w:hint="default"/>
                <w:sz w:val="20"/>
                <w:szCs w:val="20"/>
              </w:rPr>
              <w:t>天津</w:t>
            </w:r>
            <w:r>
              <w:rPr>
                <w:rFonts w:ascii="宋体" w:hAnsi="宋体" w:cs="宋体" w:eastAsia="宋体" w:hint="default"/>
                <w:sz w:val="20"/>
                <w:szCs w:val="20"/>
              </w:rPr>
              <w:t>-</w:t>
            </w:r>
            <w:r>
              <w:rPr>
                <w:rFonts w:ascii="宋体" w:hAnsi="宋体" w:cs="宋体" w:eastAsia="宋体" w:hint="default"/>
                <w:sz w:val="20"/>
                <w:szCs w:val="20"/>
              </w:rPr>
              <w:t>海口</w:t>
            </w:r>
          </w:p>
        </w:tc>
      </w:tr>
      <w:tr>
        <w:trPr>
          <w:trHeight w:val="398" w:hRule="exact"/>
        </w:trPr>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696"/>
              <w:jc w:val="right"/>
              <w:rPr>
                <w:rFonts w:ascii="宋体" w:hAnsi="宋体" w:cs="宋体" w:eastAsia="宋体" w:hint="default"/>
                <w:sz w:val="20"/>
                <w:szCs w:val="20"/>
              </w:rPr>
            </w:pPr>
            <w:r>
              <w:rPr>
                <w:rFonts w:ascii="宋体"/>
                <w:sz w:val="20"/>
              </w:rPr>
              <w:t>16</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803"/>
              <w:jc w:val="right"/>
              <w:rPr>
                <w:rFonts w:ascii="宋体" w:hAnsi="宋体" w:cs="宋体" w:eastAsia="宋体" w:hint="default"/>
                <w:sz w:val="20"/>
                <w:szCs w:val="20"/>
              </w:rPr>
            </w:pPr>
            <w:r>
              <w:rPr>
                <w:rFonts w:ascii="宋体" w:hAnsi="宋体" w:cs="宋体" w:eastAsia="宋体" w:hint="default"/>
                <w:w w:val="95"/>
                <w:sz w:val="20"/>
                <w:szCs w:val="20"/>
              </w:rPr>
              <w:t>西南线</w:t>
            </w:r>
            <w:r>
              <w:rPr>
                <w:rFonts w:ascii="宋体" w:hAnsi="宋体" w:cs="宋体" w:eastAsia="宋体" w:hint="default"/>
                <w:sz w:val="20"/>
                <w:szCs w:val="20"/>
              </w:rPr>
            </w:r>
          </w:p>
        </w:tc>
        <w:tc>
          <w:tcPr>
            <w:tcW w:w="483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94" w:right="0"/>
              <w:jc w:val="center"/>
              <w:rPr>
                <w:rFonts w:ascii="宋体" w:hAnsi="宋体" w:cs="宋体" w:eastAsia="宋体" w:hint="default"/>
                <w:sz w:val="20"/>
                <w:szCs w:val="20"/>
              </w:rPr>
            </w:pPr>
            <w:r>
              <w:rPr>
                <w:rFonts w:ascii="宋体" w:hAnsi="宋体" w:cs="宋体" w:eastAsia="宋体" w:hint="default"/>
                <w:sz w:val="20"/>
                <w:szCs w:val="20"/>
              </w:rPr>
              <w:t>黄岛</w:t>
            </w:r>
            <w:r>
              <w:rPr>
                <w:rFonts w:ascii="宋体" w:hAnsi="宋体" w:cs="宋体" w:eastAsia="宋体" w:hint="default"/>
                <w:sz w:val="20"/>
                <w:szCs w:val="20"/>
              </w:rPr>
              <w:t>-</w:t>
            </w:r>
            <w:r>
              <w:rPr>
                <w:rFonts w:ascii="宋体" w:hAnsi="宋体" w:cs="宋体" w:eastAsia="宋体" w:hint="default"/>
                <w:sz w:val="20"/>
                <w:szCs w:val="20"/>
              </w:rPr>
              <w:t>日照</w:t>
            </w:r>
            <w:r>
              <w:rPr>
                <w:rFonts w:ascii="宋体" w:hAnsi="宋体" w:cs="宋体" w:eastAsia="宋体" w:hint="default"/>
                <w:sz w:val="20"/>
                <w:szCs w:val="20"/>
              </w:rPr>
              <w:t>-</w:t>
            </w:r>
            <w:r>
              <w:rPr>
                <w:rFonts w:ascii="宋体" w:hAnsi="宋体" w:cs="宋体" w:eastAsia="宋体" w:hint="default"/>
                <w:sz w:val="20"/>
                <w:szCs w:val="20"/>
              </w:rPr>
              <w:t>海口</w:t>
            </w:r>
          </w:p>
        </w:tc>
      </w:tr>
      <w:tr>
        <w:trPr>
          <w:trHeight w:val="401" w:hRule="exact"/>
        </w:trPr>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696"/>
              <w:jc w:val="right"/>
              <w:rPr>
                <w:rFonts w:ascii="宋体" w:hAnsi="宋体" w:cs="宋体" w:eastAsia="宋体" w:hint="default"/>
                <w:sz w:val="20"/>
                <w:szCs w:val="20"/>
              </w:rPr>
            </w:pPr>
            <w:r>
              <w:rPr>
                <w:rFonts w:ascii="宋体"/>
                <w:sz w:val="20"/>
              </w:rPr>
              <w:t>17</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803"/>
              <w:jc w:val="right"/>
              <w:rPr>
                <w:rFonts w:ascii="宋体" w:hAnsi="宋体" w:cs="宋体" w:eastAsia="宋体" w:hint="default"/>
                <w:sz w:val="20"/>
                <w:szCs w:val="20"/>
              </w:rPr>
            </w:pPr>
            <w:r>
              <w:rPr>
                <w:rFonts w:ascii="宋体" w:hAnsi="宋体" w:cs="宋体" w:eastAsia="宋体" w:hint="default"/>
                <w:w w:val="95"/>
                <w:sz w:val="20"/>
                <w:szCs w:val="20"/>
              </w:rPr>
              <w:t>西南线</w:t>
            </w:r>
            <w:r>
              <w:rPr>
                <w:rFonts w:ascii="宋体" w:hAnsi="宋体" w:cs="宋体" w:eastAsia="宋体" w:hint="default"/>
                <w:sz w:val="20"/>
                <w:szCs w:val="20"/>
              </w:rPr>
            </w:r>
          </w:p>
        </w:tc>
        <w:tc>
          <w:tcPr>
            <w:tcW w:w="483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94" w:right="0"/>
              <w:jc w:val="center"/>
              <w:rPr>
                <w:rFonts w:ascii="宋体" w:hAnsi="宋体" w:cs="宋体" w:eastAsia="宋体" w:hint="default"/>
                <w:sz w:val="20"/>
                <w:szCs w:val="20"/>
              </w:rPr>
            </w:pPr>
            <w:r>
              <w:rPr>
                <w:rFonts w:ascii="宋体" w:hAnsi="宋体" w:cs="宋体" w:eastAsia="宋体" w:hint="default"/>
                <w:sz w:val="20"/>
                <w:szCs w:val="20"/>
              </w:rPr>
              <w:t>上海</w:t>
            </w:r>
            <w:r>
              <w:rPr>
                <w:rFonts w:ascii="宋体" w:hAnsi="宋体" w:cs="宋体" w:eastAsia="宋体" w:hint="default"/>
                <w:sz w:val="20"/>
                <w:szCs w:val="20"/>
              </w:rPr>
              <w:t>-</w:t>
            </w:r>
            <w:r>
              <w:rPr>
                <w:rFonts w:ascii="宋体" w:hAnsi="宋体" w:cs="宋体" w:eastAsia="宋体" w:hint="default"/>
                <w:sz w:val="20"/>
                <w:szCs w:val="20"/>
              </w:rPr>
              <w:t>汕头</w:t>
            </w:r>
            <w:r>
              <w:rPr>
                <w:rFonts w:ascii="宋体" w:hAnsi="宋体" w:cs="宋体" w:eastAsia="宋体" w:hint="default"/>
                <w:sz w:val="20"/>
                <w:szCs w:val="20"/>
              </w:rPr>
              <w:t>-</w:t>
            </w:r>
            <w:r>
              <w:rPr>
                <w:rFonts w:ascii="宋体" w:hAnsi="宋体" w:cs="宋体" w:eastAsia="宋体" w:hint="default"/>
                <w:sz w:val="20"/>
                <w:szCs w:val="20"/>
              </w:rPr>
              <w:t>海口</w:t>
            </w:r>
          </w:p>
        </w:tc>
      </w:tr>
      <w:tr>
        <w:trPr>
          <w:trHeight w:val="398" w:hRule="exact"/>
        </w:trPr>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696"/>
              <w:jc w:val="right"/>
              <w:rPr>
                <w:rFonts w:ascii="宋体" w:hAnsi="宋体" w:cs="宋体" w:eastAsia="宋体" w:hint="default"/>
                <w:sz w:val="20"/>
                <w:szCs w:val="20"/>
              </w:rPr>
            </w:pPr>
            <w:r>
              <w:rPr>
                <w:rFonts w:ascii="宋体"/>
                <w:sz w:val="20"/>
              </w:rPr>
              <w:t>18</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803"/>
              <w:jc w:val="right"/>
              <w:rPr>
                <w:rFonts w:ascii="宋体" w:hAnsi="宋体" w:cs="宋体" w:eastAsia="宋体" w:hint="default"/>
                <w:sz w:val="20"/>
                <w:szCs w:val="20"/>
              </w:rPr>
            </w:pPr>
            <w:r>
              <w:rPr>
                <w:rFonts w:ascii="宋体" w:hAnsi="宋体" w:cs="宋体" w:eastAsia="宋体" w:hint="default"/>
                <w:w w:val="95"/>
                <w:sz w:val="20"/>
                <w:szCs w:val="20"/>
              </w:rPr>
              <w:t>西南线</w:t>
            </w:r>
            <w:r>
              <w:rPr>
                <w:rFonts w:ascii="宋体" w:hAnsi="宋体" w:cs="宋体" w:eastAsia="宋体" w:hint="default"/>
                <w:sz w:val="20"/>
                <w:szCs w:val="20"/>
              </w:rPr>
            </w:r>
          </w:p>
        </w:tc>
        <w:tc>
          <w:tcPr>
            <w:tcW w:w="483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94" w:right="0"/>
              <w:jc w:val="center"/>
              <w:rPr>
                <w:rFonts w:ascii="宋体" w:hAnsi="宋体" w:cs="宋体" w:eastAsia="宋体" w:hint="default"/>
                <w:sz w:val="20"/>
                <w:szCs w:val="20"/>
              </w:rPr>
            </w:pPr>
            <w:r>
              <w:rPr>
                <w:rFonts w:ascii="宋体" w:hAnsi="宋体" w:cs="宋体" w:eastAsia="宋体" w:hint="default"/>
                <w:sz w:val="20"/>
                <w:szCs w:val="20"/>
              </w:rPr>
              <w:t>上海</w:t>
            </w:r>
            <w:r>
              <w:rPr>
                <w:rFonts w:ascii="宋体" w:hAnsi="宋体" w:cs="宋体" w:eastAsia="宋体" w:hint="default"/>
                <w:sz w:val="20"/>
                <w:szCs w:val="20"/>
              </w:rPr>
              <w:t>-</w:t>
            </w:r>
            <w:r>
              <w:rPr>
                <w:rFonts w:ascii="宋体" w:hAnsi="宋体" w:cs="宋体" w:eastAsia="宋体" w:hint="default"/>
                <w:sz w:val="20"/>
                <w:szCs w:val="20"/>
              </w:rPr>
              <w:t>泉州</w:t>
            </w:r>
            <w:r>
              <w:rPr>
                <w:rFonts w:ascii="宋体" w:hAnsi="宋体" w:cs="宋体" w:eastAsia="宋体" w:hint="default"/>
                <w:sz w:val="20"/>
                <w:szCs w:val="20"/>
              </w:rPr>
              <w:t>-</w:t>
            </w:r>
            <w:r>
              <w:rPr>
                <w:rFonts w:ascii="宋体" w:hAnsi="宋体" w:cs="宋体" w:eastAsia="宋体" w:hint="default"/>
                <w:sz w:val="20"/>
                <w:szCs w:val="20"/>
              </w:rPr>
              <w:t>钦州</w:t>
            </w:r>
          </w:p>
        </w:tc>
      </w:tr>
      <w:tr>
        <w:trPr>
          <w:trHeight w:val="398" w:hRule="exact"/>
        </w:trPr>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696"/>
              <w:jc w:val="right"/>
              <w:rPr>
                <w:rFonts w:ascii="宋体" w:hAnsi="宋体" w:cs="宋体" w:eastAsia="宋体" w:hint="default"/>
                <w:sz w:val="20"/>
                <w:szCs w:val="20"/>
              </w:rPr>
            </w:pPr>
            <w:r>
              <w:rPr>
                <w:rFonts w:ascii="宋体"/>
                <w:sz w:val="20"/>
              </w:rPr>
              <w:t>19</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803"/>
              <w:jc w:val="right"/>
              <w:rPr>
                <w:rFonts w:ascii="宋体" w:hAnsi="宋体" w:cs="宋体" w:eastAsia="宋体" w:hint="default"/>
                <w:sz w:val="20"/>
                <w:szCs w:val="20"/>
              </w:rPr>
            </w:pPr>
            <w:r>
              <w:rPr>
                <w:rFonts w:ascii="宋体" w:hAnsi="宋体" w:cs="宋体" w:eastAsia="宋体" w:hint="default"/>
                <w:w w:val="95"/>
                <w:sz w:val="20"/>
                <w:szCs w:val="20"/>
              </w:rPr>
              <w:t>西南线</w:t>
            </w:r>
            <w:r>
              <w:rPr>
                <w:rFonts w:ascii="宋体" w:hAnsi="宋体" w:cs="宋体" w:eastAsia="宋体" w:hint="default"/>
                <w:sz w:val="20"/>
                <w:szCs w:val="20"/>
              </w:rPr>
            </w:r>
          </w:p>
        </w:tc>
        <w:tc>
          <w:tcPr>
            <w:tcW w:w="483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94" w:right="0"/>
              <w:jc w:val="center"/>
              <w:rPr>
                <w:rFonts w:ascii="宋体" w:hAnsi="宋体" w:cs="宋体" w:eastAsia="宋体" w:hint="default"/>
                <w:sz w:val="20"/>
                <w:szCs w:val="20"/>
              </w:rPr>
            </w:pPr>
            <w:r>
              <w:rPr>
                <w:rFonts w:ascii="宋体" w:hAnsi="宋体" w:cs="宋体" w:eastAsia="宋体" w:hint="default"/>
                <w:sz w:val="20"/>
                <w:szCs w:val="20"/>
              </w:rPr>
              <w:t>南沙</w:t>
            </w:r>
            <w:r>
              <w:rPr>
                <w:rFonts w:ascii="宋体" w:hAnsi="宋体" w:cs="宋体" w:eastAsia="宋体" w:hint="default"/>
                <w:sz w:val="20"/>
                <w:szCs w:val="20"/>
              </w:rPr>
              <w:t>-</w:t>
            </w:r>
            <w:r>
              <w:rPr>
                <w:rFonts w:ascii="宋体" w:hAnsi="宋体" w:cs="宋体" w:eastAsia="宋体" w:hint="default"/>
                <w:sz w:val="20"/>
                <w:szCs w:val="20"/>
              </w:rPr>
              <w:t>海口</w:t>
            </w:r>
          </w:p>
        </w:tc>
      </w:tr>
    </w:tbl>
    <w:p>
      <w:pPr>
        <w:spacing w:line="230" w:lineRule="exact" w:before="0"/>
        <w:ind w:left="621" w:right="2497" w:firstLine="0"/>
        <w:jc w:val="left"/>
        <w:rPr>
          <w:rFonts w:ascii="宋体" w:hAnsi="宋体" w:cs="宋体" w:eastAsia="宋体" w:hint="default"/>
          <w:sz w:val="20"/>
          <w:szCs w:val="20"/>
        </w:rPr>
      </w:pPr>
      <w:r>
        <w:rPr>
          <w:rFonts w:ascii="宋体" w:hAnsi="宋体" w:cs="宋体" w:eastAsia="宋体" w:hint="default"/>
          <w:b/>
          <w:bCs/>
          <w:sz w:val="20"/>
          <w:szCs w:val="20"/>
        </w:rPr>
        <w:t>（二）铁路板块</w:t>
      </w:r>
      <w:r>
        <w:rPr>
          <w:rFonts w:ascii="宋体" w:hAnsi="宋体" w:cs="宋体" w:eastAsia="宋体" w:hint="default"/>
          <w:sz w:val="20"/>
          <w:szCs w:val="20"/>
        </w:rPr>
      </w:r>
    </w:p>
    <w:p>
      <w:pPr>
        <w:spacing w:line="357" w:lineRule="auto" w:before="129"/>
        <w:ind w:left="218" w:right="230" w:firstLine="400"/>
        <w:jc w:val="both"/>
        <w:rPr>
          <w:rFonts w:ascii="宋体" w:hAnsi="宋体" w:cs="宋体" w:eastAsia="宋体" w:hint="default"/>
          <w:sz w:val="20"/>
          <w:szCs w:val="20"/>
        </w:rPr>
      </w:pPr>
      <w:r>
        <w:rPr>
          <w:rFonts w:ascii="宋体" w:hAnsi="宋体" w:cs="宋体" w:eastAsia="宋体" w:hint="default"/>
          <w:sz w:val="20"/>
          <w:szCs w:val="20"/>
        </w:rPr>
        <w:t>铁路是近年来公司多式联运战略中核心布局的环节，继</w:t>
      </w:r>
      <w:r>
        <w:rPr>
          <w:rFonts w:ascii="宋体" w:hAnsi="宋体" w:cs="宋体" w:eastAsia="宋体" w:hint="default"/>
          <w:spacing w:val="-81"/>
          <w:sz w:val="20"/>
          <w:szCs w:val="20"/>
        </w:rPr>
        <w:t> </w:t>
      </w:r>
      <w:r>
        <w:rPr>
          <w:rFonts w:ascii="宋体" w:hAnsi="宋体" w:cs="宋体" w:eastAsia="宋体" w:hint="default"/>
          <w:sz w:val="20"/>
          <w:szCs w:val="20"/>
        </w:rPr>
        <w:t>2016</w:t>
      </w:r>
      <w:r>
        <w:rPr>
          <w:rFonts w:ascii="宋体" w:hAnsi="宋体" w:cs="宋体" w:eastAsia="宋体" w:hint="default"/>
          <w:spacing w:val="-82"/>
          <w:sz w:val="20"/>
          <w:szCs w:val="20"/>
        </w:rPr>
        <w:t> </w:t>
      </w:r>
      <w:r>
        <w:rPr>
          <w:rFonts w:ascii="宋体" w:hAnsi="宋体" w:cs="宋体" w:eastAsia="宋体" w:hint="default"/>
          <w:sz w:val="20"/>
          <w:szCs w:val="20"/>
        </w:rPr>
        <w:t>年规划了铁路运输的发展规划，</w:t>
      </w:r>
      <w:r>
        <w:rPr>
          <w:rFonts w:ascii="宋体" w:hAnsi="宋体" w:cs="宋体" w:eastAsia="宋体" w:hint="default"/>
          <w:sz w:val="20"/>
          <w:szCs w:val="20"/>
        </w:rPr>
        <w:t>2017</w:t>
      </w:r>
      <w:r>
        <w:rPr>
          <w:rFonts w:ascii="宋体" w:hAnsi="宋体" w:cs="宋体" w:eastAsia="宋体" w:hint="default"/>
          <w:spacing w:val="1"/>
          <w:w w:val="99"/>
          <w:sz w:val="20"/>
          <w:szCs w:val="20"/>
        </w:rPr>
        <w:t> </w:t>
      </w:r>
      <w:r>
        <w:rPr>
          <w:rFonts w:ascii="宋体" w:hAnsi="宋体" w:cs="宋体" w:eastAsia="宋体" w:hint="default"/>
          <w:sz w:val="20"/>
          <w:szCs w:val="20"/>
        </w:rPr>
        <w:t>年公司成立了海铁事业部。战略上，公司一方面借助和铁路总公司、地方铁路公司的深度合作，通过</w:t>
      </w:r>
      <w:r>
        <w:rPr>
          <w:rFonts w:ascii="宋体" w:hAnsi="宋体" w:cs="宋体" w:eastAsia="宋体" w:hint="default"/>
          <w:spacing w:val="-75"/>
          <w:sz w:val="20"/>
          <w:szCs w:val="20"/>
        </w:rPr>
        <w:t> </w:t>
      </w:r>
      <w:r>
        <w:rPr>
          <w:rFonts w:ascii="宋体" w:hAnsi="宋体" w:cs="宋体" w:eastAsia="宋体" w:hint="default"/>
          <w:spacing w:val="-75"/>
          <w:sz w:val="20"/>
          <w:szCs w:val="20"/>
        </w:rPr>
      </w:r>
      <w:r>
        <w:rPr>
          <w:rFonts w:ascii="宋体" w:hAnsi="宋体" w:cs="宋体" w:eastAsia="宋体" w:hint="default"/>
          <w:sz w:val="20"/>
          <w:szCs w:val="20"/>
        </w:rPr>
        <w:t>将我司水运、陆运和铁路线的对接，双方集装箱、场站资源的共享，累计搭建了超 </w:t>
      </w:r>
      <w:r>
        <w:rPr>
          <w:rFonts w:ascii="宋体" w:hAnsi="宋体" w:cs="宋体" w:eastAsia="宋体" w:hint="default"/>
          <w:sz w:val="20"/>
          <w:szCs w:val="20"/>
        </w:rPr>
        <w:t>130</w:t>
      </w:r>
      <w:r>
        <w:rPr>
          <w:rFonts w:ascii="宋体" w:hAnsi="宋体" w:cs="宋体" w:eastAsia="宋体" w:hint="default"/>
          <w:spacing w:val="-73"/>
          <w:sz w:val="20"/>
          <w:szCs w:val="20"/>
        </w:rPr>
        <w:t> </w:t>
      </w:r>
      <w:r>
        <w:rPr>
          <w:rFonts w:ascii="宋体" w:hAnsi="宋体" w:cs="宋体" w:eastAsia="宋体" w:hint="default"/>
          <w:sz w:val="20"/>
          <w:szCs w:val="20"/>
        </w:rPr>
        <w:t>条经济、稳定</w:t>
      </w:r>
      <w:r>
        <w:rPr>
          <w:rFonts w:ascii="宋体" w:hAnsi="宋体" w:cs="宋体" w:eastAsia="宋体" w:hint="default"/>
          <w:w w:val="99"/>
          <w:sz w:val="20"/>
          <w:szCs w:val="20"/>
        </w:rPr>
        <w:t> </w:t>
      </w:r>
      <w:r>
        <w:rPr>
          <w:rFonts w:ascii="宋体" w:hAnsi="宋体" w:cs="宋体" w:eastAsia="宋体" w:hint="default"/>
          <w:sz w:val="20"/>
          <w:szCs w:val="20"/>
        </w:rPr>
        <w:t>和高效的海铁联运通道，扩大物流服务辐射半径的同时，也为客户节省了大量的时间和成本；同时，</w:t>
      </w:r>
      <w:r>
        <w:rPr>
          <w:rFonts w:ascii="宋体" w:hAnsi="宋体" w:cs="宋体" w:eastAsia="宋体" w:hint="default"/>
          <w:spacing w:val="-74"/>
          <w:sz w:val="20"/>
          <w:szCs w:val="20"/>
        </w:rPr>
        <w:t> </w:t>
      </w:r>
      <w:r>
        <w:rPr>
          <w:rFonts w:ascii="宋体" w:hAnsi="宋体" w:cs="宋体" w:eastAsia="宋体" w:hint="default"/>
          <w:spacing w:val="-74"/>
          <w:sz w:val="20"/>
          <w:szCs w:val="20"/>
        </w:rPr>
      </w:r>
      <w:r>
        <w:rPr>
          <w:rFonts w:ascii="宋体" w:hAnsi="宋体" w:cs="宋体" w:eastAsia="宋体" w:hint="default"/>
          <w:sz w:val="20"/>
          <w:szCs w:val="20"/>
        </w:rPr>
        <w:t>公司投资参股了北京安铁供应链管理有限责任公司，以铁路特种箱服务为抓手，深度开发大宗、化工</w:t>
      </w:r>
      <w:r>
        <w:rPr>
          <w:rFonts w:ascii="宋体" w:hAnsi="宋体" w:cs="宋体" w:eastAsia="宋体" w:hint="default"/>
          <w:spacing w:val="-73"/>
          <w:sz w:val="20"/>
          <w:szCs w:val="20"/>
        </w:rPr>
        <w:t> </w:t>
      </w:r>
      <w:r>
        <w:rPr>
          <w:rFonts w:ascii="宋体" w:hAnsi="宋体" w:cs="宋体" w:eastAsia="宋体" w:hint="default"/>
          <w:spacing w:val="-73"/>
          <w:sz w:val="20"/>
          <w:szCs w:val="20"/>
        </w:rPr>
      </w:r>
      <w:r>
        <w:rPr>
          <w:rFonts w:ascii="宋体" w:hAnsi="宋体" w:cs="宋体" w:eastAsia="宋体" w:hint="default"/>
          <w:sz w:val="20"/>
          <w:szCs w:val="20"/>
        </w:rPr>
        <w:t>等客户的高附加值物流项目。</w:t>
      </w:r>
    </w:p>
    <w:p>
      <w:pPr>
        <w:spacing w:before="29"/>
        <w:ind w:left="618" w:right="0" w:firstLine="0"/>
        <w:jc w:val="left"/>
        <w:rPr>
          <w:rFonts w:ascii="宋体" w:hAnsi="宋体" w:cs="宋体" w:eastAsia="宋体" w:hint="default"/>
          <w:sz w:val="20"/>
          <w:szCs w:val="20"/>
        </w:rPr>
      </w:pPr>
      <w:r>
        <w:rPr>
          <w:rFonts w:ascii="宋体" w:hAnsi="宋体" w:cs="宋体" w:eastAsia="宋体" w:hint="default"/>
          <w:sz w:val="20"/>
          <w:szCs w:val="20"/>
        </w:rPr>
        <w:t>截止</w:t>
      </w:r>
      <w:r>
        <w:rPr>
          <w:rFonts w:ascii="宋体" w:hAnsi="宋体" w:cs="宋体" w:eastAsia="宋体" w:hint="default"/>
          <w:spacing w:val="-48"/>
          <w:sz w:val="20"/>
          <w:szCs w:val="20"/>
        </w:rPr>
        <w:t> </w:t>
      </w:r>
      <w:r>
        <w:rPr>
          <w:rFonts w:ascii="宋体" w:hAnsi="宋体" w:cs="宋体" w:eastAsia="宋体" w:hint="default"/>
          <w:sz w:val="20"/>
          <w:szCs w:val="20"/>
        </w:rPr>
        <w:t>2017</w:t>
      </w:r>
      <w:r>
        <w:rPr>
          <w:rFonts w:ascii="宋体" w:hAnsi="宋体" w:cs="宋体" w:eastAsia="宋体" w:hint="default"/>
          <w:spacing w:val="-47"/>
          <w:sz w:val="20"/>
          <w:szCs w:val="20"/>
        </w:rPr>
        <w:t> </w:t>
      </w:r>
      <w:r>
        <w:rPr>
          <w:rFonts w:ascii="宋体" w:hAnsi="宋体" w:cs="宋体" w:eastAsia="宋体" w:hint="default"/>
          <w:sz w:val="20"/>
          <w:szCs w:val="20"/>
        </w:rPr>
        <w:t>年</w:t>
      </w:r>
      <w:r>
        <w:rPr>
          <w:rFonts w:ascii="宋体" w:hAnsi="宋体" w:cs="宋体" w:eastAsia="宋体" w:hint="default"/>
          <w:spacing w:val="-48"/>
          <w:sz w:val="20"/>
          <w:szCs w:val="20"/>
        </w:rPr>
        <w:t> </w:t>
      </w:r>
      <w:r>
        <w:rPr>
          <w:rFonts w:ascii="宋体" w:hAnsi="宋体" w:cs="宋体" w:eastAsia="宋体" w:hint="default"/>
          <w:sz w:val="20"/>
          <w:szCs w:val="20"/>
        </w:rPr>
        <w:t>12</w:t>
      </w:r>
      <w:r>
        <w:rPr>
          <w:rFonts w:ascii="宋体" w:hAnsi="宋体" w:cs="宋体" w:eastAsia="宋体" w:hint="default"/>
          <w:spacing w:val="-47"/>
          <w:sz w:val="20"/>
          <w:szCs w:val="20"/>
        </w:rPr>
        <w:t> </w:t>
      </w:r>
      <w:r>
        <w:rPr>
          <w:rFonts w:ascii="宋体" w:hAnsi="宋体" w:cs="宋体" w:eastAsia="宋体" w:hint="default"/>
          <w:sz w:val="20"/>
          <w:szCs w:val="20"/>
        </w:rPr>
        <w:t>月</w:t>
      </w:r>
      <w:r>
        <w:rPr>
          <w:rFonts w:ascii="宋体" w:hAnsi="宋体" w:cs="宋体" w:eastAsia="宋体" w:hint="default"/>
          <w:spacing w:val="-48"/>
          <w:sz w:val="20"/>
          <w:szCs w:val="20"/>
        </w:rPr>
        <w:t> </w:t>
      </w:r>
      <w:r>
        <w:rPr>
          <w:rFonts w:ascii="宋体" w:hAnsi="宋体" w:cs="宋体" w:eastAsia="宋体" w:hint="default"/>
          <w:sz w:val="20"/>
          <w:szCs w:val="20"/>
        </w:rPr>
        <w:t>31</w:t>
      </w:r>
      <w:r>
        <w:rPr>
          <w:rFonts w:ascii="宋体" w:hAnsi="宋体" w:cs="宋体" w:eastAsia="宋体" w:hint="default"/>
          <w:spacing w:val="-47"/>
          <w:sz w:val="20"/>
          <w:szCs w:val="20"/>
        </w:rPr>
        <w:t> </w:t>
      </w:r>
      <w:r>
        <w:rPr>
          <w:rFonts w:ascii="宋体" w:hAnsi="宋体" w:cs="宋体" w:eastAsia="宋体" w:hint="default"/>
          <w:sz w:val="20"/>
          <w:szCs w:val="20"/>
        </w:rPr>
        <w:t>日，上市公司已设立铁路网点</w:t>
      </w:r>
      <w:r>
        <w:rPr>
          <w:rFonts w:ascii="宋体" w:hAnsi="宋体" w:cs="宋体" w:eastAsia="宋体" w:hint="default"/>
          <w:spacing w:val="-47"/>
          <w:sz w:val="20"/>
          <w:szCs w:val="20"/>
        </w:rPr>
        <w:t> </w:t>
      </w:r>
      <w:r>
        <w:rPr>
          <w:rFonts w:ascii="宋体" w:hAnsi="宋体" w:cs="宋体" w:eastAsia="宋体" w:hint="default"/>
          <w:sz w:val="20"/>
          <w:szCs w:val="20"/>
        </w:rPr>
        <w:t>18</w:t>
      </w:r>
      <w:r>
        <w:rPr>
          <w:rFonts w:ascii="宋体" w:hAnsi="宋体" w:cs="宋体" w:eastAsia="宋体" w:hint="default"/>
          <w:spacing w:val="-47"/>
          <w:sz w:val="20"/>
          <w:szCs w:val="20"/>
        </w:rPr>
        <w:t> </w:t>
      </w:r>
      <w:r>
        <w:rPr>
          <w:rFonts w:ascii="宋体" w:hAnsi="宋体" w:cs="宋体" w:eastAsia="宋体" w:hint="default"/>
          <w:sz w:val="20"/>
          <w:szCs w:val="20"/>
        </w:rPr>
        <w:t>个，包括哈尔滨、郑州、西安、贵阳、乌</w:t>
      </w:r>
    </w:p>
    <w:p>
      <w:pPr>
        <w:spacing w:before="127"/>
        <w:ind w:left="218" w:right="0" w:firstLine="0"/>
        <w:jc w:val="left"/>
        <w:rPr>
          <w:rFonts w:ascii="宋体" w:hAnsi="宋体" w:cs="宋体" w:eastAsia="宋体" w:hint="default"/>
          <w:sz w:val="20"/>
          <w:szCs w:val="20"/>
        </w:rPr>
      </w:pPr>
      <w:r>
        <w:rPr>
          <w:rFonts w:ascii="宋体" w:hAnsi="宋体" w:cs="宋体" w:eastAsia="宋体" w:hint="default"/>
          <w:sz w:val="20"/>
          <w:szCs w:val="20"/>
        </w:rPr>
        <w:t>鲁木齐等，铁路直发业务线超</w:t>
      </w:r>
      <w:r>
        <w:rPr>
          <w:rFonts w:ascii="宋体" w:hAnsi="宋体" w:cs="宋体" w:eastAsia="宋体" w:hint="default"/>
          <w:spacing w:val="-46"/>
          <w:sz w:val="20"/>
          <w:szCs w:val="20"/>
        </w:rPr>
        <w:t> </w:t>
      </w:r>
      <w:r>
        <w:rPr>
          <w:rFonts w:ascii="宋体" w:hAnsi="宋体" w:cs="宋体" w:eastAsia="宋体" w:hint="default"/>
          <w:sz w:val="20"/>
          <w:szCs w:val="20"/>
        </w:rPr>
        <w:t>400</w:t>
      </w:r>
      <w:r>
        <w:rPr>
          <w:rFonts w:ascii="宋体" w:hAnsi="宋体" w:cs="宋体" w:eastAsia="宋体" w:hint="default"/>
          <w:spacing w:val="-46"/>
          <w:sz w:val="20"/>
          <w:szCs w:val="20"/>
        </w:rPr>
        <w:t> </w:t>
      </w:r>
      <w:r>
        <w:rPr>
          <w:rFonts w:ascii="宋体" w:hAnsi="宋体" w:cs="宋体" w:eastAsia="宋体" w:hint="default"/>
          <w:sz w:val="20"/>
          <w:szCs w:val="20"/>
        </w:rPr>
        <w:t>条，海铁线路超</w:t>
      </w:r>
      <w:r>
        <w:rPr>
          <w:rFonts w:ascii="宋体" w:hAnsi="宋体" w:cs="宋体" w:eastAsia="宋体" w:hint="default"/>
          <w:spacing w:val="-47"/>
          <w:sz w:val="20"/>
          <w:szCs w:val="20"/>
        </w:rPr>
        <w:t> </w:t>
      </w:r>
      <w:r>
        <w:rPr>
          <w:rFonts w:ascii="宋体" w:hAnsi="宋体" w:cs="宋体" w:eastAsia="宋体" w:hint="default"/>
          <w:sz w:val="20"/>
          <w:szCs w:val="20"/>
        </w:rPr>
        <w:t>130</w:t>
      </w:r>
      <w:r>
        <w:rPr>
          <w:rFonts w:ascii="宋体" w:hAnsi="宋体" w:cs="宋体" w:eastAsia="宋体" w:hint="default"/>
          <w:spacing w:val="-46"/>
          <w:sz w:val="20"/>
          <w:szCs w:val="20"/>
        </w:rPr>
        <w:t> </w:t>
      </w:r>
      <w:r>
        <w:rPr>
          <w:rFonts w:ascii="宋体" w:hAnsi="宋体" w:cs="宋体" w:eastAsia="宋体" w:hint="default"/>
          <w:sz w:val="20"/>
          <w:szCs w:val="20"/>
        </w:rPr>
        <w:t>条，涉及业务铁路站点</w:t>
      </w:r>
      <w:r>
        <w:rPr>
          <w:rFonts w:ascii="宋体" w:hAnsi="宋体" w:cs="宋体" w:eastAsia="宋体" w:hint="default"/>
          <w:spacing w:val="-47"/>
          <w:sz w:val="20"/>
          <w:szCs w:val="20"/>
        </w:rPr>
        <w:t> </w:t>
      </w:r>
      <w:r>
        <w:rPr>
          <w:rFonts w:ascii="宋体" w:hAnsi="宋体" w:cs="宋体" w:eastAsia="宋体" w:hint="default"/>
          <w:sz w:val="20"/>
          <w:szCs w:val="20"/>
        </w:rPr>
        <w:t>527</w:t>
      </w:r>
      <w:r>
        <w:rPr>
          <w:rFonts w:ascii="宋体" w:hAnsi="宋体" w:cs="宋体" w:eastAsia="宋体" w:hint="default"/>
          <w:spacing w:val="-45"/>
          <w:sz w:val="20"/>
          <w:szCs w:val="20"/>
        </w:rPr>
        <w:t> </w:t>
      </w:r>
      <w:r>
        <w:rPr>
          <w:rFonts w:ascii="宋体" w:hAnsi="宋体" w:cs="宋体" w:eastAsia="宋体" w:hint="default"/>
          <w:sz w:val="20"/>
          <w:szCs w:val="20"/>
        </w:rPr>
        <w:t>个，铁路服务覆盖</w:t>
      </w:r>
    </w:p>
    <w:p>
      <w:pPr>
        <w:spacing w:before="127"/>
        <w:ind w:left="218" w:right="0" w:firstLine="0"/>
        <w:jc w:val="left"/>
        <w:rPr>
          <w:rFonts w:ascii="宋体" w:hAnsi="宋体" w:cs="宋体" w:eastAsia="宋体" w:hint="default"/>
          <w:sz w:val="20"/>
          <w:szCs w:val="20"/>
        </w:rPr>
      </w:pPr>
      <w:r>
        <w:rPr>
          <w:rFonts w:ascii="宋体" w:hAnsi="宋体" w:cs="宋体" w:eastAsia="宋体" w:hint="default"/>
          <w:sz w:val="20"/>
          <w:szCs w:val="20"/>
        </w:rPr>
        <w:t>31</w:t>
      </w:r>
      <w:r>
        <w:rPr>
          <w:rFonts w:ascii="宋体" w:hAnsi="宋体" w:cs="宋体" w:eastAsia="宋体" w:hint="default"/>
          <w:spacing w:val="-47"/>
          <w:sz w:val="20"/>
          <w:szCs w:val="20"/>
        </w:rPr>
        <w:t> </w:t>
      </w:r>
      <w:r>
        <w:rPr>
          <w:rFonts w:ascii="宋体" w:hAnsi="宋体" w:cs="宋体" w:eastAsia="宋体" w:hint="default"/>
          <w:sz w:val="20"/>
          <w:szCs w:val="20"/>
        </w:rPr>
        <w:t>省</w:t>
      </w:r>
      <w:r>
        <w:rPr>
          <w:rFonts w:ascii="宋体" w:hAnsi="宋体" w:cs="宋体" w:eastAsia="宋体" w:hint="default"/>
          <w:spacing w:val="-51"/>
          <w:sz w:val="20"/>
          <w:szCs w:val="20"/>
        </w:rPr>
        <w:t> </w:t>
      </w:r>
      <w:r>
        <w:rPr>
          <w:rFonts w:ascii="宋体" w:hAnsi="宋体" w:cs="宋体" w:eastAsia="宋体" w:hint="default"/>
          <w:sz w:val="20"/>
          <w:szCs w:val="20"/>
        </w:rPr>
        <w:t>65</w:t>
      </w:r>
      <w:r>
        <w:rPr>
          <w:rFonts w:ascii="宋体" w:hAnsi="宋体" w:cs="宋体" w:eastAsia="宋体" w:hint="default"/>
          <w:spacing w:val="-47"/>
          <w:sz w:val="20"/>
          <w:szCs w:val="20"/>
        </w:rPr>
        <w:t> </w:t>
      </w:r>
      <w:r>
        <w:rPr>
          <w:rFonts w:ascii="宋体" w:hAnsi="宋体" w:cs="宋体" w:eastAsia="宋体" w:hint="default"/>
          <w:sz w:val="20"/>
          <w:szCs w:val="20"/>
        </w:rPr>
        <w:t>城市，</w:t>
      </w:r>
      <w:r>
        <w:rPr>
          <w:rFonts w:ascii="宋体" w:hAnsi="宋体" w:cs="宋体" w:eastAsia="宋体" w:hint="default"/>
          <w:sz w:val="20"/>
          <w:szCs w:val="20"/>
        </w:rPr>
        <w:t>2017</w:t>
      </w:r>
      <w:r>
        <w:rPr>
          <w:rFonts w:ascii="宋体" w:hAnsi="宋体" w:cs="宋体" w:eastAsia="宋体" w:hint="default"/>
          <w:spacing w:val="-47"/>
          <w:sz w:val="20"/>
          <w:szCs w:val="20"/>
        </w:rPr>
        <w:t> </w:t>
      </w:r>
      <w:r>
        <w:rPr>
          <w:rFonts w:ascii="宋体" w:hAnsi="宋体" w:cs="宋体" w:eastAsia="宋体" w:hint="default"/>
          <w:sz w:val="20"/>
          <w:szCs w:val="20"/>
        </w:rPr>
        <w:t>年实现铁路自然柜运输量约</w:t>
      </w:r>
      <w:r>
        <w:rPr>
          <w:rFonts w:ascii="宋体" w:hAnsi="宋体" w:cs="宋体" w:eastAsia="宋体" w:hint="default"/>
          <w:spacing w:val="-47"/>
          <w:sz w:val="20"/>
          <w:szCs w:val="20"/>
        </w:rPr>
        <w:t> </w:t>
      </w:r>
      <w:r>
        <w:rPr>
          <w:rFonts w:ascii="宋体" w:hAnsi="宋体" w:cs="宋体" w:eastAsia="宋体" w:hint="default"/>
          <w:sz w:val="20"/>
          <w:szCs w:val="20"/>
        </w:rPr>
        <w:t>13</w:t>
      </w:r>
      <w:r>
        <w:rPr>
          <w:rFonts w:ascii="宋体" w:hAnsi="宋体" w:cs="宋体" w:eastAsia="宋体" w:hint="default"/>
          <w:spacing w:val="-47"/>
          <w:sz w:val="20"/>
          <w:szCs w:val="20"/>
        </w:rPr>
        <w:t> </w:t>
      </w:r>
      <w:r>
        <w:rPr>
          <w:rFonts w:ascii="宋体" w:hAnsi="宋体" w:cs="宋体" w:eastAsia="宋体" w:hint="default"/>
          <w:sz w:val="20"/>
          <w:szCs w:val="20"/>
        </w:rPr>
        <w:t>万个，实现在铁路上的营收约</w:t>
      </w:r>
      <w:r>
        <w:rPr>
          <w:rFonts w:ascii="宋体" w:hAnsi="宋体" w:cs="宋体" w:eastAsia="宋体" w:hint="default"/>
          <w:spacing w:val="-44"/>
          <w:sz w:val="20"/>
          <w:szCs w:val="20"/>
        </w:rPr>
        <w:t> </w:t>
      </w:r>
      <w:r>
        <w:rPr>
          <w:rFonts w:ascii="宋体" w:hAnsi="宋体" w:cs="宋体" w:eastAsia="宋体" w:hint="default"/>
          <w:sz w:val="20"/>
          <w:szCs w:val="20"/>
        </w:rPr>
        <w:t>7.55</w:t>
      </w:r>
      <w:r>
        <w:rPr>
          <w:rFonts w:ascii="宋体" w:hAnsi="宋体" w:cs="宋体" w:eastAsia="宋体" w:hint="default"/>
          <w:spacing w:val="-47"/>
          <w:sz w:val="20"/>
          <w:szCs w:val="20"/>
        </w:rPr>
        <w:t> </w:t>
      </w:r>
      <w:r>
        <w:rPr>
          <w:rFonts w:ascii="宋体" w:hAnsi="宋体" w:cs="宋体" w:eastAsia="宋体" w:hint="default"/>
          <w:sz w:val="20"/>
          <w:szCs w:val="20"/>
        </w:rPr>
        <w:t>亿元，占公司</w:t>
      </w:r>
    </w:p>
    <w:p>
      <w:pPr>
        <w:spacing w:line="357" w:lineRule="auto" w:before="129"/>
        <w:ind w:left="218" w:right="222" w:firstLine="0"/>
        <w:jc w:val="left"/>
        <w:rPr>
          <w:rFonts w:ascii="宋体" w:hAnsi="宋体" w:cs="宋体" w:eastAsia="宋体" w:hint="default"/>
          <w:sz w:val="20"/>
          <w:szCs w:val="20"/>
        </w:rPr>
      </w:pPr>
      <w:r>
        <w:rPr>
          <w:rFonts w:ascii="宋体" w:hAnsi="宋体" w:cs="宋体" w:eastAsia="宋体" w:hint="default"/>
          <w:sz w:val="20"/>
          <w:szCs w:val="20"/>
        </w:rPr>
        <w:t>2017</w:t>
      </w:r>
      <w:r>
        <w:rPr>
          <w:rFonts w:ascii="宋体" w:hAnsi="宋体" w:cs="宋体" w:eastAsia="宋体" w:hint="default"/>
          <w:spacing w:val="-45"/>
          <w:sz w:val="20"/>
          <w:szCs w:val="20"/>
        </w:rPr>
        <w:t> </w:t>
      </w:r>
      <w:r>
        <w:rPr>
          <w:rFonts w:ascii="宋体" w:hAnsi="宋体" w:cs="宋体" w:eastAsia="宋体" w:hint="default"/>
          <w:sz w:val="20"/>
          <w:szCs w:val="20"/>
        </w:rPr>
        <w:t>年全年营收比例的</w:t>
      </w:r>
      <w:r>
        <w:rPr>
          <w:rFonts w:ascii="宋体" w:hAnsi="宋体" w:cs="宋体" w:eastAsia="宋体" w:hint="default"/>
          <w:spacing w:val="-45"/>
          <w:sz w:val="20"/>
          <w:szCs w:val="20"/>
        </w:rPr>
        <w:t> </w:t>
      </w:r>
      <w:r>
        <w:rPr>
          <w:rFonts w:ascii="宋体" w:hAnsi="宋体" w:cs="宋体" w:eastAsia="宋体" w:hint="default"/>
          <w:sz w:val="20"/>
          <w:szCs w:val="20"/>
        </w:rPr>
        <w:t>11.17%</w:t>
      </w:r>
      <w:r>
        <w:rPr>
          <w:rFonts w:ascii="宋体" w:hAnsi="宋体" w:cs="宋体" w:eastAsia="宋体" w:hint="default"/>
          <w:sz w:val="20"/>
          <w:szCs w:val="20"/>
        </w:rPr>
        <w:t>，较</w:t>
      </w:r>
      <w:r>
        <w:rPr>
          <w:rFonts w:ascii="宋体" w:hAnsi="宋体" w:cs="宋体" w:eastAsia="宋体" w:hint="default"/>
          <w:spacing w:val="-46"/>
          <w:sz w:val="20"/>
          <w:szCs w:val="20"/>
        </w:rPr>
        <w:t> </w:t>
      </w:r>
      <w:r>
        <w:rPr>
          <w:rFonts w:ascii="宋体" w:hAnsi="宋体" w:cs="宋体" w:eastAsia="宋体" w:hint="default"/>
          <w:sz w:val="20"/>
          <w:szCs w:val="20"/>
        </w:rPr>
        <w:t>2016</w:t>
      </w:r>
      <w:r>
        <w:rPr>
          <w:rFonts w:ascii="宋体" w:hAnsi="宋体" w:cs="宋体" w:eastAsia="宋体" w:hint="default"/>
          <w:spacing w:val="-45"/>
          <w:sz w:val="20"/>
          <w:szCs w:val="20"/>
        </w:rPr>
        <w:t> </w:t>
      </w:r>
      <w:r>
        <w:rPr>
          <w:rFonts w:ascii="宋体" w:hAnsi="宋体" w:cs="宋体" w:eastAsia="宋体" w:hint="default"/>
          <w:sz w:val="20"/>
          <w:szCs w:val="20"/>
        </w:rPr>
        <w:t>年营收的</w:t>
      </w:r>
      <w:r>
        <w:rPr>
          <w:rFonts w:ascii="宋体" w:hAnsi="宋体" w:cs="宋体" w:eastAsia="宋体" w:hint="default"/>
          <w:spacing w:val="-46"/>
          <w:sz w:val="20"/>
          <w:szCs w:val="20"/>
        </w:rPr>
        <w:t> </w:t>
      </w:r>
      <w:r>
        <w:rPr>
          <w:rFonts w:ascii="宋体" w:hAnsi="宋体" w:cs="宋体" w:eastAsia="宋体" w:hint="default"/>
          <w:sz w:val="20"/>
          <w:szCs w:val="20"/>
        </w:rPr>
        <w:t>890</w:t>
      </w:r>
      <w:r>
        <w:rPr>
          <w:rFonts w:ascii="宋体" w:hAnsi="宋体" w:cs="宋体" w:eastAsia="宋体" w:hint="default"/>
          <w:spacing w:val="-47"/>
          <w:sz w:val="20"/>
          <w:szCs w:val="20"/>
        </w:rPr>
        <w:t> </w:t>
      </w:r>
      <w:r>
        <w:rPr>
          <w:rFonts w:ascii="宋体" w:hAnsi="宋体" w:cs="宋体" w:eastAsia="宋体" w:hint="default"/>
          <w:sz w:val="20"/>
          <w:szCs w:val="20"/>
        </w:rPr>
        <w:t>万元，实现了快速化发展；同时，带动了公司</w:t>
      </w:r>
      <w:r>
        <w:rPr>
          <w:rFonts w:ascii="宋体" w:hAnsi="宋体" w:cs="宋体" w:eastAsia="宋体" w:hint="default"/>
          <w:w w:val="99"/>
          <w:sz w:val="20"/>
          <w:szCs w:val="20"/>
        </w:rPr>
        <w:t> </w:t>
      </w:r>
      <w:r>
        <w:rPr>
          <w:rFonts w:ascii="宋体" w:hAnsi="宋体" w:cs="宋体" w:eastAsia="宋体" w:hint="default"/>
          <w:sz w:val="20"/>
          <w:szCs w:val="20"/>
        </w:rPr>
        <w:t>整体多式联运业务的规模效应。</w:t>
      </w:r>
    </w:p>
    <w:p>
      <w:pPr>
        <w:spacing w:line="357" w:lineRule="auto" w:before="29"/>
        <w:ind w:left="218" w:right="218" w:firstLine="400"/>
        <w:jc w:val="left"/>
        <w:rPr>
          <w:rFonts w:ascii="宋体" w:hAnsi="宋体" w:cs="宋体" w:eastAsia="宋体" w:hint="default"/>
          <w:sz w:val="20"/>
          <w:szCs w:val="20"/>
        </w:rPr>
      </w:pPr>
      <w:r>
        <w:rPr>
          <w:rFonts w:ascii="宋体" w:hAnsi="宋体" w:cs="宋体" w:eastAsia="宋体" w:hint="default"/>
          <w:sz w:val="20"/>
          <w:szCs w:val="20"/>
        </w:rPr>
        <w:t>目前公司的铁路业务分为海铁联运和纯铁运输两种，</w:t>
      </w:r>
      <w:r>
        <w:rPr>
          <w:rFonts w:ascii="宋体" w:hAnsi="宋体" w:cs="宋体" w:eastAsia="宋体" w:hint="default"/>
          <w:sz w:val="20"/>
          <w:szCs w:val="20"/>
        </w:rPr>
        <w:t>2017</w:t>
      </w:r>
      <w:r>
        <w:rPr>
          <w:rFonts w:ascii="宋体" w:hAnsi="宋体" w:cs="宋体" w:eastAsia="宋体" w:hint="default"/>
          <w:spacing w:val="-70"/>
          <w:sz w:val="20"/>
          <w:szCs w:val="20"/>
        </w:rPr>
        <w:t> </w:t>
      </w:r>
      <w:r>
        <w:rPr>
          <w:rFonts w:ascii="宋体" w:hAnsi="宋体" w:cs="宋体" w:eastAsia="宋体" w:hint="default"/>
          <w:sz w:val="20"/>
          <w:szCs w:val="20"/>
        </w:rPr>
        <w:t>年上述两种业务分别占到铁路板块货量</w:t>
      </w:r>
      <w:r>
        <w:rPr>
          <w:rFonts w:ascii="宋体" w:hAnsi="宋体" w:cs="宋体" w:eastAsia="宋体" w:hint="default"/>
          <w:w w:val="99"/>
          <w:sz w:val="20"/>
          <w:szCs w:val="20"/>
        </w:rPr>
        <w:t> </w:t>
      </w:r>
      <w:r>
        <w:rPr>
          <w:rFonts w:ascii="宋体" w:hAnsi="宋体" w:cs="宋体" w:eastAsia="宋体" w:hint="default"/>
          <w:sz w:val="20"/>
          <w:szCs w:val="20"/>
        </w:rPr>
        <w:t>的</w:t>
      </w:r>
      <w:r>
        <w:rPr>
          <w:rFonts w:ascii="宋体" w:hAnsi="宋体" w:cs="宋体" w:eastAsia="宋体" w:hint="default"/>
          <w:spacing w:val="-54"/>
          <w:sz w:val="20"/>
          <w:szCs w:val="20"/>
        </w:rPr>
        <w:t> </w:t>
      </w:r>
      <w:r>
        <w:rPr>
          <w:rFonts w:ascii="宋体" w:hAnsi="宋体" w:cs="宋体" w:eastAsia="宋体" w:hint="default"/>
          <w:sz w:val="20"/>
          <w:szCs w:val="20"/>
        </w:rPr>
        <w:t>33%</w:t>
      </w:r>
      <w:r>
        <w:rPr>
          <w:rFonts w:ascii="宋体" w:hAnsi="宋体" w:cs="宋体" w:eastAsia="宋体" w:hint="default"/>
          <w:sz w:val="20"/>
          <w:szCs w:val="20"/>
        </w:rPr>
        <w:t>和</w:t>
      </w:r>
      <w:r>
        <w:rPr>
          <w:rFonts w:ascii="宋体" w:hAnsi="宋体" w:cs="宋体" w:eastAsia="宋体" w:hint="default"/>
          <w:spacing w:val="-54"/>
          <w:sz w:val="20"/>
          <w:szCs w:val="20"/>
        </w:rPr>
        <w:t> </w:t>
      </w:r>
      <w:r>
        <w:rPr>
          <w:rFonts w:ascii="宋体" w:hAnsi="宋体" w:cs="宋体" w:eastAsia="宋体" w:hint="default"/>
          <w:sz w:val="20"/>
          <w:szCs w:val="20"/>
        </w:rPr>
        <w:t>67%</w:t>
      </w:r>
      <w:r>
        <w:rPr>
          <w:rFonts w:ascii="宋体" w:hAnsi="宋体" w:cs="宋体" w:eastAsia="宋体" w:hint="default"/>
          <w:sz w:val="20"/>
          <w:szCs w:val="20"/>
        </w:rPr>
        <w:t>，其中新开通的精品海铁联运项目包括：</w:t>
      </w:r>
    </w:p>
    <w:p>
      <w:pPr>
        <w:spacing w:before="29"/>
        <w:ind w:left="621" w:right="2497" w:firstLine="0"/>
        <w:jc w:val="left"/>
        <w:rPr>
          <w:rFonts w:ascii="宋体" w:hAnsi="宋体" w:cs="宋体" w:eastAsia="宋体" w:hint="default"/>
          <w:sz w:val="20"/>
          <w:szCs w:val="20"/>
        </w:rPr>
      </w:pPr>
      <w:r>
        <w:rPr>
          <w:rFonts w:ascii="宋体" w:hAnsi="宋体" w:cs="宋体" w:eastAsia="宋体" w:hint="default"/>
          <w:b/>
          <w:bCs/>
          <w:spacing w:val="3"/>
          <w:w w:val="98"/>
          <w:sz w:val="20"/>
          <w:szCs w:val="20"/>
        </w:rPr>
        <w:t>1</w:t>
      </w:r>
      <w:r>
        <w:rPr>
          <w:rFonts w:ascii="宋体" w:hAnsi="宋体" w:cs="宋体" w:eastAsia="宋体" w:hint="default"/>
          <w:b/>
          <w:bCs/>
          <w:spacing w:val="-101"/>
          <w:w w:val="99"/>
          <w:sz w:val="20"/>
          <w:szCs w:val="20"/>
        </w:rPr>
        <w:t>、</w:t>
      </w:r>
      <w:r>
        <w:rPr>
          <w:rFonts w:ascii="宋体" w:hAnsi="宋体" w:cs="宋体" w:eastAsia="宋体" w:hint="default"/>
          <w:b/>
          <w:bCs/>
          <w:spacing w:val="2"/>
          <w:w w:val="99"/>
          <w:sz w:val="20"/>
          <w:szCs w:val="20"/>
        </w:rPr>
        <w:t>“北</w:t>
      </w:r>
      <w:r>
        <w:rPr>
          <w:rFonts w:ascii="宋体" w:hAnsi="宋体" w:cs="宋体" w:eastAsia="宋体" w:hint="default"/>
          <w:b/>
          <w:bCs/>
          <w:w w:val="99"/>
          <w:sz w:val="20"/>
          <w:szCs w:val="20"/>
        </w:rPr>
        <w:t>粮</w:t>
      </w:r>
      <w:r>
        <w:rPr>
          <w:rFonts w:ascii="宋体" w:hAnsi="宋体" w:cs="宋体" w:eastAsia="宋体" w:hint="default"/>
          <w:b/>
          <w:bCs/>
          <w:spacing w:val="2"/>
          <w:w w:val="99"/>
          <w:sz w:val="20"/>
          <w:szCs w:val="20"/>
        </w:rPr>
        <w:t>南运</w:t>
      </w:r>
      <w:r>
        <w:rPr>
          <w:rFonts w:ascii="宋体" w:hAnsi="宋体" w:cs="宋体" w:eastAsia="宋体" w:hint="default"/>
          <w:b/>
          <w:bCs/>
          <w:w w:val="99"/>
          <w:sz w:val="20"/>
          <w:szCs w:val="20"/>
        </w:rPr>
        <w:t>”</w:t>
      </w:r>
      <w:r>
        <w:rPr>
          <w:rFonts w:ascii="宋体" w:hAnsi="宋体" w:cs="宋体" w:eastAsia="宋体" w:hint="default"/>
          <w:b/>
          <w:bCs/>
          <w:spacing w:val="2"/>
          <w:w w:val="99"/>
          <w:sz w:val="20"/>
          <w:szCs w:val="20"/>
        </w:rPr>
        <w:t>工程</w:t>
      </w:r>
      <w:r>
        <w:rPr>
          <w:rFonts w:ascii="宋体" w:hAnsi="宋体" w:cs="宋体" w:eastAsia="宋体" w:hint="default"/>
          <w:b/>
          <w:bCs/>
          <w:w w:val="99"/>
          <w:sz w:val="20"/>
          <w:szCs w:val="20"/>
        </w:rPr>
        <w:t>，</w:t>
      </w:r>
      <w:r>
        <w:rPr>
          <w:rFonts w:ascii="宋体" w:hAnsi="宋体" w:cs="宋体" w:eastAsia="宋体" w:hint="default"/>
          <w:b/>
          <w:bCs/>
          <w:spacing w:val="2"/>
          <w:w w:val="99"/>
          <w:sz w:val="20"/>
          <w:szCs w:val="20"/>
        </w:rPr>
        <w:t>打</w:t>
      </w:r>
      <w:r>
        <w:rPr>
          <w:rFonts w:ascii="宋体" w:hAnsi="宋体" w:cs="宋体" w:eastAsia="宋体" w:hint="default"/>
          <w:b/>
          <w:bCs/>
          <w:w w:val="99"/>
          <w:sz w:val="20"/>
          <w:szCs w:val="20"/>
        </w:rPr>
        <w:t>造</w:t>
      </w:r>
      <w:r>
        <w:rPr>
          <w:rFonts w:ascii="宋体" w:hAnsi="宋体" w:cs="宋体" w:eastAsia="宋体" w:hint="default"/>
          <w:b/>
          <w:bCs/>
          <w:spacing w:val="2"/>
          <w:w w:val="99"/>
          <w:sz w:val="20"/>
          <w:szCs w:val="20"/>
        </w:rPr>
        <w:t>“东北</w:t>
      </w:r>
      <w:r>
        <w:rPr>
          <w:rFonts w:ascii="宋体" w:hAnsi="宋体" w:cs="宋体" w:eastAsia="宋体" w:hint="default"/>
          <w:b/>
          <w:bCs/>
          <w:spacing w:val="3"/>
          <w:w w:val="98"/>
          <w:sz w:val="20"/>
          <w:szCs w:val="20"/>
        </w:rPr>
        <w:t>-</w:t>
      </w:r>
      <w:r>
        <w:rPr>
          <w:rFonts w:ascii="宋体" w:hAnsi="宋体" w:cs="宋体" w:eastAsia="宋体" w:hint="default"/>
          <w:b/>
          <w:bCs/>
          <w:w w:val="99"/>
          <w:sz w:val="20"/>
          <w:szCs w:val="20"/>
        </w:rPr>
        <w:t>福建</w:t>
      </w:r>
      <w:r>
        <w:rPr>
          <w:rFonts w:ascii="宋体" w:hAnsi="宋体" w:cs="宋体" w:eastAsia="宋体" w:hint="default"/>
          <w:b/>
          <w:bCs/>
          <w:spacing w:val="3"/>
          <w:w w:val="98"/>
          <w:sz w:val="20"/>
          <w:szCs w:val="20"/>
        </w:rPr>
        <w:t>-</w:t>
      </w:r>
      <w:r>
        <w:rPr>
          <w:rFonts w:ascii="宋体" w:hAnsi="宋体" w:cs="宋体" w:eastAsia="宋体" w:hint="default"/>
          <w:b/>
          <w:bCs/>
          <w:spacing w:val="2"/>
          <w:w w:val="99"/>
          <w:sz w:val="20"/>
          <w:szCs w:val="20"/>
        </w:rPr>
        <w:t>江</w:t>
      </w:r>
      <w:r>
        <w:rPr>
          <w:rFonts w:ascii="宋体" w:hAnsi="宋体" w:cs="宋体" w:eastAsia="宋体" w:hint="default"/>
          <w:b/>
          <w:bCs/>
          <w:w w:val="99"/>
          <w:sz w:val="20"/>
          <w:szCs w:val="20"/>
        </w:rPr>
        <w:t>西</w:t>
      </w:r>
      <w:r>
        <w:rPr>
          <w:rFonts w:ascii="宋体" w:hAnsi="宋体" w:cs="宋体" w:eastAsia="宋体" w:hint="default"/>
          <w:b/>
          <w:bCs/>
          <w:spacing w:val="2"/>
          <w:w w:val="99"/>
          <w:sz w:val="20"/>
          <w:szCs w:val="20"/>
        </w:rPr>
        <w:t>”铁</w:t>
      </w:r>
      <w:r>
        <w:rPr>
          <w:rFonts w:ascii="宋体" w:hAnsi="宋体" w:cs="宋体" w:eastAsia="宋体" w:hint="default"/>
          <w:b/>
          <w:bCs/>
          <w:w w:val="99"/>
          <w:sz w:val="20"/>
          <w:szCs w:val="20"/>
        </w:rPr>
        <w:t>海联</w:t>
      </w:r>
      <w:r>
        <w:rPr>
          <w:rFonts w:ascii="宋体" w:hAnsi="宋体" w:cs="宋体" w:eastAsia="宋体" w:hint="default"/>
          <w:b/>
          <w:bCs/>
          <w:spacing w:val="2"/>
          <w:w w:val="99"/>
          <w:sz w:val="20"/>
          <w:szCs w:val="20"/>
        </w:rPr>
        <w:t>运运输</w:t>
      </w:r>
      <w:r>
        <w:rPr>
          <w:rFonts w:ascii="宋体" w:hAnsi="宋体" w:cs="宋体" w:eastAsia="宋体" w:hint="default"/>
          <w:b/>
          <w:bCs/>
          <w:w w:val="99"/>
          <w:sz w:val="20"/>
          <w:szCs w:val="20"/>
        </w:rPr>
        <w:t>通</w:t>
      </w:r>
      <w:r>
        <w:rPr>
          <w:rFonts w:ascii="宋体" w:hAnsi="宋体" w:cs="宋体" w:eastAsia="宋体" w:hint="default"/>
          <w:b/>
          <w:bCs/>
          <w:spacing w:val="2"/>
          <w:w w:val="99"/>
          <w:sz w:val="20"/>
          <w:szCs w:val="20"/>
        </w:rPr>
        <w:t>道</w:t>
      </w:r>
      <w:r>
        <w:rPr>
          <w:rFonts w:ascii="宋体" w:hAnsi="宋体" w:cs="宋体" w:eastAsia="宋体" w:hint="default"/>
          <w:b/>
          <w:bCs/>
          <w:w w:val="99"/>
          <w:sz w:val="20"/>
          <w:szCs w:val="20"/>
        </w:rPr>
        <w:t>；</w:t>
      </w:r>
      <w:r>
        <w:rPr>
          <w:rFonts w:ascii="宋体" w:hAnsi="宋体" w:cs="宋体" w:eastAsia="宋体" w:hint="default"/>
          <w:sz w:val="20"/>
          <w:szCs w:val="20"/>
        </w:rPr>
      </w:r>
    </w:p>
    <w:p>
      <w:pPr>
        <w:spacing w:before="127"/>
        <w:ind w:left="621" w:right="0" w:firstLine="0"/>
        <w:jc w:val="left"/>
        <w:rPr>
          <w:rFonts w:ascii="宋体" w:hAnsi="宋体" w:cs="宋体" w:eastAsia="宋体" w:hint="default"/>
          <w:sz w:val="20"/>
          <w:szCs w:val="20"/>
        </w:rPr>
      </w:pPr>
      <w:r>
        <w:rPr>
          <w:rFonts w:ascii="宋体" w:hAnsi="宋体" w:cs="宋体" w:eastAsia="宋体" w:hint="default"/>
          <w:b/>
          <w:bCs/>
          <w:spacing w:val="3"/>
          <w:w w:val="98"/>
          <w:sz w:val="20"/>
          <w:szCs w:val="20"/>
        </w:rPr>
        <w:t>2</w:t>
      </w:r>
      <w:r>
        <w:rPr>
          <w:rFonts w:ascii="宋体" w:hAnsi="宋体" w:cs="宋体" w:eastAsia="宋体" w:hint="default"/>
          <w:b/>
          <w:bCs/>
          <w:w w:val="99"/>
          <w:sz w:val="20"/>
          <w:szCs w:val="20"/>
        </w:rPr>
        <w:t>、</w:t>
      </w:r>
      <w:r>
        <w:rPr>
          <w:rFonts w:ascii="宋体" w:hAnsi="宋体" w:cs="宋体" w:eastAsia="宋体" w:hint="default"/>
          <w:b/>
          <w:bCs/>
          <w:spacing w:val="2"/>
          <w:w w:val="99"/>
          <w:sz w:val="20"/>
          <w:szCs w:val="20"/>
        </w:rPr>
        <w:t>贯</w:t>
      </w:r>
      <w:r>
        <w:rPr>
          <w:rFonts w:ascii="宋体" w:hAnsi="宋体" w:cs="宋体" w:eastAsia="宋体" w:hint="default"/>
          <w:b/>
          <w:bCs/>
          <w:spacing w:val="4"/>
          <w:w w:val="99"/>
          <w:sz w:val="20"/>
          <w:szCs w:val="20"/>
        </w:rPr>
        <w:t>彻</w:t>
      </w:r>
      <w:r>
        <w:rPr>
          <w:rFonts w:ascii="宋体" w:hAnsi="宋体" w:cs="宋体" w:eastAsia="宋体" w:hint="default"/>
          <w:b/>
          <w:bCs/>
          <w:spacing w:val="2"/>
          <w:w w:val="99"/>
          <w:sz w:val="20"/>
          <w:szCs w:val="20"/>
        </w:rPr>
        <w:t>落</w:t>
      </w:r>
      <w:r>
        <w:rPr>
          <w:rFonts w:ascii="宋体" w:hAnsi="宋体" w:cs="宋体" w:eastAsia="宋体" w:hint="default"/>
          <w:b/>
          <w:bCs/>
          <w:spacing w:val="4"/>
          <w:w w:val="99"/>
          <w:sz w:val="20"/>
          <w:szCs w:val="20"/>
        </w:rPr>
        <w:t>实“</w:t>
      </w:r>
      <w:r>
        <w:rPr>
          <w:rFonts w:ascii="宋体" w:hAnsi="宋体" w:cs="宋体" w:eastAsia="宋体" w:hint="default"/>
          <w:b/>
          <w:bCs/>
          <w:spacing w:val="2"/>
          <w:w w:val="99"/>
          <w:sz w:val="20"/>
          <w:szCs w:val="20"/>
        </w:rPr>
        <w:t>一</w:t>
      </w:r>
      <w:r>
        <w:rPr>
          <w:rFonts w:ascii="宋体" w:hAnsi="宋体" w:cs="宋体" w:eastAsia="宋体" w:hint="default"/>
          <w:b/>
          <w:bCs/>
          <w:spacing w:val="4"/>
          <w:w w:val="99"/>
          <w:sz w:val="20"/>
          <w:szCs w:val="20"/>
        </w:rPr>
        <w:t>带一</w:t>
      </w:r>
      <w:r>
        <w:rPr>
          <w:rFonts w:ascii="宋体" w:hAnsi="宋体" w:cs="宋体" w:eastAsia="宋体" w:hint="default"/>
          <w:b/>
          <w:bCs/>
          <w:spacing w:val="2"/>
          <w:w w:val="99"/>
          <w:sz w:val="20"/>
          <w:szCs w:val="20"/>
        </w:rPr>
        <w:t>路</w:t>
      </w:r>
      <w:r>
        <w:rPr>
          <w:rFonts w:ascii="宋体" w:hAnsi="宋体" w:cs="宋体" w:eastAsia="宋体" w:hint="default"/>
          <w:b/>
          <w:bCs/>
          <w:spacing w:val="-96"/>
          <w:w w:val="99"/>
          <w:sz w:val="20"/>
          <w:szCs w:val="20"/>
        </w:rPr>
        <w:t>”</w:t>
      </w:r>
      <w:r>
        <w:rPr>
          <w:rFonts w:ascii="宋体" w:hAnsi="宋体" w:cs="宋体" w:eastAsia="宋体" w:hint="default"/>
          <w:b/>
          <w:bCs/>
          <w:spacing w:val="2"/>
          <w:w w:val="99"/>
          <w:sz w:val="20"/>
          <w:szCs w:val="20"/>
        </w:rPr>
        <w:t>，</w:t>
      </w:r>
      <w:r>
        <w:rPr>
          <w:rFonts w:ascii="宋体" w:hAnsi="宋体" w:cs="宋体" w:eastAsia="宋体" w:hint="default"/>
          <w:b/>
          <w:bCs/>
          <w:spacing w:val="4"/>
          <w:w w:val="99"/>
          <w:sz w:val="20"/>
          <w:szCs w:val="20"/>
        </w:rPr>
        <w:t>打造中</w:t>
      </w:r>
      <w:r>
        <w:rPr>
          <w:rFonts w:ascii="宋体" w:hAnsi="宋体" w:cs="宋体" w:eastAsia="宋体" w:hint="default"/>
          <w:b/>
          <w:bCs/>
          <w:spacing w:val="2"/>
          <w:w w:val="99"/>
          <w:sz w:val="20"/>
          <w:szCs w:val="20"/>
        </w:rPr>
        <w:t>俄</w:t>
      </w:r>
      <w:r>
        <w:rPr>
          <w:rFonts w:ascii="宋体" w:hAnsi="宋体" w:cs="宋体" w:eastAsia="宋体" w:hint="default"/>
          <w:b/>
          <w:bCs/>
          <w:spacing w:val="4"/>
          <w:w w:val="99"/>
          <w:sz w:val="20"/>
          <w:szCs w:val="20"/>
        </w:rPr>
        <w:t>集装</w:t>
      </w:r>
      <w:r>
        <w:rPr>
          <w:rFonts w:ascii="宋体" w:hAnsi="宋体" w:cs="宋体" w:eastAsia="宋体" w:hint="default"/>
          <w:b/>
          <w:bCs/>
          <w:spacing w:val="2"/>
          <w:w w:val="99"/>
          <w:sz w:val="20"/>
          <w:szCs w:val="20"/>
        </w:rPr>
        <w:t>箱</w:t>
      </w:r>
      <w:r>
        <w:rPr>
          <w:rFonts w:ascii="宋体" w:hAnsi="宋体" w:cs="宋体" w:eastAsia="宋体" w:hint="default"/>
          <w:b/>
          <w:bCs/>
          <w:spacing w:val="4"/>
          <w:w w:val="99"/>
          <w:sz w:val="20"/>
          <w:szCs w:val="20"/>
        </w:rPr>
        <w:t>铁海</w:t>
      </w:r>
      <w:r>
        <w:rPr>
          <w:rFonts w:ascii="宋体" w:hAnsi="宋体" w:cs="宋体" w:eastAsia="宋体" w:hint="default"/>
          <w:b/>
          <w:bCs/>
          <w:spacing w:val="2"/>
          <w:w w:val="99"/>
          <w:sz w:val="20"/>
          <w:szCs w:val="20"/>
        </w:rPr>
        <w:t>联</w:t>
      </w:r>
      <w:r>
        <w:rPr>
          <w:rFonts w:ascii="宋体" w:hAnsi="宋体" w:cs="宋体" w:eastAsia="宋体" w:hint="default"/>
          <w:b/>
          <w:bCs/>
          <w:spacing w:val="4"/>
          <w:w w:val="99"/>
          <w:sz w:val="20"/>
          <w:szCs w:val="20"/>
        </w:rPr>
        <w:t>运</w:t>
      </w:r>
      <w:r>
        <w:rPr>
          <w:rFonts w:ascii="宋体" w:hAnsi="宋体" w:cs="宋体" w:eastAsia="宋体" w:hint="default"/>
          <w:b/>
          <w:bCs/>
          <w:spacing w:val="2"/>
          <w:w w:val="99"/>
          <w:sz w:val="20"/>
          <w:szCs w:val="20"/>
        </w:rPr>
        <w:t>新</w:t>
      </w:r>
      <w:r>
        <w:rPr>
          <w:rFonts w:ascii="宋体" w:hAnsi="宋体" w:cs="宋体" w:eastAsia="宋体" w:hint="default"/>
          <w:b/>
          <w:bCs/>
          <w:spacing w:val="4"/>
          <w:w w:val="99"/>
          <w:sz w:val="20"/>
          <w:szCs w:val="20"/>
        </w:rPr>
        <w:t>通道，</w:t>
      </w:r>
      <w:r>
        <w:rPr>
          <w:rFonts w:ascii="宋体" w:hAnsi="宋体" w:cs="宋体" w:eastAsia="宋体" w:hint="default"/>
          <w:b/>
          <w:bCs/>
          <w:spacing w:val="2"/>
          <w:w w:val="99"/>
          <w:sz w:val="20"/>
          <w:szCs w:val="20"/>
        </w:rPr>
        <w:t>开</w:t>
      </w:r>
      <w:r>
        <w:rPr>
          <w:rFonts w:ascii="宋体" w:hAnsi="宋体" w:cs="宋体" w:eastAsia="宋体" w:hint="default"/>
          <w:b/>
          <w:bCs/>
          <w:spacing w:val="4"/>
          <w:w w:val="99"/>
          <w:sz w:val="20"/>
          <w:szCs w:val="20"/>
        </w:rPr>
        <w:t>通</w:t>
      </w:r>
      <w:r>
        <w:rPr>
          <w:rFonts w:ascii="宋体" w:hAnsi="宋体" w:cs="宋体" w:eastAsia="宋体" w:hint="default"/>
          <w:b/>
          <w:bCs/>
          <w:spacing w:val="11"/>
          <w:w w:val="99"/>
          <w:sz w:val="20"/>
          <w:szCs w:val="20"/>
        </w:rPr>
        <w:t>了</w:t>
      </w:r>
      <w:r>
        <w:rPr>
          <w:rFonts w:ascii="宋体" w:hAnsi="宋体" w:cs="宋体" w:eastAsia="宋体" w:hint="default"/>
          <w:b/>
          <w:bCs/>
          <w:spacing w:val="2"/>
          <w:w w:val="99"/>
          <w:sz w:val="20"/>
          <w:szCs w:val="20"/>
        </w:rPr>
        <w:t>俄</w:t>
      </w:r>
      <w:r>
        <w:rPr>
          <w:rFonts w:ascii="宋体" w:hAnsi="宋体" w:cs="宋体" w:eastAsia="宋体" w:hint="default"/>
          <w:b/>
          <w:bCs/>
          <w:spacing w:val="4"/>
          <w:w w:val="99"/>
          <w:sz w:val="20"/>
          <w:szCs w:val="20"/>
        </w:rPr>
        <w:t>罗斯</w:t>
      </w:r>
      <w:r>
        <w:rPr>
          <w:rFonts w:ascii="宋体" w:hAnsi="宋体" w:cs="宋体" w:eastAsia="宋体" w:hint="default"/>
          <w:b/>
          <w:bCs/>
          <w:spacing w:val="2"/>
          <w:w w:val="99"/>
          <w:sz w:val="20"/>
          <w:szCs w:val="20"/>
        </w:rPr>
        <w:t>经</w:t>
      </w:r>
      <w:r>
        <w:rPr>
          <w:rFonts w:ascii="宋体" w:hAnsi="宋体" w:cs="宋体" w:eastAsia="宋体" w:hint="default"/>
          <w:b/>
          <w:bCs/>
          <w:spacing w:val="4"/>
          <w:w w:val="99"/>
          <w:sz w:val="20"/>
          <w:szCs w:val="20"/>
        </w:rPr>
        <w:t>满</w:t>
      </w:r>
      <w:r>
        <w:rPr>
          <w:rFonts w:ascii="宋体" w:hAnsi="宋体" w:cs="宋体" w:eastAsia="宋体" w:hint="default"/>
          <w:b/>
          <w:bCs/>
          <w:spacing w:val="2"/>
          <w:w w:val="99"/>
          <w:sz w:val="20"/>
          <w:szCs w:val="20"/>
        </w:rPr>
        <w:t>洲</w:t>
      </w:r>
      <w:r>
        <w:rPr>
          <w:rFonts w:ascii="宋体" w:hAnsi="宋体" w:cs="宋体" w:eastAsia="宋体" w:hint="default"/>
          <w:b/>
          <w:bCs/>
          <w:spacing w:val="4"/>
          <w:w w:val="99"/>
          <w:sz w:val="20"/>
          <w:szCs w:val="20"/>
        </w:rPr>
        <w:t>里至锦</w:t>
      </w:r>
      <w:r>
        <w:rPr>
          <w:rFonts w:ascii="宋体" w:hAnsi="宋体" w:cs="宋体" w:eastAsia="宋体" w:hint="default"/>
          <w:b/>
          <w:bCs/>
          <w:spacing w:val="2"/>
          <w:w w:val="99"/>
          <w:sz w:val="20"/>
          <w:szCs w:val="20"/>
        </w:rPr>
        <w:t>州</w:t>
      </w:r>
      <w:r>
        <w:rPr>
          <w:rFonts w:ascii="宋体" w:hAnsi="宋体" w:cs="宋体" w:eastAsia="宋体" w:hint="default"/>
          <w:b/>
          <w:bCs/>
          <w:spacing w:val="4"/>
          <w:w w:val="99"/>
          <w:sz w:val="20"/>
          <w:szCs w:val="20"/>
        </w:rPr>
        <w:t>港</w:t>
      </w:r>
      <w:r>
        <w:rPr>
          <w:rFonts w:ascii="宋体" w:hAnsi="宋体" w:cs="宋体" w:eastAsia="宋体" w:hint="default"/>
          <w:b/>
          <w:bCs/>
          <w:w w:val="99"/>
          <w:sz w:val="20"/>
          <w:szCs w:val="20"/>
        </w:rPr>
        <w:t>；</w:t>
      </w:r>
      <w:r>
        <w:rPr>
          <w:rFonts w:ascii="宋体" w:hAnsi="宋体" w:cs="宋体" w:eastAsia="宋体" w:hint="default"/>
          <w:sz w:val="20"/>
          <w:szCs w:val="20"/>
        </w:rPr>
      </w:r>
    </w:p>
    <w:p>
      <w:pPr>
        <w:spacing w:before="127"/>
        <w:ind w:left="621" w:right="227" w:firstLine="0"/>
        <w:jc w:val="left"/>
        <w:rPr>
          <w:rFonts w:ascii="宋体" w:hAnsi="宋体" w:cs="宋体" w:eastAsia="宋体" w:hint="default"/>
          <w:sz w:val="20"/>
          <w:szCs w:val="20"/>
        </w:rPr>
      </w:pPr>
      <w:r>
        <w:rPr>
          <w:rFonts w:ascii="宋体" w:hAnsi="宋体" w:cs="宋体" w:eastAsia="宋体" w:hint="default"/>
          <w:b/>
          <w:bCs/>
          <w:spacing w:val="3"/>
          <w:w w:val="98"/>
          <w:sz w:val="20"/>
          <w:szCs w:val="20"/>
        </w:rPr>
        <w:t>3</w:t>
      </w:r>
      <w:r>
        <w:rPr>
          <w:rFonts w:ascii="宋体" w:hAnsi="宋体" w:cs="宋体" w:eastAsia="宋体" w:hint="default"/>
          <w:b/>
          <w:bCs/>
          <w:spacing w:val="-101"/>
          <w:w w:val="99"/>
          <w:sz w:val="20"/>
          <w:szCs w:val="20"/>
        </w:rPr>
        <w:t>、</w:t>
      </w:r>
      <w:r>
        <w:rPr>
          <w:rFonts w:ascii="宋体" w:hAnsi="宋体" w:cs="宋体" w:eastAsia="宋体" w:hint="default"/>
          <w:b/>
          <w:bCs/>
          <w:spacing w:val="2"/>
          <w:w w:val="99"/>
          <w:sz w:val="20"/>
          <w:szCs w:val="20"/>
        </w:rPr>
        <w:t>“西</w:t>
      </w:r>
      <w:r>
        <w:rPr>
          <w:rFonts w:ascii="宋体" w:hAnsi="宋体" w:cs="宋体" w:eastAsia="宋体" w:hint="default"/>
          <w:b/>
          <w:bCs/>
          <w:w w:val="99"/>
          <w:sz w:val="20"/>
          <w:szCs w:val="20"/>
        </w:rPr>
        <w:t>部</w:t>
      </w:r>
      <w:r>
        <w:rPr>
          <w:rFonts w:ascii="宋体" w:hAnsi="宋体" w:cs="宋体" w:eastAsia="宋体" w:hint="default"/>
          <w:b/>
          <w:bCs/>
          <w:spacing w:val="2"/>
          <w:w w:val="99"/>
          <w:sz w:val="20"/>
          <w:szCs w:val="20"/>
        </w:rPr>
        <w:t>大开发</w:t>
      </w:r>
      <w:r>
        <w:rPr>
          <w:rFonts w:ascii="宋体" w:hAnsi="宋体" w:cs="宋体" w:eastAsia="宋体" w:hint="default"/>
          <w:b/>
          <w:bCs/>
          <w:spacing w:val="-101"/>
          <w:w w:val="99"/>
          <w:sz w:val="20"/>
          <w:szCs w:val="20"/>
        </w:rPr>
        <w:t>”</w:t>
      </w:r>
      <w:r>
        <w:rPr>
          <w:rFonts w:ascii="宋体" w:hAnsi="宋体" w:cs="宋体" w:eastAsia="宋体" w:hint="default"/>
          <w:b/>
          <w:bCs/>
          <w:spacing w:val="2"/>
          <w:w w:val="99"/>
          <w:sz w:val="20"/>
          <w:szCs w:val="20"/>
        </w:rPr>
        <w:t>，开</w:t>
      </w:r>
      <w:r>
        <w:rPr>
          <w:rFonts w:ascii="宋体" w:hAnsi="宋体" w:cs="宋体" w:eastAsia="宋体" w:hint="default"/>
          <w:b/>
          <w:bCs/>
          <w:w w:val="99"/>
          <w:sz w:val="20"/>
          <w:szCs w:val="20"/>
        </w:rPr>
        <w:t>通了</w:t>
      </w:r>
      <w:r>
        <w:rPr>
          <w:rFonts w:ascii="宋体" w:hAnsi="宋体" w:cs="宋体" w:eastAsia="宋体" w:hint="default"/>
          <w:b/>
          <w:bCs/>
          <w:spacing w:val="2"/>
          <w:w w:val="99"/>
          <w:sz w:val="20"/>
          <w:szCs w:val="20"/>
        </w:rPr>
        <w:t>乌鲁木齐</w:t>
      </w:r>
      <w:r>
        <w:rPr>
          <w:rFonts w:ascii="宋体" w:hAnsi="宋体" w:cs="宋体" w:eastAsia="宋体" w:hint="default"/>
          <w:b/>
          <w:bCs/>
          <w:spacing w:val="1"/>
          <w:w w:val="98"/>
          <w:sz w:val="20"/>
          <w:szCs w:val="20"/>
        </w:rPr>
        <w:t>-</w:t>
      </w:r>
      <w:r>
        <w:rPr>
          <w:rFonts w:ascii="宋体" w:hAnsi="宋体" w:cs="宋体" w:eastAsia="宋体" w:hint="default"/>
          <w:b/>
          <w:bCs/>
          <w:spacing w:val="2"/>
          <w:w w:val="99"/>
          <w:sz w:val="20"/>
          <w:szCs w:val="20"/>
        </w:rPr>
        <w:t>京</w:t>
      </w:r>
      <w:r>
        <w:rPr>
          <w:rFonts w:ascii="宋体" w:hAnsi="宋体" w:cs="宋体" w:eastAsia="宋体" w:hint="default"/>
          <w:b/>
          <w:bCs/>
          <w:w w:val="99"/>
          <w:sz w:val="20"/>
          <w:szCs w:val="20"/>
        </w:rPr>
        <w:t>唐</w:t>
      </w:r>
      <w:r>
        <w:rPr>
          <w:rFonts w:ascii="宋体" w:hAnsi="宋体" w:cs="宋体" w:eastAsia="宋体" w:hint="default"/>
          <w:b/>
          <w:bCs/>
          <w:spacing w:val="3"/>
          <w:w w:val="98"/>
          <w:sz w:val="20"/>
          <w:szCs w:val="20"/>
        </w:rPr>
        <w:t>-</w:t>
      </w:r>
      <w:r>
        <w:rPr>
          <w:rFonts w:ascii="宋体" w:hAnsi="宋体" w:cs="宋体" w:eastAsia="宋体" w:hint="default"/>
          <w:b/>
          <w:bCs/>
          <w:w w:val="99"/>
          <w:sz w:val="20"/>
          <w:szCs w:val="20"/>
        </w:rPr>
        <w:t>钦</w:t>
      </w:r>
      <w:r>
        <w:rPr>
          <w:rFonts w:ascii="宋体" w:hAnsi="宋体" w:cs="宋体" w:eastAsia="宋体" w:hint="default"/>
          <w:b/>
          <w:bCs/>
          <w:spacing w:val="2"/>
          <w:w w:val="99"/>
          <w:sz w:val="20"/>
          <w:szCs w:val="20"/>
        </w:rPr>
        <w:t>州海</w:t>
      </w:r>
      <w:r>
        <w:rPr>
          <w:rFonts w:ascii="宋体" w:hAnsi="宋体" w:cs="宋体" w:eastAsia="宋体" w:hint="default"/>
          <w:b/>
          <w:bCs/>
          <w:w w:val="99"/>
          <w:sz w:val="20"/>
          <w:szCs w:val="20"/>
        </w:rPr>
        <w:t>铁联</w:t>
      </w:r>
      <w:r>
        <w:rPr>
          <w:rFonts w:ascii="宋体" w:hAnsi="宋体" w:cs="宋体" w:eastAsia="宋体" w:hint="default"/>
          <w:b/>
          <w:bCs/>
          <w:spacing w:val="2"/>
          <w:w w:val="99"/>
          <w:sz w:val="20"/>
          <w:szCs w:val="20"/>
        </w:rPr>
        <w:t>运往返</w:t>
      </w:r>
      <w:r>
        <w:rPr>
          <w:rFonts w:ascii="宋体" w:hAnsi="宋体" w:cs="宋体" w:eastAsia="宋体" w:hint="default"/>
          <w:b/>
          <w:bCs/>
          <w:w w:val="99"/>
          <w:sz w:val="20"/>
          <w:szCs w:val="20"/>
        </w:rPr>
        <w:t>运</w:t>
      </w:r>
      <w:r>
        <w:rPr>
          <w:rFonts w:ascii="宋体" w:hAnsi="宋体" w:cs="宋体" w:eastAsia="宋体" w:hint="default"/>
          <w:b/>
          <w:bCs/>
          <w:spacing w:val="2"/>
          <w:w w:val="99"/>
          <w:sz w:val="20"/>
          <w:szCs w:val="20"/>
        </w:rPr>
        <w:t>输双</w:t>
      </w:r>
      <w:r>
        <w:rPr>
          <w:rFonts w:ascii="宋体" w:hAnsi="宋体" w:cs="宋体" w:eastAsia="宋体" w:hint="default"/>
          <w:b/>
          <w:bCs/>
          <w:w w:val="99"/>
          <w:sz w:val="20"/>
          <w:szCs w:val="20"/>
        </w:rPr>
        <w:t>通道</w:t>
      </w:r>
      <w:r>
        <w:rPr>
          <w:rFonts w:ascii="宋体" w:hAnsi="宋体" w:cs="宋体" w:eastAsia="宋体" w:hint="default"/>
          <w:b/>
          <w:bCs/>
          <w:spacing w:val="4"/>
          <w:sz w:val="20"/>
          <w:szCs w:val="20"/>
        </w:rPr>
        <w:t> </w:t>
      </w:r>
      <w:r>
        <w:rPr>
          <w:rFonts w:ascii="宋体" w:hAnsi="宋体" w:cs="宋体" w:eastAsia="宋体" w:hint="default"/>
          <w:b/>
          <w:bCs/>
          <w:w w:val="99"/>
          <w:sz w:val="20"/>
          <w:szCs w:val="20"/>
        </w:rPr>
        <w:t>；</w:t>
      </w:r>
      <w:r>
        <w:rPr>
          <w:rFonts w:ascii="宋体" w:hAnsi="宋体" w:cs="宋体" w:eastAsia="宋体" w:hint="default"/>
          <w:sz w:val="20"/>
          <w:szCs w:val="20"/>
        </w:rPr>
      </w:r>
    </w:p>
    <w:p>
      <w:pPr>
        <w:spacing w:before="127"/>
        <w:ind w:left="621" w:right="227" w:firstLine="0"/>
        <w:jc w:val="left"/>
        <w:rPr>
          <w:rFonts w:ascii="宋体" w:hAnsi="宋体" w:cs="宋体" w:eastAsia="宋体" w:hint="default"/>
          <w:sz w:val="20"/>
          <w:szCs w:val="20"/>
        </w:rPr>
      </w:pPr>
      <w:r>
        <w:rPr>
          <w:rFonts w:ascii="宋体" w:hAnsi="宋体" w:cs="宋体" w:eastAsia="宋体" w:hint="default"/>
          <w:b/>
          <w:bCs/>
          <w:sz w:val="20"/>
          <w:szCs w:val="20"/>
        </w:rPr>
        <w:t>4</w:t>
      </w:r>
      <w:r>
        <w:rPr>
          <w:rFonts w:ascii="宋体" w:hAnsi="宋体" w:cs="宋体" w:eastAsia="宋体" w:hint="default"/>
          <w:b/>
          <w:bCs/>
          <w:sz w:val="20"/>
          <w:szCs w:val="20"/>
        </w:rPr>
        <w:t>、创新“全程物流</w:t>
      </w:r>
      <w:r>
        <w:rPr>
          <w:rFonts w:ascii="宋体" w:hAnsi="宋体" w:cs="宋体" w:eastAsia="宋体" w:hint="default"/>
          <w:b/>
          <w:bCs/>
          <w:sz w:val="20"/>
          <w:szCs w:val="20"/>
        </w:rPr>
        <w:t>+</w:t>
      </w:r>
      <w:r>
        <w:rPr>
          <w:rFonts w:ascii="宋体" w:hAnsi="宋体" w:cs="宋体" w:eastAsia="宋体" w:hint="default"/>
          <w:b/>
          <w:bCs/>
          <w:sz w:val="20"/>
          <w:szCs w:val="20"/>
        </w:rPr>
        <w:t>金融服务”物流新模式，开通了“齐齐哈尔</w:t>
      </w:r>
      <w:r>
        <w:rPr>
          <w:rFonts w:ascii="宋体" w:hAnsi="宋体" w:cs="宋体" w:eastAsia="宋体" w:hint="default"/>
          <w:b/>
          <w:bCs/>
          <w:sz w:val="20"/>
          <w:szCs w:val="20"/>
        </w:rPr>
        <w:t>-</w:t>
      </w:r>
      <w:r>
        <w:rPr>
          <w:rFonts w:ascii="宋体" w:hAnsi="宋体" w:cs="宋体" w:eastAsia="宋体" w:hint="default"/>
          <w:b/>
          <w:bCs/>
          <w:sz w:val="20"/>
          <w:szCs w:val="20"/>
        </w:rPr>
        <w:t>河南南阳”运输专列；</w:t>
      </w:r>
      <w:r>
        <w:rPr>
          <w:rFonts w:ascii="宋体" w:hAnsi="宋体" w:cs="宋体" w:eastAsia="宋体" w:hint="default"/>
          <w:sz w:val="20"/>
          <w:szCs w:val="20"/>
        </w:rPr>
      </w:r>
    </w:p>
    <w:p>
      <w:pPr>
        <w:spacing w:before="127"/>
        <w:ind w:left="621" w:right="2497" w:firstLine="0"/>
        <w:jc w:val="left"/>
        <w:rPr>
          <w:rFonts w:ascii="宋体" w:hAnsi="宋体" w:cs="宋体" w:eastAsia="宋体" w:hint="default"/>
          <w:sz w:val="20"/>
          <w:szCs w:val="20"/>
        </w:rPr>
      </w:pPr>
      <w:r>
        <w:rPr>
          <w:rFonts w:ascii="宋体" w:hAnsi="宋体" w:cs="宋体" w:eastAsia="宋体" w:hint="default"/>
          <w:b/>
          <w:bCs/>
          <w:spacing w:val="3"/>
          <w:w w:val="98"/>
          <w:sz w:val="20"/>
          <w:szCs w:val="20"/>
        </w:rPr>
        <w:t>5</w:t>
      </w:r>
      <w:r>
        <w:rPr>
          <w:rFonts w:ascii="宋体" w:hAnsi="宋体" w:cs="宋体" w:eastAsia="宋体" w:hint="default"/>
          <w:b/>
          <w:bCs/>
          <w:w w:val="99"/>
          <w:sz w:val="20"/>
          <w:szCs w:val="20"/>
        </w:rPr>
        <w:t>、</w:t>
      </w:r>
      <w:r>
        <w:rPr>
          <w:rFonts w:ascii="宋体" w:hAnsi="宋体" w:cs="宋体" w:eastAsia="宋体" w:hint="default"/>
          <w:b/>
          <w:bCs/>
          <w:spacing w:val="2"/>
          <w:w w:val="99"/>
          <w:sz w:val="20"/>
          <w:szCs w:val="20"/>
        </w:rPr>
        <w:t>对接</w:t>
      </w:r>
      <w:r>
        <w:rPr>
          <w:rFonts w:ascii="宋体" w:hAnsi="宋体" w:cs="宋体" w:eastAsia="宋体" w:hint="default"/>
          <w:b/>
          <w:bCs/>
          <w:w w:val="99"/>
          <w:sz w:val="20"/>
          <w:szCs w:val="20"/>
        </w:rPr>
        <w:t>“</w:t>
      </w:r>
      <w:r>
        <w:rPr>
          <w:rFonts w:ascii="宋体" w:hAnsi="宋体" w:cs="宋体" w:eastAsia="宋体" w:hint="default"/>
          <w:b/>
          <w:bCs/>
          <w:spacing w:val="2"/>
          <w:w w:val="99"/>
          <w:sz w:val="20"/>
          <w:szCs w:val="20"/>
        </w:rPr>
        <w:t>陆上</w:t>
      </w:r>
      <w:r>
        <w:rPr>
          <w:rFonts w:ascii="宋体" w:hAnsi="宋体" w:cs="宋体" w:eastAsia="宋体" w:hint="default"/>
          <w:b/>
          <w:bCs/>
          <w:w w:val="99"/>
          <w:sz w:val="20"/>
          <w:szCs w:val="20"/>
        </w:rPr>
        <w:t>丝</w:t>
      </w:r>
      <w:r>
        <w:rPr>
          <w:rFonts w:ascii="宋体" w:hAnsi="宋体" w:cs="宋体" w:eastAsia="宋体" w:hint="default"/>
          <w:b/>
          <w:bCs/>
          <w:spacing w:val="2"/>
          <w:w w:val="99"/>
          <w:sz w:val="20"/>
          <w:szCs w:val="20"/>
        </w:rPr>
        <w:t>绸之</w:t>
      </w:r>
      <w:r>
        <w:rPr>
          <w:rFonts w:ascii="宋体" w:hAnsi="宋体" w:cs="宋体" w:eastAsia="宋体" w:hint="default"/>
          <w:b/>
          <w:bCs/>
          <w:w w:val="99"/>
          <w:sz w:val="20"/>
          <w:szCs w:val="20"/>
        </w:rPr>
        <w:t>路</w:t>
      </w:r>
      <w:r>
        <w:rPr>
          <w:rFonts w:ascii="宋体" w:hAnsi="宋体" w:cs="宋体" w:eastAsia="宋体" w:hint="default"/>
          <w:b/>
          <w:bCs/>
          <w:spacing w:val="-99"/>
          <w:w w:val="99"/>
          <w:sz w:val="20"/>
          <w:szCs w:val="20"/>
        </w:rPr>
        <w:t>”</w:t>
      </w:r>
      <w:r>
        <w:rPr>
          <w:rFonts w:ascii="宋体" w:hAnsi="宋体" w:cs="宋体" w:eastAsia="宋体" w:hint="default"/>
          <w:b/>
          <w:bCs/>
          <w:w w:val="99"/>
          <w:sz w:val="20"/>
          <w:szCs w:val="20"/>
        </w:rPr>
        <w:t>，</w:t>
      </w:r>
      <w:r>
        <w:rPr>
          <w:rFonts w:ascii="宋体" w:hAnsi="宋体" w:cs="宋体" w:eastAsia="宋体" w:hint="default"/>
          <w:b/>
          <w:bCs/>
          <w:spacing w:val="2"/>
          <w:w w:val="99"/>
          <w:sz w:val="20"/>
          <w:szCs w:val="20"/>
        </w:rPr>
        <w:t>开通“</w:t>
      </w:r>
      <w:r>
        <w:rPr>
          <w:rFonts w:ascii="宋体" w:hAnsi="宋体" w:cs="宋体" w:eastAsia="宋体" w:hint="default"/>
          <w:b/>
          <w:bCs/>
          <w:w w:val="99"/>
          <w:sz w:val="20"/>
          <w:szCs w:val="20"/>
        </w:rPr>
        <w:t>青</w:t>
      </w:r>
      <w:r>
        <w:rPr>
          <w:rFonts w:ascii="宋体" w:hAnsi="宋体" w:cs="宋体" w:eastAsia="宋体" w:hint="default"/>
          <w:b/>
          <w:bCs/>
          <w:spacing w:val="2"/>
          <w:w w:val="99"/>
          <w:sz w:val="20"/>
          <w:szCs w:val="20"/>
        </w:rPr>
        <w:t>岛</w:t>
      </w:r>
      <w:r>
        <w:rPr>
          <w:rFonts w:ascii="宋体" w:hAnsi="宋体" w:cs="宋体" w:eastAsia="宋体" w:hint="default"/>
          <w:b/>
          <w:bCs/>
          <w:spacing w:val="3"/>
          <w:w w:val="98"/>
          <w:sz w:val="20"/>
          <w:szCs w:val="20"/>
        </w:rPr>
        <w:t>-</w:t>
      </w:r>
      <w:r>
        <w:rPr>
          <w:rFonts w:ascii="宋体" w:hAnsi="宋体" w:cs="宋体" w:eastAsia="宋体" w:hint="default"/>
          <w:b/>
          <w:bCs/>
          <w:spacing w:val="2"/>
          <w:w w:val="99"/>
          <w:sz w:val="20"/>
          <w:szCs w:val="20"/>
        </w:rPr>
        <w:t>宁</w:t>
      </w:r>
      <w:r>
        <w:rPr>
          <w:rFonts w:ascii="宋体" w:hAnsi="宋体" w:cs="宋体" w:eastAsia="宋体" w:hint="default"/>
          <w:b/>
          <w:bCs/>
          <w:w w:val="99"/>
          <w:sz w:val="20"/>
          <w:szCs w:val="20"/>
        </w:rPr>
        <w:t>夏</w:t>
      </w:r>
      <w:r>
        <w:rPr>
          <w:rFonts w:ascii="宋体" w:hAnsi="宋体" w:cs="宋体" w:eastAsia="宋体" w:hint="default"/>
          <w:b/>
          <w:bCs/>
          <w:spacing w:val="2"/>
          <w:w w:val="99"/>
          <w:sz w:val="20"/>
          <w:szCs w:val="20"/>
        </w:rPr>
        <w:t>”铁</w:t>
      </w:r>
      <w:r>
        <w:rPr>
          <w:rFonts w:ascii="宋体" w:hAnsi="宋体" w:cs="宋体" w:eastAsia="宋体" w:hint="default"/>
          <w:b/>
          <w:bCs/>
          <w:w w:val="99"/>
          <w:sz w:val="20"/>
          <w:szCs w:val="20"/>
        </w:rPr>
        <w:t>路运</w:t>
      </w:r>
      <w:r>
        <w:rPr>
          <w:rFonts w:ascii="宋体" w:hAnsi="宋体" w:cs="宋体" w:eastAsia="宋体" w:hint="default"/>
          <w:b/>
          <w:bCs/>
          <w:spacing w:val="2"/>
          <w:w w:val="99"/>
          <w:sz w:val="20"/>
          <w:szCs w:val="20"/>
        </w:rPr>
        <w:t>输业务</w:t>
      </w:r>
      <w:r>
        <w:rPr>
          <w:rFonts w:ascii="宋体" w:hAnsi="宋体" w:cs="宋体" w:eastAsia="宋体" w:hint="default"/>
          <w:b/>
          <w:bCs/>
          <w:w w:val="99"/>
          <w:sz w:val="20"/>
          <w:szCs w:val="20"/>
        </w:rPr>
        <w:t>。</w:t>
      </w:r>
      <w:r>
        <w:rPr>
          <w:rFonts w:ascii="宋体" w:hAnsi="宋体" w:cs="宋体" w:eastAsia="宋体" w:hint="default"/>
          <w:sz w:val="20"/>
          <w:szCs w:val="20"/>
        </w:rPr>
      </w:r>
    </w:p>
    <w:p>
      <w:pPr>
        <w:spacing w:before="129"/>
        <w:ind w:left="621" w:right="2497" w:firstLine="0"/>
        <w:jc w:val="left"/>
        <w:rPr>
          <w:rFonts w:ascii="宋体" w:hAnsi="宋体" w:cs="宋体" w:eastAsia="宋体" w:hint="default"/>
          <w:sz w:val="20"/>
          <w:szCs w:val="20"/>
        </w:rPr>
      </w:pPr>
      <w:r>
        <w:rPr>
          <w:rFonts w:ascii="宋体" w:hAnsi="宋体" w:cs="宋体" w:eastAsia="宋体" w:hint="default"/>
          <w:b/>
          <w:bCs/>
          <w:sz w:val="20"/>
          <w:szCs w:val="20"/>
        </w:rPr>
        <w:t>（三）公路板块</w:t>
      </w:r>
      <w:r>
        <w:rPr>
          <w:rFonts w:ascii="宋体" w:hAnsi="宋体" w:cs="宋体" w:eastAsia="宋体" w:hint="default"/>
          <w:sz w:val="20"/>
          <w:szCs w:val="20"/>
        </w:rPr>
      </w:r>
    </w:p>
    <w:p>
      <w:pPr>
        <w:spacing w:before="127"/>
        <w:ind w:left="618" w:right="227" w:firstLine="0"/>
        <w:jc w:val="left"/>
        <w:rPr>
          <w:rFonts w:ascii="宋体" w:hAnsi="宋体" w:cs="宋体" w:eastAsia="宋体" w:hint="default"/>
          <w:sz w:val="20"/>
          <w:szCs w:val="20"/>
        </w:rPr>
      </w:pPr>
      <w:r>
        <w:rPr>
          <w:rFonts w:ascii="宋体" w:hAnsi="宋体" w:cs="宋体" w:eastAsia="宋体" w:hint="default"/>
          <w:sz w:val="20"/>
          <w:szCs w:val="20"/>
        </w:rPr>
        <w:t>公司与全国超</w:t>
      </w:r>
      <w:r>
        <w:rPr>
          <w:rFonts w:ascii="宋体" w:hAnsi="宋体" w:cs="宋体" w:eastAsia="宋体" w:hint="default"/>
          <w:spacing w:val="-53"/>
          <w:sz w:val="20"/>
          <w:szCs w:val="20"/>
        </w:rPr>
        <w:t> </w:t>
      </w:r>
      <w:r>
        <w:rPr>
          <w:rFonts w:ascii="宋体" w:hAnsi="宋体" w:cs="宋体" w:eastAsia="宋体" w:hint="default"/>
          <w:sz w:val="20"/>
          <w:szCs w:val="20"/>
        </w:rPr>
        <w:t>1,500</w:t>
      </w:r>
      <w:r>
        <w:rPr>
          <w:rFonts w:ascii="宋体" w:hAnsi="宋体" w:cs="宋体" w:eastAsia="宋体" w:hint="default"/>
          <w:spacing w:val="-51"/>
          <w:sz w:val="20"/>
          <w:szCs w:val="20"/>
        </w:rPr>
        <w:t> </w:t>
      </w:r>
      <w:r>
        <w:rPr>
          <w:rFonts w:ascii="宋体" w:hAnsi="宋体" w:cs="宋体" w:eastAsia="宋体" w:hint="default"/>
          <w:sz w:val="20"/>
          <w:szCs w:val="20"/>
        </w:rPr>
        <w:t>家车队协同合作，拥有可调配货运拖车资源超</w:t>
      </w:r>
      <w:r>
        <w:rPr>
          <w:rFonts w:ascii="宋体" w:hAnsi="宋体" w:cs="宋体" w:eastAsia="宋体" w:hint="default"/>
          <w:spacing w:val="-52"/>
          <w:sz w:val="20"/>
          <w:szCs w:val="20"/>
        </w:rPr>
        <w:t> </w:t>
      </w:r>
      <w:r>
        <w:rPr>
          <w:rFonts w:ascii="宋体" w:hAnsi="宋体" w:cs="宋体" w:eastAsia="宋体" w:hint="default"/>
          <w:sz w:val="20"/>
          <w:szCs w:val="20"/>
        </w:rPr>
        <w:t>25,000</w:t>
      </w:r>
      <w:r>
        <w:rPr>
          <w:rFonts w:ascii="宋体" w:hAnsi="宋体" w:cs="宋体" w:eastAsia="宋体" w:hint="default"/>
          <w:spacing w:val="-52"/>
          <w:sz w:val="20"/>
          <w:szCs w:val="20"/>
        </w:rPr>
        <w:t> </w:t>
      </w:r>
      <w:r>
        <w:rPr>
          <w:rFonts w:ascii="宋体" w:hAnsi="宋体" w:cs="宋体" w:eastAsia="宋体" w:hint="default"/>
          <w:sz w:val="20"/>
          <w:szCs w:val="20"/>
        </w:rPr>
        <w:t>余辆。</w:t>
      </w:r>
    </w:p>
    <w:p>
      <w:pPr>
        <w:spacing w:before="127"/>
        <w:ind w:left="621" w:right="2497" w:firstLine="0"/>
        <w:jc w:val="left"/>
        <w:rPr>
          <w:rFonts w:ascii="宋体" w:hAnsi="宋体" w:cs="宋体" w:eastAsia="宋体" w:hint="default"/>
          <w:sz w:val="20"/>
          <w:szCs w:val="20"/>
        </w:rPr>
      </w:pPr>
      <w:r>
        <w:rPr>
          <w:rFonts w:ascii="宋体" w:hAnsi="宋体" w:cs="宋体" w:eastAsia="宋体" w:hint="default"/>
          <w:b/>
          <w:bCs/>
          <w:sz w:val="20"/>
          <w:szCs w:val="20"/>
        </w:rPr>
        <w:t>（四）多式联运物流基地</w:t>
      </w:r>
      <w:r>
        <w:rPr>
          <w:rFonts w:ascii="宋体" w:hAnsi="宋体" w:cs="宋体" w:eastAsia="宋体" w:hint="default"/>
          <w:sz w:val="20"/>
          <w:szCs w:val="20"/>
        </w:rPr>
      </w:r>
    </w:p>
    <w:p>
      <w:pPr>
        <w:spacing w:line="357" w:lineRule="auto" w:before="127"/>
        <w:ind w:left="218" w:right="218" w:firstLine="400"/>
        <w:jc w:val="left"/>
        <w:rPr>
          <w:rFonts w:ascii="宋体" w:hAnsi="宋体" w:cs="宋体" w:eastAsia="宋体" w:hint="default"/>
          <w:sz w:val="20"/>
          <w:szCs w:val="20"/>
        </w:rPr>
      </w:pPr>
      <w:r>
        <w:rPr>
          <w:rFonts w:ascii="宋体" w:hAnsi="宋体" w:cs="宋体" w:eastAsia="宋体" w:hint="default"/>
          <w:sz w:val="20"/>
          <w:szCs w:val="20"/>
        </w:rPr>
        <w:t>2017</w:t>
      </w:r>
      <w:r>
        <w:rPr>
          <w:rFonts w:ascii="宋体" w:hAnsi="宋体" w:cs="宋体" w:eastAsia="宋体" w:hint="default"/>
          <w:spacing w:val="-70"/>
          <w:sz w:val="20"/>
          <w:szCs w:val="20"/>
        </w:rPr>
        <w:t> </w:t>
      </w:r>
      <w:r>
        <w:rPr>
          <w:rFonts w:ascii="宋体" w:hAnsi="宋体" w:cs="宋体" w:eastAsia="宋体" w:hint="default"/>
          <w:sz w:val="20"/>
          <w:szCs w:val="20"/>
        </w:rPr>
        <w:t>是公司全面提出“延伸服务链、提升附加值”的元年，在引入铁路资源、提升信息化管理能</w:t>
      </w:r>
      <w:r>
        <w:rPr>
          <w:rFonts w:ascii="宋体" w:hAnsi="宋体" w:cs="宋体" w:eastAsia="宋体" w:hint="default"/>
          <w:w w:val="99"/>
          <w:sz w:val="20"/>
          <w:szCs w:val="20"/>
        </w:rPr>
        <w:t> </w:t>
      </w:r>
      <w:r>
        <w:rPr>
          <w:rFonts w:ascii="宋体" w:hAnsi="宋体" w:cs="宋体" w:eastAsia="宋体" w:hint="default"/>
          <w:spacing w:val="-4"/>
          <w:sz w:val="20"/>
          <w:szCs w:val="20"/>
        </w:rPr>
        <w:t>力后，公司对货物把控力进一步提升，并配合仓储和场站资源的布局，一举将服务延伸至仓储、拣选、</w:t>
      </w:r>
    </w:p>
    <w:p>
      <w:pPr>
        <w:spacing w:after="0" w:line="357" w:lineRule="auto"/>
        <w:jc w:val="left"/>
        <w:rPr>
          <w:rFonts w:ascii="宋体" w:hAnsi="宋体" w:cs="宋体" w:eastAsia="宋体" w:hint="default"/>
          <w:sz w:val="20"/>
          <w:szCs w:val="20"/>
        </w:rPr>
        <w:sectPr>
          <w:pgSz w:w="11910" w:h="16840"/>
          <w:pgMar w:header="880" w:footer="1195" w:top="1120" w:bottom="1380" w:left="1580" w:right="1040"/>
        </w:sectPr>
      </w:pPr>
    </w:p>
    <w:p>
      <w:pPr>
        <w:spacing w:line="240" w:lineRule="auto" w:before="4"/>
        <w:rPr>
          <w:rFonts w:ascii="宋体" w:hAnsi="宋体" w:cs="宋体" w:eastAsia="宋体" w:hint="default"/>
          <w:sz w:val="25"/>
          <w:szCs w:val="25"/>
        </w:rPr>
      </w:pPr>
    </w:p>
    <w:p>
      <w:pPr>
        <w:spacing w:before="37"/>
        <w:ind w:left="218" w:right="0" w:firstLine="0"/>
        <w:jc w:val="both"/>
        <w:rPr>
          <w:rFonts w:ascii="宋体" w:hAnsi="宋体" w:cs="宋体" w:eastAsia="宋体" w:hint="default"/>
          <w:sz w:val="20"/>
          <w:szCs w:val="20"/>
        </w:rPr>
      </w:pPr>
      <w:r>
        <w:rPr>
          <w:rFonts w:ascii="宋体" w:hAnsi="宋体" w:cs="宋体" w:eastAsia="宋体" w:hint="default"/>
          <w:sz w:val="20"/>
          <w:szCs w:val="20"/>
        </w:rPr>
        <w:t>配送环节，成功开发出多项合同及驻场物流业务；截至</w:t>
      </w:r>
      <w:r>
        <w:rPr>
          <w:rFonts w:ascii="宋体" w:hAnsi="宋体" w:cs="宋体" w:eastAsia="宋体" w:hint="default"/>
          <w:spacing w:val="-49"/>
          <w:sz w:val="20"/>
          <w:szCs w:val="20"/>
        </w:rPr>
        <w:t> </w:t>
      </w:r>
      <w:r>
        <w:rPr>
          <w:rFonts w:ascii="宋体" w:hAnsi="宋体" w:cs="宋体" w:eastAsia="宋体" w:hint="default"/>
          <w:sz w:val="20"/>
          <w:szCs w:val="20"/>
        </w:rPr>
        <w:t>2017</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4"/>
          <w:sz w:val="20"/>
          <w:szCs w:val="20"/>
        </w:rPr>
        <w:t> </w:t>
      </w:r>
      <w:r>
        <w:rPr>
          <w:rFonts w:ascii="宋体" w:hAnsi="宋体" w:cs="宋体" w:eastAsia="宋体" w:hint="default"/>
          <w:sz w:val="20"/>
          <w:szCs w:val="20"/>
        </w:rPr>
        <w:t>12</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31</w:t>
      </w:r>
      <w:r>
        <w:rPr>
          <w:rFonts w:ascii="宋体" w:hAnsi="宋体" w:cs="宋体" w:eastAsia="宋体" w:hint="default"/>
          <w:spacing w:val="-51"/>
          <w:sz w:val="20"/>
          <w:szCs w:val="20"/>
        </w:rPr>
        <w:t> </w:t>
      </w:r>
      <w:r>
        <w:rPr>
          <w:rFonts w:ascii="宋体" w:hAnsi="宋体" w:cs="宋体" w:eastAsia="宋体" w:hint="default"/>
          <w:sz w:val="20"/>
          <w:szCs w:val="20"/>
        </w:rPr>
        <w:t>日，公司共设立拼箱网点</w:t>
      </w:r>
      <w:r>
        <w:rPr>
          <w:rFonts w:ascii="宋体" w:hAnsi="宋体" w:cs="宋体" w:eastAsia="宋体" w:hint="default"/>
          <w:spacing w:val="-51"/>
          <w:sz w:val="20"/>
          <w:szCs w:val="20"/>
        </w:rPr>
        <w:t> </w:t>
      </w:r>
      <w:r>
        <w:rPr>
          <w:rFonts w:ascii="宋体" w:hAnsi="宋体" w:cs="宋体" w:eastAsia="宋体" w:hint="default"/>
          <w:sz w:val="20"/>
          <w:szCs w:val="20"/>
        </w:rPr>
        <w:t>16</w:t>
      </w:r>
    </w:p>
    <w:p>
      <w:pPr>
        <w:spacing w:line="357" w:lineRule="auto" w:before="129"/>
        <w:ind w:left="618" w:right="248" w:hanging="401"/>
        <w:jc w:val="left"/>
        <w:rPr>
          <w:rFonts w:ascii="宋体" w:hAnsi="宋体" w:cs="宋体" w:eastAsia="宋体" w:hint="default"/>
          <w:sz w:val="20"/>
          <w:szCs w:val="20"/>
        </w:rPr>
      </w:pPr>
      <w:r>
        <w:rPr>
          <w:rFonts w:ascii="宋体" w:hAnsi="宋体" w:cs="宋体" w:eastAsia="宋体" w:hint="default"/>
          <w:sz w:val="20"/>
          <w:szCs w:val="20"/>
        </w:rPr>
        <w:t>个，集拼中心</w:t>
      </w:r>
      <w:r>
        <w:rPr>
          <w:rFonts w:ascii="宋体" w:hAnsi="宋体" w:cs="宋体" w:eastAsia="宋体" w:hint="default"/>
          <w:spacing w:val="-51"/>
          <w:sz w:val="20"/>
          <w:szCs w:val="20"/>
        </w:rPr>
        <w:t> </w:t>
      </w:r>
      <w:r>
        <w:rPr>
          <w:rFonts w:ascii="宋体" w:hAnsi="宋体" w:cs="宋体" w:eastAsia="宋体" w:hint="default"/>
          <w:sz w:val="20"/>
          <w:szCs w:val="20"/>
        </w:rPr>
        <w:t>3</w:t>
      </w:r>
      <w:r>
        <w:rPr>
          <w:rFonts w:ascii="宋体" w:hAnsi="宋体" w:cs="宋体" w:eastAsia="宋体" w:hint="default"/>
          <w:spacing w:val="-50"/>
          <w:sz w:val="20"/>
          <w:szCs w:val="20"/>
        </w:rPr>
        <w:t> </w:t>
      </w:r>
      <w:r>
        <w:rPr>
          <w:rFonts w:ascii="宋体" w:hAnsi="宋体" w:cs="宋体" w:eastAsia="宋体" w:hint="default"/>
          <w:sz w:val="20"/>
          <w:szCs w:val="20"/>
        </w:rPr>
        <w:t>个，质押仓库</w:t>
      </w:r>
      <w:r>
        <w:rPr>
          <w:rFonts w:ascii="宋体" w:hAnsi="宋体" w:cs="宋体" w:eastAsia="宋体" w:hint="default"/>
          <w:spacing w:val="-50"/>
          <w:sz w:val="20"/>
          <w:szCs w:val="20"/>
        </w:rPr>
        <w:t> </w:t>
      </w:r>
      <w:r>
        <w:rPr>
          <w:rFonts w:ascii="宋体" w:hAnsi="宋体" w:cs="宋体" w:eastAsia="宋体" w:hint="default"/>
          <w:sz w:val="20"/>
          <w:szCs w:val="20"/>
        </w:rPr>
        <w:t>18</w:t>
      </w:r>
      <w:r>
        <w:rPr>
          <w:rFonts w:ascii="宋体" w:hAnsi="宋体" w:cs="宋体" w:eastAsia="宋体" w:hint="default"/>
          <w:spacing w:val="-50"/>
          <w:sz w:val="20"/>
          <w:szCs w:val="20"/>
        </w:rPr>
        <w:t> </w:t>
      </w:r>
      <w:r>
        <w:rPr>
          <w:rFonts w:ascii="宋体" w:hAnsi="宋体" w:cs="宋体" w:eastAsia="宋体" w:hint="default"/>
          <w:sz w:val="20"/>
          <w:szCs w:val="20"/>
        </w:rPr>
        <w:t>个，仓储资源近</w:t>
      </w:r>
      <w:r>
        <w:rPr>
          <w:rFonts w:ascii="宋体" w:hAnsi="宋体" w:cs="宋体" w:eastAsia="宋体" w:hint="default"/>
          <w:spacing w:val="-51"/>
          <w:sz w:val="20"/>
          <w:szCs w:val="20"/>
        </w:rPr>
        <w:t> </w:t>
      </w:r>
      <w:r>
        <w:rPr>
          <w:rFonts w:ascii="宋体" w:hAnsi="宋体" w:cs="宋体" w:eastAsia="宋体" w:hint="default"/>
          <w:sz w:val="20"/>
          <w:szCs w:val="20"/>
        </w:rPr>
        <w:t>70,000</w:t>
      </w:r>
      <w:r>
        <w:rPr>
          <w:rFonts w:ascii="宋体" w:hAnsi="宋体" w:cs="宋体" w:eastAsia="宋体" w:hint="default"/>
          <w:spacing w:val="-49"/>
          <w:sz w:val="20"/>
          <w:szCs w:val="20"/>
        </w:rPr>
        <w:t> </w:t>
      </w:r>
      <w:r>
        <w:rPr>
          <w:rFonts w:ascii="宋体" w:hAnsi="宋体" w:cs="宋体" w:eastAsia="宋体" w:hint="default"/>
          <w:sz w:val="20"/>
          <w:szCs w:val="20"/>
        </w:rPr>
        <w:t>㎡。</w:t>
      </w:r>
      <w:r>
        <w:rPr>
          <w:rFonts w:ascii="宋体" w:hAnsi="宋体" w:cs="宋体" w:eastAsia="宋体" w:hint="default"/>
          <w:w w:val="99"/>
          <w:sz w:val="20"/>
          <w:szCs w:val="20"/>
        </w:rPr>
        <w:t> </w:t>
      </w:r>
      <w:r>
        <w:rPr>
          <w:rFonts w:ascii="宋体" w:hAnsi="宋体" w:cs="宋体" w:eastAsia="宋体" w:hint="default"/>
          <w:sz w:val="20"/>
          <w:szCs w:val="20"/>
        </w:rPr>
        <w:t>在铁、公、水多式联运不断成熟壮大的基础上，公司已开始加速推进产业链闭环服务的最后一端</w:t>
      </w:r>
    </w:p>
    <w:p>
      <w:pPr>
        <w:spacing w:line="357" w:lineRule="auto" w:before="29"/>
        <w:ind w:left="218" w:right="235" w:firstLine="0"/>
        <w:jc w:val="both"/>
        <w:rPr>
          <w:rFonts w:ascii="宋体" w:hAnsi="宋体" w:cs="宋体" w:eastAsia="宋体" w:hint="default"/>
          <w:sz w:val="20"/>
          <w:szCs w:val="20"/>
        </w:rPr>
      </w:pPr>
      <w:r>
        <w:rPr>
          <w:rFonts w:ascii="宋体" w:hAnsi="宋体" w:cs="宋体" w:eastAsia="宋体" w:hint="default"/>
          <w:spacing w:val="-1"/>
          <w:w w:val="95"/>
          <w:sz w:val="20"/>
          <w:szCs w:val="20"/>
        </w:rPr>
        <w:t>——多式联运物流基地项目，并于</w:t>
      </w:r>
      <w:r>
        <w:rPr>
          <w:rFonts w:ascii="宋体" w:hAnsi="宋体" w:cs="宋体" w:eastAsia="宋体" w:hint="default"/>
          <w:spacing w:val="-1"/>
          <w:w w:val="95"/>
          <w:sz w:val="20"/>
          <w:szCs w:val="20"/>
        </w:rPr>
        <w:t>2017</w:t>
      </w:r>
      <w:r>
        <w:rPr>
          <w:rFonts w:ascii="宋体" w:hAnsi="宋体" w:cs="宋体" w:eastAsia="宋体" w:hint="default"/>
          <w:spacing w:val="-1"/>
          <w:w w:val="95"/>
          <w:sz w:val="20"/>
          <w:szCs w:val="20"/>
        </w:rPr>
        <w:t>年</w:t>
      </w:r>
      <w:r>
        <w:rPr>
          <w:rFonts w:ascii="宋体" w:hAnsi="宋体" w:cs="宋体" w:eastAsia="宋体" w:hint="default"/>
          <w:spacing w:val="-1"/>
          <w:w w:val="95"/>
          <w:sz w:val="20"/>
          <w:szCs w:val="20"/>
        </w:rPr>
        <w:t>8</w:t>
      </w:r>
      <w:r>
        <w:rPr>
          <w:rFonts w:ascii="宋体" w:hAnsi="宋体" w:cs="宋体" w:eastAsia="宋体" w:hint="default"/>
          <w:spacing w:val="-1"/>
          <w:w w:val="95"/>
          <w:sz w:val="20"/>
          <w:szCs w:val="20"/>
        </w:rPr>
        <w:t>月</w:t>
      </w:r>
      <w:r>
        <w:rPr>
          <w:rFonts w:ascii="宋体" w:hAnsi="宋体" w:cs="宋体" w:eastAsia="宋体" w:hint="default"/>
          <w:spacing w:val="-1"/>
          <w:w w:val="95"/>
          <w:sz w:val="20"/>
          <w:szCs w:val="20"/>
        </w:rPr>
        <w:t>14</w:t>
      </w:r>
      <w:r>
        <w:rPr>
          <w:rFonts w:ascii="宋体" w:hAnsi="宋体" w:cs="宋体" w:eastAsia="宋体" w:hint="default"/>
          <w:spacing w:val="-1"/>
          <w:w w:val="95"/>
          <w:sz w:val="20"/>
          <w:szCs w:val="20"/>
        </w:rPr>
        <w:t>日召开第六届董事会第七次会议审议通过了《关于对外</w:t>
      </w:r>
      <w:r>
        <w:rPr>
          <w:rFonts w:ascii="宋体" w:hAnsi="宋体" w:cs="宋体" w:eastAsia="宋体" w:hint="default"/>
          <w:spacing w:val="36"/>
          <w:w w:val="95"/>
          <w:sz w:val="20"/>
          <w:szCs w:val="20"/>
        </w:rPr>
        <w:t> </w:t>
      </w:r>
      <w:r>
        <w:rPr>
          <w:rFonts w:ascii="宋体" w:hAnsi="宋体" w:cs="宋体" w:eastAsia="宋体" w:hint="default"/>
          <w:spacing w:val="36"/>
          <w:w w:val="95"/>
          <w:sz w:val="20"/>
          <w:szCs w:val="20"/>
        </w:rPr>
      </w:r>
      <w:r>
        <w:rPr>
          <w:rFonts w:ascii="宋体" w:hAnsi="宋体" w:cs="宋体" w:eastAsia="宋体" w:hint="default"/>
          <w:sz w:val="20"/>
          <w:szCs w:val="20"/>
        </w:rPr>
        <w:t>投资设立</w:t>
      </w:r>
      <w:r>
        <w:rPr>
          <w:rFonts w:ascii="宋体" w:hAnsi="宋体" w:cs="宋体" w:eastAsia="宋体" w:hint="default"/>
          <w:sz w:val="20"/>
          <w:szCs w:val="20"/>
        </w:rPr>
        <w:t>2</w:t>
      </w:r>
      <w:r>
        <w:rPr>
          <w:rFonts w:ascii="宋体" w:hAnsi="宋体" w:cs="宋体" w:eastAsia="宋体" w:hint="default"/>
          <w:sz w:val="20"/>
          <w:szCs w:val="20"/>
        </w:rPr>
        <w:t>家全资子公司的议案》，公司以自有资金</w:t>
      </w:r>
      <w:r>
        <w:rPr>
          <w:rFonts w:ascii="宋体" w:hAnsi="宋体" w:cs="宋体" w:eastAsia="宋体" w:hint="default"/>
          <w:sz w:val="20"/>
          <w:szCs w:val="20"/>
        </w:rPr>
        <w:t>60,000</w:t>
      </w:r>
      <w:r>
        <w:rPr>
          <w:rFonts w:ascii="宋体" w:hAnsi="宋体" w:cs="宋体" w:eastAsia="宋体" w:hint="default"/>
          <w:sz w:val="20"/>
          <w:szCs w:val="20"/>
        </w:rPr>
        <w:t>万元出资在泉州市和唐山市设立</w:t>
      </w:r>
      <w:r>
        <w:rPr>
          <w:rFonts w:ascii="宋体" w:hAnsi="宋体" w:cs="宋体" w:eastAsia="宋体" w:hint="default"/>
          <w:sz w:val="20"/>
          <w:szCs w:val="20"/>
        </w:rPr>
        <w:t>2</w:t>
      </w:r>
      <w:r>
        <w:rPr>
          <w:rFonts w:ascii="宋体" w:hAnsi="宋体" w:cs="宋体" w:eastAsia="宋体" w:hint="default"/>
          <w:sz w:val="20"/>
          <w:szCs w:val="20"/>
        </w:rPr>
        <w:t>家全资子</w:t>
      </w:r>
      <w:r>
        <w:rPr>
          <w:rFonts w:ascii="宋体" w:hAnsi="宋体" w:cs="宋体" w:eastAsia="宋体" w:hint="default"/>
          <w:w w:val="99"/>
          <w:sz w:val="20"/>
          <w:szCs w:val="20"/>
        </w:rPr>
        <w:t> </w:t>
      </w:r>
      <w:r>
        <w:rPr>
          <w:rFonts w:ascii="宋体" w:hAnsi="宋体" w:cs="宋体" w:eastAsia="宋体" w:hint="default"/>
          <w:spacing w:val="-1"/>
          <w:w w:val="95"/>
          <w:sz w:val="20"/>
          <w:szCs w:val="20"/>
        </w:rPr>
        <w:t>公司：安通（泉州）多式联运基地有限公司和安通（唐山海港）多式联运物流有限公司；上述</w:t>
      </w:r>
      <w:r>
        <w:rPr>
          <w:rFonts w:ascii="宋体" w:hAnsi="宋体" w:cs="宋体" w:eastAsia="宋体" w:hint="default"/>
          <w:spacing w:val="-1"/>
          <w:w w:val="95"/>
          <w:sz w:val="20"/>
          <w:szCs w:val="20"/>
        </w:rPr>
        <w:t>2</w:t>
      </w:r>
      <w:r>
        <w:rPr>
          <w:rFonts w:ascii="宋体" w:hAnsi="宋体" w:cs="宋体" w:eastAsia="宋体" w:hint="default"/>
          <w:spacing w:val="-1"/>
          <w:w w:val="95"/>
          <w:sz w:val="20"/>
          <w:szCs w:val="20"/>
        </w:rPr>
        <w:t>家公司</w:t>
      </w:r>
      <w:r>
        <w:rPr>
          <w:rFonts w:ascii="宋体" w:hAnsi="宋体" w:cs="宋体" w:eastAsia="宋体" w:hint="default"/>
          <w:spacing w:val="33"/>
          <w:w w:val="95"/>
          <w:sz w:val="20"/>
          <w:szCs w:val="20"/>
        </w:rPr>
        <w:t> </w:t>
      </w:r>
      <w:r>
        <w:rPr>
          <w:rFonts w:ascii="宋体" w:hAnsi="宋体" w:cs="宋体" w:eastAsia="宋体" w:hint="default"/>
          <w:spacing w:val="33"/>
          <w:w w:val="95"/>
          <w:sz w:val="20"/>
          <w:szCs w:val="20"/>
        </w:rPr>
      </w:r>
      <w:r>
        <w:rPr>
          <w:rFonts w:ascii="宋体" w:hAnsi="宋体" w:cs="宋体" w:eastAsia="宋体" w:hint="default"/>
          <w:spacing w:val="-4"/>
          <w:w w:val="99"/>
          <w:sz w:val="20"/>
          <w:szCs w:val="20"/>
        </w:rPr>
        <w:t>将规划建立大型综合物流保税产业园，形成一体化的现代物流产业集群，打造多式联运综合物流基地、</w:t>
      </w:r>
      <w:r>
        <w:rPr>
          <w:rFonts w:ascii="宋体" w:hAnsi="宋体" w:cs="宋体" w:eastAsia="宋体" w:hint="default"/>
          <w:spacing w:val="-62"/>
          <w:w w:val="99"/>
          <w:sz w:val="20"/>
          <w:szCs w:val="20"/>
        </w:rPr>
        <w:t> </w:t>
      </w:r>
      <w:r>
        <w:rPr>
          <w:rFonts w:ascii="宋体" w:hAnsi="宋体" w:cs="宋体" w:eastAsia="宋体" w:hint="default"/>
          <w:spacing w:val="-62"/>
          <w:w w:val="99"/>
          <w:sz w:val="20"/>
          <w:szCs w:val="20"/>
        </w:rPr>
      </w:r>
      <w:r>
        <w:rPr>
          <w:rFonts w:ascii="宋体" w:hAnsi="宋体" w:cs="宋体" w:eastAsia="宋体" w:hint="default"/>
          <w:sz w:val="20"/>
          <w:szCs w:val="20"/>
        </w:rPr>
        <w:t>大宗货物综合物流产业园以及跨境电商集散基地。</w:t>
      </w:r>
    </w:p>
    <w:p>
      <w:pPr>
        <w:spacing w:line="357" w:lineRule="auto" w:before="29"/>
        <w:ind w:left="618" w:right="248" w:hanging="202"/>
        <w:jc w:val="left"/>
        <w:rPr>
          <w:rFonts w:ascii="宋体" w:hAnsi="宋体" w:cs="宋体" w:eastAsia="宋体" w:hint="default"/>
          <w:sz w:val="20"/>
          <w:szCs w:val="20"/>
        </w:rPr>
      </w:pPr>
      <w:r>
        <w:rPr>
          <w:rFonts w:ascii="宋体" w:hAnsi="宋体" w:cs="宋体" w:eastAsia="宋体" w:hint="default"/>
          <w:b/>
          <w:bCs/>
          <w:sz w:val="20"/>
          <w:szCs w:val="20"/>
        </w:rPr>
        <w:t>（五）客户群体</w:t>
      </w:r>
      <w:r>
        <w:rPr>
          <w:rFonts w:ascii="宋体" w:hAnsi="宋体" w:cs="宋体" w:eastAsia="宋体" w:hint="default"/>
          <w:b/>
          <w:bCs/>
          <w:w w:val="99"/>
          <w:sz w:val="20"/>
          <w:szCs w:val="20"/>
        </w:rPr>
        <w:t> </w:t>
      </w:r>
      <w:r>
        <w:rPr>
          <w:rFonts w:ascii="宋体" w:hAnsi="宋体" w:cs="宋体" w:eastAsia="宋体" w:hint="default"/>
          <w:sz w:val="20"/>
          <w:szCs w:val="20"/>
        </w:rPr>
        <w:t>随着公司多式联运布局的推进，公司客户群体中传统大宗货品、工业品的比重呈下降趋势，消费</w:t>
      </w:r>
    </w:p>
    <w:p>
      <w:pPr>
        <w:spacing w:line="357" w:lineRule="auto" w:before="31"/>
        <w:ind w:left="218" w:right="249" w:firstLine="0"/>
        <w:jc w:val="both"/>
        <w:rPr>
          <w:rFonts w:ascii="宋体" w:hAnsi="宋体" w:cs="宋体" w:eastAsia="宋体" w:hint="default"/>
          <w:sz w:val="20"/>
          <w:szCs w:val="20"/>
        </w:rPr>
      </w:pPr>
      <w:r>
        <w:rPr>
          <w:rFonts w:ascii="宋体" w:hAnsi="宋体" w:cs="宋体" w:eastAsia="宋体" w:hint="default"/>
          <w:sz w:val="20"/>
          <w:szCs w:val="20"/>
        </w:rPr>
        <w:t>品的比重呈上升趋势，其中：大宗商品和工业品比重由</w:t>
      </w:r>
      <w:r>
        <w:rPr>
          <w:rFonts w:ascii="宋体" w:hAnsi="宋体" w:cs="宋体" w:eastAsia="宋体" w:hint="default"/>
          <w:spacing w:val="-55"/>
          <w:sz w:val="20"/>
          <w:szCs w:val="20"/>
        </w:rPr>
        <w:t> </w:t>
      </w:r>
      <w:r>
        <w:rPr>
          <w:rFonts w:ascii="宋体" w:hAnsi="宋体" w:cs="宋体" w:eastAsia="宋体" w:hint="default"/>
          <w:sz w:val="20"/>
          <w:szCs w:val="20"/>
        </w:rPr>
        <w:t>2016</w:t>
      </w:r>
      <w:r>
        <w:rPr>
          <w:rFonts w:ascii="宋体" w:hAnsi="宋体" w:cs="宋体" w:eastAsia="宋体" w:hint="default"/>
          <w:spacing w:val="-58"/>
          <w:sz w:val="20"/>
          <w:szCs w:val="20"/>
        </w:rPr>
        <w:t> </w:t>
      </w:r>
      <w:r>
        <w:rPr>
          <w:rFonts w:ascii="宋体" w:hAnsi="宋体" w:cs="宋体" w:eastAsia="宋体" w:hint="default"/>
          <w:sz w:val="20"/>
          <w:szCs w:val="20"/>
        </w:rPr>
        <w:t>年的</w:t>
      </w:r>
      <w:r>
        <w:rPr>
          <w:rFonts w:ascii="宋体" w:hAnsi="宋体" w:cs="宋体" w:eastAsia="宋体" w:hint="default"/>
          <w:spacing w:val="-59"/>
          <w:sz w:val="20"/>
          <w:szCs w:val="20"/>
        </w:rPr>
        <w:t> </w:t>
      </w:r>
      <w:r>
        <w:rPr>
          <w:rFonts w:ascii="宋体" w:hAnsi="宋体" w:cs="宋体" w:eastAsia="宋体" w:hint="default"/>
          <w:sz w:val="20"/>
          <w:szCs w:val="20"/>
        </w:rPr>
        <w:t>69.39%</w:t>
      </w:r>
      <w:r>
        <w:rPr>
          <w:rFonts w:ascii="宋体" w:hAnsi="宋体" w:cs="宋体" w:eastAsia="宋体" w:hint="default"/>
          <w:sz w:val="20"/>
          <w:szCs w:val="20"/>
        </w:rPr>
        <w:t>下降至</w:t>
      </w:r>
      <w:r>
        <w:rPr>
          <w:rFonts w:ascii="宋体" w:hAnsi="宋体" w:cs="宋体" w:eastAsia="宋体" w:hint="default"/>
          <w:spacing w:val="-59"/>
          <w:sz w:val="20"/>
          <w:szCs w:val="20"/>
        </w:rPr>
        <w:t> </w:t>
      </w:r>
      <w:r>
        <w:rPr>
          <w:rFonts w:ascii="宋体" w:hAnsi="宋体" w:cs="宋体" w:eastAsia="宋体" w:hint="default"/>
          <w:sz w:val="20"/>
          <w:szCs w:val="20"/>
        </w:rPr>
        <w:t>2017</w:t>
      </w:r>
      <w:r>
        <w:rPr>
          <w:rFonts w:ascii="宋体" w:hAnsi="宋体" w:cs="宋体" w:eastAsia="宋体" w:hint="default"/>
          <w:spacing w:val="-57"/>
          <w:sz w:val="20"/>
          <w:szCs w:val="20"/>
        </w:rPr>
        <w:t> </w:t>
      </w:r>
      <w:r>
        <w:rPr>
          <w:rFonts w:ascii="宋体" w:hAnsi="宋体" w:cs="宋体" w:eastAsia="宋体" w:hint="default"/>
          <w:sz w:val="20"/>
          <w:szCs w:val="20"/>
        </w:rPr>
        <w:t>年的</w:t>
      </w:r>
      <w:r>
        <w:rPr>
          <w:rFonts w:ascii="宋体" w:hAnsi="宋体" w:cs="宋体" w:eastAsia="宋体" w:hint="default"/>
          <w:spacing w:val="-59"/>
          <w:sz w:val="20"/>
          <w:szCs w:val="20"/>
        </w:rPr>
        <w:t> </w:t>
      </w:r>
      <w:r>
        <w:rPr>
          <w:rFonts w:ascii="宋体" w:hAnsi="宋体" w:cs="宋体" w:eastAsia="宋体" w:hint="default"/>
          <w:spacing w:val="-6"/>
          <w:sz w:val="20"/>
          <w:szCs w:val="20"/>
        </w:rPr>
        <w:t>63.06%</w:t>
      </w:r>
      <w:r>
        <w:rPr>
          <w:rFonts w:ascii="宋体" w:hAnsi="宋体" w:cs="宋体" w:eastAsia="宋体" w:hint="default"/>
          <w:spacing w:val="-6"/>
          <w:sz w:val="20"/>
          <w:szCs w:val="20"/>
        </w:rPr>
        <w:t>，消</w:t>
      </w:r>
      <w:r>
        <w:rPr>
          <w:rFonts w:ascii="宋体" w:hAnsi="宋体" w:cs="宋体" w:eastAsia="宋体" w:hint="default"/>
          <w:spacing w:val="-22"/>
          <w:w w:val="99"/>
          <w:sz w:val="20"/>
          <w:szCs w:val="20"/>
        </w:rPr>
        <w:t> </w:t>
      </w:r>
      <w:r>
        <w:rPr>
          <w:rFonts w:ascii="宋体" w:hAnsi="宋体" w:cs="宋体" w:eastAsia="宋体" w:hint="default"/>
          <w:sz w:val="20"/>
          <w:szCs w:val="20"/>
        </w:rPr>
        <w:t>费品占比由</w:t>
      </w:r>
      <w:r>
        <w:rPr>
          <w:rFonts w:ascii="宋体" w:hAnsi="宋体" w:cs="宋体" w:eastAsia="宋体" w:hint="default"/>
          <w:spacing w:val="-51"/>
          <w:sz w:val="20"/>
          <w:szCs w:val="20"/>
        </w:rPr>
        <w:t> </w:t>
      </w:r>
      <w:r>
        <w:rPr>
          <w:rFonts w:ascii="宋体" w:hAnsi="宋体" w:cs="宋体" w:eastAsia="宋体" w:hint="default"/>
          <w:sz w:val="20"/>
          <w:szCs w:val="20"/>
        </w:rPr>
        <w:t>2016</w:t>
      </w:r>
      <w:r>
        <w:rPr>
          <w:rFonts w:ascii="宋体" w:hAnsi="宋体" w:cs="宋体" w:eastAsia="宋体" w:hint="default"/>
          <w:spacing w:val="-50"/>
          <w:sz w:val="20"/>
          <w:szCs w:val="20"/>
        </w:rPr>
        <w:t> </w:t>
      </w:r>
      <w:r>
        <w:rPr>
          <w:rFonts w:ascii="宋体" w:hAnsi="宋体" w:cs="宋体" w:eastAsia="宋体" w:hint="default"/>
          <w:sz w:val="20"/>
          <w:szCs w:val="20"/>
        </w:rPr>
        <w:t>年的</w:t>
      </w:r>
      <w:r>
        <w:rPr>
          <w:rFonts w:ascii="宋体" w:hAnsi="宋体" w:cs="宋体" w:eastAsia="宋体" w:hint="default"/>
          <w:spacing w:val="-51"/>
          <w:sz w:val="20"/>
          <w:szCs w:val="20"/>
        </w:rPr>
        <w:t> </w:t>
      </w:r>
      <w:r>
        <w:rPr>
          <w:rFonts w:ascii="宋体" w:hAnsi="宋体" w:cs="宋体" w:eastAsia="宋体" w:hint="default"/>
          <w:sz w:val="20"/>
          <w:szCs w:val="20"/>
        </w:rPr>
        <w:t>22.38%</w:t>
      </w:r>
      <w:r>
        <w:rPr>
          <w:rFonts w:ascii="宋体" w:hAnsi="宋体" w:cs="宋体" w:eastAsia="宋体" w:hint="default"/>
          <w:sz w:val="20"/>
          <w:szCs w:val="20"/>
        </w:rPr>
        <w:t>上升至</w:t>
      </w:r>
      <w:r>
        <w:rPr>
          <w:rFonts w:ascii="宋体" w:hAnsi="宋体" w:cs="宋体" w:eastAsia="宋体" w:hint="default"/>
          <w:spacing w:val="-51"/>
          <w:sz w:val="20"/>
          <w:szCs w:val="20"/>
        </w:rPr>
        <w:t> </w:t>
      </w:r>
      <w:r>
        <w:rPr>
          <w:rFonts w:ascii="宋体" w:hAnsi="宋体" w:cs="宋体" w:eastAsia="宋体" w:hint="default"/>
          <w:sz w:val="20"/>
          <w:szCs w:val="20"/>
        </w:rPr>
        <w:t>2017</w:t>
      </w:r>
      <w:r>
        <w:rPr>
          <w:rFonts w:ascii="宋体" w:hAnsi="宋体" w:cs="宋体" w:eastAsia="宋体" w:hint="default"/>
          <w:spacing w:val="-50"/>
          <w:sz w:val="20"/>
          <w:szCs w:val="20"/>
        </w:rPr>
        <w:t> </w:t>
      </w:r>
      <w:r>
        <w:rPr>
          <w:rFonts w:ascii="宋体" w:hAnsi="宋体" w:cs="宋体" w:eastAsia="宋体" w:hint="default"/>
          <w:sz w:val="20"/>
          <w:szCs w:val="20"/>
        </w:rPr>
        <w:t>年的</w:t>
      </w:r>
      <w:r>
        <w:rPr>
          <w:rFonts w:ascii="宋体" w:hAnsi="宋体" w:cs="宋体" w:eastAsia="宋体" w:hint="default"/>
          <w:spacing w:val="-51"/>
          <w:sz w:val="20"/>
          <w:szCs w:val="20"/>
        </w:rPr>
        <w:t> </w:t>
      </w:r>
      <w:r>
        <w:rPr>
          <w:rFonts w:ascii="宋体" w:hAnsi="宋体" w:cs="宋体" w:eastAsia="宋体" w:hint="default"/>
          <w:sz w:val="20"/>
          <w:szCs w:val="20"/>
        </w:rPr>
        <w:t>28.35%</w:t>
      </w:r>
      <w:r>
        <w:rPr>
          <w:rFonts w:ascii="宋体" w:hAnsi="宋体" w:cs="宋体" w:eastAsia="宋体" w:hint="default"/>
          <w:sz w:val="20"/>
          <w:szCs w:val="20"/>
        </w:rPr>
        <w:t>。</w:t>
      </w:r>
    </w:p>
    <w:p>
      <w:pPr>
        <w:spacing w:line="240" w:lineRule="auto" w:before="5"/>
        <w:rPr>
          <w:rFonts w:ascii="宋体" w:hAnsi="宋体" w:cs="宋体" w:eastAsia="宋体" w:hint="default"/>
          <w:sz w:val="27"/>
          <w:szCs w:val="27"/>
        </w:rPr>
      </w:pPr>
    </w:p>
    <w:p>
      <w:pPr>
        <w:pStyle w:val="Heading2"/>
        <w:spacing w:line="240" w:lineRule="auto"/>
        <w:ind w:right="0"/>
        <w:jc w:val="both"/>
        <w:rPr>
          <w:b w:val="0"/>
          <w:bCs w:val="0"/>
        </w:rPr>
      </w:pPr>
      <w:r>
        <w:rPr/>
        <w:t>二、报告期内主要经营情况</w:t>
      </w:r>
      <w:r>
        <w:rPr>
          <w:b w:val="0"/>
          <w:bCs w:val="0"/>
        </w:rPr>
      </w:r>
    </w:p>
    <w:p>
      <w:pPr>
        <w:pStyle w:val="BodyText"/>
        <w:spacing w:line="240" w:lineRule="auto" w:before="58"/>
        <w:ind w:left="638" w:right="227"/>
        <w:jc w:val="left"/>
      </w:pPr>
      <w:r>
        <w:rPr>
          <w:rFonts w:ascii="宋体" w:hAnsi="宋体" w:cs="宋体" w:eastAsia="宋体" w:hint="default"/>
        </w:rPr>
        <w:t>2017</w:t>
      </w:r>
      <w:r>
        <w:rPr>
          <w:rFonts w:ascii="宋体" w:hAnsi="宋体" w:cs="宋体" w:eastAsia="宋体" w:hint="default"/>
          <w:spacing w:val="-54"/>
        </w:rPr>
        <w:t> </w:t>
      </w:r>
      <w:r>
        <w:rPr/>
        <w:t>年的公司的总资产为</w:t>
      </w:r>
      <w:r>
        <w:rPr>
          <w:spacing w:val="-54"/>
        </w:rPr>
        <w:t> </w:t>
      </w:r>
      <w:r>
        <w:rPr>
          <w:rFonts w:ascii="宋体" w:hAnsi="宋体" w:cs="宋体" w:eastAsia="宋体" w:hint="default"/>
        </w:rPr>
        <w:t>8,680,048,642.34</w:t>
      </w:r>
      <w:r>
        <w:rPr>
          <w:rFonts w:ascii="宋体" w:hAnsi="宋体" w:cs="宋体" w:eastAsia="宋体" w:hint="default"/>
          <w:spacing w:val="-54"/>
        </w:rPr>
        <w:t> </w:t>
      </w:r>
      <w:r>
        <w:rPr/>
        <w:t>元，较</w:t>
      </w:r>
      <w:r>
        <w:rPr>
          <w:spacing w:val="-54"/>
        </w:rPr>
        <w:t> </w:t>
      </w:r>
      <w:r>
        <w:rPr>
          <w:rFonts w:ascii="宋体" w:hAnsi="宋体" w:cs="宋体" w:eastAsia="宋体" w:hint="default"/>
        </w:rPr>
        <w:t>2016</w:t>
      </w:r>
      <w:r>
        <w:rPr>
          <w:rFonts w:ascii="宋体" w:hAnsi="宋体" w:cs="宋体" w:eastAsia="宋体" w:hint="default"/>
          <w:spacing w:val="-54"/>
        </w:rPr>
        <w:t> </w:t>
      </w:r>
      <w:r>
        <w:rPr/>
        <w:t>年的</w:t>
      </w:r>
      <w:r>
        <w:rPr>
          <w:spacing w:val="-52"/>
        </w:rPr>
        <w:t> </w:t>
      </w:r>
      <w:r>
        <w:rPr>
          <w:rFonts w:ascii="宋体" w:hAnsi="宋体" w:cs="宋体" w:eastAsia="宋体" w:hint="default"/>
        </w:rPr>
        <w:t>6,640,965,598.37</w:t>
      </w:r>
      <w:r>
        <w:rPr>
          <w:rFonts w:ascii="宋体" w:hAnsi="宋体" w:cs="宋体" w:eastAsia="宋体" w:hint="default"/>
          <w:spacing w:val="-51"/>
        </w:rPr>
        <w:t> </w:t>
      </w:r>
      <w:r>
        <w:rPr>
          <w:spacing w:val="-3"/>
        </w:rPr>
        <w:t>元，增长</w:t>
      </w:r>
      <w:r>
        <w:rPr/>
      </w:r>
    </w:p>
    <w:p>
      <w:pPr>
        <w:pStyle w:val="BodyText"/>
        <w:spacing w:line="240" w:lineRule="auto" w:before="133"/>
        <w:ind w:right="0"/>
        <w:jc w:val="both"/>
      </w:pPr>
      <w:r>
        <w:rPr>
          <w:w w:val="100"/>
        </w:rPr>
        <w:t>了</w:t>
      </w:r>
      <w:r>
        <w:rPr>
          <w:spacing w:val="-77"/>
        </w:rPr>
        <w:t> </w:t>
      </w:r>
      <w:r>
        <w:rPr>
          <w:rFonts w:ascii="宋体" w:hAnsi="宋体" w:cs="宋体" w:eastAsia="宋体" w:hint="default"/>
          <w:w w:val="100"/>
        </w:rPr>
        <w:t>3</w:t>
      </w:r>
      <w:r>
        <w:rPr>
          <w:rFonts w:ascii="宋体" w:hAnsi="宋体" w:cs="宋体" w:eastAsia="宋体" w:hint="default"/>
          <w:spacing w:val="-3"/>
          <w:w w:val="100"/>
        </w:rPr>
        <w:t>0</w:t>
      </w:r>
      <w:r>
        <w:rPr>
          <w:rFonts w:ascii="宋体" w:hAnsi="宋体" w:cs="宋体" w:eastAsia="宋体" w:hint="default"/>
          <w:w w:val="100"/>
        </w:rPr>
        <w:t>.70</w:t>
      </w:r>
      <w:r>
        <w:rPr>
          <w:rFonts w:ascii="宋体" w:hAnsi="宋体" w:cs="宋体" w:eastAsia="宋体" w:hint="default"/>
          <w:spacing w:val="-3"/>
          <w:w w:val="100"/>
        </w:rPr>
        <w:t>%</w:t>
      </w:r>
      <w:r>
        <w:rPr>
          <w:spacing w:val="-106"/>
          <w:w w:val="100"/>
        </w:rPr>
        <w:t>；</w:t>
      </w:r>
      <w:r>
        <w:rPr>
          <w:spacing w:val="-3"/>
          <w:w w:val="100"/>
        </w:rPr>
        <w:t>实</w:t>
      </w:r>
      <w:r>
        <w:rPr>
          <w:w w:val="100"/>
        </w:rPr>
        <w:t>现</w:t>
      </w:r>
      <w:r>
        <w:rPr>
          <w:spacing w:val="-3"/>
          <w:w w:val="100"/>
        </w:rPr>
        <w:t>营</w:t>
      </w:r>
      <w:r>
        <w:rPr>
          <w:w w:val="100"/>
        </w:rPr>
        <w:t>业</w:t>
      </w:r>
      <w:r>
        <w:rPr>
          <w:spacing w:val="-3"/>
          <w:w w:val="100"/>
        </w:rPr>
        <w:t>收</w:t>
      </w:r>
      <w:r>
        <w:rPr>
          <w:w w:val="100"/>
        </w:rPr>
        <w:t>入</w:t>
      </w:r>
      <w:r>
        <w:rPr>
          <w:spacing w:val="-76"/>
        </w:rPr>
        <w:t> </w:t>
      </w:r>
      <w:r>
        <w:rPr>
          <w:rFonts w:ascii="宋体" w:hAnsi="宋体" w:cs="宋体" w:eastAsia="宋体" w:hint="default"/>
          <w:spacing w:val="-3"/>
          <w:w w:val="100"/>
        </w:rPr>
        <w:t>6</w:t>
      </w:r>
      <w:r>
        <w:rPr>
          <w:rFonts w:ascii="宋体" w:hAnsi="宋体" w:cs="宋体" w:eastAsia="宋体" w:hint="default"/>
          <w:w w:val="100"/>
        </w:rPr>
        <w:t>,760,</w:t>
      </w:r>
      <w:r>
        <w:rPr>
          <w:rFonts w:ascii="宋体" w:hAnsi="宋体" w:cs="宋体" w:eastAsia="宋体" w:hint="default"/>
          <w:spacing w:val="-3"/>
          <w:w w:val="100"/>
        </w:rPr>
        <w:t>6</w:t>
      </w:r>
      <w:r>
        <w:rPr>
          <w:rFonts w:ascii="宋体" w:hAnsi="宋体" w:cs="宋体" w:eastAsia="宋体" w:hint="default"/>
          <w:w w:val="100"/>
        </w:rPr>
        <w:t>21,</w:t>
      </w:r>
      <w:r>
        <w:rPr>
          <w:rFonts w:ascii="宋体" w:hAnsi="宋体" w:cs="宋体" w:eastAsia="宋体" w:hint="default"/>
          <w:spacing w:val="-3"/>
          <w:w w:val="100"/>
        </w:rPr>
        <w:t>8</w:t>
      </w:r>
      <w:r>
        <w:rPr>
          <w:rFonts w:ascii="宋体" w:hAnsi="宋体" w:cs="宋体" w:eastAsia="宋体" w:hint="default"/>
          <w:w w:val="100"/>
        </w:rPr>
        <w:t>55.</w:t>
      </w:r>
      <w:r>
        <w:rPr>
          <w:rFonts w:ascii="宋体" w:hAnsi="宋体" w:cs="宋体" w:eastAsia="宋体" w:hint="default"/>
          <w:spacing w:val="-3"/>
          <w:w w:val="100"/>
        </w:rPr>
        <w:t>8</w:t>
      </w:r>
      <w:r>
        <w:rPr>
          <w:rFonts w:ascii="宋体" w:hAnsi="宋体" w:cs="宋体" w:eastAsia="宋体" w:hint="default"/>
          <w:w w:val="100"/>
        </w:rPr>
        <w:t>2</w:t>
      </w:r>
      <w:r>
        <w:rPr>
          <w:rFonts w:ascii="宋体" w:hAnsi="宋体" w:cs="宋体" w:eastAsia="宋体" w:hint="default"/>
          <w:spacing w:val="-79"/>
        </w:rPr>
        <w:t> </w:t>
      </w:r>
      <w:r>
        <w:rPr>
          <w:w w:val="100"/>
        </w:rPr>
        <w:t>元</w:t>
      </w:r>
      <w:r>
        <w:rPr>
          <w:spacing w:val="-108"/>
          <w:w w:val="100"/>
        </w:rPr>
        <w:t>，</w:t>
      </w:r>
      <w:r>
        <w:rPr>
          <w:w w:val="100"/>
        </w:rPr>
        <w:t>较</w:t>
      </w:r>
      <w:r>
        <w:rPr>
          <w:spacing w:val="-77"/>
        </w:rPr>
        <w:t> </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16</w:t>
      </w:r>
      <w:r>
        <w:rPr>
          <w:rFonts w:ascii="宋体" w:hAnsi="宋体" w:cs="宋体" w:eastAsia="宋体" w:hint="default"/>
          <w:spacing w:val="-77"/>
        </w:rPr>
        <w:t> </w:t>
      </w:r>
      <w:r>
        <w:rPr>
          <w:spacing w:val="-3"/>
          <w:w w:val="100"/>
        </w:rPr>
        <w:t>年</w:t>
      </w:r>
      <w:r>
        <w:rPr>
          <w:w w:val="100"/>
        </w:rPr>
        <w:t>的</w:t>
      </w:r>
      <w:r>
        <w:rPr>
          <w:spacing w:val="-77"/>
        </w:rPr>
        <w:t> </w:t>
      </w:r>
      <w:r>
        <w:rPr>
          <w:rFonts w:ascii="宋体" w:hAnsi="宋体" w:cs="宋体" w:eastAsia="宋体" w:hint="default"/>
          <w:spacing w:val="-3"/>
          <w:w w:val="100"/>
        </w:rPr>
        <w:t>3</w:t>
      </w:r>
      <w:r>
        <w:rPr>
          <w:rFonts w:ascii="宋体" w:hAnsi="宋体" w:cs="宋体" w:eastAsia="宋体" w:hint="default"/>
          <w:w w:val="100"/>
        </w:rPr>
        <w:t>,79</w:t>
      </w:r>
      <w:r>
        <w:rPr>
          <w:rFonts w:ascii="宋体" w:hAnsi="宋体" w:cs="宋体" w:eastAsia="宋体" w:hint="default"/>
          <w:spacing w:val="-3"/>
          <w:w w:val="100"/>
        </w:rPr>
        <w:t>8</w:t>
      </w:r>
      <w:r>
        <w:rPr>
          <w:rFonts w:ascii="宋体" w:hAnsi="宋体" w:cs="宋体" w:eastAsia="宋体" w:hint="default"/>
          <w:w w:val="100"/>
        </w:rPr>
        <w:t>,12</w:t>
      </w:r>
      <w:r>
        <w:rPr>
          <w:rFonts w:ascii="宋体" w:hAnsi="宋体" w:cs="宋体" w:eastAsia="宋体" w:hint="default"/>
          <w:spacing w:val="-3"/>
          <w:w w:val="100"/>
        </w:rPr>
        <w:t>7</w:t>
      </w:r>
      <w:r>
        <w:rPr>
          <w:rFonts w:ascii="宋体" w:hAnsi="宋体" w:cs="宋体" w:eastAsia="宋体" w:hint="default"/>
          <w:w w:val="100"/>
        </w:rPr>
        <w:t>,10</w:t>
      </w:r>
      <w:r>
        <w:rPr>
          <w:rFonts w:ascii="宋体" w:hAnsi="宋体" w:cs="宋体" w:eastAsia="宋体" w:hint="default"/>
          <w:spacing w:val="-3"/>
          <w:w w:val="100"/>
        </w:rPr>
        <w:t>1</w:t>
      </w:r>
      <w:r>
        <w:rPr>
          <w:rFonts w:ascii="宋体" w:hAnsi="宋体" w:cs="宋体" w:eastAsia="宋体" w:hint="default"/>
          <w:w w:val="100"/>
        </w:rPr>
        <w:t>.</w:t>
      </w:r>
      <w:r>
        <w:rPr>
          <w:rFonts w:ascii="宋体" w:hAnsi="宋体" w:cs="宋体" w:eastAsia="宋体" w:hint="default"/>
          <w:spacing w:val="-3"/>
          <w:w w:val="100"/>
        </w:rPr>
        <w:t>1</w:t>
      </w:r>
      <w:r>
        <w:rPr>
          <w:rFonts w:ascii="宋体" w:hAnsi="宋体" w:cs="宋体" w:eastAsia="宋体" w:hint="default"/>
          <w:w w:val="100"/>
        </w:rPr>
        <w:t>7</w:t>
      </w:r>
      <w:r>
        <w:rPr>
          <w:rFonts w:ascii="宋体" w:hAnsi="宋体" w:cs="宋体" w:eastAsia="宋体" w:hint="default"/>
          <w:spacing w:val="-79"/>
        </w:rPr>
        <w:t> </w:t>
      </w:r>
      <w:r>
        <w:rPr>
          <w:w w:val="100"/>
        </w:rPr>
        <w:t>元增</w:t>
      </w:r>
      <w:r>
        <w:rPr>
          <w:spacing w:val="-3"/>
          <w:w w:val="100"/>
        </w:rPr>
        <w:t>长</w:t>
      </w:r>
      <w:r>
        <w:rPr>
          <w:w w:val="100"/>
        </w:rPr>
        <w:t>了</w:t>
      </w:r>
      <w:r>
        <w:rPr>
          <w:spacing w:val="-79"/>
        </w:rPr>
        <w:t> </w:t>
      </w:r>
      <w:r>
        <w:rPr>
          <w:rFonts w:ascii="宋体" w:hAnsi="宋体" w:cs="宋体" w:eastAsia="宋体" w:hint="default"/>
          <w:w w:val="100"/>
        </w:rPr>
        <w:t>78.</w:t>
      </w:r>
      <w:r>
        <w:rPr>
          <w:rFonts w:ascii="宋体" w:hAnsi="宋体" w:cs="宋体" w:eastAsia="宋体" w:hint="default"/>
          <w:spacing w:val="-3"/>
          <w:w w:val="100"/>
        </w:rPr>
        <w:t>0</w:t>
      </w:r>
      <w:r>
        <w:rPr>
          <w:rFonts w:ascii="宋体" w:hAnsi="宋体" w:cs="宋体" w:eastAsia="宋体" w:hint="default"/>
          <w:spacing w:val="-1"/>
          <w:w w:val="100"/>
        </w:rPr>
        <w:t>0</w:t>
      </w:r>
      <w:r>
        <w:rPr>
          <w:rFonts w:ascii="宋体" w:hAnsi="宋体" w:cs="宋体" w:eastAsia="宋体" w:hint="default"/>
          <w:w w:val="100"/>
        </w:rPr>
        <w:t>%</w:t>
      </w:r>
      <w:r>
        <w:rPr>
          <w:w w:val="100"/>
        </w:rPr>
        <w:t>；</w:t>
      </w:r>
    </w:p>
    <w:p>
      <w:pPr>
        <w:pStyle w:val="BodyText"/>
        <w:spacing w:line="240" w:lineRule="auto" w:before="133"/>
        <w:ind w:right="0"/>
        <w:jc w:val="both"/>
      </w:pPr>
      <w:r>
        <w:rPr/>
        <w:t>营业成本为</w:t>
      </w:r>
      <w:r>
        <w:rPr>
          <w:spacing w:val="-54"/>
        </w:rPr>
        <w:t> </w:t>
      </w:r>
      <w:r>
        <w:rPr>
          <w:rFonts w:ascii="宋体" w:hAnsi="宋体" w:cs="宋体" w:eastAsia="宋体" w:hint="default"/>
        </w:rPr>
        <w:t>5,675,039,390.11</w:t>
      </w:r>
      <w:r>
        <w:rPr>
          <w:rFonts w:ascii="宋体" w:hAnsi="宋体" w:cs="宋体" w:eastAsia="宋体" w:hint="default"/>
          <w:spacing w:val="-56"/>
        </w:rPr>
        <w:t> </w:t>
      </w:r>
      <w:r>
        <w:rPr/>
        <w:t>元，较</w:t>
      </w:r>
      <w:r>
        <w:rPr>
          <w:spacing w:val="-54"/>
        </w:rPr>
        <w:t> </w:t>
      </w:r>
      <w:r>
        <w:rPr>
          <w:rFonts w:ascii="宋体" w:hAnsi="宋体" w:cs="宋体" w:eastAsia="宋体" w:hint="default"/>
        </w:rPr>
        <w:t>2016</w:t>
      </w:r>
      <w:r>
        <w:rPr>
          <w:rFonts w:ascii="宋体" w:hAnsi="宋体" w:cs="宋体" w:eastAsia="宋体" w:hint="default"/>
          <w:spacing w:val="-54"/>
        </w:rPr>
        <w:t> </w:t>
      </w:r>
      <w:r>
        <w:rPr/>
        <w:t>年的</w:t>
      </w:r>
      <w:r>
        <w:rPr>
          <w:spacing w:val="-54"/>
        </w:rPr>
        <w:t> </w:t>
      </w:r>
      <w:r>
        <w:rPr>
          <w:rFonts w:ascii="宋体" w:hAnsi="宋体" w:cs="宋体" w:eastAsia="宋体" w:hint="default"/>
        </w:rPr>
        <w:t>2,933,240,601.70</w:t>
      </w:r>
      <w:r>
        <w:rPr>
          <w:rFonts w:ascii="宋体" w:hAnsi="宋体" w:cs="宋体" w:eastAsia="宋体" w:hint="default"/>
          <w:spacing w:val="-56"/>
        </w:rPr>
        <w:t> </w:t>
      </w:r>
      <w:r>
        <w:rPr/>
        <w:t>元增长了</w:t>
      </w:r>
      <w:r>
        <w:rPr>
          <w:spacing w:val="-56"/>
        </w:rPr>
        <w:t> </w:t>
      </w:r>
      <w:r>
        <w:rPr>
          <w:rFonts w:ascii="宋体" w:hAnsi="宋体" w:cs="宋体" w:eastAsia="宋体" w:hint="default"/>
        </w:rPr>
        <w:t>93.47%</w:t>
      </w:r>
      <w:r>
        <w:rPr/>
        <w:t>；实现利润</w:t>
      </w:r>
    </w:p>
    <w:p>
      <w:pPr>
        <w:pStyle w:val="BodyText"/>
        <w:spacing w:line="240" w:lineRule="auto" w:before="133"/>
        <w:ind w:right="0"/>
        <w:jc w:val="both"/>
      </w:pPr>
      <w:r>
        <w:rPr/>
        <w:t>总额</w:t>
      </w:r>
      <w:r>
        <w:rPr>
          <w:spacing w:val="-55"/>
        </w:rPr>
        <w:t> </w:t>
      </w:r>
      <w:r>
        <w:rPr>
          <w:rFonts w:ascii="宋体" w:hAnsi="宋体" w:cs="宋体" w:eastAsia="宋体" w:hint="default"/>
        </w:rPr>
        <w:t>742,123,529.24</w:t>
      </w:r>
      <w:r>
        <w:rPr>
          <w:rFonts w:ascii="宋体" w:hAnsi="宋体" w:cs="宋体" w:eastAsia="宋体" w:hint="default"/>
          <w:spacing w:val="-55"/>
        </w:rPr>
        <w:t> </w:t>
      </w:r>
      <w:r>
        <w:rPr/>
        <w:t>元，较</w:t>
      </w:r>
      <w:r>
        <w:rPr>
          <w:spacing w:val="-54"/>
        </w:rPr>
        <w:t> </w:t>
      </w:r>
      <w:r>
        <w:rPr>
          <w:rFonts w:ascii="宋体" w:hAnsi="宋体" w:cs="宋体" w:eastAsia="宋体" w:hint="default"/>
        </w:rPr>
        <w:t>2016</w:t>
      </w:r>
      <w:r>
        <w:rPr>
          <w:rFonts w:ascii="宋体" w:hAnsi="宋体" w:cs="宋体" w:eastAsia="宋体" w:hint="default"/>
          <w:spacing w:val="-55"/>
        </w:rPr>
        <w:t> </w:t>
      </w:r>
      <w:r>
        <w:rPr/>
        <w:t>年的</w:t>
      </w:r>
      <w:r>
        <w:rPr>
          <w:spacing w:val="-55"/>
        </w:rPr>
        <w:t> </w:t>
      </w:r>
      <w:r>
        <w:rPr>
          <w:rFonts w:ascii="宋体" w:hAnsi="宋体" w:cs="宋体" w:eastAsia="宋体" w:hint="default"/>
        </w:rPr>
        <w:t>538,185,228.70</w:t>
      </w:r>
      <w:r>
        <w:rPr>
          <w:rFonts w:ascii="宋体" w:hAnsi="宋体" w:cs="宋体" w:eastAsia="宋体" w:hint="default"/>
          <w:spacing w:val="-4"/>
        </w:rPr>
        <w:t> </w:t>
      </w:r>
      <w:r>
        <w:rPr/>
        <w:t>元增长了</w:t>
      </w:r>
      <w:r>
        <w:rPr>
          <w:spacing w:val="-55"/>
        </w:rPr>
        <w:t> </w:t>
      </w:r>
      <w:r>
        <w:rPr>
          <w:rFonts w:ascii="宋体" w:hAnsi="宋体" w:cs="宋体" w:eastAsia="宋体" w:hint="default"/>
        </w:rPr>
        <w:t>37.89%</w:t>
      </w:r>
      <w:r>
        <w:rPr/>
        <w:t>；实现净利润</w:t>
      </w:r>
    </w:p>
    <w:p>
      <w:pPr>
        <w:pStyle w:val="BodyText"/>
        <w:spacing w:line="240" w:lineRule="auto" w:before="135"/>
        <w:ind w:right="0"/>
        <w:jc w:val="both"/>
      </w:pPr>
      <w:r>
        <w:rPr>
          <w:rFonts w:ascii="宋体" w:hAnsi="宋体" w:cs="宋体" w:eastAsia="宋体" w:hint="default"/>
        </w:rPr>
        <w:t>552,366,107.62</w:t>
      </w:r>
      <w:r>
        <w:rPr>
          <w:rFonts w:ascii="宋体" w:hAnsi="宋体" w:cs="宋体" w:eastAsia="宋体" w:hint="default"/>
          <w:spacing w:val="-54"/>
        </w:rPr>
        <w:t> </w:t>
      </w:r>
      <w:r>
        <w:rPr/>
        <w:t>元，较</w:t>
      </w:r>
      <w:r>
        <w:rPr>
          <w:spacing w:val="-53"/>
        </w:rPr>
        <w:t> </w:t>
      </w:r>
      <w:r>
        <w:rPr>
          <w:rFonts w:ascii="宋体" w:hAnsi="宋体" w:cs="宋体" w:eastAsia="宋体" w:hint="default"/>
        </w:rPr>
        <w:t>2016</w:t>
      </w:r>
      <w:r>
        <w:rPr>
          <w:rFonts w:ascii="宋体" w:hAnsi="宋体" w:cs="宋体" w:eastAsia="宋体" w:hint="default"/>
          <w:spacing w:val="-54"/>
        </w:rPr>
        <w:t> </w:t>
      </w:r>
      <w:r>
        <w:rPr/>
        <w:t>年的</w:t>
      </w:r>
      <w:r>
        <w:rPr>
          <w:spacing w:val="-54"/>
        </w:rPr>
        <w:t> </w:t>
      </w:r>
      <w:r>
        <w:rPr>
          <w:rFonts w:ascii="宋体" w:hAnsi="宋体" w:cs="宋体" w:eastAsia="宋体" w:hint="default"/>
        </w:rPr>
        <w:t>401,292,805.45</w:t>
      </w:r>
      <w:r>
        <w:rPr>
          <w:rFonts w:ascii="宋体" w:hAnsi="宋体" w:cs="宋体" w:eastAsia="宋体" w:hint="default"/>
          <w:spacing w:val="-56"/>
        </w:rPr>
        <w:t> </w:t>
      </w:r>
      <w:r>
        <w:rPr/>
        <w:t>元增长了</w:t>
      </w:r>
      <w:r>
        <w:rPr>
          <w:spacing w:val="-54"/>
        </w:rPr>
        <w:t> </w:t>
      </w:r>
      <w:r>
        <w:rPr>
          <w:rFonts w:ascii="宋体" w:hAnsi="宋体" w:cs="宋体" w:eastAsia="宋体" w:hint="default"/>
        </w:rPr>
        <w:t>37.65%</w:t>
      </w:r>
      <w:r>
        <w:rPr/>
        <w:t>。</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0" w:footer="1195" w:top="1120" w:bottom="1380" w:left="1580" w:right="1040"/>
        </w:sectPr>
      </w:pPr>
    </w:p>
    <w:p>
      <w:pPr>
        <w:spacing w:line="240" w:lineRule="auto" w:before="6"/>
        <w:rPr>
          <w:rFonts w:ascii="宋体" w:hAnsi="宋体" w:cs="宋体" w:eastAsia="宋体" w:hint="default"/>
          <w:sz w:val="15"/>
          <w:szCs w:val="15"/>
        </w:rPr>
      </w:pPr>
    </w:p>
    <w:p>
      <w:pPr>
        <w:pStyle w:val="Heading2"/>
        <w:tabs>
          <w:tab w:pos="1057" w:val="left" w:leader="none"/>
        </w:tabs>
        <w:spacing w:line="240" w:lineRule="auto"/>
        <w:ind w:right="-17"/>
        <w:jc w:val="left"/>
        <w:rPr>
          <w:b w:val="0"/>
          <w:bCs w:val="0"/>
        </w:rPr>
      </w:pPr>
      <w:r>
        <w:rPr>
          <w:rFonts w:ascii="宋体" w:hAnsi="宋体" w:cs="宋体" w:eastAsia="宋体" w:hint="default"/>
          <w:spacing w:val="-1"/>
        </w:rPr>
        <w:t>(</w:t>
      </w:r>
      <w:r>
        <w:rPr>
          <w:spacing w:val="-1"/>
        </w:rPr>
        <w:t>一</w:t>
      </w:r>
      <w:r>
        <w:rPr>
          <w:rFonts w:ascii="宋体" w:hAnsi="宋体" w:cs="宋体" w:eastAsia="宋体" w:hint="default"/>
          <w:spacing w:val="-1"/>
        </w:rPr>
        <w:t>)</w:t>
        <w:tab/>
      </w:r>
      <w:r>
        <w:rPr/>
        <w:t>主营业务分析</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13"/>
        <w:rPr>
          <w:rFonts w:ascii="宋体" w:hAnsi="宋体" w:cs="宋体" w:eastAsia="宋体" w:hint="default"/>
          <w:b/>
          <w:bCs/>
          <w:sz w:val="20"/>
          <w:szCs w:val="20"/>
        </w:rPr>
      </w:pPr>
    </w:p>
    <w:p>
      <w:pPr>
        <w:pStyle w:val="Heading2"/>
        <w:spacing w:line="240" w:lineRule="auto"/>
        <w:ind w:right="0"/>
        <w:jc w:val="left"/>
        <w:rPr>
          <w:b w:val="0"/>
          <w:bCs w:val="0"/>
        </w:rPr>
      </w:pPr>
      <w:r>
        <w:rPr>
          <w:spacing w:val="-1"/>
        </w:rPr>
        <w:t>利润表及现金流量表相关科目变动分析表</w:t>
      </w:r>
      <w:r>
        <w:rPr>
          <w:b w:val="0"/>
          <w:bCs w:val="0"/>
          <w:spacing w:val="-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6"/>
          <w:szCs w:val="26"/>
        </w:rPr>
      </w:pPr>
    </w:p>
    <w:p>
      <w:pPr>
        <w:pStyle w:val="BodyText"/>
        <w:tabs>
          <w:tab w:pos="1139" w:val="left" w:leader="none"/>
        </w:tabs>
        <w:spacing w:line="240" w:lineRule="auto"/>
        <w:ind w:left="193"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3" w:equalWidth="0">
            <w:col w:w="2326" w:space="377"/>
            <w:col w:w="4016" w:space="40"/>
            <w:col w:w="2531"/>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75"/>
        <w:gridCol w:w="1918"/>
        <w:gridCol w:w="1896"/>
        <w:gridCol w:w="1860"/>
      </w:tblGrid>
      <w:tr>
        <w:trPr>
          <w:trHeight w:val="281" w:hRule="exact"/>
        </w:trPr>
        <w:tc>
          <w:tcPr>
            <w:tcW w:w="3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科目</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5"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5"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0" w:right="0"/>
              <w:jc w:val="left"/>
              <w:rPr>
                <w:rFonts w:ascii="宋体" w:hAnsi="宋体" w:cs="宋体" w:eastAsia="宋体" w:hint="default"/>
                <w:sz w:val="21"/>
                <w:szCs w:val="21"/>
              </w:rPr>
            </w:pPr>
            <w:r>
              <w:rPr>
                <w:rFonts w:ascii="宋体" w:hAnsi="宋体" w:cs="宋体" w:eastAsia="宋体" w:hint="default"/>
                <w:sz w:val="21"/>
                <w:szCs w:val="21"/>
              </w:rPr>
              <w:t>变动比例（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3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6,760,621,855.82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3,798,127,101.17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78.00</w:t>
            </w:r>
          </w:p>
        </w:tc>
      </w:tr>
      <w:tr>
        <w:trPr>
          <w:trHeight w:val="283" w:hRule="exact"/>
        </w:trPr>
        <w:tc>
          <w:tcPr>
            <w:tcW w:w="3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5,675,039,390.11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2,933,240,601.70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93.47</w:t>
            </w:r>
          </w:p>
        </w:tc>
      </w:tr>
      <w:tr>
        <w:trPr>
          <w:trHeight w:val="281" w:hRule="exact"/>
        </w:trPr>
        <w:tc>
          <w:tcPr>
            <w:tcW w:w="3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15,489,084.44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13,909,402.46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11.36</w:t>
            </w:r>
          </w:p>
        </w:tc>
      </w:tr>
      <w:tr>
        <w:trPr>
          <w:trHeight w:val="284" w:hRule="exact"/>
        </w:trPr>
        <w:tc>
          <w:tcPr>
            <w:tcW w:w="3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173,981,056.46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121,363,524.06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43.36</w:t>
            </w:r>
          </w:p>
        </w:tc>
      </w:tr>
      <w:tr>
        <w:trPr>
          <w:trHeight w:val="283" w:hRule="exact"/>
        </w:trPr>
        <w:tc>
          <w:tcPr>
            <w:tcW w:w="3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190,707,407.06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237,237,523.16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-19.61</w:t>
            </w:r>
          </w:p>
        </w:tc>
      </w:tr>
      <w:tr>
        <w:trPr>
          <w:trHeight w:val="281" w:hRule="exact"/>
        </w:trPr>
        <w:tc>
          <w:tcPr>
            <w:tcW w:w="3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4"/>
              <w:jc w:val="right"/>
              <w:rPr>
                <w:rFonts w:ascii="宋体" w:hAnsi="宋体" w:cs="宋体" w:eastAsia="宋体" w:hint="default"/>
                <w:sz w:val="20"/>
                <w:szCs w:val="20"/>
              </w:rPr>
            </w:pPr>
            <w:r>
              <w:rPr>
                <w:rFonts w:ascii="宋体"/>
                <w:w w:val="95"/>
                <w:sz w:val="20"/>
              </w:rPr>
              <w:t>851,990,302.02</w:t>
            </w:r>
            <w:r>
              <w:rPr>
                <w:rFonts w:ascii="宋体"/>
                <w:sz w:val="20"/>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939,692,854.16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-9.33</w:t>
            </w:r>
          </w:p>
        </w:tc>
      </w:tr>
      <w:tr>
        <w:trPr>
          <w:trHeight w:val="283" w:hRule="exact"/>
        </w:trPr>
        <w:tc>
          <w:tcPr>
            <w:tcW w:w="3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4"/>
              <w:jc w:val="right"/>
              <w:rPr>
                <w:rFonts w:ascii="宋体" w:hAnsi="宋体" w:cs="宋体" w:eastAsia="宋体" w:hint="default"/>
                <w:sz w:val="20"/>
                <w:szCs w:val="20"/>
              </w:rPr>
            </w:pPr>
            <w:r>
              <w:rPr>
                <w:rFonts w:ascii="宋体"/>
                <w:w w:val="95"/>
                <w:sz w:val="20"/>
              </w:rPr>
              <w:t>-1,199,622,736.83</w:t>
            </w:r>
            <w:r>
              <w:rPr>
                <w:rFonts w:ascii="宋体"/>
                <w:sz w:val="20"/>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-489,712,978.26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-144.96</w:t>
            </w:r>
          </w:p>
        </w:tc>
      </w:tr>
      <w:tr>
        <w:trPr>
          <w:trHeight w:val="283" w:hRule="exact"/>
        </w:trPr>
        <w:tc>
          <w:tcPr>
            <w:tcW w:w="3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4"/>
              <w:jc w:val="right"/>
              <w:rPr>
                <w:rFonts w:ascii="宋体" w:hAnsi="宋体" w:cs="宋体" w:eastAsia="宋体" w:hint="default"/>
                <w:sz w:val="20"/>
                <w:szCs w:val="20"/>
              </w:rPr>
            </w:pPr>
            <w:r>
              <w:rPr>
                <w:rFonts w:ascii="宋体"/>
                <w:w w:val="95"/>
                <w:sz w:val="20"/>
              </w:rPr>
              <w:t>273,733,304.53</w:t>
            </w:r>
            <w:r>
              <w:rPr>
                <w:rFonts w:ascii="宋体"/>
                <w:sz w:val="20"/>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131,170,393.62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108.69</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pStyle w:val="Heading2"/>
        <w:tabs>
          <w:tab w:pos="637" w:val="left" w:leader="none"/>
        </w:tabs>
        <w:spacing w:line="240" w:lineRule="auto" w:before="36"/>
        <w:ind w:right="2497"/>
        <w:jc w:val="left"/>
        <w:rPr>
          <w:b w:val="0"/>
          <w:bCs w:val="0"/>
        </w:rPr>
      </w:pPr>
      <w:r>
        <w:rPr>
          <w:rFonts w:ascii="宋体" w:hAnsi="宋体" w:cs="宋体" w:eastAsia="宋体" w:hint="default"/>
          <w:w w:val="95"/>
        </w:rPr>
        <w:t>1.</w:t>
        <w:tab/>
      </w:r>
      <w:r>
        <w:rPr/>
        <w:t>收入和成本分析</w:t>
      </w:r>
      <w:r>
        <w:rPr>
          <w:b w:val="0"/>
          <w:bCs w:val="0"/>
        </w:rPr>
      </w:r>
    </w:p>
    <w:p>
      <w:pPr>
        <w:pStyle w:val="BodyText"/>
        <w:spacing w:line="240" w:lineRule="auto" w:before="56"/>
        <w:ind w:right="2497"/>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2"/>
        <w:spacing w:line="240" w:lineRule="auto" w:before="36"/>
        <w:ind w:right="-8"/>
        <w:jc w:val="left"/>
        <w:rPr>
          <w:b w:val="0"/>
          <w:bCs w:val="0"/>
        </w:rPr>
      </w:pPr>
      <w:r>
        <w:rPr>
          <w:rFonts w:ascii="宋体" w:hAnsi="宋体" w:cs="宋体" w:eastAsia="宋体" w:hint="default"/>
        </w:rPr>
        <w:t>(1).</w:t>
      </w:r>
      <w:r>
        <w:rPr>
          <w:rFonts w:ascii="宋体" w:hAnsi="宋体" w:cs="宋体" w:eastAsia="宋体" w:hint="default"/>
          <w:spacing w:val="37"/>
        </w:rPr>
        <w:t> </w:t>
      </w:r>
      <w:r>
        <w:rPr/>
        <w:t>主营业务分行业、分产品、分地区情况</w:t>
      </w:r>
      <w:r>
        <w:rPr>
          <w:b w:val="0"/>
          <w:bCs w:val="0"/>
        </w:rPr>
      </w:r>
    </w:p>
    <w:p>
      <w:pPr>
        <w:spacing w:line="240" w:lineRule="auto" w:before="13"/>
        <w:rPr>
          <w:rFonts w:ascii="宋体" w:hAnsi="宋体" w:cs="宋体" w:eastAsia="宋体" w:hint="default"/>
          <w:b/>
          <w:bCs/>
          <w:sz w:val="25"/>
          <w:szCs w:val="25"/>
        </w:rPr>
      </w:pPr>
    </w:p>
    <w:p>
      <w:pPr>
        <w:pStyle w:val="BodyText"/>
        <w:spacing w:line="240" w:lineRule="auto"/>
        <w:ind w:left="3689" w:right="-8"/>
        <w:jc w:val="left"/>
      </w:pPr>
      <w:r>
        <w:rPr/>
        <w:pict>
          <v:group style="position:absolute;margin-left:84.264pt;margin-top:.983629pt;width:453pt;height:15.15pt;mso-position-horizontal-relative:page;mso-position-vertical-relative:paragraph;z-index:-775000" coordorigin="1685,20" coordsize="9060,303">
            <v:group style="position:absolute;left:1695;top:29;width:9040;height:2" coordorigin="1695,29" coordsize="9040,2">
              <v:shape style="position:absolute;left:1695;top:29;width:9040;height:2" coordorigin="1695,29" coordsize="9040,0" path="m1695,29l10735,29e" filled="false" stroked="true" strokeweight=".48004pt" strokecolor="#000000">
                <v:path arrowok="t"/>
              </v:shape>
            </v:group>
            <v:group style="position:absolute;left:1690;top:24;width:2;height:293" coordorigin="1690,24" coordsize="2,293">
              <v:shape style="position:absolute;left:1690;top:24;width:2;height:293" coordorigin="1690,24" coordsize="0,293" path="m1690,24l1690,317e" filled="false" stroked="true" strokeweight=".48pt" strokecolor="#000000">
                <v:path arrowok="t"/>
              </v:shape>
            </v:group>
            <v:group style="position:absolute;left:1695;top:312;width:9040;height:2" coordorigin="1695,312" coordsize="9040,2">
              <v:shape style="position:absolute;left:1695;top:312;width:9040;height:2" coordorigin="1695,312" coordsize="9040,0" path="m1695,312l10735,312e" filled="false" stroked="true" strokeweight=".47998pt" strokecolor="#000000">
                <v:path arrowok="t"/>
              </v:shape>
            </v:group>
            <v:group style="position:absolute;left:10740;top:24;width:2;height:293" coordorigin="10740,24" coordsize="2,293">
              <v:shape style="position:absolute;left:10740;top:24;width:2;height:293" coordorigin="10740,24" coordsize="0,293" path="m10740,24l10740,317e" filled="false" stroked="true" strokeweight=".47998pt" strokecolor="#000000">
                <v:path arrowok="t"/>
              </v:shape>
            </v:group>
            <w10:wrap type="none"/>
          </v:group>
        </w:pict>
      </w:r>
      <w:r>
        <w:rPr>
          <w:spacing w:val="-1"/>
        </w:rPr>
        <w:t>主营业务分行业情况</w:t>
      </w:r>
    </w:p>
    <w:p>
      <w:pPr>
        <w:spacing w:line="240" w:lineRule="auto" w:before="4"/>
        <w:rPr>
          <w:rFonts w:ascii="宋体" w:hAnsi="宋体" w:cs="宋体" w:eastAsia="宋体" w:hint="default"/>
          <w:sz w:val="28"/>
          <w:szCs w:val="28"/>
        </w:rPr>
      </w:pPr>
      <w:r>
        <w:rPr/>
        <w:br w:type="column"/>
      </w:r>
      <w:r>
        <w:rPr>
          <w:rFonts w:ascii="宋体"/>
          <w:sz w:val="28"/>
        </w:rPr>
      </w:r>
    </w:p>
    <w:p>
      <w:pPr>
        <w:pStyle w:val="BodyText"/>
        <w:tabs>
          <w:tab w:pos="1164"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5583" w:space="1150"/>
            <w:col w:w="2557"/>
          </w:cols>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054"/>
        <w:gridCol w:w="1897"/>
        <w:gridCol w:w="1896"/>
        <w:gridCol w:w="1054"/>
        <w:gridCol w:w="1051"/>
        <w:gridCol w:w="1052"/>
        <w:gridCol w:w="1046"/>
      </w:tblGrid>
      <w:tr>
        <w:trPr>
          <w:trHeight w:val="1100"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206" w:right="0"/>
              <w:jc w:val="left"/>
              <w:rPr>
                <w:rFonts w:ascii="宋体" w:hAnsi="宋体" w:cs="宋体" w:eastAsia="宋体" w:hint="default"/>
                <w:sz w:val="21"/>
                <w:szCs w:val="21"/>
              </w:rPr>
            </w:pPr>
            <w:r>
              <w:rPr>
                <w:rFonts w:ascii="宋体" w:hAnsi="宋体" w:cs="宋体" w:eastAsia="宋体" w:hint="default"/>
                <w:sz w:val="21"/>
                <w:szCs w:val="21"/>
              </w:rPr>
              <w:t>分行业</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74" w:lineRule="exact"/>
              <w:ind w:left="204"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4" w:lineRule="exact"/>
              <w:ind w:left="256"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01" w:right="0"/>
              <w:jc w:val="left"/>
              <w:rPr>
                <w:rFonts w:ascii="宋体" w:hAnsi="宋体" w:cs="宋体" w:eastAsia="宋体" w:hint="default"/>
                <w:sz w:val="21"/>
                <w:szCs w:val="21"/>
              </w:rPr>
            </w:pPr>
            <w:r>
              <w:rPr>
                <w:rFonts w:ascii="宋体" w:hAnsi="宋体" w:cs="宋体" w:eastAsia="宋体" w:hint="default"/>
                <w:sz w:val="21"/>
                <w:szCs w:val="21"/>
              </w:rPr>
              <w:t>营业收</w:t>
            </w:r>
          </w:p>
          <w:p>
            <w:pPr>
              <w:pStyle w:val="TableParagraph"/>
              <w:spacing w:line="240" w:lineRule="auto"/>
              <w:ind w:left="201" w:right="204"/>
              <w:jc w:val="left"/>
              <w:rPr>
                <w:rFonts w:ascii="宋体" w:hAnsi="宋体" w:cs="宋体" w:eastAsia="宋体" w:hint="default"/>
                <w:sz w:val="21"/>
                <w:szCs w:val="21"/>
              </w:rPr>
            </w:pPr>
            <w:r>
              <w:rPr>
                <w:rFonts w:ascii="宋体" w:hAnsi="宋体" w:cs="宋体" w:eastAsia="宋体" w:hint="default"/>
                <w:sz w:val="21"/>
                <w:szCs w:val="21"/>
              </w:rPr>
              <w:t>入比上</w:t>
            </w:r>
            <w:r>
              <w:rPr>
                <w:rFonts w:ascii="宋体" w:hAnsi="宋体" w:cs="宋体" w:eastAsia="宋体" w:hint="default"/>
                <w:spacing w:val="-102"/>
                <w:sz w:val="21"/>
                <w:szCs w:val="21"/>
              </w:rPr>
              <w:t> </w:t>
            </w:r>
            <w:r>
              <w:rPr>
                <w:rFonts w:ascii="宋体" w:hAnsi="宋体" w:cs="宋体" w:eastAsia="宋体" w:hint="default"/>
                <w:sz w:val="21"/>
                <w:szCs w:val="21"/>
              </w:rPr>
              <w:t>年增减</w:t>
            </w:r>
          </w:p>
          <w:p>
            <w:pPr>
              <w:pStyle w:val="TableParagraph"/>
              <w:spacing w:line="271" w:lineRule="exact"/>
              <w:ind w:left="25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03" w:right="0"/>
              <w:jc w:val="left"/>
              <w:rPr>
                <w:rFonts w:ascii="宋体" w:hAnsi="宋体" w:cs="宋体" w:eastAsia="宋体" w:hint="default"/>
                <w:sz w:val="21"/>
                <w:szCs w:val="21"/>
              </w:rPr>
            </w:pPr>
            <w:r>
              <w:rPr>
                <w:rFonts w:ascii="宋体" w:hAnsi="宋体" w:cs="宋体" w:eastAsia="宋体" w:hint="default"/>
                <w:sz w:val="21"/>
                <w:szCs w:val="21"/>
              </w:rPr>
              <w:t>营业成</w:t>
            </w:r>
          </w:p>
          <w:p>
            <w:pPr>
              <w:pStyle w:val="TableParagraph"/>
              <w:spacing w:line="240" w:lineRule="auto"/>
              <w:ind w:left="203" w:right="202"/>
              <w:jc w:val="left"/>
              <w:rPr>
                <w:rFonts w:ascii="宋体" w:hAnsi="宋体" w:cs="宋体" w:eastAsia="宋体" w:hint="default"/>
                <w:sz w:val="21"/>
                <w:szCs w:val="21"/>
              </w:rPr>
            </w:pPr>
            <w:r>
              <w:rPr>
                <w:rFonts w:ascii="宋体" w:hAnsi="宋体" w:cs="宋体" w:eastAsia="宋体" w:hint="default"/>
                <w:sz w:val="21"/>
                <w:szCs w:val="21"/>
              </w:rPr>
              <w:t>本比上</w:t>
            </w:r>
            <w:r>
              <w:rPr>
                <w:rFonts w:ascii="宋体" w:hAnsi="宋体" w:cs="宋体" w:eastAsia="宋体" w:hint="default"/>
                <w:spacing w:val="-102"/>
                <w:sz w:val="21"/>
                <w:szCs w:val="21"/>
              </w:rPr>
              <w:t> </w:t>
            </w:r>
            <w:r>
              <w:rPr>
                <w:rFonts w:ascii="宋体" w:hAnsi="宋体" w:cs="宋体" w:eastAsia="宋体" w:hint="default"/>
                <w:sz w:val="21"/>
                <w:szCs w:val="21"/>
              </w:rPr>
              <w:t>年增减</w:t>
            </w:r>
          </w:p>
          <w:p>
            <w:pPr>
              <w:pStyle w:val="TableParagraph"/>
              <w:spacing w:line="271" w:lineRule="exact"/>
              <w:ind w:left="25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5" w:hanging="108"/>
              <w:jc w:val="center"/>
              <w:rPr>
                <w:rFonts w:ascii="宋体" w:hAnsi="宋体" w:cs="宋体" w:eastAsia="宋体" w:hint="default"/>
                <w:sz w:val="21"/>
                <w:szCs w:val="21"/>
              </w:rPr>
            </w:pPr>
            <w:r>
              <w:rPr>
                <w:rFonts w:ascii="宋体" w:hAnsi="宋体" w:cs="宋体" w:eastAsia="宋体" w:hint="default"/>
                <w:sz w:val="21"/>
                <w:szCs w:val="21"/>
              </w:rPr>
              <w:t>毛利率</w:t>
            </w:r>
            <w:r>
              <w:rPr>
                <w:rFonts w:ascii="宋体" w:hAnsi="宋体" w:cs="宋体" w:eastAsia="宋体" w:hint="default"/>
                <w:w w:val="100"/>
                <w:sz w:val="21"/>
                <w:szCs w:val="21"/>
              </w:rPr>
              <w:t> </w:t>
            </w:r>
            <w:r>
              <w:rPr>
                <w:rFonts w:ascii="宋体" w:hAnsi="宋体" w:cs="宋体" w:eastAsia="宋体" w:hint="default"/>
                <w:sz w:val="21"/>
                <w:szCs w:val="21"/>
              </w:rPr>
              <w:t>比上年</w:t>
            </w:r>
            <w:r>
              <w:rPr>
                <w:rFonts w:ascii="宋体" w:hAnsi="宋体" w:cs="宋体" w:eastAsia="宋体" w:hint="default"/>
                <w:w w:val="100"/>
                <w:sz w:val="21"/>
                <w:szCs w:val="21"/>
              </w:rPr>
              <w:t> </w:t>
            </w:r>
            <w:r>
              <w:rPr>
                <w:rFonts w:ascii="宋体" w:hAnsi="宋体" w:cs="宋体" w:eastAsia="宋体" w:hint="default"/>
                <w:spacing w:val="-3"/>
                <w:sz w:val="21"/>
                <w:szCs w:val="21"/>
              </w:rPr>
              <w:t>增减（</w:t>
            </w:r>
            <w:r>
              <w:rPr>
                <w:rFonts w:ascii="宋体" w:hAnsi="宋体" w:cs="宋体" w:eastAsia="宋体" w:hint="default"/>
                <w:spacing w:val="-3"/>
                <w:sz w:val="21"/>
                <w:szCs w:val="21"/>
              </w:rPr>
              <w:t>%</w:t>
            </w:r>
            <w:r>
              <w:rPr>
                <w:rFonts w:ascii="宋体" w:hAnsi="宋体" w:cs="宋体" w:eastAsia="宋体" w:hint="default"/>
                <w:spacing w:val="-3"/>
                <w:sz w:val="21"/>
                <w:szCs w:val="21"/>
              </w:rPr>
              <w:t>）</w:t>
            </w:r>
          </w:p>
        </w:tc>
      </w:tr>
      <w:tr>
        <w:trPr>
          <w:trHeight w:val="82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物流服</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务业</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6,760,621,855.82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5,675,039,390.11</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07" w:right="0"/>
              <w:jc w:val="left"/>
              <w:rPr>
                <w:rFonts w:ascii="宋体" w:hAnsi="宋体" w:cs="宋体" w:eastAsia="宋体" w:hint="default"/>
                <w:sz w:val="21"/>
                <w:szCs w:val="21"/>
              </w:rPr>
            </w:pPr>
            <w:r>
              <w:rPr>
                <w:rFonts w:ascii="宋体"/>
                <w:sz w:val="21"/>
              </w:rPr>
              <w:t>16.06%</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04" w:right="0"/>
              <w:jc w:val="left"/>
              <w:rPr>
                <w:rFonts w:ascii="宋体" w:hAnsi="宋体" w:cs="宋体" w:eastAsia="宋体" w:hint="default"/>
                <w:sz w:val="21"/>
                <w:szCs w:val="21"/>
              </w:rPr>
            </w:pPr>
            <w:r>
              <w:rPr>
                <w:rFonts w:ascii="宋体"/>
                <w:sz w:val="21"/>
              </w:rPr>
              <w:t>78.00%</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07" w:right="0"/>
              <w:jc w:val="left"/>
              <w:rPr>
                <w:rFonts w:ascii="宋体" w:hAnsi="宋体" w:cs="宋体" w:eastAsia="宋体" w:hint="default"/>
                <w:sz w:val="21"/>
                <w:szCs w:val="21"/>
              </w:rPr>
            </w:pPr>
            <w:r>
              <w:rPr>
                <w:rFonts w:ascii="宋体"/>
                <w:sz w:val="21"/>
              </w:rPr>
              <w:t>93.47%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13" w:right="0"/>
              <w:jc w:val="left"/>
              <w:rPr>
                <w:rFonts w:ascii="宋体" w:hAnsi="宋体" w:cs="宋体" w:eastAsia="宋体" w:hint="default"/>
                <w:sz w:val="21"/>
                <w:szCs w:val="21"/>
              </w:rPr>
            </w:pPr>
            <w:r>
              <w:rPr>
                <w:rFonts w:ascii="宋体" w:hAnsi="宋体" w:cs="宋体" w:eastAsia="宋体" w:hint="default"/>
                <w:sz w:val="21"/>
                <w:szCs w:val="21"/>
              </w:rPr>
              <w:t>减少</w:t>
            </w:r>
          </w:p>
          <w:p>
            <w:pPr>
              <w:pStyle w:val="TableParagraph"/>
              <w:spacing w:line="240" w:lineRule="auto"/>
              <w:ind w:left="302" w:right="98" w:hanging="51"/>
              <w:jc w:val="left"/>
              <w:rPr>
                <w:rFonts w:ascii="宋体" w:hAnsi="宋体" w:cs="宋体" w:eastAsia="宋体" w:hint="default"/>
                <w:sz w:val="21"/>
                <w:szCs w:val="21"/>
              </w:rPr>
            </w:pPr>
            <w:r>
              <w:rPr>
                <w:rFonts w:ascii="宋体" w:hAnsi="宋体" w:cs="宋体" w:eastAsia="宋体" w:hint="default"/>
                <w:sz w:val="21"/>
                <w:szCs w:val="21"/>
              </w:rPr>
              <w:t>6.71</w:t>
            </w:r>
            <w:r>
              <w:rPr>
                <w:rFonts w:ascii="宋体" w:hAnsi="宋体" w:cs="宋体" w:eastAsia="宋体" w:hint="default"/>
                <w:spacing w:val="-53"/>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百分点</w:t>
            </w:r>
          </w:p>
        </w:tc>
      </w:tr>
    </w:tbl>
    <w:p>
      <w:pPr>
        <w:spacing w:line="240" w:lineRule="auto" w:before="7"/>
        <w:rPr>
          <w:rFonts w:ascii="宋体" w:hAnsi="宋体" w:cs="宋体" w:eastAsia="宋体" w:hint="default"/>
          <w:sz w:val="15"/>
          <w:szCs w:val="15"/>
        </w:rPr>
      </w:pPr>
    </w:p>
    <w:p>
      <w:pPr>
        <w:pStyle w:val="BodyText"/>
        <w:spacing w:line="273" w:lineRule="exact" w:before="36"/>
        <w:ind w:right="2497"/>
        <w:jc w:val="left"/>
      </w:pPr>
      <w:r>
        <w:rPr/>
        <w:t>主营业务分行业、分产品、分地区情况的说明</w:t>
      </w:r>
    </w:p>
    <w:p>
      <w:pPr>
        <w:pStyle w:val="BodyText"/>
        <w:spacing w:line="273" w:lineRule="exact"/>
        <w:ind w:right="249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497"/>
        <w:jc w:val="left"/>
        <w:rPr>
          <w:b w:val="0"/>
          <w:bCs w:val="0"/>
        </w:rPr>
      </w:pPr>
      <w:r>
        <w:rPr>
          <w:rFonts w:ascii="宋体" w:hAnsi="宋体" w:cs="宋体" w:eastAsia="宋体" w:hint="default"/>
        </w:rPr>
        <w:t>(2).</w:t>
      </w:r>
      <w:r>
        <w:rPr>
          <w:rFonts w:ascii="宋体" w:hAnsi="宋体" w:cs="宋体" w:eastAsia="宋体" w:hint="default"/>
          <w:spacing w:val="40"/>
        </w:rPr>
        <w:t> </w:t>
      </w:r>
      <w:r>
        <w:rPr/>
        <w:t>产销量情况分析表</w:t>
      </w:r>
      <w:r>
        <w:rPr>
          <w:b w:val="0"/>
          <w:bCs w:val="0"/>
        </w:rPr>
      </w:r>
    </w:p>
    <w:p>
      <w:pPr>
        <w:pStyle w:val="BodyText"/>
        <w:spacing w:line="240" w:lineRule="auto" w:before="59"/>
        <w:ind w:right="2497"/>
        <w:jc w:val="left"/>
      </w:pPr>
      <w:r>
        <w:rPr/>
        <w:t>□适用</w:t>
      </w:r>
      <w:r>
        <w:rPr>
          <w:spacing w:val="-1"/>
        </w:rPr>
        <w:t> </w:t>
      </w:r>
      <w:r>
        <w:rPr/>
        <w:t>√不适用</w:t>
      </w:r>
    </w:p>
    <w:p>
      <w:pPr>
        <w:spacing w:line="240" w:lineRule="auto" w:before="6"/>
        <w:rPr>
          <w:rFonts w:ascii="宋体" w:hAnsi="宋体" w:cs="宋体" w:eastAsia="宋体" w:hint="default"/>
          <w:sz w:val="22"/>
          <w:szCs w:val="22"/>
        </w:rPr>
      </w:pPr>
    </w:p>
    <w:p>
      <w:pPr>
        <w:pStyle w:val="Heading2"/>
        <w:spacing w:line="240" w:lineRule="auto" w:before="36"/>
        <w:ind w:right="2497"/>
        <w:jc w:val="left"/>
        <w:rPr>
          <w:b w:val="0"/>
          <w:bCs w:val="0"/>
        </w:rPr>
      </w:pPr>
      <w:r>
        <w:rPr>
          <w:rFonts w:ascii="宋体" w:hAnsi="宋体" w:cs="宋体" w:eastAsia="宋体" w:hint="default"/>
        </w:rPr>
        <w:t>(3).</w:t>
      </w:r>
      <w:r>
        <w:rPr>
          <w:rFonts w:ascii="宋体" w:hAnsi="宋体" w:cs="宋体" w:eastAsia="宋体" w:hint="default"/>
          <w:spacing w:val="39"/>
        </w:rPr>
        <w:t> </w:t>
      </w:r>
      <w:r>
        <w:rPr/>
        <w:t>成本分析表</w:t>
      </w:r>
      <w:r>
        <w:rPr>
          <w:b w:val="0"/>
          <w:bCs w:val="0"/>
        </w:rPr>
      </w:r>
    </w:p>
    <w:p>
      <w:pPr>
        <w:pStyle w:val="BodyText"/>
        <w:spacing w:line="240" w:lineRule="auto" w:before="56"/>
        <w:ind w:left="0" w:right="230"/>
        <w:jc w:val="right"/>
      </w:pPr>
      <w:r>
        <w:rPr>
          <w:spacing w:val="-1"/>
        </w:rPr>
        <w:t>单位：元</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015"/>
        <w:gridCol w:w="938"/>
        <w:gridCol w:w="1897"/>
        <w:gridCol w:w="910"/>
        <w:gridCol w:w="1898"/>
        <w:gridCol w:w="845"/>
        <w:gridCol w:w="847"/>
        <w:gridCol w:w="698"/>
      </w:tblGrid>
      <w:tr>
        <w:trPr>
          <w:trHeight w:val="281"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分行业情况</w:t>
            </w:r>
          </w:p>
        </w:tc>
      </w:tr>
      <w:tr>
        <w:trPr>
          <w:trHeight w:val="1373" w:hRule="exact"/>
        </w:trPr>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87" w:right="0"/>
              <w:jc w:val="left"/>
              <w:rPr>
                <w:rFonts w:ascii="宋体" w:hAnsi="宋体" w:cs="宋体" w:eastAsia="宋体" w:hint="default"/>
                <w:sz w:val="21"/>
                <w:szCs w:val="21"/>
              </w:rPr>
            </w:pPr>
            <w:r>
              <w:rPr>
                <w:rFonts w:ascii="宋体" w:hAnsi="宋体" w:cs="宋体" w:eastAsia="宋体" w:hint="default"/>
                <w:sz w:val="21"/>
                <w:szCs w:val="21"/>
              </w:rPr>
              <w:t>分行业</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146" w:right="146"/>
              <w:jc w:val="left"/>
              <w:rPr>
                <w:rFonts w:ascii="宋体" w:hAnsi="宋体" w:cs="宋体" w:eastAsia="宋体" w:hint="default"/>
                <w:sz w:val="21"/>
                <w:szCs w:val="21"/>
              </w:rPr>
            </w:pPr>
            <w:r>
              <w:rPr>
                <w:rFonts w:ascii="宋体" w:hAnsi="宋体" w:cs="宋体" w:eastAsia="宋体" w:hint="default"/>
                <w:sz w:val="21"/>
                <w:szCs w:val="21"/>
              </w:rPr>
              <w:t>成本构</w:t>
            </w:r>
            <w:r>
              <w:rPr>
                <w:rFonts w:ascii="宋体" w:hAnsi="宋体" w:cs="宋体" w:eastAsia="宋体" w:hint="default"/>
                <w:spacing w:val="-102"/>
                <w:sz w:val="21"/>
                <w:szCs w:val="21"/>
              </w:rPr>
              <w:t> </w:t>
            </w:r>
            <w:r>
              <w:rPr>
                <w:rFonts w:ascii="宋体" w:hAnsi="宋体" w:cs="宋体" w:eastAsia="宋体" w:hint="default"/>
                <w:sz w:val="21"/>
                <w:szCs w:val="21"/>
              </w:rPr>
              <w:t>成项目</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34" w:right="130"/>
              <w:jc w:val="center"/>
              <w:rPr>
                <w:rFonts w:ascii="宋体" w:hAnsi="宋体" w:cs="宋体" w:eastAsia="宋体" w:hint="default"/>
                <w:sz w:val="21"/>
                <w:szCs w:val="21"/>
              </w:rPr>
            </w:pPr>
            <w:r>
              <w:rPr>
                <w:rFonts w:ascii="宋体" w:hAnsi="宋体" w:cs="宋体" w:eastAsia="宋体" w:hint="default"/>
                <w:sz w:val="21"/>
                <w:szCs w:val="21"/>
              </w:rPr>
              <w:t>本期占</w:t>
            </w:r>
            <w:r>
              <w:rPr>
                <w:rFonts w:ascii="宋体" w:hAnsi="宋体" w:cs="宋体" w:eastAsia="宋体" w:hint="default"/>
                <w:w w:val="100"/>
                <w:sz w:val="21"/>
                <w:szCs w:val="21"/>
              </w:rPr>
              <w:t> </w:t>
            </w:r>
            <w:r>
              <w:rPr>
                <w:rFonts w:ascii="宋体" w:hAnsi="宋体" w:cs="宋体" w:eastAsia="宋体" w:hint="default"/>
                <w:sz w:val="21"/>
                <w:szCs w:val="21"/>
              </w:rPr>
              <w:t>总成本</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上年同期金额</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0" w:right="99"/>
              <w:jc w:val="both"/>
              <w:rPr>
                <w:rFonts w:ascii="宋体" w:hAnsi="宋体" w:cs="宋体" w:eastAsia="宋体" w:hint="default"/>
                <w:sz w:val="21"/>
                <w:szCs w:val="21"/>
              </w:rPr>
            </w:pPr>
            <w:r>
              <w:rPr>
                <w:rFonts w:ascii="宋体" w:hAnsi="宋体" w:cs="宋体" w:eastAsia="宋体" w:hint="default"/>
                <w:sz w:val="21"/>
                <w:szCs w:val="21"/>
              </w:rPr>
              <w:t>上年同</w:t>
            </w:r>
            <w:r>
              <w:rPr>
                <w:rFonts w:ascii="宋体" w:hAnsi="宋体" w:cs="宋体" w:eastAsia="宋体" w:hint="default"/>
                <w:spacing w:val="-102"/>
                <w:sz w:val="21"/>
                <w:szCs w:val="21"/>
              </w:rPr>
              <w:t> </w:t>
            </w:r>
            <w:r>
              <w:rPr>
                <w:rFonts w:ascii="宋体" w:hAnsi="宋体" w:cs="宋体" w:eastAsia="宋体" w:hint="default"/>
                <w:sz w:val="21"/>
                <w:szCs w:val="21"/>
              </w:rPr>
              <w:t>期占总</w:t>
            </w:r>
            <w:r>
              <w:rPr>
                <w:rFonts w:ascii="宋体" w:hAnsi="宋体" w:cs="宋体" w:eastAsia="宋体" w:hint="default"/>
                <w:spacing w:val="-102"/>
                <w:sz w:val="21"/>
                <w:szCs w:val="21"/>
              </w:rPr>
              <w:t> </w:t>
            </w:r>
            <w:r>
              <w:rPr>
                <w:rFonts w:ascii="宋体" w:hAnsi="宋体" w:cs="宋体" w:eastAsia="宋体" w:hint="default"/>
                <w:sz w:val="21"/>
                <w:szCs w:val="21"/>
              </w:rPr>
              <w:t>成本比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本期金</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z w:val="21"/>
                <w:szCs w:val="21"/>
              </w:rPr>
              <w:t>额较上</w:t>
            </w:r>
            <w:r>
              <w:rPr>
                <w:rFonts w:ascii="宋体" w:hAnsi="宋体" w:cs="宋体" w:eastAsia="宋体" w:hint="default"/>
                <w:spacing w:val="-102"/>
                <w:sz w:val="21"/>
                <w:szCs w:val="21"/>
              </w:rPr>
              <w:t> </w:t>
            </w:r>
            <w:r>
              <w:rPr>
                <w:rFonts w:ascii="宋体" w:hAnsi="宋体" w:cs="宋体" w:eastAsia="宋体" w:hint="default"/>
                <w:sz w:val="21"/>
                <w:szCs w:val="21"/>
              </w:rPr>
              <w:t>年同期</w:t>
            </w:r>
            <w:r>
              <w:rPr>
                <w:rFonts w:ascii="宋体" w:hAnsi="宋体" w:cs="宋体" w:eastAsia="宋体" w:hint="default"/>
                <w:spacing w:val="-102"/>
                <w:sz w:val="21"/>
                <w:szCs w:val="21"/>
              </w:rPr>
              <w:t> </w:t>
            </w:r>
            <w:r>
              <w:rPr>
                <w:rFonts w:ascii="宋体" w:hAnsi="宋体" w:cs="宋体" w:eastAsia="宋体" w:hint="default"/>
                <w:sz w:val="21"/>
                <w:szCs w:val="21"/>
              </w:rPr>
              <w:t>变动比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134" w:right="131"/>
              <w:jc w:val="left"/>
              <w:rPr>
                <w:rFonts w:ascii="宋体" w:hAnsi="宋体" w:cs="宋体" w:eastAsia="宋体" w:hint="default"/>
                <w:sz w:val="21"/>
                <w:szCs w:val="21"/>
              </w:rPr>
            </w:pPr>
            <w:r>
              <w:rPr>
                <w:rFonts w:ascii="宋体" w:hAnsi="宋体" w:cs="宋体" w:eastAsia="宋体" w:hint="default"/>
                <w:sz w:val="21"/>
                <w:szCs w:val="21"/>
              </w:rPr>
              <w:t>情况</w:t>
            </w:r>
            <w:r>
              <w:rPr>
                <w:rFonts w:ascii="宋体" w:hAnsi="宋体" w:cs="宋体" w:eastAsia="宋体" w:hint="default"/>
                <w:spacing w:val="-103"/>
                <w:sz w:val="21"/>
                <w:szCs w:val="21"/>
              </w:rPr>
              <w:t> </w:t>
            </w:r>
            <w:r>
              <w:rPr>
                <w:rFonts w:ascii="宋体" w:hAnsi="宋体" w:cs="宋体" w:eastAsia="宋体" w:hint="default"/>
                <w:sz w:val="21"/>
                <w:szCs w:val="21"/>
              </w:rPr>
              <w:t>说明</w:t>
            </w:r>
          </w:p>
        </w:tc>
      </w:tr>
      <w:tr>
        <w:trPr>
          <w:trHeight w:val="1371" w:hRule="exact"/>
        </w:trPr>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物流服</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务业</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综合物</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流服务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5,675,039,390.11</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5" w:right="0"/>
              <w:jc w:val="left"/>
              <w:rPr>
                <w:rFonts w:ascii="宋体" w:hAnsi="宋体" w:cs="宋体" w:eastAsia="宋体" w:hint="default"/>
                <w:sz w:val="21"/>
                <w:szCs w:val="21"/>
              </w:rPr>
            </w:pPr>
            <w:r>
              <w:rPr>
                <w:rFonts w:ascii="宋体"/>
                <w:sz w:val="21"/>
              </w:rPr>
              <w:t>93.40%</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2,933,240,601.70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88.42%</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93.47%</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业务</w:t>
            </w:r>
          </w:p>
          <w:p>
            <w:pPr>
              <w:pStyle w:val="TableParagraph"/>
              <w:spacing w:line="237" w:lineRule="auto" w:before="1"/>
              <w:ind w:left="103" w:right="161"/>
              <w:jc w:val="both"/>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103"/>
                <w:sz w:val="21"/>
                <w:szCs w:val="21"/>
              </w:rPr>
              <w:t> </w:t>
            </w:r>
            <w:r>
              <w:rPr>
                <w:rFonts w:ascii="宋体" w:hAnsi="宋体" w:cs="宋体" w:eastAsia="宋体" w:hint="default"/>
                <w:sz w:val="21"/>
                <w:szCs w:val="21"/>
              </w:rPr>
              <w:t>成本</w:t>
            </w:r>
            <w:r>
              <w:rPr>
                <w:rFonts w:ascii="宋体" w:hAnsi="宋体" w:cs="宋体" w:eastAsia="宋体" w:hint="default"/>
                <w:spacing w:val="-103"/>
                <w:sz w:val="21"/>
                <w:szCs w:val="21"/>
              </w:rPr>
              <w:t> </w:t>
            </w:r>
            <w:r>
              <w:rPr>
                <w:rFonts w:ascii="宋体" w:hAnsi="宋体" w:cs="宋体" w:eastAsia="宋体" w:hint="default"/>
                <w:sz w:val="21"/>
                <w:szCs w:val="21"/>
              </w:rPr>
              <w:t>相应</w:t>
            </w:r>
            <w:r>
              <w:rPr>
                <w:rFonts w:ascii="宋体" w:hAnsi="宋体" w:cs="宋体" w:eastAsia="宋体" w:hint="default"/>
                <w:spacing w:val="-103"/>
                <w:sz w:val="21"/>
                <w:szCs w:val="21"/>
              </w:rPr>
              <w:t> </w:t>
            </w:r>
            <w:r>
              <w:rPr>
                <w:rFonts w:ascii="宋体" w:hAnsi="宋体" w:cs="宋体" w:eastAsia="宋体" w:hint="default"/>
                <w:sz w:val="21"/>
                <w:szCs w:val="21"/>
              </w:rPr>
              <w:t>增加</w:t>
            </w:r>
          </w:p>
        </w:tc>
      </w:tr>
    </w:tbl>
    <w:p>
      <w:pPr>
        <w:spacing w:line="240" w:lineRule="auto" w:before="7"/>
        <w:rPr>
          <w:rFonts w:ascii="宋体" w:hAnsi="宋体" w:cs="宋体" w:eastAsia="宋体" w:hint="default"/>
          <w:sz w:val="15"/>
          <w:szCs w:val="15"/>
        </w:rPr>
      </w:pPr>
    </w:p>
    <w:p>
      <w:pPr>
        <w:pStyle w:val="BodyText"/>
        <w:spacing w:line="273" w:lineRule="exact" w:before="36"/>
        <w:ind w:right="2497"/>
        <w:jc w:val="left"/>
      </w:pPr>
      <w:r>
        <w:rPr/>
        <w:t>成本分析其他情况说明</w:t>
      </w:r>
    </w:p>
    <w:p>
      <w:pPr>
        <w:pStyle w:val="BodyText"/>
        <w:spacing w:line="273" w:lineRule="exact"/>
        <w:ind w:right="249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497"/>
        <w:jc w:val="left"/>
        <w:rPr>
          <w:b w:val="0"/>
          <w:bCs w:val="0"/>
        </w:rPr>
      </w:pPr>
      <w:r>
        <w:rPr>
          <w:rFonts w:ascii="宋体" w:hAnsi="宋体" w:cs="宋体" w:eastAsia="宋体" w:hint="default"/>
        </w:rPr>
        <w:t>(4).</w:t>
      </w:r>
      <w:r>
        <w:rPr>
          <w:rFonts w:ascii="宋体" w:hAnsi="宋体" w:cs="宋体" w:eastAsia="宋体" w:hint="default"/>
          <w:spacing w:val="36"/>
        </w:rPr>
        <w:t> </w:t>
      </w:r>
      <w:r>
        <w:rPr/>
        <w:t>主要销售客户及主要供应商情况</w:t>
      </w:r>
      <w:r>
        <w:rPr>
          <w:b w:val="0"/>
          <w:bCs w:val="0"/>
        </w:rPr>
      </w:r>
    </w:p>
    <w:p>
      <w:pPr>
        <w:pStyle w:val="BodyText"/>
        <w:spacing w:line="273" w:lineRule="exact" w:before="58"/>
        <w:ind w:right="2497"/>
        <w:jc w:val="left"/>
      </w:pPr>
      <w:r>
        <w:rPr/>
        <w:t>√适用</w:t>
      </w:r>
      <w:r>
        <w:rPr>
          <w:spacing w:val="-1"/>
        </w:rPr>
        <w:t> </w:t>
      </w:r>
      <w:r>
        <w:rPr/>
        <w:t>□不适用</w:t>
      </w:r>
    </w:p>
    <w:p>
      <w:pPr>
        <w:pStyle w:val="BodyText"/>
        <w:spacing w:line="240" w:lineRule="auto"/>
        <w:ind w:right="227"/>
        <w:jc w:val="left"/>
      </w:pPr>
      <w:r>
        <w:rPr/>
        <w:t>前五名客户销售额</w:t>
      </w:r>
      <w:r>
        <w:rPr>
          <w:spacing w:val="-39"/>
        </w:rPr>
        <w:t> </w:t>
      </w:r>
      <w:r>
        <w:rPr>
          <w:rFonts w:ascii="宋体" w:hAnsi="宋体" w:cs="宋体" w:eastAsia="宋体" w:hint="default"/>
        </w:rPr>
        <w:t>89,872.42</w:t>
      </w:r>
      <w:r>
        <w:rPr>
          <w:rFonts w:ascii="宋体" w:hAnsi="宋体" w:cs="宋体" w:eastAsia="宋体" w:hint="default"/>
          <w:spacing w:val="-37"/>
        </w:rPr>
        <w:t> </w:t>
      </w:r>
      <w:r>
        <w:rPr>
          <w:spacing w:val="-4"/>
        </w:rPr>
        <w:t>万元，占年度销售总额</w:t>
      </w:r>
      <w:r>
        <w:rPr>
          <w:spacing w:val="-39"/>
        </w:rPr>
        <w:t> </w:t>
      </w:r>
      <w:r>
        <w:rPr>
          <w:rFonts w:ascii="宋体" w:hAnsi="宋体" w:cs="宋体" w:eastAsia="宋体" w:hint="default"/>
          <w:spacing w:val="-3"/>
        </w:rPr>
        <w:t>13.29%</w:t>
      </w:r>
      <w:r>
        <w:rPr>
          <w:spacing w:val="-3"/>
        </w:rPr>
        <w:t>；其中前五名客户销售额中关联方销</w:t>
      </w:r>
      <w:r>
        <w:rPr>
          <w:spacing w:val="-99"/>
        </w:rPr>
        <w:t> </w:t>
      </w:r>
      <w:r>
        <w:rPr>
          <w:spacing w:val="-99"/>
        </w:rPr>
      </w:r>
      <w:r>
        <w:rPr/>
        <w:t>售额</w:t>
      </w:r>
      <w:r>
        <w:rPr>
          <w:spacing w:val="-52"/>
        </w:rPr>
        <w:t> </w:t>
      </w:r>
      <w:r>
        <w:rPr>
          <w:rFonts w:ascii="宋体" w:hAnsi="宋体" w:cs="宋体" w:eastAsia="宋体" w:hint="default"/>
        </w:rPr>
        <w:t>0</w:t>
      </w:r>
      <w:r>
        <w:rPr>
          <w:rFonts w:ascii="宋体" w:hAnsi="宋体" w:cs="宋体" w:eastAsia="宋体" w:hint="default"/>
          <w:spacing w:val="-54"/>
        </w:rPr>
        <w:t> </w:t>
      </w:r>
      <w:r>
        <w:rPr/>
        <w:t>万元，占年度销售总额</w:t>
      </w:r>
      <w:r>
        <w:rPr>
          <w:spacing w:val="-51"/>
        </w:rPr>
        <w:t> </w:t>
      </w:r>
      <w:r>
        <w:rPr>
          <w:rFonts w:ascii="宋体" w:hAnsi="宋体" w:cs="宋体" w:eastAsia="宋体" w:hint="default"/>
        </w:rPr>
        <w:t>0 %</w:t>
      </w:r>
      <w:r>
        <w:rPr/>
        <w:t>。</w:t>
      </w:r>
    </w:p>
    <w:p>
      <w:pPr>
        <w:spacing w:line="240" w:lineRule="auto" w:before="10"/>
        <w:rPr>
          <w:rFonts w:ascii="宋体" w:hAnsi="宋体" w:cs="宋体" w:eastAsia="宋体" w:hint="default"/>
          <w:sz w:val="22"/>
          <w:szCs w:val="22"/>
        </w:rPr>
      </w:pPr>
    </w:p>
    <w:p>
      <w:pPr>
        <w:pStyle w:val="BodyText"/>
        <w:spacing w:line="272" w:lineRule="exact"/>
        <w:ind w:right="227"/>
        <w:jc w:val="left"/>
      </w:pPr>
      <w:r>
        <w:rPr/>
        <w:t>前五名供应商采购额</w:t>
      </w:r>
      <w:r>
        <w:rPr>
          <w:spacing w:val="-38"/>
        </w:rPr>
        <w:t> </w:t>
      </w:r>
      <w:r>
        <w:rPr>
          <w:rFonts w:ascii="宋体" w:hAnsi="宋体" w:cs="宋体" w:eastAsia="宋体" w:hint="default"/>
        </w:rPr>
        <w:t>94,650.86</w:t>
      </w:r>
      <w:r>
        <w:rPr>
          <w:rFonts w:ascii="宋体" w:hAnsi="宋体" w:cs="宋体" w:eastAsia="宋体" w:hint="default"/>
          <w:spacing w:val="-41"/>
        </w:rPr>
        <w:t> </w:t>
      </w:r>
      <w:r>
        <w:rPr>
          <w:spacing w:val="-4"/>
        </w:rPr>
        <w:t>万元，占年度采购总额</w:t>
      </w:r>
      <w:r>
        <w:rPr>
          <w:spacing w:val="-38"/>
        </w:rPr>
        <w:t> </w:t>
      </w:r>
      <w:r>
        <w:rPr>
          <w:rFonts w:ascii="宋体" w:hAnsi="宋体" w:cs="宋体" w:eastAsia="宋体" w:hint="default"/>
          <w:spacing w:val="-3"/>
        </w:rPr>
        <w:t>16.21%</w:t>
      </w:r>
      <w:r>
        <w:rPr>
          <w:spacing w:val="-3"/>
        </w:rPr>
        <w:t>；其中前五名供应商采购额中关联</w:t>
      </w:r>
      <w:r>
        <w:rPr>
          <w:spacing w:val="-99"/>
        </w:rPr>
        <w:t> </w:t>
      </w:r>
      <w:r>
        <w:rPr>
          <w:spacing w:val="-99"/>
        </w:rPr>
      </w:r>
      <w:r>
        <w:rPr/>
        <w:t>方采购额</w:t>
      </w:r>
      <w:r>
        <w:rPr>
          <w:spacing w:val="-53"/>
        </w:rPr>
        <w:t> </w:t>
      </w:r>
      <w:r>
        <w:rPr>
          <w:rFonts w:ascii="宋体" w:hAnsi="宋体" w:cs="宋体" w:eastAsia="宋体" w:hint="default"/>
        </w:rPr>
        <w:t>0</w:t>
      </w:r>
      <w:r>
        <w:rPr>
          <w:rFonts w:ascii="宋体" w:hAnsi="宋体" w:cs="宋体" w:eastAsia="宋体" w:hint="default"/>
          <w:spacing w:val="-55"/>
        </w:rPr>
        <w:t> </w:t>
      </w:r>
      <w:r>
        <w:rPr/>
        <w:t>万元，占年度采购总额</w:t>
      </w:r>
      <w:r>
        <w:rPr>
          <w:spacing w:val="-52"/>
        </w:rPr>
        <w:t> </w:t>
      </w:r>
      <w:r>
        <w:rPr>
          <w:rFonts w:ascii="宋体" w:hAnsi="宋体" w:cs="宋体" w:eastAsia="宋体" w:hint="default"/>
        </w:rPr>
        <w:t>0%</w:t>
      </w:r>
      <w:r>
        <w:rPr/>
        <w:t>。</w:t>
      </w:r>
    </w:p>
    <w:p>
      <w:pPr>
        <w:spacing w:line="240" w:lineRule="auto" w:before="10"/>
        <w:rPr>
          <w:rFonts w:ascii="宋体" w:hAnsi="宋体" w:cs="宋体" w:eastAsia="宋体" w:hint="default"/>
          <w:sz w:val="18"/>
          <w:szCs w:val="18"/>
        </w:rPr>
      </w:pPr>
    </w:p>
    <w:p>
      <w:pPr>
        <w:pStyle w:val="BodyText"/>
        <w:spacing w:line="240" w:lineRule="auto"/>
        <w:ind w:right="8208"/>
        <w:jc w:val="left"/>
      </w:pPr>
      <w:r>
        <w:rPr/>
        <w:t>其他说明</w:t>
      </w:r>
      <w:r>
        <w:rPr>
          <w:w w:val="100"/>
        </w:rPr>
        <w:t> </w:t>
      </w:r>
      <w:r>
        <w:rPr/>
        <w:t>不适用</w:t>
      </w:r>
    </w:p>
    <w:p>
      <w:pPr>
        <w:pStyle w:val="Heading2"/>
        <w:tabs>
          <w:tab w:pos="637" w:val="left" w:leader="none"/>
        </w:tabs>
        <w:spacing w:line="240" w:lineRule="auto" w:before="56"/>
        <w:ind w:right="2497"/>
        <w:jc w:val="left"/>
        <w:rPr>
          <w:b w:val="0"/>
          <w:bCs w:val="0"/>
        </w:rPr>
      </w:pPr>
      <w:r>
        <w:rPr>
          <w:rFonts w:ascii="宋体" w:hAnsi="宋体" w:cs="宋体" w:eastAsia="宋体" w:hint="default"/>
          <w:w w:val="95"/>
        </w:rPr>
        <w:t>2.</w:t>
        <w:tab/>
      </w:r>
      <w:r>
        <w:rPr/>
        <w:t>费用</w:t>
      </w:r>
      <w:r>
        <w:rPr>
          <w:b w:val="0"/>
          <w:bCs w:val="0"/>
        </w:rPr>
      </w:r>
    </w:p>
    <w:p>
      <w:pPr>
        <w:pStyle w:val="BodyText"/>
        <w:spacing w:line="240" w:lineRule="auto" w:before="58"/>
        <w:ind w:right="2497"/>
        <w:jc w:val="left"/>
      </w:pPr>
      <w:r>
        <w:rPr/>
        <w:t>√适用</w:t>
      </w:r>
      <w:r>
        <w:rPr>
          <w:spacing w:val="-1"/>
        </w:rPr>
        <w:t> </w:t>
      </w:r>
      <w:r>
        <w:rPr/>
        <w:t>□不适用</w:t>
      </w:r>
    </w:p>
    <w:p>
      <w:pPr>
        <w:spacing w:line="240" w:lineRule="auto" w:before="3"/>
        <w:rPr>
          <w:rFonts w:ascii="宋体" w:hAnsi="宋体" w:cs="宋体" w:eastAsia="宋体" w:hint="default"/>
          <w:sz w:val="23"/>
          <w:szCs w:val="23"/>
        </w:rPr>
      </w:pPr>
    </w:p>
    <w:tbl>
      <w:tblPr>
        <w:tblW w:w="0" w:type="auto"/>
        <w:jc w:val="left"/>
        <w:tblInd w:w="100" w:type="dxa"/>
        <w:tblLayout w:type="fixed"/>
        <w:tblCellMar>
          <w:top w:w="0" w:type="dxa"/>
          <w:left w:w="0" w:type="dxa"/>
          <w:bottom w:w="0" w:type="dxa"/>
          <w:right w:w="0" w:type="dxa"/>
        </w:tblCellMar>
        <w:tblLook w:val="01E0"/>
      </w:tblPr>
      <w:tblGrid>
        <w:gridCol w:w="1015"/>
        <w:gridCol w:w="2213"/>
        <w:gridCol w:w="1700"/>
        <w:gridCol w:w="1985"/>
        <w:gridCol w:w="2137"/>
      </w:tblGrid>
      <w:tr>
        <w:trPr>
          <w:trHeight w:val="876" w:hRule="exact"/>
        </w:trPr>
        <w:tc>
          <w:tcPr>
            <w:tcW w:w="10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98" w:right="0"/>
              <w:jc w:val="left"/>
              <w:rPr>
                <w:rFonts w:ascii="宋体" w:hAnsi="宋体" w:cs="宋体" w:eastAsia="宋体" w:hint="default"/>
                <w:sz w:val="20"/>
                <w:szCs w:val="20"/>
              </w:rPr>
            </w:pPr>
            <w:r>
              <w:rPr>
                <w:rFonts w:ascii="宋体" w:hAnsi="宋体" w:cs="宋体" w:eastAsia="宋体" w:hint="default"/>
                <w:sz w:val="20"/>
                <w:szCs w:val="20"/>
              </w:rPr>
              <w:t>项目名称</w:t>
            </w:r>
          </w:p>
        </w:tc>
        <w:tc>
          <w:tcPr>
            <w:tcW w:w="22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2"/>
                <w:szCs w:val="22"/>
              </w:rPr>
            </w:pPr>
            <w:r>
              <w:rPr>
                <w:rFonts w:ascii="宋体" w:hAnsi="宋体" w:cs="宋体" w:eastAsia="宋体" w:hint="default"/>
                <w:sz w:val="22"/>
                <w:szCs w:val="22"/>
              </w:rPr>
              <w:t>本期期末数</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sz w:val="22"/>
                <w:szCs w:val="22"/>
              </w:rPr>
              <w:t>上期期末数</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2" w:right="0"/>
              <w:jc w:val="center"/>
              <w:rPr>
                <w:rFonts w:ascii="宋体" w:hAnsi="宋体" w:cs="宋体" w:eastAsia="宋体" w:hint="default"/>
                <w:sz w:val="22"/>
                <w:szCs w:val="22"/>
              </w:rPr>
            </w:pPr>
            <w:r>
              <w:rPr>
                <w:rFonts w:ascii="宋体" w:hAnsi="宋体" w:cs="宋体" w:eastAsia="宋体" w:hint="default"/>
                <w:sz w:val="22"/>
                <w:szCs w:val="22"/>
              </w:rPr>
              <w:t>本期期末金额较上</w:t>
            </w:r>
          </w:p>
          <w:p>
            <w:pPr>
              <w:pStyle w:val="TableParagraph"/>
              <w:spacing w:line="286" w:lineRule="exact"/>
              <w:ind w:right="0"/>
              <w:jc w:val="center"/>
              <w:rPr>
                <w:rFonts w:ascii="宋体" w:hAnsi="宋体" w:cs="宋体" w:eastAsia="宋体" w:hint="default"/>
                <w:sz w:val="22"/>
                <w:szCs w:val="22"/>
              </w:rPr>
            </w:pPr>
            <w:r>
              <w:rPr>
                <w:rFonts w:ascii="宋体" w:hAnsi="宋体" w:cs="宋体" w:eastAsia="宋体" w:hint="default"/>
                <w:sz w:val="22"/>
                <w:szCs w:val="22"/>
              </w:rPr>
              <w:t>期期末变动比例</w:t>
            </w:r>
          </w:p>
          <w:p>
            <w:pPr>
              <w:pStyle w:val="TableParagraph"/>
              <w:spacing w:line="287" w:lineRule="exact"/>
              <w:ind w:left="2" w:right="0"/>
              <w:jc w:val="center"/>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w:t>
            </w:r>
            <w:r>
              <w:rPr>
                <w:rFonts w:ascii="宋体" w:hAnsi="宋体" w:cs="宋体" w:eastAsia="宋体" w:hint="default"/>
                <w:sz w:val="22"/>
                <w:szCs w:val="22"/>
              </w:rPr>
              <w:t>）</w:t>
            </w:r>
          </w:p>
        </w:tc>
        <w:tc>
          <w:tcPr>
            <w:tcW w:w="21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658" w:right="0"/>
              <w:jc w:val="left"/>
              <w:rPr>
                <w:rFonts w:ascii="宋体" w:hAnsi="宋体" w:cs="宋体" w:eastAsia="宋体" w:hint="default"/>
                <w:sz w:val="20"/>
                <w:szCs w:val="20"/>
              </w:rPr>
            </w:pPr>
            <w:r>
              <w:rPr>
                <w:rFonts w:ascii="宋体" w:hAnsi="宋体" w:cs="宋体" w:eastAsia="宋体" w:hint="default"/>
                <w:sz w:val="20"/>
                <w:szCs w:val="20"/>
              </w:rPr>
              <w:t>情况说明</w:t>
            </w:r>
          </w:p>
        </w:tc>
      </w:tr>
      <w:tr>
        <w:trPr>
          <w:trHeight w:val="305" w:hRule="exact"/>
        </w:trPr>
        <w:tc>
          <w:tcPr>
            <w:tcW w:w="1015" w:type="dxa"/>
            <w:tcBorders>
              <w:top w:val="single" w:sz="8" w:space="0" w:color="000000"/>
              <w:left w:val="single" w:sz="8" w:space="0" w:color="000000"/>
              <w:bottom w:val="single" w:sz="8" w:space="0" w:color="000000"/>
              <w:right w:val="single" w:sz="8" w:space="0" w:color="000000"/>
            </w:tcBorders>
          </w:tcPr>
          <w:p>
            <w:pPr>
              <w:pStyle w:val="TableParagraph"/>
              <w:spacing w:line="242" w:lineRule="exact"/>
              <w:ind w:left="98" w:right="0"/>
              <w:jc w:val="left"/>
              <w:rPr>
                <w:rFonts w:ascii="宋体" w:hAnsi="宋体" w:cs="宋体" w:eastAsia="宋体" w:hint="default"/>
                <w:sz w:val="20"/>
                <w:szCs w:val="20"/>
              </w:rPr>
            </w:pPr>
            <w:r>
              <w:rPr>
                <w:rFonts w:ascii="宋体" w:hAnsi="宋体" w:cs="宋体" w:eastAsia="宋体" w:hint="default"/>
                <w:sz w:val="20"/>
                <w:szCs w:val="20"/>
              </w:rPr>
              <w:t>销售费用</w:t>
            </w:r>
          </w:p>
        </w:tc>
        <w:tc>
          <w:tcPr>
            <w:tcW w:w="2213" w:type="dxa"/>
            <w:tcBorders>
              <w:top w:val="single" w:sz="8" w:space="0" w:color="000000"/>
              <w:left w:val="single" w:sz="8" w:space="0" w:color="000000"/>
              <w:bottom w:val="single" w:sz="8" w:space="0" w:color="000000"/>
              <w:right w:val="single" w:sz="8" w:space="0" w:color="000000"/>
            </w:tcBorders>
          </w:tcPr>
          <w:p>
            <w:pPr>
              <w:pStyle w:val="TableParagraph"/>
              <w:spacing w:line="242" w:lineRule="exact"/>
              <w:ind w:right="4"/>
              <w:jc w:val="center"/>
              <w:rPr>
                <w:rFonts w:ascii="宋体" w:hAnsi="宋体" w:cs="宋体" w:eastAsia="宋体" w:hint="default"/>
                <w:sz w:val="20"/>
                <w:szCs w:val="20"/>
              </w:rPr>
            </w:pPr>
            <w:r>
              <w:rPr>
                <w:rFonts w:ascii="宋体"/>
                <w:sz w:val="20"/>
              </w:rPr>
              <w:t>15,489,084.44</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2" w:lineRule="exact"/>
              <w:ind w:right="3"/>
              <w:jc w:val="center"/>
              <w:rPr>
                <w:rFonts w:ascii="宋体" w:hAnsi="宋体" w:cs="宋体" w:eastAsia="宋体" w:hint="default"/>
                <w:sz w:val="20"/>
                <w:szCs w:val="20"/>
              </w:rPr>
            </w:pPr>
            <w:r>
              <w:rPr>
                <w:rFonts w:ascii="宋体"/>
                <w:sz w:val="20"/>
              </w:rPr>
              <w:t>13,909,402.46</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2" w:lineRule="exact"/>
              <w:ind w:right="0"/>
              <w:jc w:val="center"/>
              <w:rPr>
                <w:rFonts w:ascii="宋体" w:hAnsi="宋体" w:cs="宋体" w:eastAsia="宋体" w:hint="default"/>
                <w:sz w:val="20"/>
                <w:szCs w:val="20"/>
              </w:rPr>
            </w:pPr>
            <w:r>
              <w:rPr>
                <w:rFonts w:ascii="宋体"/>
                <w:sz w:val="20"/>
              </w:rPr>
              <w:t>11.36%</w:t>
            </w:r>
          </w:p>
        </w:tc>
        <w:tc>
          <w:tcPr>
            <w:tcW w:w="2137" w:type="dxa"/>
            <w:tcBorders>
              <w:top w:val="single" w:sz="8" w:space="0" w:color="000000"/>
              <w:left w:val="single" w:sz="8" w:space="0" w:color="000000"/>
              <w:bottom w:val="single" w:sz="8" w:space="0" w:color="000000"/>
              <w:right w:val="single" w:sz="8" w:space="0" w:color="000000"/>
            </w:tcBorders>
          </w:tcPr>
          <w:p>
            <w:pPr/>
          </w:p>
        </w:tc>
      </w:tr>
    </w:tbl>
    <w:p>
      <w:pPr>
        <w:spacing w:after="0"/>
        <w:sectPr>
          <w:pgSz w:w="11910" w:h="16840"/>
          <w:pgMar w:header="880" w:footer="1195" w:top="1120" w:bottom="1380" w:left="1580" w:right="1040"/>
        </w:sectPr>
      </w:pPr>
    </w:p>
    <w:p>
      <w:pPr>
        <w:spacing w:line="240" w:lineRule="auto" w:before="12"/>
        <w:rPr>
          <w:rFonts w:ascii="宋体" w:hAnsi="宋体" w:cs="宋体" w:eastAsia="宋体" w:hint="default"/>
          <w:sz w:val="29"/>
          <w:szCs w:val="29"/>
        </w:rPr>
      </w:pPr>
    </w:p>
    <w:tbl>
      <w:tblPr>
        <w:tblW w:w="0" w:type="auto"/>
        <w:jc w:val="left"/>
        <w:tblInd w:w="100" w:type="dxa"/>
        <w:tblLayout w:type="fixed"/>
        <w:tblCellMar>
          <w:top w:w="0" w:type="dxa"/>
          <w:left w:w="0" w:type="dxa"/>
          <w:bottom w:w="0" w:type="dxa"/>
          <w:right w:w="0" w:type="dxa"/>
        </w:tblCellMar>
        <w:tblLook w:val="01E0"/>
      </w:tblPr>
      <w:tblGrid>
        <w:gridCol w:w="1015"/>
        <w:gridCol w:w="2213"/>
        <w:gridCol w:w="1700"/>
        <w:gridCol w:w="1985"/>
        <w:gridCol w:w="2137"/>
      </w:tblGrid>
      <w:tr>
        <w:trPr>
          <w:trHeight w:val="790" w:hRule="exact"/>
        </w:trPr>
        <w:tc>
          <w:tcPr>
            <w:tcW w:w="1015"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98"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2213"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0"/>
                <w:szCs w:val="20"/>
              </w:rPr>
            </w:pPr>
            <w:r>
              <w:rPr>
                <w:rFonts w:ascii="宋体"/>
                <w:sz w:val="20"/>
              </w:rPr>
              <w:t>173,981,056.46</w:t>
            </w:r>
          </w:p>
        </w:tc>
        <w:tc>
          <w:tcPr>
            <w:tcW w:w="1700"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0"/>
                <w:szCs w:val="20"/>
              </w:rPr>
            </w:pPr>
            <w:r>
              <w:rPr>
                <w:rFonts w:ascii="宋体"/>
                <w:sz w:val="20"/>
              </w:rPr>
              <w:t>121,363,524.06</w:t>
            </w:r>
          </w:p>
        </w:tc>
        <w:tc>
          <w:tcPr>
            <w:tcW w:w="1985"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0"/>
                <w:szCs w:val="20"/>
              </w:rPr>
            </w:pPr>
            <w:r>
              <w:rPr>
                <w:rFonts w:ascii="宋体"/>
                <w:sz w:val="20"/>
              </w:rPr>
              <w:t>43.36%</w:t>
            </w:r>
          </w:p>
        </w:tc>
        <w:tc>
          <w:tcPr>
            <w:tcW w:w="2137" w:type="dxa"/>
            <w:tcBorders>
              <w:top w:val="nil" w:sz="6" w:space="0" w:color="auto"/>
              <w:left w:val="single" w:sz="8" w:space="0" w:color="000000"/>
              <w:bottom w:val="single" w:sz="8" w:space="0" w:color="000000"/>
              <w:right w:val="single" w:sz="8" w:space="0" w:color="000000"/>
            </w:tcBorders>
          </w:tcPr>
          <w:p>
            <w:pPr>
              <w:pStyle w:val="TableParagraph"/>
              <w:spacing w:line="229" w:lineRule="exact"/>
              <w:ind w:left="98" w:right="0"/>
              <w:jc w:val="left"/>
              <w:rPr>
                <w:rFonts w:ascii="宋体" w:hAnsi="宋体" w:cs="宋体" w:eastAsia="宋体" w:hint="default"/>
                <w:sz w:val="20"/>
                <w:szCs w:val="20"/>
              </w:rPr>
            </w:pPr>
            <w:r>
              <w:rPr>
                <w:rFonts w:ascii="宋体" w:hAnsi="宋体" w:cs="宋体" w:eastAsia="宋体" w:hint="default"/>
                <w:sz w:val="20"/>
                <w:szCs w:val="20"/>
              </w:rPr>
              <w:t>主要系公司规模扩大，</w:t>
            </w:r>
          </w:p>
          <w:p>
            <w:pPr>
              <w:pStyle w:val="TableParagraph"/>
              <w:spacing w:line="240" w:lineRule="auto"/>
              <w:ind w:left="98" w:right="219"/>
              <w:jc w:val="left"/>
              <w:rPr>
                <w:rFonts w:ascii="宋体" w:hAnsi="宋体" w:cs="宋体" w:eastAsia="宋体" w:hint="default"/>
                <w:sz w:val="20"/>
                <w:szCs w:val="20"/>
              </w:rPr>
            </w:pPr>
            <w:r>
              <w:rPr>
                <w:rFonts w:ascii="宋体" w:hAnsi="宋体" w:cs="宋体" w:eastAsia="宋体" w:hint="default"/>
                <w:sz w:val="20"/>
                <w:szCs w:val="20"/>
              </w:rPr>
              <w:t>人员工资及办公经费</w:t>
            </w:r>
            <w:r>
              <w:rPr>
                <w:rFonts w:ascii="宋体" w:hAnsi="宋体" w:cs="宋体" w:eastAsia="宋体" w:hint="default"/>
                <w:w w:val="99"/>
                <w:sz w:val="20"/>
                <w:szCs w:val="20"/>
              </w:rPr>
              <w:t> </w:t>
            </w:r>
            <w:r>
              <w:rPr>
                <w:rFonts w:ascii="宋体" w:hAnsi="宋体" w:cs="宋体" w:eastAsia="宋体" w:hint="default"/>
                <w:sz w:val="20"/>
                <w:szCs w:val="20"/>
              </w:rPr>
              <w:t>增长所致。</w:t>
            </w:r>
          </w:p>
        </w:tc>
      </w:tr>
      <w:tr>
        <w:trPr>
          <w:trHeight w:val="286" w:hRule="exact"/>
        </w:trPr>
        <w:tc>
          <w:tcPr>
            <w:tcW w:w="1015" w:type="dxa"/>
            <w:tcBorders>
              <w:top w:val="single" w:sz="8" w:space="0" w:color="000000"/>
              <w:left w:val="single" w:sz="8" w:space="0" w:color="000000"/>
              <w:bottom w:val="single" w:sz="4" w:space="0" w:color="000000"/>
              <w:right w:val="single" w:sz="4" w:space="0" w:color="000000"/>
            </w:tcBorders>
          </w:tcPr>
          <w:p>
            <w:pPr>
              <w:pStyle w:val="TableParagraph"/>
              <w:spacing w:line="235" w:lineRule="exact"/>
              <w:ind w:left="98" w:right="0"/>
              <w:jc w:val="left"/>
              <w:rPr>
                <w:rFonts w:ascii="宋体" w:hAnsi="宋体" w:cs="宋体" w:eastAsia="宋体" w:hint="default"/>
                <w:sz w:val="20"/>
                <w:szCs w:val="20"/>
              </w:rPr>
            </w:pPr>
            <w:r>
              <w:rPr>
                <w:rFonts w:ascii="宋体" w:hAnsi="宋体" w:cs="宋体" w:eastAsia="宋体" w:hint="default"/>
                <w:sz w:val="20"/>
                <w:szCs w:val="20"/>
              </w:rPr>
              <w:t>财务费用</w:t>
            </w:r>
          </w:p>
        </w:tc>
        <w:tc>
          <w:tcPr>
            <w:tcW w:w="2213" w:type="dxa"/>
            <w:tcBorders>
              <w:top w:val="single" w:sz="8" w:space="0" w:color="000000"/>
              <w:left w:val="single" w:sz="4" w:space="0" w:color="000000"/>
              <w:bottom w:val="single" w:sz="4" w:space="0" w:color="000000"/>
              <w:right w:val="single" w:sz="4" w:space="0" w:color="000000"/>
            </w:tcBorders>
          </w:tcPr>
          <w:p>
            <w:pPr>
              <w:pStyle w:val="TableParagraph"/>
              <w:spacing w:line="235" w:lineRule="exact"/>
              <w:ind w:right="1"/>
              <w:jc w:val="center"/>
              <w:rPr>
                <w:rFonts w:ascii="宋体" w:hAnsi="宋体" w:cs="宋体" w:eastAsia="宋体" w:hint="default"/>
                <w:sz w:val="20"/>
                <w:szCs w:val="20"/>
              </w:rPr>
            </w:pPr>
            <w:r>
              <w:rPr>
                <w:rFonts w:ascii="宋体"/>
                <w:sz w:val="20"/>
              </w:rPr>
              <w:t>190,707,407.06</w:t>
            </w:r>
          </w:p>
        </w:tc>
        <w:tc>
          <w:tcPr>
            <w:tcW w:w="1700" w:type="dxa"/>
            <w:tcBorders>
              <w:top w:val="single" w:sz="8" w:space="0" w:color="000000"/>
              <w:left w:val="single" w:sz="4" w:space="0" w:color="000000"/>
              <w:bottom w:val="single" w:sz="4" w:space="0" w:color="000000"/>
              <w:right w:val="single" w:sz="8" w:space="0" w:color="000000"/>
            </w:tcBorders>
          </w:tcPr>
          <w:p>
            <w:pPr>
              <w:pStyle w:val="TableParagraph"/>
              <w:spacing w:line="235" w:lineRule="exact"/>
              <w:ind w:left="1" w:right="0"/>
              <w:jc w:val="center"/>
              <w:rPr>
                <w:rFonts w:ascii="宋体" w:hAnsi="宋体" w:cs="宋体" w:eastAsia="宋体" w:hint="default"/>
                <w:sz w:val="20"/>
                <w:szCs w:val="20"/>
              </w:rPr>
            </w:pPr>
            <w:r>
              <w:rPr>
                <w:rFonts w:ascii="宋体"/>
                <w:sz w:val="20"/>
              </w:rPr>
              <w:t>237,237,523.16</w:t>
            </w:r>
          </w:p>
        </w:tc>
        <w:tc>
          <w:tcPr>
            <w:tcW w:w="1985" w:type="dxa"/>
            <w:tcBorders>
              <w:top w:val="single" w:sz="8" w:space="0" w:color="000000"/>
              <w:left w:val="single" w:sz="8" w:space="0" w:color="000000"/>
              <w:bottom w:val="single" w:sz="4" w:space="0" w:color="000000"/>
              <w:right w:val="single" w:sz="4" w:space="0" w:color="000000"/>
            </w:tcBorders>
          </w:tcPr>
          <w:p>
            <w:pPr>
              <w:pStyle w:val="TableParagraph"/>
              <w:spacing w:line="235" w:lineRule="exact"/>
              <w:ind w:right="4"/>
              <w:jc w:val="center"/>
              <w:rPr>
                <w:rFonts w:ascii="宋体" w:hAnsi="宋体" w:cs="宋体" w:eastAsia="宋体" w:hint="default"/>
                <w:sz w:val="20"/>
                <w:szCs w:val="20"/>
              </w:rPr>
            </w:pPr>
            <w:r>
              <w:rPr>
                <w:rFonts w:ascii="宋体"/>
                <w:sz w:val="20"/>
              </w:rPr>
              <w:t>-19.61%</w:t>
            </w:r>
          </w:p>
        </w:tc>
        <w:tc>
          <w:tcPr>
            <w:tcW w:w="2137" w:type="dxa"/>
            <w:tcBorders>
              <w:top w:val="single" w:sz="8"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pStyle w:val="Heading2"/>
        <w:tabs>
          <w:tab w:pos="637" w:val="left" w:leader="none"/>
        </w:tabs>
        <w:spacing w:line="290" w:lineRule="auto" w:before="36"/>
        <w:ind w:right="7588"/>
        <w:jc w:val="left"/>
        <w:rPr>
          <w:b w:val="0"/>
          <w:bCs w:val="0"/>
        </w:rPr>
      </w:pPr>
      <w:r>
        <w:rPr>
          <w:rFonts w:ascii="宋体" w:hAnsi="宋体" w:cs="宋体" w:eastAsia="宋体" w:hint="default"/>
          <w:w w:val="95"/>
        </w:rPr>
        <w:t>3.</w:t>
        <w:tab/>
      </w:r>
      <w:r>
        <w:rPr/>
        <w:t>研发投入</w:t>
      </w:r>
      <w:r>
        <w:rPr>
          <w:w w:val="100"/>
        </w:rPr>
        <w:t> </w:t>
      </w:r>
      <w:r>
        <w:rPr/>
        <w:t>研发投入情况表</w:t>
      </w:r>
      <w:r>
        <w:rPr>
          <w:b w:val="0"/>
          <w:bCs w:val="0"/>
        </w:rPr>
      </w:r>
    </w:p>
    <w:p>
      <w:pPr>
        <w:tabs>
          <w:tab w:pos="1060" w:val="left" w:leader="none"/>
        </w:tabs>
        <w:spacing w:line="290" w:lineRule="auto" w:before="12"/>
        <w:ind w:left="218" w:right="7383"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情况说明</w:t>
      </w:r>
      <w:r>
        <w:rPr>
          <w:rFonts w:ascii="宋体" w:hAnsi="宋体" w:cs="宋体" w:eastAsia="宋体" w:hint="default"/>
          <w:sz w:val="21"/>
          <w:szCs w:val="21"/>
        </w:rPr>
      </w:r>
    </w:p>
    <w:p>
      <w:pPr>
        <w:pStyle w:val="BodyText"/>
        <w:spacing w:line="240" w:lineRule="auto" w:before="12"/>
        <w:ind w:right="2497"/>
        <w:jc w:val="left"/>
      </w:pPr>
      <w:r>
        <w:rPr/>
        <w:t>□适用</w:t>
      </w:r>
      <w:r>
        <w:rPr>
          <w:spacing w:val="-1"/>
        </w:rPr>
        <w:t> </w:t>
      </w:r>
      <w:r>
        <w:rPr/>
        <w:t>√不适用</w:t>
      </w:r>
    </w:p>
    <w:p>
      <w:pPr>
        <w:spacing w:line="240" w:lineRule="auto" w:before="11"/>
        <w:rPr>
          <w:rFonts w:ascii="宋体" w:hAnsi="宋体" w:cs="宋体" w:eastAsia="宋体" w:hint="default"/>
          <w:sz w:val="29"/>
          <w:szCs w:val="29"/>
        </w:rPr>
      </w:pPr>
    </w:p>
    <w:p>
      <w:pPr>
        <w:pStyle w:val="Heading2"/>
        <w:tabs>
          <w:tab w:pos="637" w:val="left" w:leader="none"/>
        </w:tabs>
        <w:spacing w:line="240" w:lineRule="auto"/>
        <w:ind w:right="2497"/>
        <w:jc w:val="left"/>
        <w:rPr>
          <w:b w:val="0"/>
          <w:bCs w:val="0"/>
        </w:rPr>
      </w:pPr>
      <w:r>
        <w:rPr>
          <w:rFonts w:ascii="宋体" w:hAnsi="宋体" w:cs="宋体" w:eastAsia="宋体" w:hint="default"/>
          <w:w w:val="95"/>
        </w:rPr>
        <w:t>4.</w:t>
        <w:tab/>
      </w:r>
      <w:r>
        <w:rPr/>
        <w:t>现金流</w:t>
      </w:r>
      <w:r>
        <w:rPr>
          <w:b w:val="0"/>
          <w:bCs w:val="0"/>
        </w:rPr>
      </w:r>
    </w:p>
    <w:p>
      <w:pPr>
        <w:pStyle w:val="BodyText"/>
        <w:spacing w:line="240" w:lineRule="auto" w:before="56"/>
        <w:ind w:right="2497"/>
        <w:jc w:val="left"/>
      </w:pPr>
      <w:r>
        <w:rPr/>
        <w:t>√适用</w:t>
      </w:r>
      <w:r>
        <w:rPr>
          <w:spacing w:val="-1"/>
        </w:rPr>
        <w:t> </w:t>
      </w:r>
      <w:r>
        <w:rPr/>
        <w:t>□不适用</w:t>
      </w:r>
    </w:p>
    <w:p>
      <w:pPr>
        <w:spacing w:line="240" w:lineRule="auto" w:before="3"/>
        <w:rPr>
          <w:rFonts w:ascii="宋体" w:hAnsi="宋体" w:cs="宋体" w:eastAsia="宋体" w:hint="default"/>
          <w:sz w:val="23"/>
          <w:szCs w:val="23"/>
        </w:rPr>
      </w:pPr>
    </w:p>
    <w:tbl>
      <w:tblPr>
        <w:tblW w:w="0" w:type="auto"/>
        <w:jc w:val="left"/>
        <w:tblInd w:w="105" w:type="dxa"/>
        <w:tblLayout w:type="fixed"/>
        <w:tblCellMar>
          <w:top w:w="0" w:type="dxa"/>
          <w:left w:w="0" w:type="dxa"/>
          <w:bottom w:w="0" w:type="dxa"/>
          <w:right w:w="0" w:type="dxa"/>
        </w:tblCellMar>
        <w:tblLook w:val="01E0"/>
      </w:tblPr>
      <w:tblGrid>
        <w:gridCol w:w="1526"/>
        <w:gridCol w:w="1916"/>
        <w:gridCol w:w="1844"/>
        <w:gridCol w:w="1325"/>
        <w:gridCol w:w="2439"/>
      </w:tblGrid>
      <w:tr>
        <w:trPr>
          <w:trHeight w:val="1152"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left="316" w:right="0"/>
              <w:jc w:val="left"/>
              <w:rPr>
                <w:rFonts w:ascii="宋体" w:hAnsi="宋体" w:cs="宋体" w:eastAsia="宋体" w:hint="default"/>
                <w:sz w:val="22"/>
                <w:szCs w:val="22"/>
              </w:rPr>
            </w:pPr>
            <w:r>
              <w:rPr>
                <w:rFonts w:ascii="宋体" w:hAnsi="宋体" w:cs="宋体" w:eastAsia="宋体" w:hint="default"/>
                <w:sz w:val="22"/>
                <w:szCs w:val="22"/>
              </w:rPr>
              <w:t>项目名称</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left="403" w:right="0"/>
              <w:jc w:val="left"/>
              <w:rPr>
                <w:rFonts w:ascii="宋体" w:hAnsi="宋体" w:cs="宋体" w:eastAsia="宋体" w:hint="default"/>
                <w:sz w:val="22"/>
                <w:szCs w:val="22"/>
              </w:rPr>
            </w:pPr>
            <w:r>
              <w:rPr>
                <w:rFonts w:ascii="宋体" w:hAnsi="宋体" w:cs="宋体" w:eastAsia="宋体" w:hint="default"/>
                <w:sz w:val="22"/>
                <w:szCs w:val="22"/>
              </w:rPr>
              <w:t>本期期末数</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left="367" w:right="0"/>
              <w:jc w:val="left"/>
              <w:rPr>
                <w:rFonts w:ascii="宋体" w:hAnsi="宋体" w:cs="宋体" w:eastAsia="宋体" w:hint="default"/>
                <w:sz w:val="22"/>
                <w:szCs w:val="22"/>
              </w:rPr>
            </w:pPr>
            <w:r>
              <w:rPr>
                <w:rFonts w:ascii="宋体" w:hAnsi="宋体" w:cs="宋体" w:eastAsia="宋体" w:hint="default"/>
                <w:sz w:val="22"/>
                <w:szCs w:val="22"/>
              </w:rPr>
              <w:t>上期期末数</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2"/>
                <w:szCs w:val="22"/>
              </w:rPr>
            </w:pPr>
            <w:r>
              <w:rPr>
                <w:rFonts w:ascii="宋体" w:hAnsi="宋体" w:cs="宋体" w:eastAsia="宋体" w:hint="default"/>
                <w:sz w:val="22"/>
                <w:szCs w:val="22"/>
              </w:rPr>
              <w:t>本期期末金</w:t>
            </w:r>
          </w:p>
          <w:p>
            <w:pPr>
              <w:pStyle w:val="TableParagraph"/>
              <w:spacing w:line="286" w:lineRule="exact" w:before="26"/>
              <w:ind w:left="105" w:right="106"/>
              <w:jc w:val="center"/>
              <w:rPr>
                <w:rFonts w:ascii="宋体" w:hAnsi="宋体" w:cs="宋体" w:eastAsia="宋体" w:hint="default"/>
                <w:sz w:val="22"/>
                <w:szCs w:val="22"/>
              </w:rPr>
            </w:pPr>
            <w:r>
              <w:rPr>
                <w:rFonts w:ascii="宋体" w:hAnsi="宋体" w:cs="宋体" w:eastAsia="宋体" w:hint="default"/>
                <w:sz w:val="22"/>
                <w:szCs w:val="22"/>
              </w:rPr>
              <w:t>额较上期期</w:t>
            </w:r>
            <w:r>
              <w:rPr>
                <w:rFonts w:ascii="宋体" w:hAnsi="宋体" w:cs="宋体" w:eastAsia="宋体" w:hint="default"/>
                <w:w w:val="100"/>
                <w:sz w:val="22"/>
                <w:szCs w:val="22"/>
              </w:rPr>
              <w:t> </w:t>
            </w:r>
            <w:r>
              <w:rPr>
                <w:rFonts w:ascii="宋体" w:hAnsi="宋体" w:cs="宋体" w:eastAsia="宋体" w:hint="default"/>
                <w:sz w:val="22"/>
                <w:szCs w:val="22"/>
              </w:rPr>
              <w:t>末变动比例</w:t>
            </w:r>
          </w:p>
          <w:p>
            <w:pPr>
              <w:pStyle w:val="TableParagraph"/>
              <w:spacing w:line="259" w:lineRule="exact"/>
              <w:ind w:right="0"/>
              <w:jc w:val="center"/>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w:t>
            </w:r>
            <w:r>
              <w:rPr>
                <w:rFonts w:ascii="宋体" w:hAnsi="宋体" w:cs="宋体" w:eastAsia="宋体" w:hint="default"/>
                <w:sz w:val="22"/>
                <w:szCs w:val="22"/>
              </w:rPr>
              <w:t>）</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left="773" w:right="0"/>
              <w:jc w:val="left"/>
              <w:rPr>
                <w:rFonts w:ascii="宋体" w:hAnsi="宋体" w:cs="宋体" w:eastAsia="宋体" w:hint="default"/>
                <w:sz w:val="22"/>
                <w:szCs w:val="22"/>
              </w:rPr>
            </w:pPr>
            <w:r>
              <w:rPr>
                <w:rFonts w:ascii="宋体" w:hAnsi="宋体" w:cs="宋体" w:eastAsia="宋体" w:hint="default"/>
                <w:sz w:val="22"/>
                <w:szCs w:val="22"/>
              </w:rPr>
              <w:t>情况说明</w:t>
            </w:r>
          </w:p>
        </w:tc>
      </w:tr>
      <w:tr>
        <w:trPr>
          <w:trHeight w:val="528"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0"/>
              <w:jc w:val="center"/>
              <w:rPr>
                <w:rFonts w:ascii="宋体" w:hAnsi="宋体" w:cs="宋体" w:eastAsia="宋体" w:hint="default"/>
                <w:sz w:val="20"/>
                <w:szCs w:val="20"/>
              </w:rPr>
            </w:pPr>
            <w:r>
              <w:rPr>
                <w:rFonts w:ascii="宋体" w:hAnsi="宋体" w:cs="宋体" w:eastAsia="宋体" w:hint="default"/>
                <w:sz w:val="20"/>
                <w:szCs w:val="20"/>
              </w:rPr>
              <w:t>经营活动现金</w:t>
            </w:r>
          </w:p>
          <w:p>
            <w:pPr>
              <w:pStyle w:val="TableParagraph"/>
              <w:spacing w:line="260" w:lineRule="exact"/>
              <w:ind w:right="2"/>
              <w:jc w:val="center"/>
              <w:rPr>
                <w:rFonts w:ascii="宋体" w:hAnsi="宋体" w:cs="宋体" w:eastAsia="宋体" w:hint="default"/>
                <w:sz w:val="20"/>
                <w:szCs w:val="20"/>
              </w:rPr>
            </w:pPr>
            <w:r>
              <w:rPr>
                <w:rFonts w:ascii="宋体" w:hAnsi="宋体" w:cs="宋体" w:eastAsia="宋体" w:hint="default"/>
                <w:sz w:val="20"/>
                <w:szCs w:val="20"/>
              </w:rPr>
              <w:t>流入小计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宋体" w:hAnsi="宋体" w:cs="宋体" w:eastAsia="宋体" w:hint="default"/>
                <w:sz w:val="20"/>
                <w:szCs w:val="20"/>
              </w:rPr>
            </w:pPr>
            <w:r>
              <w:rPr>
                <w:rFonts w:ascii="宋体"/>
                <w:w w:val="95"/>
                <w:sz w:val="20"/>
              </w:rPr>
              <w:t>5,450,342,443.01</w:t>
            </w:r>
            <w:r>
              <w:rPr>
                <w:rFonts w:ascii="宋体"/>
                <w:sz w:val="20"/>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宋体" w:hAnsi="宋体" w:cs="宋体" w:eastAsia="宋体" w:hint="default"/>
                <w:sz w:val="20"/>
                <w:szCs w:val="20"/>
              </w:rPr>
            </w:pPr>
            <w:r>
              <w:rPr>
                <w:rFonts w:ascii="宋体"/>
                <w:w w:val="95"/>
                <w:sz w:val="20"/>
              </w:rPr>
              <w:t>3,274,804,969.62</w:t>
            </w:r>
            <w:r>
              <w:rPr>
                <w:rFonts w:ascii="宋体"/>
                <w:sz w:val="20"/>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20"/>
                <w:szCs w:val="20"/>
              </w:rPr>
            </w:pPr>
            <w:r>
              <w:rPr>
                <w:rFonts w:ascii="宋体"/>
                <w:w w:val="95"/>
                <w:sz w:val="20"/>
              </w:rPr>
              <w:t>66.43%</w:t>
            </w:r>
            <w:r>
              <w:rPr>
                <w:rFonts w:ascii="宋体"/>
                <w:sz w:val="20"/>
              </w:rPr>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主要系经营规模扩大，业</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务量增加所致</w:t>
            </w:r>
          </w:p>
        </w:tc>
      </w:tr>
      <w:tr>
        <w:trPr>
          <w:trHeight w:val="530"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20"/>
                <w:szCs w:val="20"/>
              </w:rPr>
            </w:pPr>
            <w:r>
              <w:rPr>
                <w:rFonts w:ascii="宋体" w:hAnsi="宋体" w:cs="宋体" w:eastAsia="宋体" w:hint="default"/>
                <w:sz w:val="20"/>
                <w:szCs w:val="20"/>
              </w:rPr>
              <w:t>经营活动现金</w:t>
            </w:r>
          </w:p>
          <w:p>
            <w:pPr>
              <w:pStyle w:val="TableParagraph"/>
              <w:spacing w:line="260" w:lineRule="exact"/>
              <w:ind w:right="2"/>
              <w:jc w:val="center"/>
              <w:rPr>
                <w:rFonts w:ascii="宋体" w:hAnsi="宋体" w:cs="宋体" w:eastAsia="宋体" w:hint="default"/>
                <w:sz w:val="20"/>
                <w:szCs w:val="20"/>
              </w:rPr>
            </w:pPr>
            <w:r>
              <w:rPr>
                <w:rFonts w:ascii="宋体" w:hAnsi="宋体" w:cs="宋体" w:eastAsia="宋体" w:hint="default"/>
                <w:sz w:val="20"/>
                <w:szCs w:val="20"/>
              </w:rPr>
              <w:t>流出小计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宋体" w:hAnsi="宋体" w:cs="宋体" w:eastAsia="宋体" w:hint="default"/>
                <w:sz w:val="20"/>
                <w:szCs w:val="20"/>
              </w:rPr>
            </w:pPr>
            <w:r>
              <w:rPr>
                <w:rFonts w:ascii="宋体"/>
                <w:w w:val="95"/>
                <w:sz w:val="20"/>
              </w:rPr>
              <w:t>4,598,352,140.99</w:t>
            </w:r>
            <w:r>
              <w:rPr>
                <w:rFonts w:ascii="宋体"/>
                <w:sz w:val="20"/>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宋体" w:hAnsi="宋体" w:cs="宋体" w:eastAsia="宋体" w:hint="default"/>
                <w:sz w:val="20"/>
                <w:szCs w:val="20"/>
              </w:rPr>
            </w:pPr>
            <w:r>
              <w:rPr>
                <w:rFonts w:ascii="宋体"/>
                <w:w w:val="95"/>
                <w:sz w:val="20"/>
              </w:rPr>
              <w:t>2,335,112,115.46</w:t>
            </w:r>
            <w:r>
              <w:rPr>
                <w:rFonts w:ascii="宋体"/>
                <w:sz w:val="20"/>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20"/>
                <w:szCs w:val="20"/>
              </w:rPr>
            </w:pPr>
            <w:r>
              <w:rPr>
                <w:rFonts w:ascii="宋体"/>
                <w:w w:val="95"/>
                <w:sz w:val="20"/>
              </w:rPr>
              <w:t>96.92%</w:t>
            </w:r>
            <w:r>
              <w:rPr>
                <w:rFonts w:ascii="宋体"/>
                <w:sz w:val="20"/>
              </w:rPr>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z w:val="20"/>
                <w:szCs w:val="20"/>
              </w:rPr>
              <w:t>主要系本期支付给供应商</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的款项增加较大所致</w:t>
            </w:r>
          </w:p>
        </w:tc>
      </w:tr>
      <w:tr>
        <w:trPr>
          <w:trHeight w:val="788"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55" w:right="0"/>
              <w:jc w:val="left"/>
              <w:rPr>
                <w:rFonts w:ascii="宋体" w:hAnsi="宋体" w:cs="宋体" w:eastAsia="宋体" w:hint="default"/>
                <w:sz w:val="20"/>
                <w:szCs w:val="20"/>
              </w:rPr>
            </w:pPr>
            <w:r>
              <w:rPr>
                <w:rFonts w:ascii="宋体" w:hAnsi="宋体" w:cs="宋体" w:eastAsia="宋体" w:hint="default"/>
                <w:b/>
                <w:bCs/>
                <w:sz w:val="20"/>
                <w:szCs w:val="20"/>
              </w:rPr>
              <w:t>经营活动产生</w:t>
            </w:r>
            <w:r>
              <w:rPr>
                <w:rFonts w:ascii="宋体" w:hAnsi="宋体" w:cs="宋体" w:eastAsia="宋体" w:hint="default"/>
                <w:sz w:val="20"/>
                <w:szCs w:val="20"/>
              </w:rPr>
            </w:r>
          </w:p>
          <w:p>
            <w:pPr>
              <w:pStyle w:val="TableParagraph"/>
              <w:spacing w:line="260" w:lineRule="exact" w:before="24"/>
              <w:ind w:left="657" w:right="154" w:hanging="502"/>
              <w:jc w:val="left"/>
              <w:rPr>
                <w:rFonts w:ascii="宋体" w:hAnsi="宋体" w:cs="宋体" w:eastAsia="宋体" w:hint="default"/>
                <w:sz w:val="20"/>
                <w:szCs w:val="20"/>
              </w:rPr>
            </w:pPr>
            <w:r>
              <w:rPr>
                <w:rFonts w:ascii="宋体" w:hAnsi="宋体" w:cs="宋体" w:eastAsia="宋体" w:hint="default"/>
                <w:b/>
                <w:bCs/>
                <w:sz w:val="20"/>
                <w:szCs w:val="20"/>
              </w:rPr>
              <w:t>的现金流量净</w:t>
            </w:r>
            <w:r>
              <w:rPr>
                <w:rFonts w:ascii="宋体" w:hAnsi="宋体" w:cs="宋体" w:eastAsia="宋体" w:hint="default"/>
                <w:b/>
                <w:bCs/>
                <w:w w:val="99"/>
                <w:sz w:val="20"/>
                <w:szCs w:val="20"/>
              </w:rPr>
              <w:t> </w:t>
            </w:r>
            <w:r>
              <w:rPr>
                <w:rFonts w:ascii="宋体" w:hAnsi="宋体" w:cs="宋体" w:eastAsia="宋体" w:hint="default"/>
                <w:b/>
                <w:bCs/>
                <w:sz w:val="20"/>
                <w:szCs w:val="20"/>
              </w:rPr>
              <w:t>额</w:t>
            </w:r>
            <w:r>
              <w:rPr>
                <w:rFonts w:ascii="宋体" w:hAnsi="宋体" w:cs="宋体" w:eastAsia="宋体" w:hint="default"/>
                <w:sz w:val="20"/>
                <w:szCs w:val="20"/>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20"/>
                <w:szCs w:val="20"/>
              </w:rPr>
            </w:pPr>
            <w:r>
              <w:rPr>
                <w:rFonts w:ascii="宋体"/>
                <w:w w:val="95"/>
                <w:sz w:val="20"/>
              </w:rPr>
              <w:t>851,990,302.02</w:t>
            </w:r>
            <w:r>
              <w:rPr>
                <w:rFonts w:ascii="宋体"/>
                <w:sz w:val="20"/>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20"/>
                <w:szCs w:val="20"/>
              </w:rPr>
            </w:pPr>
            <w:r>
              <w:rPr>
                <w:rFonts w:ascii="宋体"/>
                <w:w w:val="95"/>
                <w:sz w:val="20"/>
              </w:rPr>
              <w:t>939,692,854.16</w:t>
            </w:r>
            <w:r>
              <w:rPr>
                <w:rFonts w:ascii="宋体"/>
                <w:sz w:val="20"/>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0"/>
              <w:jc w:val="right"/>
              <w:rPr>
                <w:rFonts w:ascii="宋体" w:hAnsi="宋体" w:cs="宋体" w:eastAsia="宋体" w:hint="default"/>
                <w:sz w:val="20"/>
                <w:szCs w:val="20"/>
              </w:rPr>
            </w:pPr>
            <w:r>
              <w:rPr>
                <w:rFonts w:ascii="宋体"/>
                <w:w w:val="95"/>
                <w:sz w:val="20"/>
              </w:rPr>
              <w:t>-9.33%</w:t>
            </w:r>
            <w:r>
              <w:rPr>
                <w:rFonts w:ascii="宋体"/>
                <w:sz w:val="20"/>
              </w:rPr>
            </w:r>
          </w:p>
        </w:tc>
        <w:tc>
          <w:tcPr>
            <w:tcW w:w="2439"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0"/>
              <w:jc w:val="center"/>
              <w:rPr>
                <w:rFonts w:ascii="宋体" w:hAnsi="宋体" w:cs="宋体" w:eastAsia="宋体" w:hint="default"/>
                <w:sz w:val="20"/>
                <w:szCs w:val="20"/>
              </w:rPr>
            </w:pPr>
            <w:r>
              <w:rPr>
                <w:rFonts w:ascii="宋体" w:hAnsi="宋体" w:cs="宋体" w:eastAsia="宋体" w:hint="default"/>
                <w:sz w:val="20"/>
                <w:szCs w:val="20"/>
              </w:rPr>
              <w:t>投资活动现金</w:t>
            </w:r>
          </w:p>
          <w:p>
            <w:pPr>
              <w:pStyle w:val="TableParagraph"/>
              <w:spacing w:line="260" w:lineRule="exact"/>
              <w:ind w:right="2"/>
              <w:jc w:val="center"/>
              <w:rPr>
                <w:rFonts w:ascii="宋体" w:hAnsi="宋体" w:cs="宋体" w:eastAsia="宋体" w:hint="default"/>
                <w:sz w:val="20"/>
                <w:szCs w:val="20"/>
              </w:rPr>
            </w:pPr>
            <w:r>
              <w:rPr>
                <w:rFonts w:ascii="宋体" w:hAnsi="宋体" w:cs="宋体" w:eastAsia="宋体" w:hint="default"/>
                <w:sz w:val="20"/>
                <w:szCs w:val="20"/>
              </w:rPr>
              <w:t>流入小计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宋体" w:hAnsi="宋体" w:cs="宋体" w:eastAsia="宋体" w:hint="default"/>
                <w:sz w:val="20"/>
                <w:szCs w:val="20"/>
              </w:rPr>
            </w:pPr>
            <w:r>
              <w:rPr>
                <w:rFonts w:ascii="宋体"/>
                <w:w w:val="95"/>
                <w:sz w:val="20"/>
              </w:rPr>
              <w:t>178,151,068.18</w:t>
            </w:r>
            <w:r>
              <w:rPr>
                <w:rFonts w:ascii="宋体"/>
                <w:sz w:val="20"/>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宋体" w:hAnsi="宋体" w:cs="宋体" w:eastAsia="宋体" w:hint="default"/>
                <w:sz w:val="20"/>
                <w:szCs w:val="20"/>
              </w:rPr>
            </w:pPr>
            <w:r>
              <w:rPr>
                <w:rFonts w:ascii="宋体"/>
                <w:w w:val="95"/>
                <w:sz w:val="20"/>
              </w:rPr>
              <w:t>26,229,112.66</w:t>
            </w:r>
            <w:r>
              <w:rPr>
                <w:rFonts w:ascii="宋体"/>
                <w:sz w:val="20"/>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z w:val="20"/>
              </w:rPr>
              <w:t>579.21%</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hAnsi="宋体" w:cs="宋体" w:eastAsia="宋体" w:hint="default"/>
                <w:sz w:val="20"/>
                <w:szCs w:val="20"/>
              </w:rPr>
              <w:t>主要系处置船舶所致</w:t>
            </w:r>
          </w:p>
        </w:tc>
      </w:tr>
      <w:tr>
        <w:trPr>
          <w:trHeight w:val="530"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20"/>
                <w:szCs w:val="20"/>
              </w:rPr>
            </w:pPr>
            <w:r>
              <w:rPr>
                <w:rFonts w:ascii="宋体" w:hAnsi="宋体" w:cs="宋体" w:eastAsia="宋体" w:hint="default"/>
                <w:sz w:val="20"/>
                <w:szCs w:val="20"/>
              </w:rPr>
              <w:t>投资活动现金</w:t>
            </w:r>
          </w:p>
          <w:p>
            <w:pPr>
              <w:pStyle w:val="TableParagraph"/>
              <w:spacing w:line="260" w:lineRule="exact"/>
              <w:ind w:right="2"/>
              <w:jc w:val="center"/>
              <w:rPr>
                <w:rFonts w:ascii="宋体" w:hAnsi="宋体" w:cs="宋体" w:eastAsia="宋体" w:hint="default"/>
                <w:sz w:val="20"/>
                <w:szCs w:val="20"/>
              </w:rPr>
            </w:pPr>
            <w:r>
              <w:rPr>
                <w:rFonts w:ascii="宋体" w:hAnsi="宋体" w:cs="宋体" w:eastAsia="宋体" w:hint="default"/>
                <w:sz w:val="20"/>
                <w:szCs w:val="20"/>
              </w:rPr>
              <w:t>流出小计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宋体" w:hAnsi="宋体" w:cs="宋体" w:eastAsia="宋体" w:hint="default"/>
                <w:sz w:val="20"/>
                <w:szCs w:val="20"/>
              </w:rPr>
            </w:pPr>
            <w:r>
              <w:rPr>
                <w:rFonts w:ascii="宋体"/>
                <w:w w:val="95"/>
                <w:sz w:val="20"/>
              </w:rPr>
              <w:t>1,377,773,805.01</w:t>
            </w:r>
            <w:r>
              <w:rPr>
                <w:rFonts w:ascii="宋体"/>
                <w:sz w:val="20"/>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宋体" w:hAnsi="宋体" w:cs="宋体" w:eastAsia="宋体" w:hint="default"/>
                <w:sz w:val="20"/>
                <w:szCs w:val="20"/>
              </w:rPr>
            </w:pPr>
            <w:r>
              <w:rPr>
                <w:rFonts w:ascii="宋体"/>
                <w:w w:val="95"/>
                <w:sz w:val="20"/>
              </w:rPr>
              <w:t>515,942,090.92</w:t>
            </w:r>
            <w:r>
              <w:rPr>
                <w:rFonts w:ascii="宋体"/>
                <w:sz w:val="20"/>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0"/>
                <w:szCs w:val="20"/>
              </w:rPr>
            </w:pPr>
            <w:r>
              <w:rPr>
                <w:rFonts w:ascii="宋体"/>
                <w:sz w:val="20"/>
              </w:rPr>
              <w:t>167.04%</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z w:val="20"/>
                <w:szCs w:val="20"/>
              </w:rPr>
              <w:t>主要系购置船舶和集装箱</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所致</w:t>
            </w:r>
          </w:p>
        </w:tc>
      </w:tr>
      <w:tr>
        <w:trPr>
          <w:trHeight w:val="787"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55" w:right="0"/>
              <w:jc w:val="left"/>
              <w:rPr>
                <w:rFonts w:ascii="宋体" w:hAnsi="宋体" w:cs="宋体" w:eastAsia="宋体" w:hint="default"/>
                <w:sz w:val="20"/>
                <w:szCs w:val="20"/>
              </w:rPr>
            </w:pPr>
            <w:r>
              <w:rPr>
                <w:rFonts w:ascii="宋体" w:hAnsi="宋体" w:cs="宋体" w:eastAsia="宋体" w:hint="default"/>
                <w:b/>
                <w:bCs/>
                <w:sz w:val="20"/>
                <w:szCs w:val="20"/>
              </w:rPr>
              <w:t>投资活动产生</w:t>
            </w:r>
            <w:r>
              <w:rPr>
                <w:rFonts w:ascii="宋体" w:hAnsi="宋体" w:cs="宋体" w:eastAsia="宋体" w:hint="default"/>
                <w:sz w:val="20"/>
                <w:szCs w:val="20"/>
              </w:rPr>
            </w:r>
          </w:p>
          <w:p>
            <w:pPr>
              <w:pStyle w:val="TableParagraph"/>
              <w:spacing w:line="260" w:lineRule="exact" w:before="24"/>
              <w:ind w:left="657" w:right="154" w:hanging="502"/>
              <w:jc w:val="left"/>
              <w:rPr>
                <w:rFonts w:ascii="宋体" w:hAnsi="宋体" w:cs="宋体" w:eastAsia="宋体" w:hint="default"/>
                <w:sz w:val="20"/>
                <w:szCs w:val="20"/>
              </w:rPr>
            </w:pPr>
            <w:r>
              <w:rPr>
                <w:rFonts w:ascii="宋体" w:hAnsi="宋体" w:cs="宋体" w:eastAsia="宋体" w:hint="default"/>
                <w:b/>
                <w:bCs/>
                <w:sz w:val="20"/>
                <w:szCs w:val="20"/>
              </w:rPr>
              <w:t>的现金流量净</w:t>
            </w:r>
            <w:r>
              <w:rPr>
                <w:rFonts w:ascii="宋体" w:hAnsi="宋体" w:cs="宋体" w:eastAsia="宋体" w:hint="default"/>
                <w:b/>
                <w:bCs/>
                <w:w w:val="99"/>
                <w:sz w:val="20"/>
                <w:szCs w:val="20"/>
              </w:rPr>
              <w:t> </w:t>
            </w:r>
            <w:r>
              <w:rPr>
                <w:rFonts w:ascii="宋体" w:hAnsi="宋体" w:cs="宋体" w:eastAsia="宋体" w:hint="default"/>
                <w:b/>
                <w:bCs/>
                <w:sz w:val="20"/>
                <w:szCs w:val="20"/>
              </w:rPr>
              <w:t>额</w:t>
            </w:r>
            <w:r>
              <w:rPr>
                <w:rFonts w:ascii="宋体" w:hAnsi="宋体" w:cs="宋体" w:eastAsia="宋体" w:hint="default"/>
                <w:sz w:val="20"/>
                <w:szCs w:val="20"/>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20"/>
                <w:szCs w:val="20"/>
              </w:rPr>
            </w:pPr>
            <w:r>
              <w:rPr>
                <w:rFonts w:ascii="宋体"/>
                <w:w w:val="95"/>
                <w:sz w:val="20"/>
              </w:rPr>
              <w:t>-1,199,622,736.83</w:t>
            </w:r>
            <w:r>
              <w:rPr>
                <w:rFonts w:ascii="宋体"/>
                <w:sz w:val="20"/>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20"/>
                <w:szCs w:val="20"/>
              </w:rPr>
            </w:pPr>
            <w:r>
              <w:rPr>
                <w:rFonts w:ascii="宋体"/>
                <w:w w:val="95"/>
                <w:sz w:val="20"/>
              </w:rPr>
              <w:t>-489,712,978.26</w:t>
            </w:r>
            <w:r>
              <w:rPr>
                <w:rFonts w:ascii="宋体"/>
                <w:sz w:val="20"/>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0"/>
              <w:jc w:val="right"/>
              <w:rPr>
                <w:rFonts w:ascii="宋体" w:hAnsi="宋体" w:cs="宋体" w:eastAsia="宋体" w:hint="default"/>
                <w:sz w:val="20"/>
                <w:szCs w:val="20"/>
              </w:rPr>
            </w:pPr>
            <w:r>
              <w:rPr>
                <w:rFonts w:ascii="宋体"/>
                <w:w w:val="95"/>
                <w:sz w:val="20"/>
              </w:rPr>
              <w:t>-144.96%</w:t>
            </w:r>
            <w:r>
              <w:rPr>
                <w:rFonts w:ascii="宋体"/>
                <w:sz w:val="20"/>
              </w:rPr>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103" w:right="126"/>
              <w:jc w:val="left"/>
              <w:rPr>
                <w:rFonts w:ascii="宋体" w:hAnsi="宋体" w:cs="宋体" w:eastAsia="宋体" w:hint="default"/>
                <w:sz w:val="20"/>
                <w:szCs w:val="20"/>
              </w:rPr>
            </w:pPr>
            <w:r>
              <w:rPr>
                <w:rFonts w:ascii="宋体" w:hAnsi="宋体" w:cs="宋体" w:eastAsia="宋体" w:hint="default"/>
                <w:sz w:val="20"/>
                <w:szCs w:val="20"/>
              </w:rPr>
              <w:t>主要系购置船舶和集装箱</w:t>
            </w:r>
            <w:r>
              <w:rPr>
                <w:rFonts w:ascii="宋体" w:hAnsi="宋体" w:cs="宋体" w:eastAsia="宋体" w:hint="default"/>
                <w:w w:val="99"/>
                <w:sz w:val="20"/>
                <w:szCs w:val="20"/>
              </w:rPr>
              <w:t> </w:t>
            </w:r>
            <w:r>
              <w:rPr>
                <w:rFonts w:ascii="宋体" w:hAnsi="宋体" w:cs="宋体" w:eastAsia="宋体" w:hint="default"/>
                <w:sz w:val="20"/>
                <w:szCs w:val="20"/>
              </w:rPr>
              <w:t>所致</w:t>
            </w:r>
          </w:p>
        </w:tc>
      </w:tr>
      <w:tr>
        <w:trPr>
          <w:trHeight w:val="788"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158" w:right="158" w:firstLine="398"/>
              <w:jc w:val="left"/>
              <w:rPr>
                <w:rFonts w:ascii="宋体" w:hAnsi="宋体" w:cs="宋体" w:eastAsia="宋体" w:hint="default"/>
                <w:sz w:val="20"/>
                <w:szCs w:val="20"/>
              </w:rPr>
            </w:pPr>
            <w:r>
              <w:rPr>
                <w:rFonts w:ascii="宋体" w:hAnsi="宋体" w:cs="宋体" w:eastAsia="宋体" w:hint="default"/>
                <w:sz w:val="20"/>
                <w:szCs w:val="20"/>
              </w:rPr>
              <w:t>筹资活动</w:t>
            </w:r>
            <w:r>
              <w:rPr>
                <w:rFonts w:ascii="宋体" w:hAnsi="宋体" w:cs="宋体" w:eastAsia="宋体" w:hint="default"/>
                <w:w w:val="99"/>
                <w:sz w:val="20"/>
                <w:szCs w:val="20"/>
              </w:rPr>
              <w:t> </w:t>
            </w:r>
            <w:r>
              <w:rPr>
                <w:rFonts w:ascii="宋体" w:hAnsi="宋体" w:cs="宋体" w:eastAsia="宋体" w:hint="default"/>
                <w:sz w:val="20"/>
                <w:szCs w:val="20"/>
              </w:rPr>
              <w:t>现金流入小计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20"/>
                <w:szCs w:val="20"/>
              </w:rPr>
            </w:pPr>
            <w:r>
              <w:rPr>
                <w:rFonts w:ascii="宋体"/>
                <w:w w:val="95"/>
                <w:sz w:val="20"/>
              </w:rPr>
              <w:t>2,331,338,667.64</w:t>
            </w:r>
            <w:r>
              <w:rPr>
                <w:rFonts w:ascii="宋体"/>
                <w:sz w:val="20"/>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20"/>
                <w:szCs w:val="20"/>
              </w:rPr>
            </w:pPr>
            <w:r>
              <w:rPr>
                <w:rFonts w:ascii="宋体"/>
                <w:w w:val="95"/>
                <w:sz w:val="20"/>
              </w:rPr>
              <w:t>1,672,128,670.60</w:t>
            </w:r>
            <w:r>
              <w:rPr>
                <w:rFonts w:ascii="宋体"/>
                <w:sz w:val="20"/>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0"/>
              <w:jc w:val="right"/>
              <w:rPr>
                <w:rFonts w:ascii="宋体" w:hAnsi="宋体" w:cs="宋体" w:eastAsia="宋体" w:hint="default"/>
                <w:sz w:val="20"/>
                <w:szCs w:val="20"/>
              </w:rPr>
            </w:pPr>
            <w:r>
              <w:rPr>
                <w:rFonts w:ascii="宋体"/>
                <w:w w:val="95"/>
                <w:sz w:val="20"/>
              </w:rPr>
              <w:t>39.42%</w:t>
            </w:r>
            <w:r>
              <w:rPr>
                <w:rFonts w:ascii="宋体"/>
                <w:sz w:val="20"/>
              </w:rPr>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主要系本期短期借款增</w:t>
            </w:r>
          </w:p>
          <w:p>
            <w:pPr>
              <w:pStyle w:val="TableParagraph"/>
              <w:spacing w:line="260" w:lineRule="exact" w:before="24"/>
              <w:ind w:left="103" w:right="126"/>
              <w:jc w:val="left"/>
              <w:rPr>
                <w:rFonts w:ascii="宋体" w:hAnsi="宋体" w:cs="宋体" w:eastAsia="宋体" w:hint="default"/>
                <w:sz w:val="20"/>
                <w:szCs w:val="20"/>
              </w:rPr>
            </w:pPr>
            <w:r>
              <w:rPr>
                <w:rFonts w:ascii="宋体" w:hAnsi="宋体" w:cs="宋体" w:eastAsia="宋体" w:hint="default"/>
                <w:sz w:val="20"/>
                <w:szCs w:val="20"/>
              </w:rPr>
              <w:t>加、售后回租融资增加以</w:t>
            </w:r>
            <w:r>
              <w:rPr>
                <w:rFonts w:ascii="宋体" w:hAnsi="宋体" w:cs="宋体" w:eastAsia="宋体" w:hint="default"/>
                <w:w w:val="99"/>
                <w:sz w:val="20"/>
                <w:szCs w:val="20"/>
              </w:rPr>
              <w:t> </w:t>
            </w:r>
            <w:r>
              <w:rPr>
                <w:rFonts w:ascii="宋体" w:hAnsi="宋体" w:cs="宋体" w:eastAsia="宋体" w:hint="default"/>
                <w:sz w:val="20"/>
                <w:szCs w:val="20"/>
              </w:rPr>
              <w:t>及发行短期融资券所致</w:t>
            </w:r>
          </w:p>
        </w:tc>
      </w:tr>
      <w:tr>
        <w:trPr>
          <w:trHeight w:val="530"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58" w:right="0" w:firstLine="398"/>
              <w:jc w:val="left"/>
              <w:rPr>
                <w:rFonts w:ascii="宋体" w:hAnsi="宋体" w:cs="宋体" w:eastAsia="宋体" w:hint="default"/>
                <w:sz w:val="20"/>
                <w:szCs w:val="20"/>
              </w:rPr>
            </w:pPr>
            <w:r>
              <w:rPr>
                <w:rFonts w:ascii="宋体" w:hAnsi="宋体" w:cs="宋体" w:eastAsia="宋体" w:hint="default"/>
                <w:sz w:val="20"/>
                <w:szCs w:val="20"/>
              </w:rPr>
              <w:t>筹资活动</w:t>
            </w:r>
          </w:p>
          <w:p>
            <w:pPr>
              <w:pStyle w:val="TableParagraph"/>
              <w:spacing w:line="260" w:lineRule="exact"/>
              <w:ind w:left="158" w:right="0"/>
              <w:jc w:val="left"/>
              <w:rPr>
                <w:rFonts w:ascii="宋体" w:hAnsi="宋体" w:cs="宋体" w:eastAsia="宋体" w:hint="default"/>
                <w:sz w:val="20"/>
                <w:szCs w:val="20"/>
              </w:rPr>
            </w:pPr>
            <w:r>
              <w:rPr>
                <w:rFonts w:ascii="宋体" w:hAnsi="宋体" w:cs="宋体" w:eastAsia="宋体" w:hint="default"/>
                <w:sz w:val="20"/>
                <w:szCs w:val="20"/>
              </w:rPr>
              <w:t>现金流出小计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宋体" w:hAnsi="宋体" w:cs="宋体" w:eastAsia="宋体" w:hint="default"/>
                <w:sz w:val="20"/>
                <w:szCs w:val="20"/>
              </w:rPr>
            </w:pPr>
            <w:r>
              <w:rPr>
                <w:rFonts w:ascii="宋体"/>
                <w:w w:val="95"/>
                <w:sz w:val="20"/>
              </w:rPr>
              <w:t>2,057,605,363.11</w:t>
            </w:r>
            <w:r>
              <w:rPr>
                <w:rFonts w:ascii="宋体"/>
                <w:sz w:val="20"/>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宋体" w:hAnsi="宋体" w:cs="宋体" w:eastAsia="宋体" w:hint="default"/>
                <w:sz w:val="20"/>
                <w:szCs w:val="20"/>
              </w:rPr>
            </w:pPr>
            <w:r>
              <w:rPr>
                <w:rFonts w:ascii="宋体"/>
                <w:w w:val="95"/>
                <w:sz w:val="20"/>
              </w:rPr>
              <w:t>1,540,958,276.98</w:t>
            </w:r>
            <w:r>
              <w:rPr>
                <w:rFonts w:ascii="宋体"/>
                <w:sz w:val="20"/>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20"/>
                <w:szCs w:val="20"/>
              </w:rPr>
            </w:pPr>
            <w:r>
              <w:rPr>
                <w:rFonts w:ascii="宋体"/>
                <w:w w:val="95"/>
                <w:sz w:val="20"/>
              </w:rPr>
              <w:t>33.53%</w:t>
            </w:r>
            <w:r>
              <w:rPr>
                <w:rFonts w:ascii="宋体"/>
                <w:sz w:val="20"/>
              </w:rPr>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z w:val="20"/>
                <w:szCs w:val="20"/>
              </w:rPr>
              <w:t>主要系支付融资租赁款所</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致</w:t>
            </w:r>
            <w:r>
              <w:rPr>
                <w:rFonts w:ascii="宋体" w:hAnsi="宋体" w:cs="宋体" w:eastAsia="宋体" w:hint="default"/>
                <w:sz w:val="20"/>
                <w:szCs w:val="20"/>
              </w:rPr>
            </w:r>
          </w:p>
        </w:tc>
      </w:tr>
      <w:tr>
        <w:trPr>
          <w:trHeight w:val="787"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55" w:right="0"/>
              <w:jc w:val="left"/>
              <w:rPr>
                <w:rFonts w:ascii="宋体" w:hAnsi="宋体" w:cs="宋体" w:eastAsia="宋体" w:hint="default"/>
                <w:sz w:val="20"/>
                <w:szCs w:val="20"/>
              </w:rPr>
            </w:pPr>
            <w:r>
              <w:rPr>
                <w:rFonts w:ascii="宋体" w:hAnsi="宋体" w:cs="宋体" w:eastAsia="宋体" w:hint="default"/>
                <w:b/>
                <w:bCs/>
                <w:sz w:val="20"/>
                <w:szCs w:val="20"/>
              </w:rPr>
              <w:t>筹资活动产生</w:t>
            </w:r>
            <w:r>
              <w:rPr>
                <w:rFonts w:ascii="宋体" w:hAnsi="宋体" w:cs="宋体" w:eastAsia="宋体" w:hint="default"/>
                <w:sz w:val="20"/>
                <w:szCs w:val="20"/>
              </w:rPr>
            </w:r>
          </w:p>
          <w:p>
            <w:pPr>
              <w:pStyle w:val="TableParagraph"/>
              <w:spacing w:line="260" w:lineRule="exact" w:before="24"/>
              <w:ind w:left="657" w:right="154" w:hanging="502"/>
              <w:jc w:val="left"/>
              <w:rPr>
                <w:rFonts w:ascii="宋体" w:hAnsi="宋体" w:cs="宋体" w:eastAsia="宋体" w:hint="default"/>
                <w:sz w:val="20"/>
                <w:szCs w:val="20"/>
              </w:rPr>
            </w:pPr>
            <w:r>
              <w:rPr>
                <w:rFonts w:ascii="宋体" w:hAnsi="宋体" w:cs="宋体" w:eastAsia="宋体" w:hint="default"/>
                <w:b/>
                <w:bCs/>
                <w:sz w:val="20"/>
                <w:szCs w:val="20"/>
              </w:rPr>
              <w:t>的现金流量净</w:t>
            </w:r>
            <w:r>
              <w:rPr>
                <w:rFonts w:ascii="宋体" w:hAnsi="宋体" w:cs="宋体" w:eastAsia="宋体" w:hint="default"/>
                <w:b/>
                <w:bCs/>
                <w:w w:val="99"/>
                <w:sz w:val="20"/>
                <w:szCs w:val="20"/>
              </w:rPr>
              <w:t> </w:t>
            </w:r>
            <w:r>
              <w:rPr>
                <w:rFonts w:ascii="宋体" w:hAnsi="宋体" w:cs="宋体" w:eastAsia="宋体" w:hint="default"/>
                <w:b/>
                <w:bCs/>
                <w:sz w:val="20"/>
                <w:szCs w:val="20"/>
              </w:rPr>
              <w:t>额</w:t>
            </w:r>
            <w:r>
              <w:rPr>
                <w:rFonts w:ascii="宋体" w:hAnsi="宋体" w:cs="宋体" w:eastAsia="宋体" w:hint="default"/>
                <w:sz w:val="20"/>
                <w:szCs w:val="20"/>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20"/>
                <w:szCs w:val="20"/>
              </w:rPr>
            </w:pPr>
            <w:r>
              <w:rPr>
                <w:rFonts w:ascii="宋体"/>
                <w:w w:val="95"/>
                <w:sz w:val="20"/>
              </w:rPr>
              <w:t>273,733,304.53</w:t>
            </w:r>
            <w:r>
              <w:rPr>
                <w:rFonts w:ascii="宋体"/>
                <w:sz w:val="20"/>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20"/>
                <w:szCs w:val="20"/>
              </w:rPr>
            </w:pPr>
            <w:r>
              <w:rPr>
                <w:rFonts w:ascii="宋体"/>
                <w:w w:val="95"/>
                <w:sz w:val="20"/>
              </w:rPr>
              <w:t>131,170,393.62</w:t>
            </w:r>
            <w:r>
              <w:rPr>
                <w:rFonts w:ascii="宋体"/>
                <w:sz w:val="20"/>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0"/>
                <w:szCs w:val="20"/>
              </w:rPr>
            </w:pPr>
            <w:r>
              <w:rPr>
                <w:rFonts w:ascii="宋体"/>
                <w:sz w:val="20"/>
              </w:rPr>
              <w:t>108.69%</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主要系本期短期借款增</w:t>
            </w:r>
          </w:p>
          <w:p>
            <w:pPr>
              <w:pStyle w:val="TableParagraph"/>
              <w:spacing w:line="260" w:lineRule="exact" w:before="24"/>
              <w:ind w:left="103" w:right="126"/>
              <w:jc w:val="left"/>
              <w:rPr>
                <w:rFonts w:ascii="宋体" w:hAnsi="宋体" w:cs="宋体" w:eastAsia="宋体" w:hint="default"/>
                <w:sz w:val="20"/>
                <w:szCs w:val="20"/>
              </w:rPr>
            </w:pPr>
            <w:r>
              <w:rPr>
                <w:rFonts w:ascii="宋体" w:hAnsi="宋体" w:cs="宋体" w:eastAsia="宋体" w:hint="default"/>
                <w:sz w:val="20"/>
                <w:szCs w:val="20"/>
              </w:rPr>
              <w:t>加、售后回租融资增加以</w:t>
            </w:r>
            <w:r>
              <w:rPr>
                <w:rFonts w:ascii="宋体" w:hAnsi="宋体" w:cs="宋体" w:eastAsia="宋体" w:hint="default"/>
                <w:w w:val="99"/>
                <w:sz w:val="20"/>
                <w:szCs w:val="20"/>
              </w:rPr>
              <w:t> </w:t>
            </w:r>
            <w:r>
              <w:rPr>
                <w:rFonts w:ascii="宋体" w:hAnsi="宋体" w:cs="宋体" w:eastAsia="宋体" w:hint="default"/>
                <w:sz w:val="20"/>
                <w:szCs w:val="20"/>
              </w:rPr>
              <w:t>及发行短期融资券所致</w:t>
            </w:r>
          </w:p>
        </w:tc>
      </w:tr>
    </w:tbl>
    <w:p>
      <w:pPr>
        <w:spacing w:line="240" w:lineRule="auto" w:before="2"/>
        <w:rPr>
          <w:rFonts w:ascii="宋体" w:hAnsi="宋体" w:cs="宋体" w:eastAsia="宋体" w:hint="default"/>
          <w:sz w:val="20"/>
          <w:szCs w:val="20"/>
        </w:rPr>
      </w:pPr>
    </w:p>
    <w:p>
      <w:pPr>
        <w:pStyle w:val="Heading2"/>
        <w:tabs>
          <w:tab w:pos="1057" w:val="left" w:leader="none"/>
        </w:tabs>
        <w:spacing w:line="240" w:lineRule="auto" w:before="36"/>
        <w:ind w:right="2497"/>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spacing w:val="-1"/>
        </w:rPr>
        <w:t>非主营业务导致利润重大变化的说明</w:t>
      </w:r>
      <w:r>
        <w:rPr>
          <w:b w:val="0"/>
          <w:bCs w:val="0"/>
          <w:spacing w:val="-1"/>
        </w:rPr>
      </w:r>
    </w:p>
    <w:p>
      <w:pPr>
        <w:pStyle w:val="BodyText"/>
        <w:spacing w:line="240" w:lineRule="auto" w:before="56"/>
        <w:ind w:right="2497"/>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0" w:footer="1195" w:top="1120" w:bottom="1380" w:left="1580" w:right="1040"/>
        </w:sectPr>
      </w:pPr>
    </w:p>
    <w:p>
      <w:pPr>
        <w:pStyle w:val="Heading2"/>
        <w:tabs>
          <w:tab w:pos="1057" w:val="left" w:leader="none"/>
        </w:tabs>
        <w:spacing w:line="240" w:lineRule="auto" w:before="36"/>
        <w:ind w:right="-16"/>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t>资产、负债情况分析</w:t>
      </w:r>
      <w:r>
        <w:rPr>
          <w:b w:val="0"/>
          <w:bCs w:val="0"/>
        </w:rPr>
      </w:r>
    </w:p>
    <w:p>
      <w:pPr>
        <w:pStyle w:val="BodyText"/>
        <w:tabs>
          <w:tab w:pos="1060" w:val="left" w:leader="none"/>
        </w:tabs>
        <w:spacing w:line="240" w:lineRule="auto" w:before="58"/>
        <w:ind w:right="-16"/>
        <w:jc w:val="left"/>
      </w:pPr>
      <w:r>
        <w:rPr>
          <w:spacing w:val="-1"/>
        </w:rPr>
        <w:t>√适用</w:t>
        <w:tab/>
      </w:r>
      <w:r>
        <w:rPr>
          <w:spacing w:val="-2"/>
        </w:rPr>
        <w:t>□不适用</w:t>
      </w:r>
    </w:p>
    <w:p>
      <w:pPr>
        <w:pStyle w:val="Heading2"/>
        <w:tabs>
          <w:tab w:pos="642" w:val="left" w:leader="none"/>
        </w:tabs>
        <w:spacing w:line="240" w:lineRule="auto" w:before="56"/>
        <w:ind w:right="-16"/>
        <w:jc w:val="left"/>
        <w:rPr>
          <w:b w:val="0"/>
          <w:bCs w:val="0"/>
        </w:rPr>
      </w:pPr>
      <w:r>
        <w:rPr>
          <w:rFonts w:ascii="宋体" w:hAnsi="宋体" w:cs="宋体" w:eastAsia="宋体" w:hint="default"/>
          <w:w w:val="95"/>
        </w:rPr>
        <w:t>1.</w:t>
        <w:tab/>
      </w:r>
      <w:r>
        <w:rPr/>
        <w:t>资产及负债状况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BodyText"/>
        <w:spacing w:line="240" w:lineRule="auto"/>
        <w:ind w:right="0"/>
        <w:jc w:val="left"/>
      </w:pPr>
      <w:r>
        <w:rPr/>
        <w:t>单位：元</w:t>
      </w:r>
    </w:p>
    <w:p>
      <w:pPr>
        <w:spacing w:after="0" w:line="240" w:lineRule="auto"/>
        <w:jc w:val="left"/>
        <w:sectPr>
          <w:type w:val="continuous"/>
          <w:pgSz w:w="11910" w:h="16840"/>
          <w:pgMar w:top="1120" w:bottom="1380" w:left="1580" w:right="1040"/>
          <w:cols w:num="2" w:equalWidth="0">
            <w:col w:w="2959" w:space="5034"/>
            <w:col w:w="1297"/>
          </w:cols>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674"/>
        <w:gridCol w:w="1418"/>
        <w:gridCol w:w="850"/>
        <w:gridCol w:w="1560"/>
        <w:gridCol w:w="994"/>
        <w:gridCol w:w="991"/>
        <w:gridCol w:w="2561"/>
      </w:tblGrid>
      <w:tr>
        <w:trPr>
          <w:trHeight w:val="1644"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272" w:lineRule="exact"/>
              <w:ind w:left="122" w:right="117"/>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pacing w:val="-103"/>
                <w:sz w:val="21"/>
                <w:szCs w:val="21"/>
              </w:rPr>
              <w:t> </w:t>
            </w:r>
            <w:r>
              <w:rPr>
                <w:rFonts w:ascii="宋体" w:hAnsi="宋体" w:cs="宋体" w:eastAsia="宋体" w:hint="default"/>
                <w:sz w:val="21"/>
                <w:szCs w:val="21"/>
              </w:rPr>
              <w:t>名称</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本期期末数</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101"/>
              <w:jc w:val="both"/>
              <w:rPr>
                <w:rFonts w:ascii="宋体" w:hAnsi="宋体" w:cs="宋体" w:eastAsia="宋体" w:hint="default"/>
                <w:sz w:val="21"/>
                <w:szCs w:val="21"/>
              </w:rPr>
            </w:pPr>
            <w:r>
              <w:rPr>
                <w:rFonts w:ascii="宋体" w:hAnsi="宋体" w:cs="宋体" w:eastAsia="宋体" w:hint="default"/>
                <w:sz w:val="21"/>
                <w:szCs w:val="21"/>
              </w:rPr>
              <w:t>本期期</w:t>
            </w:r>
            <w:r>
              <w:rPr>
                <w:rFonts w:ascii="宋体" w:hAnsi="宋体" w:cs="宋体" w:eastAsia="宋体" w:hint="default"/>
                <w:spacing w:val="-102"/>
                <w:sz w:val="21"/>
                <w:szCs w:val="21"/>
              </w:rPr>
              <w:t> </w:t>
            </w:r>
            <w:r>
              <w:rPr>
                <w:rFonts w:ascii="宋体" w:hAnsi="宋体" w:cs="宋体" w:eastAsia="宋体" w:hint="default"/>
                <w:sz w:val="21"/>
                <w:szCs w:val="21"/>
              </w:rPr>
              <w:t>末数占</w:t>
            </w:r>
            <w:r>
              <w:rPr>
                <w:rFonts w:ascii="宋体" w:hAnsi="宋体" w:cs="宋体" w:eastAsia="宋体" w:hint="default"/>
                <w:spacing w:val="-102"/>
                <w:sz w:val="21"/>
                <w:szCs w:val="21"/>
              </w:rPr>
              <w:t> </w:t>
            </w:r>
            <w:r>
              <w:rPr>
                <w:rFonts w:ascii="宋体" w:hAnsi="宋体" w:cs="宋体" w:eastAsia="宋体" w:hint="default"/>
                <w:sz w:val="21"/>
                <w:szCs w:val="21"/>
              </w:rPr>
              <w:t>总资产</w:t>
            </w:r>
            <w:r>
              <w:rPr>
                <w:rFonts w:ascii="宋体" w:hAnsi="宋体" w:cs="宋体" w:eastAsia="宋体" w:hint="default"/>
                <w:spacing w:val="-102"/>
                <w:sz w:val="21"/>
                <w:szCs w:val="21"/>
              </w:rPr>
              <w:t> </w:t>
            </w:r>
            <w:r>
              <w:rPr>
                <w:rFonts w:ascii="宋体" w:hAnsi="宋体" w:cs="宋体" w:eastAsia="宋体" w:hint="default"/>
                <w:sz w:val="21"/>
                <w:szCs w:val="21"/>
              </w:rPr>
              <w:t>的比例</w:t>
            </w:r>
          </w:p>
          <w:p>
            <w:pPr>
              <w:pStyle w:val="TableParagraph"/>
              <w:spacing w:line="271" w:lineRule="exact"/>
              <w:ind w:left="156"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上期期末数</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75" w:right="173"/>
              <w:jc w:val="both"/>
              <w:rPr>
                <w:rFonts w:ascii="宋体" w:hAnsi="宋体" w:cs="宋体" w:eastAsia="宋体" w:hint="default"/>
                <w:sz w:val="21"/>
                <w:szCs w:val="21"/>
              </w:rPr>
            </w:pPr>
            <w:r>
              <w:rPr>
                <w:rFonts w:ascii="宋体" w:hAnsi="宋体" w:cs="宋体" w:eastAsia="宋体" w:hint="default"/>
                <w:sz w:val="21"/>
                <w:szCs w:val="21"/>
              </w:rPr>
              <w:t>上期期</w:t>
            </w:r>
            <w:r>
              <w:rPr>
                <w:rFonts w:ascii="宋体" w:hAnsi="宋体" w:cs="宋体" w:eastAsia="宋体" w:hint="default"/>
                <w:spacing w:val="-102"/>
                <w:sz w:val="21"/>
                <w:szCs w:val="21"/>
              </w:rPr>
              <w:t> </w:t>
            </w:r>
            <w:r>
              <w:rPr>
                <w:rFonts w:ascii="宋体" w:hAnsi="宋体" w:cs="宋体" w:eastAsia="宋体" w:hint="default"/>
                <w:sz w:val="21"/>
                <w:szCs w:val="21"/>
              </w:rPr>
              <w:t>末数占</w:t>
            </w:r>
            <w:r>
              <w:rPr>
                <w:rFonts w:ascii="宋体" w:hAnsi="宋体" w:cs="宋体" w:eastAsia="宋体" w:hint="default"/>
                <w:spacing w:val="-102"/>
                <w:sz w:val="21"/>
                <w:szCs w:val="21"/>
              </w:rPr>
              <w:t> </w:t>
            </w:r>
            <w:r>
              <w:rPr>
                <w:rFonts w:ascii="宋体" w:hAnsi="宋体" w:cs="宋体" w:eastAsia="宋体" w:hint="default"/>
                <w:sz w:val="21"/>
                <w:szCs w:val="21"/>
              </w:rPr>
              <w:t>总资产</w:t>
            </w:r>
            <w:r>
              <w:rPr>
                <w:rFonts w:ascii="宋体" w:hAnsi="宋体" w:cs="宋体" w:eastAsia="宋体" w:hint="default"/>
                <w:spacing w:val="-102"/>
                <w:sz w:val="21"/>
                <w:szCs w:val="21"/>
              </w:rPr>
              <w:t> </w:t>
            </w:r>
            <w:r>
              <w:rPr>
                <w:rFonts w:ascii="宋体" w:hAnsi="宋体" w:cs="宋体" w:eastAsia="宋体" w:hint="default"/>
                <w:sz w:val="21"/>
                <w:szCs w:val="21"/>
              </w:rPr>
              <w:t>的比例</w:t>
            </w:r>
          </w:p>
          <w:p>
            <w:pPr>
              <w:pStyle w:val="TableParagraph"/>
              <w:spacing w:line="271" w:lineRule="exact"/>
              <w:ind w:left="228"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72" w:right="0"/>
              <w:jc w:val="both"/>
              <w:rPr>
                <w:rFonts w:ascii="宋体" w:hAnsi="宋体" w:cs="宋体" w:eastAsia="宋体" w:hint="default"/>
                <w:sz w:val="21"/>
                <w:szCs w:val="21"/>
              </w:rPr>
            </w:pPr>
            <w:r>
              <w:rPr>
                <w:rFonts w:ascii="宋体" w:hAnsi="宋体" w:cs="宋体" w:eastAsia="宋体" w:hint="default"/>
                <w:sz w:val="21"/>
                <w:szCs w:val="21"/>
              </w:rPr>
              <w:t>本期期</w:t>
            </w:r>
          </w:p>
          <w:p>
            <w:pPr>
              <w:pStyle w:val="TableParagraph"/>
              <w:spacing w:line="237" w:lineRule="auto"/>
              <w:ind w:left="172" w:right="173"/>
              <w:jc w:val="both"/>
              <w:rPr>
                <w:rFonts w:ascii="宋体" w:hAnsi="宋体" w:cs="宋体" w:eastAsia="宋体" w:hint="default"/>
                <w:sz w:val="21"/>
                <w:szCs w:val="21"/>
              </w:rPr>
            </w:pPr>
            <w:r>
              <w:rPr>
                <w:rFonts w:ascii="宋体" w:hAnsi="宋体" w:cs="宋体" w:eastAsia="宋体" w:hint="default"/>
                <w:sz w:val="21"/>
                <w:szCs w:val="21"/>
              </w:rPr>
              <w:t>末金额</w:t>
            </w:r>
            <w:r>
              <w:rPr>
                <w:rFonts w:ascii="宋体" w:hAnsi="宋体" w:cs="宋体" w:eastAsia="宋体" w:hint="default"/>
                <w:spacing w:val="-102"/>
                <w:sz w:val="21"/>
                <w:szCs w:val="21"/>
              </w:rPr>
              <w:t> </w:t>
            </w:r>
            <w:r>
              <w:rPr>
                <w:rFonts w:ascii="宋体" w:hAnsi="宋体" w:cs="宋体" w:eastAsia="宋体" w:hint="default"/>
                <w:sz w:val="21"/>
                <w:szCs w:val="21"/>
              </w:rPr>
              <w:t>较上期</w:t>
            </w:r>
            <w:r>
              <w:rPr>
                <w:rFonts w:ascii="宋体" w:hAnsi="宋体" w:cs="宋体" w:eastAsia="宋体" w:hint="default"/>
                <w:spacing w:val="-102"/>
                <w:sz w:val="21"/>
                <w:szCs w:val="21"/>
              </w:rPr>
              <w:t> </w:t>
            </w:r>
            <w:r>
              <w:rPr>
                <w:rFonts w:ascii="宋体" w:hAnsi="宋体" w:cs="宋体" w:eastAsia="宋体" w:hint="default"/>
                <w:sz w:val="21"/>
                <w:szCs w:val="21"/>
              </w:rPr>
              <w:t>期末变</w:t>
            </w:r>
            <w:r>
              <w:rPr>
                <w:rFonts w:ascii="宋体" w:hAnsi="宋体" w:cs="宋体" w:eastAsia="宋体" w:hint="default"/>
                <w:spacing w:val="-102"/>
                <w:sz w:val="21"/>
                <w:szCs w:val="21"/>
              </w:rPr>
              <w:t> </w:t>
            </w:r>
            <w:r>
              <w:rPr>
                <w:rFonts w:ascii="宋体" w:hAnsi="宋体" w:cs="宋体" w:eastAsia="宋体" w:hint="default"/>
                <w:sz w:val="21"/>
                <w:szCs w:val="21"/>
              </w:rPr>
              <w:t>动比例</w:t>
            </w:r>
          </w:p>
          <w:p>
            <w:pPr>
              <w:pStyle w:val="TableParagraph"/>
              <w:spacing w:line="274" w:lineRule="exact"/>
              <w:ind w:left="225"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情况说明</w:t>
            </w:r>
          </w:p>
        </w:tc>
      </w:tr>
      <w:tr>
        <w:trPr>
          <w:trHeight w:val="1102"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应收</w:t>
            </w:r>
            <w:r>
              <w:rPr>
                <w:rFonts w:ascii="宋体" w:hAnsi="宋体" w:cs="宋体" w:eastAsia="宋体" w:hint="default"/>
                <w:spacing w:val="-67"/>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账款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858,158,935</w:t>
            </w:r>
          </w:p>
          <w:p>
            <w:pPr>
              <w:pStyle w:val="TableParagraph"/>
              <w:spacing w:line="273" w:lineRule="exact"/>
              <w:ind w:right="98"/>
              <w:jc w:val="right"/>
              <w:rPr>
                <w:rFonts w:ascii="宋体" w:hAnsi="宋体" w:cs="宋体" w:eastAsia="宋体" w:hint="default"/>
                <w:sz w:val="21"/>
                <w:szCs w:val="21"/>
              </w:rPr>
            </w:pPr>
            <w:r>
              <w:rPr>
                <w:rFonts w:ascii="宋体"/>
                <w:sz w:val="21"/>
              </w:rPr>
              <w:t>.86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9.89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421,984,450.</w:t>
            </w:r>
          </w:p>
          <w:p>
            <w:pPr>
              <w:pStyle w:val="TableParagraph"/>
              <w:spacing w:line="273" w:lineRule="exact"/>
              <w:ind w:right="101"/>
              <w:jc w:val="right"/>
              <w:rPr>
                <w:rFonts w:ascii="宋体" w:hAnsi="宋体" w:cs="宋体" w:eastAsia="宋体" w:hint="default"/>
                <w:sz w:val="21"/>
                <w:szCs w:val="21"/>
              </w:rPr>
            </w:pPr>
            <w:r>
              <w:rPr>
                <w:rFonts w:ascii="宋体"/>
                <w:sz w:val="21"/>
              </w:rPr>
              <w:t>99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6.35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103.36</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pacing w:val="22"/>
                <w:sz w:val="21"/>
                <w:szCs w:val="21"/>
              </w:rPr>
              <w:t>主要系本期业务规模扩</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大；第四季度为旺季，营</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收规模较去年同期增幅较</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大</w:t>
            </w:r>
          </w:p>
        </w:tc>
      </w:tr>
      <w:tr>
        <w:trPr>
          <w:trHeight w:val="554"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预付</w:t>
            </w:r>
            <w:r>
              <w:rPr>
                <w:rFonts w:ascii="宋体" w:hAnsi="宋体" w:cs="宋体" w:eastAsia="宋体" w:hint="default"/>
                <w:spacing w:val="-67"/>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款项</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8"/>
              <w:jc w:val="right"/>
              <w:rPr>
                <w:rFonts w:ascii="宋体" w:hAnsi="宋体" w:cs="宋体" w:eastAsia="宋体" w:hint="default"/>
                <w:sz w:val="21"/>
                <w:szCs w:val="21"/>
              </w:rPr>
            </w:pPr>
            <w:r>
              <w:rPr>
                <w:rFonts w:ascii="宋体"/>
                <w:spacing w:val="-1"/>
                <w:sz w:val="21"/>
              </w:rPr>
              <w:t>221,179,058</w:t>
            </w:r>
          </w:p>
          <w:p>
            <w:pPr>
              <w:pStyle w:val="TableParagraph"/>
              <w:spacing w:line="273" w:lineRule="exact"/>
              <w:ind w:right="98"/>
              <w:jc w:val="right"/>
              <w:rPr>
                <w:rFonts w:ascii="宋体" w:hAnsi="宋体" w:cs="宋体" w:eastAsia="宋体" w:hint="default"/>
                <w:sz w:val="21"/>
                <w:szCs w:val="21"/>
              </w:rPr>
            </w:pPr>
            <w:r>
              <w:rPr>
                <w:rFonts w:ascii="宋体"/>
                <w:sz w:val="21"/>
              </w:rPr>
              <w:t>.41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8"/>
              <w:jc w:val="right"/>
              <w:rPr>
                <w:rFonts w:ascii="宋体" w:hAnsi="宋体" w:cs="宋体" w:eastAsia="宋体" w:hint="default"/>
                <w:sz w:val="21"/>
                <w:szCs w:val="21"/>
              </w:rPr>
            </w:pPr>
            <w:r>
              <w:rPr>
                <w:rFonts w:ascii="宋体"/>
                <w:spacing w:val="-1"/>
                <w:sz w:val="21"/>
              </w:rPr>
              <w:t>114,714,428.</w:t>
            </w:r>
          </w:p>
          <w:p>
            <w:pPr>
              <w:pStyle w:val="TableParagraph"/>
              <w:spacing w:line="273" w:lineRule="exact"/>
              <w:ind w:right="101"/>
              <w:jc w:val="right"/>
              <w:rPr>
                <w:rFonts w:ascii="宋体" w:hAnsi="宋体" w:cs="宋体" w:eastAsia="宋体" w:hint="default"/>
                <w:sz w:val="21"/>
                <w:szCs w:val="21"/>
              </w:rPr>
            </w:pPr>
            <w:r>
              <w:rPr>
                <w:rFonts w:ascii="宋体"/>
                <w:sz w:val="21"/>
              </w:rPr>
              <w:t>10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1.73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92.81</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主要系业务规模扩大及增</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加预付铁路运费所致</w:t>
            </w:r>
          </w:p>
        </w:tc>
      </w:tr>
      <w:tr>
        <w:trPr>
          <w:trHeight w:val="826"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
              <w:jc w:val="center"/>
              <w:rPr>
                <w:rFonts w:ascii="宋体" w:hAnsi="宋体" w:cs="宋体" w:eastAsia="宋体" w:hint="default"/>
                <w:sz w:val="21"/>
                <w:szCs w:val="21"/>
              </w:rPr>
            </w:pPr>
            <w:r>
              <w:rPr>
                <w:rFonts w:ascii="宋体" w:hAnsi="宋体" w:cs="宋体" w:eastAsia="宋体" w:hint="default"/>
                <w:sz w:val="21"/>
                <w:szCs w:val="21"/>
              </w:rPr>
              <w:t>存货</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51,948,794.</w:t>
            </w:r>
          </w:p>
          <w:p>
            <w:pPr>
              <w:pStyle w:val="TableParagraph"/>
              <w:spacing w:line="273" w:lineRule="exact"/>
              <w:ind w:right="101"/>
              <w:jc w:val="right"/>
              <w:rPr>
                <w:rFonts w:ascii="宋体" w:hAnsi="宋体" w:cs="宋体" w:eastAsia="宋体" w:hint="default"/>
                <w:sz w:val="21"/>
                <w:szCs w:val="21"/>
              </w:rPr>
            </w:pPr>
            <w:r>
              <w:rPr>
                <w:rFonts w:ascii="宋体"/>
                <w:sz w:val="21"/>
              </w:rPr>
              <w:t>52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0.60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27,599,831.2</w:t>
            </w:r>
          </w:p>
          <w:p>
            <w:pPr>
              <w:pStyle w:val="TableParagraph"/>
              <w:spacing w:line="273" w:lineRule="exact"/>
              <w:ind w:right="101"/>
              <w:jc w:val="right"/>
              <w:rPr>
                <w:rFonts w:ascii="宋体" w:hAnsi="宋体" w:cs="宋体" w:eastAsia="宋体" w:hint="default"/>
                <w:sz w:val="21"/>
                <w:szCs w:val="21"/>
              </w:rPr>
            </w:pPr>
            <w:r>
              <w:rPr>
                <w:rFonts w:ascii="宋体"/>
                <w:w w:val="100"/>
                <w:sz w:val="21"/>
              </w:rPr>
              <w:t>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0.42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88.22</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主要系本期船舶增加、燃</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z w:val="21"/>
                <w:szCs w:val="21"/>
              </w:rPr>
              <w:t>油价格上涨，相应期末船</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舶结存燃油增加所致</w:t>
            </w:r>
          </w:p>
        </w:tc>
      </w:tr>
      <w:tr>
        <w:trPr>
          <w:trHeight w:val="1644"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18"/>
                <w:sz w:val="21"/>
                <w:szCs w:val="21"/>
              </w:rPr>
              <w:t>一年</w:t>
            </w:r>
            <w:r>
              <w:rPr>
                <w:rFonts w:ascii="宋体" w:hAnsi="宋体" w:cs="宋体" w:eastAsia="宋体" w:hint="default"/>
                <w:spacing w:val="-67"/>
                <w:sz w:val="21"/>
                <w:szCs w:val="21"/>
              </w:rPr>
              <w:t> </w:t>
            </w:r>
            <w:r>
              <w:rPr>
                <w:rFonts w:ascii="宋体" w:hAnsi="宋体" w:cs="宋体" w:eastAsia="宋体" w:hint="default"/>
                <w:sz w:val="21"/>
                <w:szCs w:val="21"/>
              </w:rPr>
            </w:r>
          </w:p>
          <w:p>
            <w:pPr>
              <w:pStyle w:val="TableParagraph"/>
              <w:spacing w:line="237" w:lineRule="auto" w:before="2"/>
              <w:ind w:left="103" w:right="60"/>
              <w:jc w:val="both"/>
              <w:rPr>
                <w:rFonts w:ascii="宋体" w:hAnsi="宋体" w:cs="宋体" w:eastAsia="宋体" w:hint="default"/>
                <w:sz w:val="21"/>
                <w:szCs w:val="21"/>
              </w:rPr>
            </w:pPr>
            <w:r>
              <w:rPr>
                <w:rFonts w:ascii="宋体" w:hAnsi="宋体" w:cs="宋体" w:eastAsia="宋体" w:hint="default"/>
                <w:spacing w:val="18"/>
                <w:sz w:val="21"/>
                <w:szCs w:val="21"/>
              </w:rPr>
              <w:t>内到</w:t>
            </w:r>
            <w:r>
              <w:rPr>
                <w:rFonts w:ascii="宋体" w:hAnsi="宋体" w:cs="宋体" w:eastAsia="宋体" w:hint="default"/>
                <w:spacing w:val="-101"/>
                <w:sz w:val="21"/>
                <w:szCs w:val="21"/>
              </w:rPr>
              <w:t> </w:t>
            </w:r>
            <w:r>
              <w:rPr>
                <w:rFonts w:ascii="宋体" w:hAnsi="宋体" w:cs="宋体" w:eastAsia="宋体" w:hint="default"/>
                <w:spacing w:val="18"/>
                <w:sz w:val="21"/>
                <w:szCs w:val="21"/>
              </w:rPr>
              <w:t>期的</w:t>
            </w:r>
            <w:r>
              <w:rPr>
                <w:rFonts w:ascii="宋体" w:hAnsi="宋体" w:cs="宋体" w:eastAsia="宋体" w:hint="default"/>
                <w:spacing w:val="-101"/>
                <w:sz w:val="21"/>
                <w:szCs w:val="21"/>
              </w:rPr>
              <w:t> </w:t>
            </w:r>
            <w:r>
              <w:rPr>
                <w:rFonts w:ascii="宋体" w:hAnsi="宋体" w:cs="宋体" w:eastAsia="宋体" w:hint="default"/>
                <w:spacing w:val="18"/>
                <w:sz w:val="21"/>
                <w:szCs w:val="21"/>
              </w:rPr>
              <w:t>非流</w:t>
            </w:r>
            <w:r>
              <w:rPr>
                <w:rFonts w:ascii="宋体" w:hAnsi="宋体" w:cs="宋体" w:eastAsia="宋体" w:hint="default"/>
                <w:spacing w:val="-101"/>
                <w:sz w:val="21"/>
                <w:szCs w:val="21"/>
              </w:rPr>
              <w:t> </w:t>
            </w:r>
            <w:r>
              <w:rPr>
                <w:rFonts w:ascii="宋体" w:hAnsi="宋体" w:cs="宋体" w:eastAsia="宋体" w:hint="default"/>
                <w:spacing w:val="18"/>
                <w:sz w:val="21"/>
                <w:szCs w:val="21"/>
              </w:rPr>
              <w:t>动资</w:t>
            </w:r>
            <w:r>
              <w:rPr>
                <w:rFonts w:ascii="宋体" w:hAnsi="宋体" w:cs="宋体" w:eastAsia="宋体" w:hint="default"/>
                <w:spacing w:val="-101"/>
                <w:sz w:val="21"/>
                <w:szCs w:val="21"/>
              </w:rPr>
              <w:t> </w:t>
            </w:r>
            <w:r>
              <w:rPr>
                <w:rFonts w:ascii="宋体" w:hAnsi="宋体" w:cs="宋体" w:eastAsia="宋体" w:hint="default"/>
                <w:sz w:val="21"/>
                <w:szCs w:val="21"/>
              </w:rPr>
              <w:t>产</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20,320,605.</w:t>
            </w:r>
          </w:p>
          <w:p>
            <w:pPr>
              <w:pStyle w:val="TableParagraph"/>
              <w:spacing w:line="274" w:lineRule="exact"/>
              <w:ind w:right="101"/>
              <w:jc w:val="right"/>
              <w:rPr>
                <w:rFonts w:ascii="宋体" w:hAnsi="宋体" w:cs="宋体" w:eastAsia="宋体" w:hint="default"/>
                <w:sz w:val="21"/>
                <w:szCs w:val="21"/>
              </w:rPr>
            </w:pPr>
            <w:r>
              <w:rPr>
                <w:rFonts w:ascii="宋体"/>
                <w:sz w:val="21"/>
              </w:rPr>
              <w:t>04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0.23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15,168,334.6</w:t>
            </w:r>
          </w:p>
          <w:p>
            <w:pPr>
              <w:pStyle w:val="TableParagraph"/>
              <w:spacing w:line="274" w:lineRule="exact"/>
              <w:ind w:right="101"/>
              <w:jc w:val="right"/>
              <w:rPr>
                <w:rFonts w:ascii="宋体" w:hAnsi="宋体" w:cs="宋体" w:eastAsia="宋体" w:hint="default"/>
                <w:sz w:val="21"/>
                <w:szCs w:val="21"/>
              </w:rPr>
            </w:pPr>
            <w:r>
              <w:rPr>
                <w:rFonts w:ascii="宋体"/>
                <w:w w:val="100"/>
                <w:sz w:val="21"/>
              </w:rPr>
              <w:t>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0.23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33.97</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 </w:t>
            </w:r>
            <w:r>
              <w:rPr>
                <w:rFonts w:ascii="宋体" w:hAnsi="宋体" w:cs="宋体" w:eastAsia="宋体" w:hint="default"/>
                <w:sz w:val="21"/>
                <w:szCs w:val="21"/>
              </w:rPr>
              <w:t>1</w:t>
            </w:r>
            <w:r>
              <w:rPr>
                <w:rFonts w:ascii="宋体" w:hAnsi="宋体" w:cs="宋体" w:eastAsia="宋体" w:hint="default"/>
                <w:spacing w:val="-68"/>
                <w:sz w:val="21"/>
                <w:szCs w:val="21"/>
              </w:rPr>
              <w:t> </w:t>
            </w:r>
            <w:r>
              <w:rPr>
                <w:rFonts w:ascii="宋体" w:hAnsi="宋体" w:cs="宋体" w:eastAsia="宋体" w:hint="default"/>
                <w:sz w:val="21"/>
                <w:szCs w:val="21"/>
              </w:rPr>
              <w:t>年内摊销的售后</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回租递延收益增加所致</w:t>
            </w:r>
          </w:p>
        </w:tc>
      </w:tr>
      <w:tr>
        <w:trPr>
          <w:trHeight w:val="828"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其他</w:t>
            </w:r>
            <w:r>
              <w:rPr>
                <w:rFonts w:ascii="宋体" w:hAnsi="宋体" w:cs="宋体" w:eastAsia="宋体" w:hint="default"/>
                <w:spacing w:val="-67"/>
                <w:sz w:val="21"/>
                <w:szCs w:val="21"/>
              </w:rPr>
              <w:t> </w:t>
            </w:r>
            <w:r>
              <w:rPr>
                <w:rFonts w:ascii="宋体" w:hAnsi="宋体" w:cs="宋体" w:eastAsia="宋体" w:hint="default"/>
                <w:sz w:val="21"/>
                <w:szCs w:val="21"/>
              </w:rPr>
            </w:r>
          </w:p>
          <w:p>
            <w:pPr>
              <w:pStyle w:val="TableParagraph"/>
              <w:spacing w:line="272" w:lineRule="exact" w:before="27"/>
              <w:ind w:left="103" w:right="60"/>
              <w:jc w:val="left"/>
              <w:rPr>
                <w:rFonts w:ascii="宋体" w:hAnsi="宋体" w:cs="宋体" w:eastAsia="宋体" w:hint="default"/>
                <w:sz w:val="21"/>
                <w:szCs w:val="21"/>
              </w:rPr>
            </w:pPr>
            <w:r>
              <w:rPr>
                <w:rFonts w:ascii="宋体" w:hAnsi="宋体" w:cs="宋体" w:eastAsia="宋体" w:hint="default"/>
                <w:spacing w:val="18"/>
                <w:sz w:val="21"/>
                <w:szCs w:val="21"/>
              </w:rPr>
              <w:t>流动</w:t>
            </w:r>
            <w:r>
              <w:rPr>
                <w:rFonts w:ascii="宋体" w:hAnsi="宋体" w:cs="宋体" w:eastAsia="宋体" w:hint="default"/>
                <w:spacing w:val="-101"/>
                <w:sz w:val="21"/>
                <w:szCs w:val="21"/>
              </w:rPr>
              <w:t> </w:t>
            </w:r>
            <w:r>
              <w:rPr>
                <w:rFonts w:ascii="宋体" w:hAnsi="宋体" w:cs="宋体" w:eastAsia="宋体" w:hint="default"/>
                <w:sz w:val="21"/>
                <w:szCs w:val="21"/>
              </w:rPr>
              <w:t>资产</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359,612,940</w:t>
            </w:r>
          </w:p>
          <w:p>
            <w:pPr>
              <w:pStyle w:val="TableParagraph"/>
              <w:spacing w:line="274" w:lineRule="exact"/>
              <w:ind w:right="98"/>
              <w:jc w:val="right"/>
              <w:rPr>
                <w:rFonts w:ascii="宋体" w:hAnsi="宋体" w:cs="宋体" w:eastAsia="宋体" w:hint="default"/>
                <w:sz w:val="21"/>
                <w:szCs w:val="21"/>
              </w:rPr>
            </w:pPr>
            <w:r>
              <w:rPr>
                <w:rFonts w:ascii="宋体"/>
                <w:sz w:val="21"/>
              </w:rPr>
              <w:t>.97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4.14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148,942,139.</w:t>
            </w:r>
          </w:p>
          <w:p>
            <w:pPr>
              <w:pStyle w:val="TableParagraph"/>
              <w:spacing w:line="274" w:lineRule="exact"/>
              <w:ind w:right="101"/>
              <w:jc w:val="right"/>
              <w:rPr>
                <w:rFonts w:ascii="宋体" w:hAnsi="宋体" w:cs="宋体" w:eastAsia="宋体" w:hint="default"/>
                <w:sz w:val="21"/>
                <w:szCs w:val="21"/>
              </w:rPr>
            </w:pPr>
            <w:r>
              <w:rPr>
                <w:rFonts w:ascii="宋体"/>
                <w:sz w:val="21"/>
              </w:rPr>
              <w:t>29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2.24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141.44</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主要系本期经营成本及购</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z w:val="21"/>
                <w:szCs w:val="21"/>
              </w:rPr>
              <w:t>买固定资产所产生的待抵</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扣的进项税额增加所致</w:t>
            </w:r>
          </w:p>
        </w:tc>
      </w:tr>
      <w:tr>
        <w:trPr>
          <w:trHeight w:val="826"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长期</w:t>
            </w:r>
            <w:r>
              <w:rPr>
                <w:rFonts w:ascii="宋体" w:hAnsi="宋体" w:cs="宋体" w:eastAsia="宋体" w:hint="default"/>
                <w:spacing w:val="-67"/>
                <w:sz w:val="21"/>
                <w:szCs w:val="21"/>
              </w:rPr>
              <w:t> </w:t>
            </w:r>
            <w:r>
              <w:rPr>
                <w:rFonts w:ascii="宋体" w:hAnsi="宋体" w:cs="宋体" w:eastAsia="宋体" w:hint="default"/>
                <w:sz w:val="21"/>
                <w:szCs w:val="21"/>
              </w:rPr>
            </w:r>
          </w:p>
          <w:p>
            <w:pPr>
              <w:pStyle w:val="TableParagraph"/>
              <w:spacing w:line="240" w:lineRule="auto"/>
              <w:ind w:left="103" w:right="60"/>
              <w:jc w:val="left"/>
              <w:rPr>
                <w:rFonts w:ascii="宋体" w:hAnsi="宋体" w:cs="宋体" w:eastAsia="宋体" w:hint="default"/>
                <w:sz w:val="21"/>
                <w:szCs w:val="21"/>
              </w:rPr>
            </w:pPr>
            <w:r>
              <w:rPr>
                <w:rFonts w:ascii="宋体" w:hAnsi="宋体" w:cs="宋体" w:eastAsia="宋体" w:hint="default"/>
                <w:spacing w:val="18"/>
                <w:sz w:val="21"/>
                <w:szCs w:val="21"/>
              </w:rPr>
              <w:t>股权</w:t>
            </w:r>
            <w:r>
              <w:rPr>
                <w:rFonts w:ascii="宋体" w:hAnsi="宋体" w:cs="宋体" w:eastAsia="宋体" w:hint="default"/>
                <w:spacing w:val="-101"/>
                <w:sz w:val="21"/>
                <w:szCs w:val="21"/>
              </w:rPr>
              <w:t> </w:t>
            </w:r>
            <w:r>
              <w:rPr>
                <w:rFonts w:ascii="宋体" w:hAnsi="宋体" w:cs="宋体" w:eastAsia="宋体" w:hint="default"/>
                <w:sz w:val="21"/>
                <w:szCs w:val="21"/>
              </w:rPr>
              <w:t>投资</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8"/>
              <w:jc w:val="right"/>
              <w:rPr>
                <w:rFonts w:ascii="宋体" w:hAnsi="宋体" w:cs="宋体" w:eastAsia="宋体" w:hint="default"/>
                <w:sz w:val="21"/>
                <w:szCs w:val="21"/>
              </w:rPr>
            </w:pPr>
            <w:r>
              <w:rPr>
                <w:rFonts w:ascii="宋体"/>
                <w:spacing w:val="-1"/>
                <w:sz w:val="21"/>
              </w:rPr>
              <w:t>16,061,933.</w:t>
            </w:r>
          </w:p>
          <w:p>
            <w:pPr>
              <w:pStyle w:val="TableParagraph"/>
              <w:spacing w:line="273" w:lineRule="exact"/>
              <w:ind w:right="101"/>
              <w:jc w:val="right"/>
              <w:rPr>
                <w:rFonts w:ascii="宋体" w:hAnsi="宋体" w:cs="宋体" w:eastAsia="宋体" w:hint="default"/>
                <w:sz w:val="21"/>
                <w:szCs w:val="21"/>
              </w:rPr>
            </w:pPr>
            <w:r>
              <w:rPr>
                <w:rFonts w:ascii="宋体"/>
                <w:sz w:val="21"/>
              </w:rPr>
              <w:t>53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0.19</w:t>
            </w:r>
          </w:p>
        </w:tc>
        <w:tc>
          <w:tcPr>
            <w:tcW w:w="156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100.00</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主要系对北京安铁供应链</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z w:val="21"/>
                <w:szCs w:val="21"/>
              </w:rPr>
              <w:t>管理有限责任公司投资及</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投资损益</w:t>
            </w:r>
          </w:p>
        </w:tc>
      </w:tr>
      <w:tr>
        <w:trPr>
          <w:trHeight w:val="828"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投资</w:t>
            </w:r>
            <w:r>
              <w:rPr>
                <w:rFonts w:ascii="宋体" w:hAnsi="宋体" w:cs="宋体" w:eastAsia="宋体" w:hint="default"/>
                <w:spacing w:val="-67"/>
                <w:sz w:val="21"/>
                <w:szCs w:val="21"/>
              </w:rPr>
              <w:t> </w:t>
            </w:r>
            <w:r>
              <w:rPr>
                <w:rFonts w:ascii="宋体" w:hAnsi="宋体" w:cs="宋体" w:eastAsia="宋体" w:hint="default"/>
                <w:sz w:val="21"/>
                <w:szCs w:val="21"/>
              </w:rPr>
            </w:r>
          </w:p>
          <w:p>
            <w:pPr>
              <w:pStyle w:val="TableParagraph"/>
              <w:spacing w:line="240" w:lineRule="auto"/>
              <w:ind w:left="103" w:right="60"/>
              <w:jc w:val="left"/>
              <w:rPr>
                <w:rFonts w:ascii="宋体" w:hAnsi="宋体" w:cs="宋体" w:eastAsia="宋体" w:hint="default"/>
                <w:sz w:val="21"/>
                <w:szCs w:val="21"/>
              </w:rPr>
            </w:pPr>
            <w:r>
              <w:rPr>
                <w:rFonts w:ascii="宋体" w:hAnsi="宋体" w:cs="宋体" w:eastAsia="宋体" w:hint="default"/>
                <w:spacing w:val="18"/>
                <w:sz w:val="21"/>
                <w:szCs w:val="21"/>
              </w:rPr>
              <w:t>性房</w:t>
            </w:r>
            <w:r>
              <w:rPr>
                <w:rFonts w:ascii="宋体" w:hAnsi="宋体" w:cs="宋体" w:eastAsia="宋体" w:hint="default"/>
                <w:spacing w:val="-101"/>
                <w:sz w:val="21"/>
                <w:szCs w:val="21"/>
              </w:rPr>
              <w:t> </w:t>
            </w:r>
            <w:r>
              <w:rPr>
                <w:rFonts w:ascii="宋体" w:hAnsi="宋体" w:cs="宋体" w:eastAsia="宋体" w:hint="default"/>
                <w:sz w:val="21"/>
                <w:szCs w:val="21"/>
              </w:rPr>
              <w:t>地产</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33,129,207.</w:t>
            </w:r>
          </w:p>
          <w:p>
            <w:pPr>
              <w:pStyle w:val="TableParagraph"/>
              <w:spacing w:line="273" w:lineRule="exact"/>
              <w:ind w:right="101"/>
              <w:jc w:val="right"/>
              <w:rPr>
                <w:rFonts w:ascii="宋体" w:hAnsi="宋体" w:cs="宋体" w:eastAsia="宋体" w:hint="default"/>
                <w:sz w:val="21"/>
                <w:szCs w:val="21"/>
              </w:rPr>
            </w:pPr>
            <w:r>
              <w:rPr>
                <w:rFonts w:ascii="宋体"/>
                <w:sz w:val="21"/>
              </w:rPr>
              <w:t>71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0.38%</w:t>
            </w:r>
          </w:p>
        </w:tc>
        <w:tc>
          <w:tcPr>
            <w:tcW w:w="156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100.00</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主要系调整土地使用权为</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投资性房地产所致</w:t>
            </w:r>
          </w:p>
        </w:tc>
      </w:tr>
      <w:tr>
        <w:trPr>
          <w:trHeight w:val="554"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在建</w:t>
            </w:r>
            <w:r>
              <w:rPr>
                <w:rFonts w:ascii="宋体" w:hAnsi="宋体" w:cs="宋体" w:eastAsia="宋体" w:hint="default"/>
                <w:spacing w:val="-67"/>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483,788,012</w:t>
            </w:r>
          </w:p>
          <w:p>
            <w:pPr>
              <w:pStyle w:val="TableParagraph"/>
              <w:spacing w:line="274" w:lineRule="exact"/>
              <w:ind w:right="98"/>
              <w:jc w:val="right"/>
              <w:rPr>
                <w:rFonts w:ascii="宋体" w:hAnsi="宋体" w:cs="宋体" w:eastAsia="宋体" w:hint="default"/>
                <w:sz w:val="21"/>
                <w:szCs w:val="21"/>
              </w:rPr>
            </w:pPr>
            <w:r>
              <w:rPr>
                <w:rFonts w:ascii="宋体"/>
                <w:sz w:val="21"/>
              </w:rPr>
              <w:t>.83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5.57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52,554,191.8</w:t>
            </w:r>
          </w:p>
          <w:p>
            <w:pPr>
              <w:pStyle w:val="TableParagraph"/>
              <w:spacing w:line="274" w:lineRule="exact"/>
              <w:ind w:right="101"/>
              <w:jc w:val="right"/>
              <w:rPr>
                <w:rFonts w:ascii="宋体" w:hAnsi="宋体" w:cs="宋体" w:eastAsia="宋体" w:hint="default"/>
                <w:sz w:val="21"/>
                <w:szCs w:val="21"/>
              </w:rPr>
            </w:pPr>
            <w:r>
              <w:rPr>
                <w:rFonts w:ascii="宋体"/>
                <w:w w:val="100"/>
                <w:sz w:val="21"/>
              </w:rPr>
              <w:t>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0.79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820.55</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center"/>
              <w:rPr>
                <w:rFonts w:ascii="宋体" w:hAnsi="宋体" w:cs="宋体" w:eastAsia="宋体" w:hint="default"/>
                <w:sz w:val="21"/>
                <w:szCs w:val="21"/>
              </w:rPr>
            </w:pPr>
            <w:r>
              <w:rPr>
                <w:rFonts w:ascii="宋体" w:hAnsi="宋体" w:cs="宋体" w:eastAsia="宋体" w:hint="default"/>
                <w:sz w:val="21"/>
                <w:szCs w:val="21"/>
              </w:rPr>
              <w:t>主要系新增在建船舶所致</w:t>
            </w:r>
          </w:p>
        </w:tc>
      </w:tr>
      <w:tr>
        <w:trPr>
          <w:trHeight w:val="554"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
              <w:jc w:val="center"/>
              <w:rPr>
                <w:rFonts w:ascii="宋体" w:hAnsi="宋体" w:cs="宋体" w:eastAsia="宋体" w:hint="default"/>
                <w:sz w:val="21"/>
                <w:szCs w:val="21"/>
              </w:rPr>
            </w:pPr>
            <w:r>
              <w:rPr>
                <w:rFonts w:ascii="宋体" w:hAnsi="宋体" w:cs="宋体" w:eastAsia="宋体" w:hint="default"/>
                <w:sz w:val="21"/>
                <w:szCs w:val="21"/>
              </w:rPr>
              <w:t>商誉</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1,526,543.7</w:t>
            </w:r>
          </w:p>
          <w:p>
            <w:pPr>
              <w:pStyle w:val="TableParagraph"/>
              <w:spacing w:line="274" w:lineRule="exact"/>
              <w:ind w:right="101"/>
              <w:jc w:val="right"/>
              <w:rPr>
                <w:rFonts w:ascii="宋体" w:hAnsi="宋体" w:cs="宋体" w:eastAsia="宋体" w:hint="default"/>
                <w:sz w:val="21"/>
                <w:szCs w:val="21"/>
              </w:rPr>
            </w:pPr>
            <w:r>
              <w:rPr>
                <w:rFonts w:ascii="宋体"/>
                <w:w w:val="100"/>
                <w:sz w:val="21"/>
              </w:rPr>
              <w:t>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0.02</w:t>
            </w:r>
          </w:p>
        </w:tc>
        <w:tc>
          <w:tcPr>
            <w:tcW w:w="156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主要系收购东南冷链形成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的商誉</w:t>
            </w:r>
          </w:p>
        </w:tc>
      </w:tr>
      <w:tr>
        <w:trPr>
          <w:trHeight w:val="1100"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18"/>
                <w:sz w:val="21"/>
                <w:szCs w:val="21"/>
              </w:rPr>
              <w:t>其他</w:t>
            </w:r>
            <w:r>
              <w:rPr>
                <w:rFonts w:ascii="宋体" w:hAnsi="宋体" w:cs="宋体" w:eastAsia="宋体" w:hint="default"/>
                <w:spacing w:val="-67"/>
                <w:sz w:val="21"/>
                <w:szCs w:val="21"/>
              </w:rPr>
              <w:t> </w:t>
            </w:r>
            <w:r>
              <w:rPr>
                <w:rFonts w:ascii="宋体" w:hAnsi="宋体" w:cs="宋体" w:eastAsia="宋体" w:hint="default"/>
                <w:sz w:val="21"/>
                <w:szCs w:val="21"/>
              </w:rPr>
            </w:r>
          </w:p>
          <w:p>
            <w:pPr>
              <w:pStyle w:val="TableParagraph"/>
              <w:spacing w:line="237" w:lineRule="auto" w:before="2"/>
              <w:ind w:left="103" w:right="60"/>
              <w:jc w:val="both"/>
              <w:rPr>
                <w:rFonts w:ascii="宋体" w:hAnsi="宋体" w:cs="宋体" w:eastAsia="宋体" w:hint="default"/>
                <w:sz w:val="21"/>
                <w:szCs w:val="21"/>
              </w:rPr>
            </w:pPr>
            <w:r>
              <w:rPr>
                <w:rFonts w:ascii="宋体" w:hAnsi="宋体" w:cs="宋体" w:eastAsia="宋体" w:hint="default"/>
                <w:spacing w:val="18"/>
                <w:sz w:val="21"/>
                <w:szCs w:val="21"/>
              </w:rPr>
              <w:t>非流</w:t>
            </w:r>
            <w:r>
              <w:rPr>
                <w:rFonts w:ascii="宋体" w:hAnsi="宋体" w:cs="宋体" w:eastAsia="宋体" w:hint="default"/>
                <w:spacing w:val="-101"/>
                <w:sz w:val="21"/>
                <w:szCs w:val="21"/>
              </w:rPr>
              <w:t> </w:t>
            </w:r>
            <w:r>
              <w:rPr>
                <w:rFonts w:ascii="宋体" w:hAnsi="宋体" w:cs="宋体" w:eastAsia="宋体" w:hint="default"/>
                <w:spacing w:val="18"/>
                <w:sz w:val="21"/>
                <w:szCs w:val="21"/>
              </w:rPr>
              <w:t>动资</w:t>
            </w:r>
            <w:r>
              <w:rPr>
                <w:rFonts w:ascii="宋体" w:hAnsi="宋体" w:cs="宋体" w:eastAsia="宋体" w:hint="default"/>
                <w:spacing w:val="-101"/>
                <w:sz w:val="21"/>
                <w:szCs w:val="21"/>
              </w:rPr>
              <w:t> </w:t>
            </w:r>
            <w:r>
              <w:rPr>
                <w:rFonts w:ascii="宋体" w:hAnsi="宋体" w:cs="宋体" w:eastAsia="宋体" w:hint="default"/>
                <w:sz w:val="21"/>
                <w:szCs w:val="21"/>
              </w:rPr>
              <w:t>产</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643,365,906</w:t>
            </w:r>
          </w:p>
          <w:p>
            <w:pPr>
              <w:pStyle w:val="TableParagraph"/>
              <w:spacing w:line="274" w:lineRule="exact"/>
              <w:ind w:right="98"/>
              <w:jc w:val="right"/>
              <w:rPr>
                <w:rFonts w:ascii="宋体" w:hAnsi="宋体" w:cs="宋体" w:eastAsia="宋体" w:hint="default"/>
                <w:sz w:val="21"/>
                <w:szCs w:val="21"/>
              </w:rPr>
            </w:pPr>
            <w:r>
              <w:rPr>
                <w:rFonts w:ascii="宋体"/>
                <w:sz w:val="21"/>
              </w:rPr>
              <w:t>.34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7.41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284,681,425.</w:t>
            </w:r>
          </w:p>
          <w:p>
            <w:pPr>
              <w:pStyle w:val="TableParagraph"/>
              <w:spacing w:line="274" w:lineRule="exact"/>
              <w:ind w:right="101"/>
              <w:jc w:val="right"/>
              <w:rPr>
                <w:rFonts w:ascii="宋体" w:hAnsi="宋体" w:cs="宋体" w:eastAsia="宋体" w:hint="default"/>
                <w:sz w:val="21"/>
                <w:szCs w:val="21"/>
              </w:rPr>
            </w:pPr>
            <w:r>
              <w:rPr>
                <w:rFonts w:ascii="宋体"/>
                <w:sz w:val="21"/>
              </w:rPr>
              <w:t>34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4.29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126.00</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主要系购置土地款、预付</w:t>
            </w:r>
            <w:r>
              <w:rPr>
                <w:rFonts w:ascii="宋体" w:hAnsi="宋体" w:cs="宋体" w:eastAsia="宋体" w:hint="default"/>
                <w:sz w:val="21"/>
                <w:szCs w:val="21"/>
              </w:rPr>
            </w:r>
          </w:p>
          <w:p>
            <w:pPr>
              <w:pStyle w:val="TableParagraph"/>
              <w:spacing w:line="272" w:lineRule="exact" w:before="27"/>
              <w:ind w:left="103" w:right="95"/>
              <w:jc w:val="left"/>
              <w:rPr>
                <w:rFonts w:ascii="宋体" w:hAnsi="宋体" w:cs="宋体" w:eastAsia="宋体" w:hint="default"/>
                <w:sz w:val="21"/>
                <w:szCs w:val="21"/>
              </w:rPr>
            </w:pPr>
            <w:r>
              <w:rPr>
                <w:rFonts w:ascii="宋体" w:hAnsi="宋体" w:cs="宋体" w:eastAsia="宋体" w:hint="default"/>
                <w:spacing w:val="2"/>
                <w:sz w:val="21"/>
                <w:szCs w:val="21"/>
              </w:rPr>
              <w:t>造船款及售后回租形成递</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延收益增加所致</w:t>
            </w:r>
          </w:p>
        </w:tc>
      </w:tr>
      <w:tr>
        <w:trPr>
          <w:trHeight w:val="554"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短期</w:t>
            </w:r>
            <w:r>
              <w:rPr>
                <w:rFonts w:ascii="宋体" w:hAnsi="宋体" w:cs="宋体" w:eastAsia="宋体" w:hint="default"/>
                <w:spacing w:val="-67"/>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借款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1" w:right="0"/>
              <w:jc w:val="left"/>
              <w:rPr>
                <w:rFonts w:ascii="宋体" w:hAnsi="宋体" w:cs="宋体" w:eastAsia="宋体" w:hint="default"/>
                <w:sz w:val="21"/>
                <w:szCs w:val="21"/>
              </w:rPr>
            </w:pPr>
            <w:r>
              <w:rPr>
                <w:rFonts w:ascii="宋体"/>
                <w:sz w:val="21"/>
              </w:rPr>
              <w:t>1,009,090,0</w:t>
            </w:r>
          </w:p>
          <w:p>
            <w:pPr>
              <w:pStyle w:val="TableParagraph"/>
              <w:spacing w:line="273" w:lineRule="exact"/>
              <w:ind w:left="780" w:right="0"/>
              <w:jc w:val="left"/>
              <w:rPr>
                <w:rFonts w:ascii="宋体" w:hAnsi="宋体" w:cs="宋体" w:eastAsia="宋体" w:hint="default"/>
                <w:sz w:val="21"/>
                <w:szCs w:val="21"/>
              </w:rPr>
            </w:pPr>
            <w:r>
              <w:rPr>
                <w:rFonts w:ascii="宋体"/>
                <w:sz w:val="21"/>
              </w:rPr>
              <w:t>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11.63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584,100,000.</w:t>
            </w:r>
          </w:p>
          <w:p>
            <w:pPr>
              <w:pStyle w:val="TableParagraph"/>
              <w:spacing w:line="273" w:lineRule="exact"/>
              <w:ind w:right="101"/>
              <w:jc w:val="right"/>
              <w:rPr>
                <w:rFonts w:ascii="宋体" w:hAnsi="宋体" w:cs="宋体" w:eastAsia="宋体" w:hint="default"/>
                <w:sz w:val="21"/>
                <w:szCs w:val="21"/>
              </w:rPr>
            </w:pPr>
            <w:r>
              <w:rPr>
                <w:rFonts w:ascii="宋体"/>
                <w:sz w:val="21"/>
              </w:rPr>
              <w:t>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8.80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72.76</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主要系业务扩张，资金需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求较大增加流动贷款所致</w:t>
            </w:r>
          </w:p>
        </w:tc>
      </w:tr>
      <w:tr>
        <w:trPr>
          <w:trHeight w:val="557"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应付</w:t>
            </w:r>
            <w:r>
              <w:rPr>
                <w:rFonts w:ascii="宋体" w:hAnsi="宋体" w:cs="宋体" w:eastAsia="宋体" w:hint="default"/>
                <w:spacing w:val="-67"/>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票据</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191,420,000</w:t>
            </w:r>
          </w:p>
          <w:p>
            <w:pPr>
              <w:pStyle w:val="TableParagraph"/>
              <w:spacing w:line="273" w:lineRule="exact"/>
              <w:ind w:right="98"/>
              <w:jc w:val="right"/>
              <w:rPr>
                <w:rFonts w:ascii="宋体" w:hAnsi="宋体" w:cs="宋体" w:eastAsia="宋体" w:hint="default"/>
                <w:sz w:val="21"/>
                <w:szCs w:val="21"/>
              </w:rPr>
            </w:pPr>
            <w:r>
              <w:rPr>
                <w:rFonts w:ascii="宋体"/>
                <w:sz w:val="21"/>
              </w:rPr>
              <w:t>.00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2.21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304,660,000.</w:t>
            </w:r>
          </w:p>
          <w:p>
            <w:pPr>
              <w:pStyle w:val="TableParagraph"/>
              <w:spacing w:line="273" w:lineRule="exact"/>
              <w:ind w:right="101"/>
              <w:jc w:val="right"/>
              <w:rPr>
                <w:rFonts w:ascii="宋体" w:hAnsi="宋体" w:cs="宋体" w:eastAsia="宋体" w:hint="default"/>
                <w:sz w:val="21"/>
                <w:szCs w:val="21"/>
              </w:rPr>
            </w:pPr>
            <w:r>
              <w:rPr>
                <w:rFonts w:ascii="宋体"/>
                <w:sz w:val="21"/>
              </w:rPr>
              <w:t>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4.59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-37.17</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主要系本期减少了票据融</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资方式</w:t>
            </w:r>
          </w:p>
        </w:tc>
      </w:tr>
      <w:tr>
        <w:trPr>
          <w:trHeight w:val="554"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应付</w:t>
            </w:r>
            <w:r>
              <w:rPr>
                <w:rFonts w:ascii="宋体" w:hAnsi="宋体" w:cs="宋体" w:eastAsia="宋体" w:hint="default"/>
                <w:spacing w:val="-67"/>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账款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51" w:right="0"/>
              <w:jc w:val="left"/>
              <w:rPr>
                <w:rFonts w:ascii="宋体" w:hAnsi="宋体" w:cs="宋体" w:eastAsia="宋体" w:hint="default"/>
                <w:sz w:val="21"/>
                <w:szCs w:val="21"/>
              </w:rPr>
            </w:pPr>
            <w:r>
              <w:rPr>
                <w:rFonts w:ascii="宋体"/>
                <w:sz w:val="21"/>
              </w:rPr>
              <w:t>1,030,041,7</w:t>
            </w:r>
          </w:p>
          <w:p>
            <w:pPr>
              <w:pStyle w:val="TableParagraph"/>
              <w:spacing w:line="273" w:lineRule="exact"/>
              <w:ind w:left="780" w:right="0"/>
              <w:jc w:val="left"/>
              <w:rPr>
                <w:rFonts w:ascii="宋体" w:hAnsi="宋体" w:cs="宋体" w:eastAsia="宋体" w:hint="default"/>
                <w:sz w:val="21"/>
                <w:szCs w:val="21"/>
              </w:rPr>
            </w:pPr>
            <w:r>
              <w:rPr>
                <w:rFonts w:ascii="宋体"/>
                <w:sz w:val="21"/>
              </w:rPr>
              <w:t>57.64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11.87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8"/>
              <w:jc w:val="right"/>
              <w:rPr>
                <w:rFonts w:ascii="宋体" w:hAnsi="宋体" w:cs="宋体" w:eastAsia="宋体" w:hint="default"/>
                <w:sz w:val="21"/>
                <w:szCs w:val="21"/>
              </w:rPr>
            </w:pPr>
            <w:r>
              <w:rPr>
                <w:rFonts w:ascii="宋体"/>
                <w:spacing w:val="-1"/>
                <w:sz w:val="21"/>
              </w:rPr>
              <w:t>603,773,489.</w:t>
            </w:r>
          </w:p>
          <w:p>
            <w:pPr>
              <w:pStyle w:val="TableParagraph"/>
              <w:spacing w:line="273" w:lineRule="exact"/>
              <w:ind w:right="101"/>
              <w:jc w:val="right"/>
              <w:rPr>
                <w:rFonts w:ascii="宋体" w:hAnsi="宋体" w:cs="宋体" w:eastAsia="宋体" w:hint="default"/>
                <w:sz w:val="21"/>
                <w:szCs w:val="21"/>
              </w:rPr>
            </w:pPr>
            <w:r>
              <w:rPr>
                <w:rFonts w:ascii="宋体"/>
                <w:sz w:val="21"/>
              </w:rPr>
              <w:t>32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9.09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70.60</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主要系业务量增长成本增</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加所致</w:t>
            </w:r>
          </w:p>
        </w:tc>
      </w:tr>
      <w:tr>
        <w:trPr>
          <w:trHeight w:val="826"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预收</w:t>
            </w:r>
            <w:r>
              <w:rPr>
                <w:rFonts w:ascii="宋体" w:hAnsi="宋体" w:cs="宋体" w:eastAsia="宋体" w:hint="default"/>
                <w:spacing w:val="-67"/>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款项</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8"/>
              <w:jc w:val="right"/>
              <w:rPr>
                <w:rFonts w:ascii="宋体" w:hAnsi="宋体" w:cs="宋体" w:eastAsia="宋体" w:hint="default"/>
                <w:sz w:val="21"/>
                <w:szCs w:val="21"/>
              </w:rPr>
            </w:pPr>
            <w:r>
              <w:rPr>
                <w:rFonts w:ascii="宋体"/>
                <w:spacing w:val="-1"/>
                <w:sz w:val="21"/>
              </w:rPr>
              <w:t>42,146,010.</w:t>
            </w:r>
          </w:p>
          <w:p>
            <w:pPr>
              <w:pStyle w:val="TableParagraph"/>
              <w:spacing w:line="273" w:lineRule="exact"/>
              <w:ind w:right="101"/>
              <w:jc w:val="right"/>
              <w:rPr>
                <w:rFonts w:ascii="宋体" w:hAnsi="宋体" w:cs="宋体" w:eastAsia="宋体" w:hint="default"/>
                <w:sz w:val="21"/>
                <w:szCs w:val="21"/>
              </w:rPr>
            </w:pPr>
            <w:r>
              <w:rPr>
                <w:rFonts w:ascii="宋体"/>
                <w:sz w:val="21"/>
              </w:rPr>
              <w:t>06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0.49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8"/>
              <w:jc w:val="right"/>
              <w:rPr>
                <w:rFonts w:ascii="宋体" w:hAnsi="宋体" w:cs="宋体" w:eastAsia="宋体" w:hint="default"/>
                <w:sz w:val="21"/>
                <w:szCs w:val="21"/>
              </w:rPr>
            </w:pPr>
            <w:r>
              <w:rPr>
                <w:rFonts w:ascii="宋体"/>
                <w:spacing w:val="-1"/>
                <w:sz w:val="21"/>
              </w:rPr>
              <w:t>11,427,807.4</w:t>
            </w:r>
          </w:p>
          <w:p>
            <w:pPr>
              <w:pStyle w:val="TableParagraph"/>
              <w:spacing w:line="273" w:lineRule="exact"/>
              <w:ind w:right="101"/>
              <w:jc w:val="right"/>
              <w:rPr>
                <w:rFonts w:ascii="宋体" w:hAnsi="宋体" w:cs="宋体" w:eastAsia="宋体" w:hint="default"/>
                <w:sz w:val="21"/>
                <w:szCs w:val="21"/>
              </w:rPr>
            </w:pPr>
            <w:r>
              <w:rPr>
                <w:rFonts w:ascii="宋体"/>
                <w:w w:val="100"/>
                <w:sz w:val="21"/>
              </w:rPr>
              <w:t>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0.17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268.80</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主要系业务规模扩大，期</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z w:val="21"/>
                <w:szCs w:val="21"/>
              </w:rPr>
              <w:t>末预收的物流服务款增加</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所致</w:t>
            </w:r>
          </w:p>
        </w:tc>
      </w:tr>
      <w:tr>
        <w:trPr>
          <w:trHeight w:val="555"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应付</w:t>
            </w:r>
            <w:r>
              <w:rPr>
                <w:rFonts w:ascii="宋体" w:hAnsi="宋体" w:cs="宋体" w:eastAsia="宋体" w:hint="default"/>
                <w:spacing w:val="-67"/>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1,824,196.9</w:t>
            </w:r>
          </w:p>
          <w:p>
            <w:pPr>
              <w:pStyle w:val="TableParagraph"/>
              <w:spacing w:line="274" w:lineRule="exact"/>
              <w:ind w:right="101"/>
              <w:jc w:val="right"/>
              <w:rPr>
                <w:rFonts w:ascii="宋体" w:hAnsi="宋体" w:cs="宋体" w:eastAsia="宋体" w:hint="default"/>
                <w:sz w:val="21"/>
                <w:szCs w:val="21"/>
              </w:rPr>
            </w:pPr>
            <w:r>
              <w:rPr>
                <w:rFonts w:ascii="宋体"/>
                <w:w w:val="100"/>
                <w:sz w:val="21"/>
              </w:rPr>
              <w:t>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6" w:right="0"/>
              <w:jc w:val="center"/>
              <w:rPr>
                <w:rFonts w:ascii="宋体" w:hAnsi="宋体" w:cs="宋体" w:eastAsia="宋体" w:hint="default"/>
                <w:sz w:val="21"/>
                <w:szCs w:val="21"/>
              </w:rPr>
            </w:pPr>
            <w:r>
              <w:rPr>
                <w:rFonts w:ascii="宋体"/>
                <w:sz w:val="21"/>
              </w:rPr>
              <w:t>3,541,943.47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-48.50</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主要系非银行金融机构借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款金额减少所致</w:t>
            </w:r>
          </w:p>
        </w:tc>
      </w:tr>
      <w:tr>
        <w:trPr>
          <w:trHeight w:val="283"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0" w:right="0"/>
              <w:jc w:val="center"/>
              <w:rPr>
                <w:rFonts w:ascii="宋体" w:hAnsi="宋体" w:cs="宋体" w:eastAsia="宋体" w:hint="default"/>
                <w:sz w:val="21"/>
                <w:szCs w:val="21"/>
              </w:rPr>
            </w:pPr>
            <w:r>
              <w:rPr>
                <w:rFonts w:ascii="宋体" w:hAnsi="宋体" w:cs="宋体" w:eastAsia="宋体" w:hint="default"/>
                <w:spacing w:val="18"/>
                <w:sz w:val="21"/>
                <w:szCs w:val="21"/>
              </w:rPr>
              <w:t>其他</w:t>
            </w:r>
            <w:r>
              <w:rPr>
                <w:rFonts w:ascii="宋体" w:hAnsi="宋体" w:cs="宋体" w:eastAsia="宋体" w:hint="default"/>
                <w:spacing w:val="-67"/>
                <w:sz w:val="21"/>
                <w:szCs w:val="21"/>
              </w:rPr>
              <w:t> </w:t>
            </w:r>
            <w:r>
              <w:rPr>
                <w:rFonts w:ascii="宋体" w:hAnsi="宋体" w:cs="宋体" w:eastAsia="宋体" w:hint="default"/>
                <w:sz w:val="21"/>
                <w:szCs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0" w:right="0"/>
              <w:jc w:val="center"/>
              <w:rPr>
                <w:rFonts w:ascii="宋体" w:hAnsi="宋体" w:cs="宋体" w:eastAsia="宋体" w:hint="default"/>
                <w:sz w:val="21"/>
                <w:szCs w:val="21"/>
              </w:rPr>
            </w:pPr>
            <w:r>
              <w:rPr>
                <w:rFonts w:ascii="宋体"/>
                <w:sz w:val="21"/>
              </w:rPr>
              <w:t>82,601,640.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0.95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6" w:right="0"/>
              <w:jc w:val="center"/>
              <w:rPr>
                <w:rFonts w:ascii="宋体" w:hAnsi="宋体" w:cs="宋体" w:eastAsia="宋体" w:hint="default"/>
                <w:sz w:val="21"/>
                <w:szCs w:val="21"/>
              </w:rPr>
            </w:pPr>
            <w:r>
              <w:rPr>
                <w:rFonts w:ascii="宋体"/>
                <w:sz w:val="21"/>
              </w:rPr>
              <w:t>56,565,642.4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0.85%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46.03%</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主要系供应商保证金增加</w:t>
            </w:r>
          </w:p>
        </w:tc>
      </w:tr>
    </w:tbl>
    <w:p>
      <w:pPr>
        <w:spacing w:after="0" w:line="243" w:lineRule="exact"/>
        <w:jc w:val="center"/>
        <w:rPr>
          <w:rFonts w:ascii="宋体" w:hAnsi="宋体" w:cs="宋体" w:eastAsia="宋体" w:hint="default"/>
          <w:sz w:val="21"/>
          <w:szCs w:val="21"/>
        </w:rPr>
        <w:sectPr>
          <w:pgSz w:w="11910" w:h="16840"/>
          <w:pgMar w:header="880"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674"/>
        <w:gridCol w:w="1418"/>
        <w:gridCol w:w="850"/>
        <w:gridCol w:w="1560"/>
        <w:gridCol w:w="994"/>
        <w:gridCol w:w="991"/>
        <w:gridCol w:w="2561"/>
      </w:tblGrid>
      <w:tr>
        <w:trPr>
          <w:trHeight w:val="557"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应付</w:t>
            </w:r>
            <w:r>
              <w:rPr>
                <w:rFonts w:ascii="宋体" w:hAnsi="宋体" w:cs="宋体" w:eastAsia="宋体" w:hint="default"/>
                <w:spacing w:val="-67"/>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z w:val="21"/>
              </w:rPr>
              <w:t>78</w:t>
            </w:r>
          </w:p>
        </w:tc>
        <w:tc>
          <w:tcPr>
            <w:tcW w:w="85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w w:val="100"/>
                <w:sz w:val="21"/>
              </w:rPr>
              <w:t>2</w:t>
            </w: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所致</w:t>
            </w:r>
          </w:p>
        </w:tc>
      </w:tr>
      <w:tr>
        <w:trPr>
          <w:trHeight w:val="1644"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18"/>
                <w:sz w:val="21"/>
                <w:szCs w:val="21"/>
              </w:rPr>
              <w:t>一年</w:t>
            </w:r>
            <w:r>
              <w:rPr>
                <w:rFonts w:ascii="宋体" w:hAnsi="宋体" w:cs="宋体" w:eastAsia="宋体" w:hint="default"/>
                <w:spacing w:val="-67"/>
                <w:sz w:val="21"/>
                <w:szCs w:val="21"/>
              </w:rPr>
              <w:t> </w:t>
            </w:r>
            <w:r>
              <w:rPr>
                <w:rFonts w:ascii="宋体" w:hAnsi="宋体" w:cs="宋体" w:eastAsia="宋体" w:hint="default"/>
                <w:sz w:val="21"/>
                <w:szCs w:val="21"/>
              </w:rPr>
            </w:r>
          </w:p>
          <w:p>
            <w:pPr>
              <w:pStyle w:val="TableParagraph"/>
              <w:spacing w:line="237" w:lineRule="auto"/>
              <w:ind w:left="103" w:right="60"/>
              <w:jc w:val="both"/>
              <w:rPr>
                <w:rFonts w:ascii="宋体" w:hAnsi="宋体" w:cs="宋体" w:eastAsia="宋体" w:hint="default"/>
                <w:sz w:val="21"/>
                <w:szCs w:val="21"/>
              </w:rPr>
            </w:pPr>
            <w:r>
              <w:rPr>
                <w:rFonts w:ascii="宋体" w:hAnsi="宋体" w:cs="宋体" w:eastAsia="宋体" w:hint="default"/>
                <w:spacing w:val="18"/>
                <w:sz w:val="21"/>
                <w:szCs w:val="21"/>
              </w:rPr>
              <w:t>内到</w:t>
            </w:r>
            <w:r>
              <w:rPr>
                <w:rFonts w:ascii="宋体" w:hAnsi="宋体" w:cs="宋体" w:eastAsia="宋体" w:hint="default"/>
                <w:spacing w:val="-101"/>
                <w:sz w:val="21"/>
                <w:szCs w:val="21"/>
              </w:rPr>
              <w:t> </w:t>
            </w:r>
            <w:r>
              <w:rPr>
                <w:rFonts w:ascii="宋体" w:hAnsi="宋体" w:cs="宋体" w:eastAsia="宋体" w:hint="default"/>
                <w:spacing w:val="18"/>
                <w:sz w:val="21"/>
                <w:szCs w:val="21"/>
              </w:rPr>
              <w:t>期的</w:t>
            </w:r>
            <w:r>
              <w:rPr>
                <w:rFonts w:ascii="宋体" w:hAnsi="宋体" w:cs="宋体" w:eastAsia="宋体" w:hint="default"/>
                <w:spacing w:val="-101"/>
                <w:sz w:val="21"/>
                <w:szCs w:val="21"/>
              </w:rPr>
              <w:t> </w:t>
            </w:r>
            <w:r>
              <w:rPr>
                <w:rFonts w:ascii="宋体" w:hAnsi="宋体" w:cs="宋体" w:eastAsia="宋体" w:hint="default"/>
                <w:spacing w:val="18"/>
                <w:sz w:val="21"/>
                <w:szCs w:val="21"/>
              </w:rPr>
              <w:t>非流</w:t>
            </w:r>
            <w:r>
              <w:rPr>
                <w:rFonts w:ascii="宋体" w:hAnsi="宋体" w:cs="宋体" w:eastAsia="宋体" w:hint="default"/>
                <w:spacing w:val="-101"/>
                <w:sz w:val="21"/>
                <w:szCs w:val="21"/>
              </w:rPr>
              <w:t> </w:t>
            </w:r>
            <w:r>
              <w:rPr>
                <w:rFonts w:ascii="宋体" w:hAnsi="宋体" w:cs="宋体" w:eastAsia="宋体" w:hint="default"/>
                <w:spacing w:val="18"/>
                <w:sz w:val="21"/>
                <w:szCs w:val="21"/>
              </w:rPr>
              <w:t>动负</w:t>
            </w:r>
            <w:r>
              <w:rPr>
                <w:rFonts w:ascii="宋体" w:hAnsi="宋体" w:cs="宋体" w:eastAsia="宋体" w:hint="default"/>
                <w:spacing w:val="-101"/>
                <w:sz w:val="21"/>
                <w:szCs w:val="21"/>
              </w:rPr>
              <w:t> </w:t>
            </w:r>
            <w:r>
              <w:rPr>
                <w:rFonts w:ascii="宋体" w:hAnsi="宋体" w:cs="宋体" w:eastAsia="宋体" w:hint="default"/>
                <w:sz w:val="21"/>
                <w:szCs w:val="21"/>
              </w:rPr>
              <w:t>债</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8"/>
              <w:jc w:val="right"/>
              <w:rPr>
                <w:rFonts w:ascii="宋体" w:hAnsi="宋体" w:cs="宋体" w:eastAsia="宋体" w:hint="default"/>
                <w:sz w:val="21"/>
                <w:szCs w:val="21"/>
              </w:rPr>
            </w:pPr>
            <w:r>
              <w:rPr>
                <w:rFonts w:ascii="宋体"/>
                <w:spacing w:val="-1"/>
                <w:sz w:val="21"/>
              </w:rPr>
              <w:t>512,449,463</w:t>
            </w:r>
          </w:p>
          <w:p>
            <w:pPr>
              <w:pStyle w:val="TableParagraph"/>
              <w:spacing w:line="273" w:lineRule="exact"/>
              <w:ind w:right="98"/>
              <w:jc w:val="right"/>
              <w:rPr>
                <w:rFonts w:ascii="宋体" w:hAnsi="宋体" w:cs="宋体" w:eastAsia="宋体" w:hint="default"/>
                <w:sz w:val="21"/>
                <w:szCs w:val="21"/>
              </w:rPr>
            </w:pPr>
            <w:r>
              <w:rPr>
                <w:rFonts w:ascii="宋体"/>
                <w:sz w:val="21"/>
              </w:rPr>
              <w:t>.90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5.90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8"/>
              <w:jc w:val="right"/>
              <w:rPr>
                <w:rFonts w:ascii="宋体" w:hAnsi="宋体" w:cs="宋体" w:eastAsia="宋体" w:hint="default"/>
                <w:sz w:val="21"/>
                <w:szCs w:val="21"/>
              </w:rPr>
            </w:pPr>
            <w:r>
              <w:rPr>
                <w:rFonts w:ascii="宋体"/>
                <w:spacing w:val="-1"/>
                <w:sz w:val="21"/>
              </w:rPr>
              <w:t>798,244,676.</w:t>
            </w:r>
          </w:p>
          <w:p>
            <w:pPr>
              <w:pStyle w:val="TableParagraph"/>
              <w:spacing w:line="273" w:lineRule="exact"/>
              <w:ind w:right="101"/>
              <w:jc w:val="right"/>
              <w:rPr>
                <w:rFonts w:ascii="宋体" w:hAnsi="宋体" w:cs="宋体" w:eastAsia="宋体" w:hint="default"/>
                <w:sz w:val="21"/>
                <w:szCs w:val="21"/>
              </w:rPr>
            </w:pPr>
            <w:r>
              <w:rPr>
                <w:rFonts w:ascii="宋体"/>
                <w:sz w:val="21"/>
              </w:rPr>
              <w:t>77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12.02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-35.80</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 </w:t>
            </w:r>
            <w:r>
              <w:rPr>
                <w:rFonts w:ascii="宋体" w:hAnsi="宋体" w:cs="宋体" w:eastAsia="宋体" w:hint="default"/>
                <w:sz w:val="21"/>
                <w:szCs w:val="21"/>
              </w:rPr>
              <w:t>1</w:t>
            </w:r>
            <w:r>
              <w:rPr>
                <w:rFonts w:ascii="宋体" w:hAnsi="宋体" w:cs="宋体" w:eastAsia="宋体" w:hint="default"/>
                <w:spacing w:val="-68"/>
                <w:sz w:val="21"/>
                <w:szCs w:val="21"/>
              </w:rPr>
              <w:t> </w:t>
            </w:r>
            <w:r>
              <w:rPr>
                <w:rFonts w:ascii="宋体" w:hAnsi="宋体" w:cs="宋体" w:eastAsia="宋体" w:hint="default"/>
                <w:sz w:val="21"/>
                <w:szCs w:val="21"/>
              </w:rPr>
              <w:t>年内到期的长期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应付款减少所致</w:t>
            </w:r>
          </w:p>
        </w:tc>
      </w:tr>
      <w:tr>
        <w:trPr>
          <w:trHeight w:val="787"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30"/>
                <w:sz w:val="20"/>
                <w:szCs w:val="20"/>
              </w:rPr>
              <w:t>其他</w:t>
            </w:r>
            <w:r>
              <w:rPr>
                <w:rFonts w:ascii="宋体" w:hAnsi="宋体" w:cs="宋体" w:eastAsia="宋体" w:hint="default"/>
                <w:spacing w:val="-40"/>
                <w:sz w:val="20"/>
                <w:szCs w:val="20"/>
              </w:rPr>
              <w:t> </w:t>
            </w:r>
            <w:r>
              <w:rPr>
                <w:rFonts w:ascii="宋体" w:hAnsi="宋体" w:cs="宋体" w:eastAsia="宋体" w:hint="default"/>
                <w:sz w:val="20"/>
                <w:szCs w:val="20"/>
              </w:rPr>
            </w:r>
          </w:p>
          <w:p>
            <w:pPr>
              <w:pStyle w:val="TableParagraph"/>
              <w:spacing w:line="260" w:lineRule="exact" w:before="24"/>
              <w:ind w:left="103" w:right="41"/>
              <w:jc w:val="left"/>
              <w:rPr>
                <w:rFonts w:ascii="宋体" w:hAnsi="宋体" w:cs="宋体" w:eastAsia="宋体" w:hint="default"/>
                <w:sz w:val="20"/>
                <w:szCs w:val="20"/>
              </w:rPr>
            </w:pPr>
            <w:r>
              <w:rPr>
                <w:rFonts w:ascii="宋体" w:hAnsi="宋体" w:cs="宋体" w:eastAsia="宋体" w:hint="default"/>
                <w:spacing w:val="30"/>
                <w:sz w:val="20"/>
                <w:szCs w:val="20"/>
              </w:rPr>
              <w:t>流动</w:t>
            </w:r>
            <w:r>
              <w:rPr>
                <w:rFonts w:ascii="宋体" w:hAnsi="宋体" w:cs="宋体" w:eastAsia="宋体" w:hint="default"/>
                <w:spacing w:val="-40"/>
                <w:sz w:val="20"/>
                <w:szCs w:val="20"/>
              </w:rPr>
              <w:t> </w:t>
            </w:r>
            <w:r>
              <w:rPr>
                <w:rFonts w:ascii="宋体" w:hAnsi="宋体" w:cs="宋体" w:eastAsia="宋体" w:hint="default"/>
                <w:sz w:val="20"/>
                <w:szCs w:val="20"/>
              </w:rPr>
              <w:t>负债</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01"/>
              <w:jc w:val="right"/>
              <w:rPr>
                <w:rFonts w:ascii="宋体" w:hAnsi="宋体" w:cs="宋体" w:eastAsia="宋体" w:hint="default"/>
                <w:sz w:val="20"/>
                <w:szCs w:val="20"/>
              </w:rPr>
            </w:pPr>
            <w:r>
              <w:rPr>
                <w:rFonts w:ascii="宋体"/>
                <w:w w:val="95"/>
                <w:sz w:val="20"/>
              </w:rPr>
              <w:t>505,624,589.</w:t>
            </w:r>
            <w:r>
              <w:rPr>
                <w:rFonts w:ascii="宋体"/>
                <w:sz w:val="20"/>
              </w:rPr>
            </w:r>
          </w:p>
          <w:p>
            <w:pPr>
              <w:pStyle w:val="TableParagraph"/>
              <w:spacing w:line="260" w:lineRule="exact"/>
              <w:ind w:right="98"/>
              <w:jc w:val="right"/>
              <w:rPr>
                <w:rFonts w:ascii="宋体" w:hAnsi="宋体" w:cs="宋体" w:eastAsia="宋体" w:hint="default"/>
                <w:sz w:val="20"/>
                <w:szCs w:val="20"/>
              </w:rPr>
            </w:pPr>
            <w:r>
              <w:rPr>
                <w:rFonts w:ascii="宋体"/>
                <w:sz w:val="20"/>
              </w:rPr>
              <w:t>69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5.83</w:t>
            </w:r>
          </w:p>
        </w:tc>
        <w:tc>
          <w:tcPr>
            <w:tcW w:w="156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主要系本期增加短期融资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券所致</w:t>
            </w:r>
          </w:p>
        </w:tc>
      </w:tr>
      <w:tr>
        <w:trPr>
          <w:trHeight w:val="555"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递延</w:t>
            </w:r>
            <w:r>
              <w:rPr>
                <w:rFonts w:ascii="宋体" w:hAnsi="宋体" w:cs="宋体" w:eastAsia="宋体" w:hint="default"/>
                <w:spacing w:val="-67"/>
                <w:sz w:val="21"/>
                <w:szCs w:val="21"/>
              </w:rPr>
              <w:t> </w:t>
            </w:r>
            <w:r>
              <w:rPr>
                <w:rFonts w:ascii="宋体" w:hAnsi="宋体" w:cs="宋体" w:eastAsia="宋体" w:hint="default"/>
                <w:sz w:val="21"/>
                <w:szCs w:val="21"/>
              </w:rPr>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168,803,949</w:t>
            </w:r>
          </w:p>
          <w:p>
            <w:pPr>
              <w:pStyle w:val="TableParagraph"/>
              <w:spacing w:line="275" w:lineRule="exact"/>
              <w:ind w:right="98"/>
              <w:jc w:val="right"/>
              <w:rPr>
                <w:rFonts w:ascii="宋体" w:hAnsi="宋体" w:cs="宋体" w:eastAsia="宋体" w:hint="default"/>
                <w:sz w:val="21"/>
                <w:szCs w:val="21"/>
              </w:rPr>
            </w:pPr>
            <w:r>
              <w:rPr>
                <w:rFonts w:ascii="宋体"/>
                <w:sz w:val="21"/>
              </w:rPr>
              <w:t>.55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56,840,490.2</w:t>
            </w:r>
          </w:p>
          <w:p>
            <w:pPr>
              <w:pStyle w:val="TableParagraph"/>
              <w:spacing w:line="275" w:lineRule="exact"/>
              <w:ind w:right="101"/>
              <w:jc w:val="right"/>
              <w:rPr>
                <w:rFonts w:ascii="宋体" w:hAnsi="宋体" w:cs="宋体" w:eastAsia="宋体" w:hint="default"/>
                <w:sz w:val="21"/>
                <w:szCs w:val="21"/>
              </w:rPr>
            </w:pPr>
            <w:r>
              <w:rPr>
                <w:rFonts w:ascii="宋体"/>
                <w:w w:val="100"/>
                <w:sz w:val="21"/>
              </w:rPr>
              <w:t>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0.86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196.98</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主要系本期售后回租形成</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的递延收益增加所致</w:t>
            </w:r>
          </w:p>
        </w:tc>
      </w:tr>
      <w:tr>
        <w:trPr>
          <w:trHeight w:val="554"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盈余</w:t>
            </w:r>
            <w:r>
              <w:rPr>
                <w:rFonts w:ascii="宋体" w:hAnsi="宋体" w:cs="宋体" w:eastAsia="宋体" w:hint="default"/>
                <w:spacing w:val="-67"/>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公积</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173,123,782</w:t>
            </w:r>
          </w:p>
          <w:p>
            <w:pPr>
              <w:pStyle w:val="TableParagraph"/>
              <w:spacing w:line="274" w:lineRule="exact"/>
              <w:ind w:right="98"/>
              <w:jc w:val="right"/>
              <w:rPr>
                <w:rFonts w:ascii="宋体" w:hAnsi="宋体" w:cs="宋体" w:eastAsia="宋体" w:hint="default"/>
                <w:sz w:val="21"/>
                <w:szCs w:val="21"/>
              </w:rPr>
            </w:pPr>
            <w:r>
              <w:rPr>
                <w:rFonts w:ascii="宋体"/>
                <w:sz w:val="21"/>
              </w:rPr>
              <w:t>.22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117,813,704.</w:t>
            </w:r>
          </w:p>
          <w:p>
            <w:pPr>
              <w:pStyle w:val="TableParagraph"/>
              <w:spacing w:line="274" w:lineRule="exact"/>
              <w:ind w:right="101"/>
              <w:jc w:val="right"/>
              <w:rPr>
                <w:rFonts w:ascii="宋体" w:hAnsi="宋体" w:cs="宋体" w:eastAsia="宋体" w:hint="default"/>
                <w:sz w:val="21"/>
                <w:szCs w:val="21"/>
              </w:rPr>
            </w:pPr>
            <w:r>
              <w:rPr>
                <w:rFonts w:ascii="宋体"/>
                <w:sz w:val="21"/>
              </w:rPr>
              <w:t>26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1.77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46.95</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主要系本期利润增加计提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法定盈余公积金较多所致</w:t>
            </w:r>
          </w:p>
        </w:tc>
      </w:tr>
      <w:tr>
        <w:trPr>
          <w:trHeight w:val="828"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未分</w:t>
            </w:r>
            <w:r>
              <w:rPr>
                <w:rFonts w:ascii="宋体" w:hAnsi="宋体" w:cs="宋体" w:eastAsia="宋体" w:hint="default"/>
                <w:spacing w:val="-67"/>
                <w:sz w:val="21"/>
                <w:szCs w:val="21"/>
              </w:rPr>
              <w:t> </w:t>
            </w:r>
            <w:r>
              <w:rPr>
                <w:rFonts w:ascii="宋体" w:hAnsi="宋体" w:cs="宋体" w:eastAsia="宋体" w:hint="default"/>
                <w:sz w:val="21"/>
                <w:szCs w:val="21"/>
              </w:rPr>
            </w:r>
          </w:p>
          <w:p>
            <w:pPr>
              <w:pStyle w:val="TableParagraph"/>
              <w:spacing w:line="272" w:lineRule="exact" w:before="27"/>
              <w:ind w:left="103" w:right="60"/>
              <w:jc w:val="left"/>
              <w:rPr>
                <w:rFonts w:ascii="宋体" w:hAnsi="宋体" w:cs="宋体" w:eastAsia="宋体" w:hint="default"/>
                <w:sz w:val="21"/>
                <w:szCs w:val="21"/>
              </w:rPr>
            </w:pPr>
            <w:r>
              <w:rPr>
                <w:rFonts w:ascii="宋体" w:hAnsi="宋体" w:cs="宋体" w:eastAsia="宋体" w:hint="default"/>
                <w:spacing w:val="18"/>
                <w:sz w:val="21"/>
                <w:szCs w:val="21"/>
              </w:rPr>
              <w:t>配利</w:t>
            </w:r>
            <w:r>
              <w:rPr>
                <w:rFonts w:ascii="宋体" w:hAnsi="宋体" w:cs="宋体" w:eastAsia="宋体" w:hint="default"/>
                <w:spacing w:val="-101"/>
                <w:sz w:val="21"/>
                <w:szCs w:val="21"/>
              </w:rPr>
              <w:t> </w:t>
            </w:r>
            <w:r>
              <w:rPr>
                <w:rFonts w:ascii="宋体" w:hAnsi="宋体" w:cs="宋体" w:eastAsia="宋体" w:hint="default"/>
                <w:sz w:val="21"/>
                <w:szCs w:val="21"/>
              </w:rPr>
              <w:t>润</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1" w:right="0"/>
              <w:jc w:val="left"/>
              <w:rPr>
                <w:rFonts w:ascii="宋体" w:hAnsi="宋体" w:cs="宋体" w:eastAsia="宋体" w:hint="default"/>
                <w:sz w:val="21"/>
                <w:szCs w:val="21"/>
              </w:rPr>
            </w:pPr>
            <w:r>
              <w:rPr>
                <w:rFonts w:ascii="宋体"/>
                <w:sz w:val="21"/>
              </w:rPr>
              <w:t>1,552,468,4</w:t>
            </w:r>
          </w:p>
          <w:p>
            <w:pPr>
              <w:pStyle w:val="TableParagraph"/>
              <w:spacing w:line="274" w:lineRule="exact"/>
              <w:ind w:left="780" w:right="0"/>
              <w:jc w:val="left"/>
              <w:rPr>
                <w:rFonts w:ascii="宋体" w:hAnsi="宋体" w:cs="宋体" w:eastAsia="宋体" w:hint="default"/>
                <w:sz w:val="21"/>
                <w:szCs w:val="21"/>
              </w:rPr>
            </w:pPr>
            <w:r>
              <w:rPr>
                <w:rFonts w:ascii="宋体"/>
                <w:sz w:val="21"/>
              </w:rPr>
              <w:t>12.56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17.89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7" w:right="0"/>
              <w:jc w:val="left"/>
              <w:rPr>
                <w:rFonts w:ascii="宋体" w:hAnsi="宋体" w:cs="宋体" w:eastAsia="宋体" w:hint="default"/>
                <w:sz w:val="21"/>
                <w:szCs w:val="21"/>
              </w:rPr>
            </w:pPr>
            <w:r>
              <w:rPr>
                <w:rFonts w:ascii="宋体"/>
                <w:sz w:val="21"/>
              </w:rPr>
              <w:t>1,055,412,38</w:t>
            </w:r>
          </w:p>
          <w:p>
            <w:pPr>
              <w:pStyle w:val="TableParagraph"/>
              <w:spacing w:line="274" w:lineRule="exact"/>
              <w:ind w:left="1027" w:right="0"/>
              <w:jc w:val="left"/>
              <w:rPr>
                <w:rFonts w:ascii="宋体" w:hAnsi="宋体" w:cs="宋体" w:eastAsia="宋体" w:hint="default"/>
                <w:sz w:val="21"/>
                <w:szCs w:val="21"/>
              </w:rPr>
            </w:pPr>
            <w:r>
              <w:rPr>
                <w:rFonts w:ascii="宋体"/>
                <w:sz w:val="21"/>
              </w:rPr>
              <w:t>2.90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15.89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47.10</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主要是本期利润增加所致</w:t>
            </w:r>
          </w:p>
        </w:tc>
      </w:tr>
    </w:tbl>
    <w:p>
      <w:pPr>
        <w:spacing w:line="240" w:lineRule="auto" w:before="5"/>
        <w:rPr>
          <w:rFonts w:ascii="Times New Roman" w:hAnsi="Times New Roman" w:cs="Times New Roman" w:eastAsia="Times New Roman" w:hint="default"/>
          <w:sz w:val="17"/>
          <w:szCs w:val="17"/>
        </w:rPr>
      </w:pPr>
    </w:p>
    <w:p>
      <w:pPr>
        <w:pStyle w:val="BodyText"/>
        <w:spacing w:line="240" w:lineRule="auto" w:before="36"/>
        <w:ind w:right="8208"/>
        <w:jc w:val="left"/>
      </w:pPr>
      <w:r>
        <w:rPr/>
        <w:t>其他说明</w:t>
      </w:r>
      <w:r>
        <w:rPr>
          <w:w w:val="100"/>
        </w:rPr>
        <w:t> </w:t>
      </w:r>
      <w:r>
        <w:rPr/>
        <w:t>无</w:t>
      </w:r>
    </w:p>
    <w:p>
      <w:pPr>
        <w:spacing w:line="240" w:lineRule="auto" w:before="3"/>
        <w:rPr>
          <w:rFonts w:ascii="宋体" w:hAnsi="宋体" w:cs="宋体" w:eastAsia="宋体" w:hint="default"/>
          <w:sz w:val="25"/>
          <w:szCs w:val="25"/>
        </w:rPr>
      </w:pPr>
    </w:p>
    <w:p>
      <w:pPr>
        <w:pStyle w:val="Heading2"/>
        <w:tabs>
          <w:tab w:pos="642" w:val="left" w:leader="none"/>
        </w:tabs>
        <w:spacing w:line="240" w:lineRule="auto"/>
        <w:ind w:right="2497"/>
        <w:jc w:val="left"/>
        <w:rPr>
          <w:b w:val="0"/>
          <w:bCs w:val="0"/>
        </w:rPr>
      </w:pPr>
      <w:r>
        <w:rPr>
          <w:rFonts w:ascii="宋体" w:hAnsi="宋体" w:cs="宋体" w:eastAsia="宋体" w:hint="default"/>
          <w:w w:val="95"/>
        </w:rPr>
        <w:t>2.</w:t>
        <w:tab/>
      </w:r>
      <w:r>
        <w:rPr/>
        <w:t>截至报告期末主要资产受限情况</w:t>
      </w:r>
      <w:r>
        <w:rPr>
          <w:b w:val="0"/>
          <w:bCs w:val="0"/>
        </w:rPr>
      </w:r>
    </w:p>
    <w:p>
      <w:pPr>
        <w:pStyle w:val="BodyText"/>
        <w:tabs>
          <w:tab w:pos="1060" w:val="left" w:leader="none"/>
        </w:tabs>
        <w:spacing w:line="240" w:lineRule="auto" w:before="56"/>
        <w:ind w:right="2497"/>
        <w:jc w:val="left"/>
      </w:pPr>
      <w:r>
        <w:rPr>
          <w:spacing w:val="-1"/>
        </w:rPr>
        <w:t>√适用</w:t>
        <w:tab/>
      </w:r>
      <w:r>
        <w:rPr>
          <w:spacing w:val="-2"/>
        </w:rPr>
        <w:t>□不适用</w:t>
      </w:r>
    </w:p>
    <w:p>
      <w:pPr>
        <w:spacing w:line="240" w:lineRule="auto" w:before="3"/>
        <w:rPr>
          <w:rFonts w:ascii="宋体" w:hAnsi="宋体" w:cs="宋体" w:eastAsia="宋体" w:hint="default"/>
          <w:sz w:val="23"/>
          <w:szCs w:val="23"/>
        </w:rPr>
      </w:pPr>
    </w:p>
    <w:tbl>
      <w:tblPr>
        <w:tblW w:w="0" w:type="auto"/>
        <w:jc w:val="left"/>
        <w:tblInd w:w="158" w:type="dxa"/>
        <w:tblLayout w:type="fixed"/>
        <w:tblCellMar>
          <w:top w:w="0" w:type="dxa"/>
          <w:left w:w="0" w:type="dxa"/>
          <w:bottom w:w="0" w:type="dxa"/>
          <w:right w:w="0" w:type="dxa"/>
        </w:tblCellMar>
        <w:tblLook w:val="01E0"/>
      </w:tblPr>
      <w:tblGrid>
        <w:gridCol w:w="2895"/>
        <w:gridCol w:w="3113"/>
        <w:gridCol w:w="2902"/>
      </w:tblGrid>
      <w:tr>
        <w:trPr>
          <w:trHeight w:val="547" w:hRule="exact"/>
        </w:trPr>
        <w:tc>
          <w:tcPr>
            <w:tcW w:w="289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88"/>
              <w:ind w:left="16"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1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8"/>
              <w:ind w:left="921"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290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88"/>
              <w:ind w:right="0"/>
              <w:jc w:val="center"/>
              <w:rPr>
                <w:rFonts w:ascii="宋体" w:hAnsi="宋体" w:cs="宋体" w:eastAsia="宋体" w:hint="default"/>
                <w:sz w:val="21"/>
                <w:szCs w:val="21"/>
              </w:rPr>
            </w:pPr>
            <w:r>
              <w:rPr>
                <w:rFonts w:ascii="宋体" w:hAnsi="宋体" w:cs="宋体" w:eastAsia="宋体" w:hint="default"/>
                <w:sz w:val="21"/>
                <w:szCs w:val="21"/>
              </w:rPr>
              <w:t>受限原因</w:t>
            </w:r>
          </w:p>
        </w:tc>
      </w:tr>
      <w:tr>
        <w:trPr>
          <w:trHeight w:val="403" w:hRule="exact"/>
        </w:trPr>
        <w:tc>
          <w:tcPr>
            <w:tcW w:w="28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8"/>
              <w:ind w:left="45"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w:t>
            </w:r>
            <w:r>
              <w:rPr>
                <w:rFonts w:ascii="宋体" w:hAnsi="宋体" w:cs="宋体" w:eastAsia="宋体" w:hint="default"/>
                <w:sz w:val="21"/>
                <w:szCs w:val="21"/>
              </w:rPr>
              <w:t>船舶</w:t>
            </w:r>
          </w:p>
        </w:tc>
        <w:tc>
          <w:tcPr>
            <w:tcW w:w="31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24"/>
              <w:jc w:val="right"/>
              <w:rPr>
                <w:rFonts w:ascii="宋体" w:hAnsi="宋体" w:cs="宋体" w:eastAsia="宋体" w:hint="default"/>
                <w:sz w:val="21"/>
                <w:szCs w:val="21"/>
              </w:rPr>
            </w:pPr>
            <w:r>
              <w:rPr>
                <w:rFonts w:ascii="宋体"/>
                <w:spacing w:val="-1"/>
                <w:sz w:val="21"/>
              </w:rPr>
              <w:t>2,540,027,802.02</w:t>
            </w:r>
          </w:p>
        </w:tc>
        <w:tc>
          <w:tcPr>
            <w:tcW w:w="29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8"/>
              <w:ind w:left="26" w:right="0"/>
              <w:jc w:val="left"/>
              <w:rPr>
                <w:rFonts w:ascii="宋体" w:hAnsi="宋体" w:cs="宋体" w:eastAsia="宋体" w:hint="default"/>
                <w:sz w:val="21"/>
                <w:szCs w:val="21"/>
              </w:rPr>
            </w:pPr>
            <w:r>
              <w:rPr>
                <w:rFonts w:ascii="宋体" w:hAnsi="宋体" w:cs="宋体" w:eastAsia="宋体" w:hint="default"/>
                <w:sz w:val="21"/>
                <w:szCs w:val="21"/>
              </w:rPr>
              <w:t>抵押借款、融资租赁</w:t>
            </w:r>
          </w:p>
        </w:tc>
      </w:tr>
      <w:tr>
        <w:trPr>
          <w:trHeight w:val="401" w:hRule="exact"/>
        </w:trPr>
        <w:tc>
          <w:tcPr>
            <w:tcW w:w="28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8"/>
              <w:ind w:left="45"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w:t>
            </w:r>
            <w:r>
              <w:rPr>
                <w:rFonts w:ascii="宋体" w:hAnsi="宋体" w:cs="宋体" w:eastAsia="宋体" w:hint="default"/>
                <w:sz w:val="21"/>
                <w:szCs w:val="21"/>
              </w:rPr>
              <w:t>集装箱</w:t>
            </w:r>
          </w:p>
        </w:tc>
        <w:tc>
          <w:tcPr>
            <w:tcW w:w="31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24"/>
              <w:jc w:val="right"/>
              <w:rPr>
                <w:rFonts w:ascii="宋体" w:hAnsi="宋体" w:cs="宋体" w:eastAsia="宋体" w:hint="default"/>
                <w:sz w:val="21"/>
                <w:szCs w:val="21"/>
              </w:rPr>
            </w:pPr>
            <w:r>
              <w:rPr>
                <w:rFonts w:ascii="宋体"/>
                <w:spacing w:val="-1"/>
                <w:sz w:val="21"/>
              </w:rPr>
              <w:t>972,891,417.59</w:t>
            </w:r>
          </w:p>
        </w:tc>
        <w:tc>
          <w:tcPr>
            <w:tcW w:w="29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8"/>
              <w:ind w:left="26" w:right="0"/>
              <w:jc w:val="left"/>
              <w:rPr>
                <w:rFonts w:ascii="宋体" w:hAnsi="宋体" w:cs="宋体" w:eastAsia="宋体" w:hint="default"/>
                <w:sz w:val="21"/>
                <w:szCs w:val="21"/>
              </w:rPr>
            </w:pPr>
            <w:r>
              <w:rPr>
                <w:rFonts w:ascii="宋体" w:hAnsi="宋体" w:cs="宋体" w:eastAsia="宋体" w:hint="default"/>
                <w:sz w:val="21"/>
                <w:szCs w:val="21"/>
              </w:rPr>
              <w:t>融资租赁、分期购买固定资产</w:t>
            </w:r>
          </w:p>
        </w:tc>
      </w:tr>
      <w:tr>
        <w:trPr>
          <w:trHeight w:val="403" w:hRule="exact"/>
        </w:trPr>
        <w:tc>
          <w:tcPr>
            <w:tcW w:w="28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8"/>
              <w:ind w:left="45"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w:t>
            </w:r>
            <w:r>
              <w:rPr>
                <w:rFonts w:ascii="宋体" w:hAnsi="宋体" w:cs="宋体" w:eastAsia="宋体" w:hint="default"/>
                <w:sz w:val="21"/>
                <w:szCs w:val="21"/>
              </w:rPr>
              <w:t>运输设备</w:t>
            </w:r>
          </w:p>
        </w:tc>
        <w:tc>
          <w:tcPr>
            <w:tcW w:w="31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24"/>
              <w:jc w:val="right"/>
              <w:rPr>
                <w:rFonts w:ascii="宋体" w:hAnsi="宋体" w:cs="宋体" w:eastAsia="宋体" w:hint="default"/>
                <w:sz w:val="21"/>
                <w:szCs w:val="21"/>
              </w:rPr>
            </w:pPr>
            <w:r>
              <w:rPr>
                <w:rFonts w:ascii="宋体"/>
                <w:spacing w:val="-1"/>
                <w:sz w:val="21"/>
              </w:rPr>
              <w:t>2,756,725.18</w:t>
            </w:r>
          </w:p>
        </w:tc>
        <w:tc>
          <w:tcPr>
            <w:tcW w:w="29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8"/>
              <w:ind w:left="26" w:right="0"/>
              <w:jc w:val="left"/>
              <w:rPr>
                <w:rFonts w:ascii="宋体" w:hAnsi="宋体" w:cs="宋体" w:eastAsia="宋体" w:hint="default"/>
                <w:sz w:val="21"/>
                <w:szCs w:val="21"/>
              </w:rPr>
            </w:pPr>
            <w:r>
              <w:rPr>
                <w:rFonts w:ascii="宋体" w:hAnsi="宋体" w:cs="宋体" w:eastAsia="宋体" w:hint="default"/>
                <w:sz w:val="21"/>
                <w:szCs w:val="21"/>
              </w:rPr>
              <w:t>融资租赁固定资产</w:t>
            </w:r>
          </w:p>
        </w:tc>
      </w:tr>
      <w:tr>
        <w:trPr>
          <w:trHeight w:val="670" w:hRule="exact"/>
        </w:trPr>
        <w:tc>
          <w:tcPr>
            <w:tcW w:w="28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1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0"/>
              <w:ind w:right="24"/>
              <w:jc w:val="right"/>
              <w:rPr>
                <w:rFonts w:ascii="宋体" w:hAnsi="宋体" w:cs="宋体" w:eastAsia="宋体" w:hint="default"/>
                <w:sz w:val="21"/>
                <w:szCs w:val="21"/>
              </w:rPr>
            </w:pPr>
            <w:r>
              <w:rPr>
                <w:rFonts w:ascii="宋体"/>
                <w:spacing w:val="-1"/>
                <w:sz w:val="21"/>
              </w:rPr>
              <w:t>65,828,427.51</w:t>
            </w:r>
          </w:p>
        </w:tc>
        <w:tc>
          <w:tcPr>
            <w:tcW w:w="2902" w:type="dxa"/>
            <w:tcBorders>
              <w:top w:val="single" w:sz="2" w:space="0" w:color="000000"/>
              <w:left w:val="single" w:sz="2" w:space="0" w:color="000000"/>
              <w:bottom w:val="single" w:sz="2" w:space="0" w:color="000000"/>
              <w:right w:val="nil" w:sz="6" w:space="0" w:color="auto"/>
            </w:tcBorders>
          </w:tcPr>
          <w:p>
            <w:pPr>
              <w:pStyle w:val="TableParagraph"/>
              <w:spacing w:line="272" w:lineRule="exact" w:before="113"/>
              <w:ind w:left="26" w:right="137"/>
              <w:jc w:val="left"/>
              <w:rPr>
                <w:rFonts w:ascii="宋体" w:hAnsi="宋体" w:cs="宋体" w:eastAsia="宋体" w:hint="default"/>
                <w:sz w:val="21"/>
                <w:szCs w:val="21"/>
              </w:rPr>
            </w:pPr>
            <w:r>
              <w:rPr>
                <w:rFonts w:ascii="宋体" w:hAnsi="宋体" w:cs="宋体" w:eastAsia="宋体" w:hint="default"/>
                <w:spacing w:val="-2"/>
                <w:sz w:val="21"/>
                <w:szCs w:val="21"/>
              </w:rPr>
              <w:t>承兑汇票保证金及监管账户余</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额</w:t>
            </w:r>
          </w:p>
        </w:tc>
      </w:tr>
      <w:tr>
        <w:trPr>
          <w:trHeight w:val="401" w:hRule="exact"/>
        </w:trPr>
        <w:tc>
          <w:tcPr>
            <w:tcW w:w="28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8"/>
              <w:ind w:left="45"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31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24"/>
              <w:jc w:val="right"/>
              <w:rPr>
                <w:rFonts w:ascii="宋体" w:hAnsi="宋体" w:cs="宋体" w:eastAsia="宋体" w:hint="default"/>
                <w:sz w:val="21"/>
                <w:szCs w:val="21"/>
              </w:rPr>
            </w:pPr>
            <w:r>
              <w:rPr>
                <w:rFonts w:ascii="宋体"/>
                <w:spacing w:val="-1"/>
                <w:sz w:val="21"/>
              </w:rPr>
              <w:t>33,129,207.71</w:t>
            </w:r>
          </w:p>
        </w:tc>
        <w:tc>
          <w:tcPr>
            <w:tcW w:w="29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8"/>
              <w:ind w:left="26" w:right="0"/>
              <w:jc w:val="left"/>
              <w:rPr>
                <w:rFonts w:ascii="宋体" w:hAnsi="宋体" w:cs="宋体" w:eastAsia="宋体" w:hint="default"/>
                <w:sz w:val="21"/>
                <w:szCs w:val="21"/>
              </w:rPr>
            </w:pPr>
            <w:r>
              <w:rPr>
                <w:rFonts w:ascii="宋体" w:hAnsi="宋体" w:cs="宋体" w:eastAsia="宋体" w:hint="default"/>
                <w:sz w:val="21"/>
                <w:szCs w:val="21"/>
              </w:rPr>
              <w:t>抵押借款</w:t>
            </w:r>
          </w:p>
        </w:tc>
      </w:tr>
      <w:tr>
        <w:trPr>
          <w:trHeight w:val="416" w:hRule="exact"/>
        </w:trPr>
        <w:tc>
          <w:tcPr>
            <w:tcW w:w="289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89"/>
              <w:ind w:left="20"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11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9"/>
              <w:ind w:right="24"/>
              <w:jc w:val="right"/>
              <w:rPr>
                <w:rFonts w:ascii="宋体" w:hAnsi="宋体" w:cs="宋体" w:eastAsia="宋体" w:hint="default"/>
                <w:sz w:val="21"/>
                <w:szCs w:val="21"/>
              </w:rPr>
            </w:pPr>
            <w:r>
              <w:rPr>
                <w:rFonts w:ascii="宋体"/>
                <w:spacing w:val="-1"/>
                <w:sz w:val="21"/>
              </w:rPr>
              <w:t>3,614,633,580.01</w:t>
            </w:r>
          </w:p>
        </w:tc>
        <w:tc>
          <w:tcPr>
            <w:tcW w:w="2902" w:type="dxa"/>
            <w:tcBorders>
              <w:top w:val="single" w:sz="2" w:space="0" w:color="000000"/>
              <w:left w:val="single" w:sz="2"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20"/>
          <w:szCs w:val="20"/>
        </w:rPr>
      </w:pPr>
    </w:p>
    <w:p>
      <w:pPr>
        <w:pStyle w:val="Heading2"/>
        <w:tabs>
          <w:tab w:pos="642" w:val="left" w:leader="none"/>
        </w:tabs>
        <w:spacing w:line="240" w:lineRule="auto" w:before="36"/>
        <w:ind w:right="2497"/>
        <w:jc w:val="left"/>
        <w:rPr>
          <w:b w:val="0"/>
          <w:bCs w:val="0"/>
        </w:rPr>
      </w:pPr>
      <w:r>
        <w:rPr>
          <w:rFonts w:ascii="宋体" w:hAnsi="宋体" w:cs="宋体" w:eastAsia="宋体" w:hint="default"/>
          <w:w w:val="95"/>
        </w:rPr>
        <w:t>3.</w:t>
        <w:tab/>
      </w:r>
      <w:r>
        <w:rPr/>
        <w:t>其他说明</w:t>
      </w:r>
      <w:r>
        <w:rPr>
          <w:b w:val="0"/>
          <w:bCs w:val="0"/>
        </w:rPr>
      </w:r>
    </w:p>
    <w:p>
      <w:pPr>
        <w:pStyle w:val="BodyText"/>
        <w:tabs>
          <w:tab w:pos="1060" w:val="left" w:leader="none"/>
        </w:tabs>
        <w:spacing w:line="240" w:lineRule="auto" w:before="56"/>
        <w:ind w:right="2497"/>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tabs>
          <w:tab w:pos="1057" w:val="left" w:leader="none"/>
        </w:tabs>
        <w:spacing w:line="240" w:lineRule="auto"/>
        <w:ind w:right="2497"/>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行业经营性信息分析</w:t>
      </w:r>
      <w:r>
        <w:rPr>
          <w:b w:val="0"/>
          <w:bCs w:val="0"/>
        </w:rPr>
      </w:r>
    </w:p>
    <w:p>
      <w:pPr>
        <w:pStyle w:val="BodyText"/>
        <w:tabs>
          <w:tab w:pos="1060" w:val="left" w:leader="none"/>
        </w:tabs>
        <w:spacing w:line="240" w:lineRule="auto" w:before="56"/>
        <w:ind w:right="3600"/>
        <w:jc w:val="left"/>
      </w:pPr>
      <w:r>
        <w:rPr>
          <w:spacing w:val="-1"/>
        </w:rPr>
        <w:t>√适用</w:t>
        <w:tab/>
      </w:r>
      <w:r>
        <w:rPr>
          <w:spacing w:val="-2"/>
        </w:rPr>
        <w:t>□不适用</w:t>
      </w:r>
      <w:r>
        <w:rPr>
          <w:spacing w:val="-99"/>
        </w:rPr>
        <w:t> </w:t>
      </w:r>
      <w:r>
        <w:rPr>
          <w:spacing w:val="-99"/>
        </w:rPr>
      </w:r>
      <w:r>
        <w:rPr>
          <w:spacing w:val="-2"/>
        </w:rPr>
        <w:t>具体详见本报告“第三节公司业务概要”中行业情况说明。</w:t>
      </w:r>
    </w:p>
    <w:p>
      <w:pPr>
        <w:spacing w:after="0" w:line="240" w:lineRule="auto"/>
        <w:jc w:val="left"/>
        <w:sectPr>
          <w:pgSz w:w="11910" w:h="16840"/>
          <w:pgMar w:header="880" w:footer="1195" w:top="1120" w:bottom="1380" w:left="1580" w:right="1040"/>
        </w:sectPr>
      </w:pPr>
    </w:p>
    <w:p>
      <w:pPr>
        <w:spacing w:line="240" w:lineRule="auto" w:before="11"/>
        <w:rPr>
          <w:rFonts w:ascii="宋体" w:hAnsi="宋体" w:cs="宋体" w:eastAsia="宋体" w:hint="default"/>
          <w:sz w:val="29"/>
          <w:szCs w:val="29"/>
        </w:rPr>
      </w:pPr>
    </w:p>
    <w:p>
      <w:pPr>
        <w:pStyle w:val="Heading2"/>
        <w:tabs>
          <w:tab w:pos="1057" w:val="left" w:leader="none"/>
        </w:tabs>
        <w:spacing w:line="240" w:lineRule="auto" w:before="36"/>
        <w:ind w:right="2497"/>
        <w:jc w:val="left"/>
        <w:rPr>
          <w:b w:val="0"/>
          <w:bCs w:val="0"/>
        </w:rPr>
      </w:pPr>
      <w:r>
        <w:rPr>
          <w:rFonts w:ascii="宋体" w:hAnsi="宋体" w:cs="宋体" w:eastAsia="宋体" w:hint="default"/>
          <w:spacing w:val="-1"/>
        </w:rPr>
        <w:t>(</w:t>
      </w:r>
      <w:r>
        <w:rPr>
          <w:spacing w:val="-1"/>
        </w:rPr>
        <w:t>五</w:t>
      </w:r>
      <w:r>
        <w:rPr>
          <w:rFonts w:ascii="宋体" w:hAnsi="宋体" w:cs="宋体" w:eastAsia="宋体" w:hint="default"/>
          <w:spacing w:val="-1"/>
        </w:rPr>
        <w:t>)</w:t>
        <w:tab/>
      </w:r>
      <w:r>
        <w:rPr/>
        <w:t>投资状况分析</w:t>
      </w:r>
      <w:r>
        <w:rPr>
          <w:b w:val="0"/>
          <w:bCs w:val="0"/>
        </w:rPr>
      </w:r>
    </w:p>
    <w:p>
      <w:pPr>
        <w:pStyle w:val="Heading2"/>
        <w:spacing w:line="240" w:lineRule="auto" w:before="58"/>
        <w:ind w:right="2497"/>
        <w:jc w:val="left"/>
        <w:rPr>
          <w:b w:val="0"/>
          <w:bCs w:val="0"/>
        </w:rPr>
      </w:pPr>
      <w:r>
        <w:rPr>
          <w:rFonts w:ascii="宋体" w:hAnsi="宋体" w:cs="宋体" w:eastAsia="宋体" w:hint="default"/>
        </w:rPr>
        <w:t>1</w:t>
      </w:r>
      <w:r>
        <w:rPr/>
        <w:t>、</w:t>
      </w:r>
      <w:r>
        <w:rPr>
          <w:spacing w:val="-3"/>
        </w:rPr>
        <w:t> </w:t>
      </w:r>
      <w:r>
        <w:rPr/>
        <w:t>对外股权投资总体分析</w:t>
      </w:r>
      <w:r>
        <w:rPr>
          <w:b w:val="0"/>
          <w:bCs w:val="0"/>
        </w:rPr>
      </w:r>
    </w:p>
    <w:p>
      <w:pPr>
        <w:pStyle w:val="BodyText"/>
        <w:spacing w:line="274" w:lineRule="exact" w:before="56"/>
        <w:ind w:right="2497"/>
        <w:jc w:val="left"/>
      </w:pPr>
      <w:r>
        <w:rPr/>
        <w:t>√适用</w:t>
      </w:r>
      <w:r>
        <w:rPr>
          <w:spacing w:val="-1"/>
        </w:rPr>
        <w:t> </w:t>
      </w:r>
      <w:r>
        <w:rPr/>
        <w:t>□不适用</w:t>
      </w:r>
    </w:p>
    <w:p>
      <w:pPr>
        <w:pStyle w:val="BodyText"/>
        <w:spacing w:line="357" w:lineRule="auto"/>
        <w:ind w:right="227" w:firstLine="419"/>
        <w:jc w:val="both"/>
      </w:pPr>
      <w:r>
        <w:rPr>
          <w:rFonts w:ascii="宋体" w:hAnsi="宋体" w:cs="宋体" w:eastAsia="宋体" w:hint="default"/>
        </w:rPr>
        <w:t>2017</w:t>
      </w:r>
      <w:r>
        <w:rPr>
          <w:rFonts w:ascii="宋体" w:hAnsi="宋体" w:cs="宋体" w:eastAsia="宋体" w:hint="default"/>
          <w:spacing w:val="-8"/>
        </w:rPr>
        <w:t> </w:t>
      </w:r>
      <w:r>
        <w:rPr>
          <w:spacing w:val="-3"/>
        </w:rPr>
        <w:t>年度，在供给侧结构性改革和一带一路战略背景下，中国内贸集装箱物流行业继续保持</w:t>
      </w:r>
      <w:r>
        <w:rPr>
          <w:w w:val="100"/>
        </w:rPr>
        <w:t> </w:t>
      </w:r>
      <w:r>
        <w:rPr>
          <w:spacing w:val="-2"/>
        </w:rPr>
        <w:t>稳健增长，为不断做大、做精、做强集装箱物流主营业务，满足公司水路、公路、铁路运输资源</w:t>
      </w:r>
      <w:r>
        <w:rPr>
          <w:spacing w:val="-25"/>
        </w:rPr>
        <w:t> </w:t>
      </w:r>
      <w:r>
        <w:rPr>
          <w:spacing w:val="-25"/>
        </w:rPr>
      </w:r>
      <w:r>
        <w:rPr>
          <w:spacing w:val="-2"/>
        </w:rPr>
        <w:t>的协同运作，提升公司在多式联运物流模式下的营运效率和盈利能力，公司管理层经审慎研究决</w:t>
      </w:r>
      <w:r>
        <w:rPr>
          <w:spacing w:val="-25"/>
        </w:rPr>
        <w:t> </w:t>
      </w:r>
      <w:r>
        <w:rPr>
          <w:spacing w:val="-25"/>
        </w:rPr>
      </w:r>
      <w:r>
        <w:rPr>
          <w:spacing w:val="-7"/>
        </w:rPr>
        <w:t>定，公司以总价</w:t>
      </w:r>
      <w:r>
        <w:rPr>
          <w:spacing w:val="-37"/>
        </w:rPr>
        <w:t> </w:t>
      </w:r>
      <w:r>
        <w:rPr>
          <w:rFonts w:ascii="宋体" w:hAnsi="宋体" w:cs="宋体" w:eastAsia="宋体" w:hint="default"/>
        </w:rPr>
        <w:t>1,500</w:t>
      </w:r>
      <w:r>
        <w:rPr>
          <w:rFonts w:ascii="宋体" w:hAnsi="宋体" w:cs="宋体" w:eastAsia="宋体" w:hint="default"/>
          <w:spacing w:val="-35"/>
        </w:rPr>
        <w:t> </w:t>
      </w:r>
      <w:r>
        <w:rPr>
          <w:spacing w:val="-6"/>
        </w:rPr>
        <w:t>万元平价受让赵洁、孙永富、郎希鹏、靳晓伏持有的北京安铁</w:t>
      </w:r>
      <w:r>
        <w:rPr>
          <w:spacing w:val="-37"/>
        </w:rPr>
        <w:t> </w:t>
      </w:r>
      <w:r>
        <w:rPr>
          <w:rFonts w:ascii="宋体" w:hAnsi="宋体" w:cs="宋体" w:eastAsia="宋体" w:hint="default"/>
        </w:rPr>
        <w:t>30%</w:t>
      </w:r>
      <w:r>
        <w:rPr/>
        <w:t>的股权，</w:t>
      </w:r>
      <w:r>
        <w:rPr>
          <w:spacing w:val="-99"/>
        </w:rPr>
        <w:t> </w:t>
      </w:r>
      <w:r>
        <w:rPr>
          <w:spacing w:val="-99"/>
        </w:rPr>
      </w:r>
      <w:r>
        <w:rPr/>
        <w:t>同时以自有资金</w:t>
      </w:r>
      <w:r>
        <w:rPr>
          <w:spacing w:val="-47"/>
        </w:rPr>
        <w:t> </w:t>
      </w:r>
      <w:r>
        <w:rPr>
          <w:rFonts w:ascii="宋体" w:hAnsi="宋体" w:cs="宋体" w:eastAsia="宋体" w:hint="default"/>
        </w:rPr>
        <w:t>60,000</w:t>
      </w:r>
      <w:r>
        <w:rPr>
          <w:rFonts w:ascii="宋体" w:hAnsi="宋体" w:cs="宋体" w:eastAsia="宋体" w:hint="default"/>
          <w:spacing w:val="-50"/>
        </w:rPr>
        <w:t> </w:t>
      </w:r>
      <w:r>
        <w:rPr/>
        <w:t>万元出资在泉州市和唐山市分别设立</w:t>
      </w:r>
      <w:r>
        <w:rPr>
          <w:spacing w:val="-47"/>
        </w:rPr>
        <w:t> </w:t>
      </w:r>
      <w:r>
        <w:rPr>
          <w:rFonts w:ascii="宋体" w:hAnsi="宋体" w:cs="宋体" w:eastAsia="宋体" w:hint="default"/>
        </w:rPr>
        <w:t>2</w:t>
      </w:r>
      <w:r>
        <w:rPr>
          <w:rFonts w:ascii="宋体" w:hAnsi="宋体" w:cs="宋体" w:eastAsia="宋体" w:hint="default"/>
          <w:spacing w:val="-50"/>
        </w:rPr>
        <w:t> </w:t>
      </w:r>
      <w:r>
        <w:rPr>
          <w:spacing w:val="-8"/>
        </w:rPr>
        <w:t>家全资子公司安通（泉州）多式联</w:t>
      </w:r>
      <w:r>
        <w:rPr>
          <w:spacing w:val="-103"/>
        </w:rPr>
        <w:t> </w:t>
      </w:r>
      <w:r>
        <w:rPr>
          <w:spacing w:val="-103"/>
        </w:rPr>
      </w:r>
      <w:r>
        <w:rPr/>
        <w:t>运基地有限公司（注册资本：</w:t>
      </w:r>
      <w:r>
        <w:rPr>
          <w:rFonts w:ascii="宋体" w:hAnsi="宋体" w:cs="宋体" w:eastAsia="宋体" w:hint="default"/>
        </w:rPr>
        <w:t>30,000</w:t>
      </w:r>
      <w:r>
        <w:rPr>
          <w:rFonts w:ascii="宋体" w:hAnsi="宋体" w:cs="宋体" w:eastAsia="宋体" w:hint="default"/>
          <w:spacing w:val="-36"/>
        </w:rPr>
        <w:t> </w:t>
      </w:r>
      <w:r>
        <w:rPr>
          <w:spacing w:val="-3"/>
        </w:rPr>
        <w:t>万元）、安通（唐山海港）多式联运物流有限公司（注册资</w:t>
      </w:r>
      <w:r>
        <w:rPr>
          <w:spacing w:val="-97"/>
        </w:rPr>
        <w:t> </w:t>
      </w:r>
      <w:r>
        <w:rPr>
          <w:spacing w:val="-97"/>
        </w:rPr>
      </w:r>
      <w:r>
        <w:rPr>
          <w:spacing w:val="-1"/>
        </w:rPr>
        <w:t>本：</w:t>
      </w:r>
      <w:r>
        <w:rPr>
          <w:rFonts w:ascii="宋体" w:hAnsi="宋体" w:cs="宋体" w:eastAsia="宋体" w:hint="default"/>
          <w:spacing w:val="-1"/>
        </w:rPr>
        <w:t>30,000</w:t>
      </w:r>
      <w:r>
        <w:rPr>
          <w:rFonts w:ascii="宋体" w:hAnsi="宋体" w:cs="宋体" w:eastAsia="宋体" w:hint="default"/>
        </w:rPr>
        <w:t> </w:t>
      </w:r>
      <w:r>
        <w:rPr>
          <w:spacing w:val="-2"/>
        </w:rPr>
        <w:t>万元）。目前以上项目均已完成工商变更及注册登记手续。</w:t>
      </w:r>
    </w:p>
    <w:p>
      <w:pPr>
        <w:spacing w:line="240" w:lineRule="auto" w:before="11"/>
        <w:rPr>
          <w:rFonts w:ascii="宋体" w:hAnsi="宋体" w:cs="宋体" w:eastAsia="宋体" w:hint="default"/>
          <w:sz w:val="27"/>
          <w:szCs w:val="27"/>
        </w:rPr>
      </w:pPr>
    </w:p>
    <w:p>
      <w:pPr>
        <w:pStyle w:val="Heading2"/>
        <w:spacing w:line="240" w:lineRule="auto"/>
        <w:ind w:right="2497"/>
        <w:jc w:val="left"/>
        <w:rPr>
          <w:b w:val="0"/>
          <w:bCs w:val="0"/>
        </w:rPr>
      </w:pPr>
      <w:r>
        <w:rPr>
          <w:rFonts w:ascii="宋体" w:hAnsi="宋体" w:cs="宋体" w:eastAsia="宋体" w:hint="default"/>
        </w:rPr>
        <w:t>(1)</w:t>
      </w:r>
      <w:r>
        <w:rPr>
          <w:rFonts w:ascii="宋体" w:hAnsi="宋体" w:cs="宋体" w:eastAsia="宋体" w:hint="default"/>
          <w:spacing w:val="-1"/>
        </w:rPr>
        <w:t> </w:t>
      </w:r>
      <w:r>
        <w:rPr/>
        <w:t>重大的股权投资</w:t>
      </w:r>
      <w:r>
        <w:rPr>
          <w:b w:val="0"/>
          <w:bCs w:val="0"/>
        </w:rPr>
      </w:r>
    </w:p>
    <w:p>
      <w:pPr>
        <w:pStyle w:val="BodyText"/>
        <w:tabs>
          <w:tab w:pos="1060" w:val="left" w:leader="none"/>
        </w:tabs>
        <w:spacing w:line="274" w:lineRule="exact" w:before="56"/>
        <w:ind w:right="2497"/>
        <w:jc w:val="left"/>
      </w:pPr>
      <w:r>
        <w:rPr>
          <w:spacing w:val="-1"/>
        </w:rPr>
        <w:t>√适用</w:t>
        <w:tab/>
      </w:r>
      <w:r>
        <w:rPr>
          <w:spacing w:val="-2"/>
        </w:rPr>
        <w:t>□不适用</w:t>
      </w:r>
    </w:p>
    <w:p>
      <w:pPr>
        <w:pStyle w:val="BodyText"/>
        <w:spacing w:line="274" w:lineRule="exact"/>
        <w:ind w:left="638" w:right="227"/>
        <w:jc w:val="left"/>
      </w:pPr>
      <w:r>
        <w:rPr>
          <w:rFonts w:ascii="宋体" w:hAnsi="宋体" w:cs="宋体" w:eastAsia="宋体" w:hint="default"/>
        </w:rPr>
        <w:t>2017</w:t>
      </w:r>
      <w:r>
        <w:rPr>
          <w:rFonts w:ascii="宋体" w:hAnsi="宋体" w:cs="宋体" w:eastAsia="宋体" w:hint="default"/>
          <w:spacing w:val="-55"/>
        </w:rPr>
        <w:t> </w:t>
      </w:r>
      <w:r>
        <w:rPr/>
        <w:t>年</w:t>
      </w:r>
      <w:r>
        <w:rPr>
          <w:spacing w:val="-52"/>
        </w:rPr>
        <w:t> </w:t>
      </w:r>
      <w:r>
        <w:rPr>
          <w:rFonts w:ascii="宋体" w:hAnsi="宋体" w:cs="宋体" w:eastAsia="宋体" w:hint="default"/>
        </w:rPr>
        <w:t>8</w:t>
      </w:r>
      <w:r>
        <w:rPr>
          <w:rFonts w:ascii="宋体" w:hAnsi="宋体" w:cs="宋体" w:eastAsia="宋体" w:hint="default"/>
          <w:spacing w:val="-55"/>
        </w:rPr>
        <w:t> </w:t>
      </w:r>
      <w:r>
        <w:rPr/>
        <w:t>月</w:t>
      </w:r>
      <w:r>
        <w:rPr>
          <w:spacing w:val="-52"/>
        </w:rPr>
        <w:t> </w:t>
      </w:r>
      <w:r>
        <w:rPr>
          <w:rFonts w:ascii="宋体" w:hAnsi="宋体" w:cs="宋体" w:eastAsia="宋体" w:hint="default"/>
        </w:rPr>
        <w:t>14</w:t>
      </w:r>
      <w:r>
        <w:rPr>
          <w:rFonts w:ascii="宋体" w:hAnsi="宋体" w:cs="宋体" w:eastAsia="宋体" w:hint="default"/>
          <w:spacing w:val="-55"/>
        </w:rPr>
        <w:t> </w:t>
      </w:r>
      <w:r>
        <w:rPr/>
        <w:t>日公司召开第六届董事会第七次会议审议通过了《关于对外投资设立</w:t>
      </w:r>
      <w:r>
        <w:rPr>
          <w:spacing w:val="-52"/>
        </w:rPr>
        <w:t> </w:t>
      </w:r>
      <w:r>
        <w:rPr>
          <w:rFonts w:ascii="宋体" w:hAnsi="宋体" w:cs="宋体" w:eastAsia="宋体" w:hint="default"/>
        </w:rPr>
        <w:t>2</w:t>
      </w:r>
      <w:r>
        <w:rPr>
          <w:rFonts w:ascii="宋体" w:hAnsi="宋体" w:cs="宋体" w:eastAsia="宋体" w:hint="default"/>
          <w:spacing w:val="-55"/>
        </w:rPr>
        <w:t> </w:t>
      </w:r>
      <w:r>
        <w:rPr/>
        <w:t>家全</w:t>
      </w:r>
    </w:p>
    <w:p>
      <w:pPr>
        <w:pStyle w:val="BodyText"/>
        <w:spacing w:line="240" w:lineRule="auto" w:before="133"/>
        <w:ind w:right="0"/>
        <w:jc w:val="left"/>
      </w:pPr>
      <w:r>
        <w:rPr>
          <w:w w:val="100"/>
        </w:rPr>
        <w:t>资子</w:t>
      </w:r>
      <w:r>
        <w:rPr>
          <w:spacing w:val="-3"/>
          <w:w w:val="100"/>
        </w:rPr>
        <w:t>公</w:t>
      </w:r>
      <w:r>
        <w:rPr>
          <w:w w:val="100"/>
        </w:rPr>
        <w:t>司</w:t>
      </w:r>
      <w:r>
        <w:rPr>
          <w:spacing w:val="-3"/>
          <w:w w:val="100"/>
        </w:rPr>
        <w:t>的</w:t>
      </w:r>
      <w:r>
        <w:rPr>
          <w:w w:val="100"/>
        </w:rPr>
        <w:t>议</w:t>
      </w:r>
      <w:r>
        <w:rPr>
          <w:spacing w:val="-3"/>
          <w:w w:val="100"/>
        </w:rPr>
        <w:t>案</w:t>
      </w:r>
      <w:r>
        <w:rPr>
          <w:spacing w:val="-106"/>
          <w:w w:val="100"/>
        </w:rPr>
        <w:t>》，</w:t>
      </w:r>
      <w:r>
        <w:rPr>
          <w:spacing w:val="-3"/>
          <w:w w:val="100"/>
        </w:rPr>
        <w:t>同</w:t>
      </w:r>
      <w:r>
        <w:rPr>
          <w:w w:val="100"/>
        </w:rPr>
        <w:t>意</w:t>
      </w:r>
      <w:r>
        <w:rPr>
          <w:spacing w:val="-3"/>
          <w:w w:val="100"/>
        </w:rPr>
        <w:t>公</w:t>
      </w:r>
      <w:r>
        <w:rPr>
          <w:w w:val="100"/>
        </w:rPr>
        <w:t>司以</w:t>
      </w:r>
      <w:r>
        <w:rPr>
          <w:spacing w:val="-3"/>
          <w:w w:val="100"/>
        </w:rPr>
        <w:t>自</w:t>
      </w:r>
      <w:r>
        <w:rPr>
          <w:w w:val="100"/>
        </w:rPr>
        <w:t>有</w:t>
      </w:r>
      <w:r>
        <w:rPr>
          <w:spacing w:val="-3"/>
          <w:w w:val="100"/>
        </w:rPr>
        <w:t>资</w:t>
      </w:r>
      <w:r>
        <w:rPr>
          <w:w w:val="100"/>
        </w:rPr>
        <w:t>金</w:t>
      </w:r>
      <w:r>
        <w:rPr>
          <w:spacing w:val="-77"/>
        </w:rPr>
        <w:t> </w:t>
      </w:r>
      <w:r>
        <w:rPr>
          <w:rFonts w:ascii="宋体" w:hAnsi="宋体" w:cs="宋体" w:eastAsia="宋体" w:hint="default"/>
          <w:w w:val="100"/>
        </w:rPr>
        <w:t>60</w:t>
      </w:r>
      <w:r>
        <w:rPr>
          <w:rFonts w:ascii="宋体" w:hAnsi="宋体" w:cs="宋体" w:eastAsia="宋体" w:hint="default"/>
          <w:spacing w:val="-3"/>
          <w:w w:val="100"/>
        </w:rPr>
        <w:t>,</w:t>
      </w:r>
      <w:r>
        <w:rPr>
          <w:rFonts w:ascii="宋体" w:hAnsi="宋体" w:cs="宋体" w:eastAsia="宋体" w:hint="default"/>
          <w:w w:val="100"/>
        </w:rPr>
        <w:t>000</w:t>
      </w:r>
      <w:r>
        <w:rPr>
          <w:rFonts w:ascii="宋体" w:hAnsi="宋体" w:cs="宋体" w:eastAsia="宋体" w:hint="default"/>
          <w:spacing w:val="-77"/>
        </w:rPr>
        <w:t> </w:t>
      </w:r>
      <w:r>
        <w:rPr>
          <w:spacing w:val="-3"/>
          <w:w w:val="100"/>
        </w:rPr>
        <w:t>万元</w:t>
      </w:r>
      <w:r>
        <w:rPr>
          <w:w w:val="100"/>
        </w:rPr>
        <w:t>出资</w:t>
      </w:r>
      <w:r>
        <w:rPr>
          <w:spacing w:val="-3"/>
          <w:w w:val="100"/>
        </w:rPr>
        <w:t>在</w:t>
      </w:r>
      <w:r>
        <w:rPr>
          <w:w w:val="100"/>
        </w:rPr>
        <w:t>泉</w:t>
      </w:r>
      <w:r>
        <w:rPr>
          <w:spacing w:val="-3"/>
          <w:w w:val="100"/>
        </w:rPr>
        <w:t>州</w:t>
      </w:r>
      <w:r>
        <w:rPr>
          <w:w w:val="100"/>
        </w:rPr>
        <w:t>市</w:t>
      </w:r>
      <w:r>
        <w:rPr>
          <w:spacing w:val="-3"/>
          <w:w w:val="100"/>
        </w:rPr>
        <w:t>和</w:t>
      </w:r>
      <w:r>
        <w:rPr>
          <w:w w:val="100"/>
        </w:rPr>
        <w:t>唐</w:t>
      </w:r>
      <w:r>
        <w:rPr>
          <w:spacing w:val="-3"/>
          <w:w w:val="100"/>
        </w:rPr>
        <w:t>山</w:t>
      </w:r>
      <w:r>
        <w:rPr>
          <w:w w:val="100"/>
        </w:rPr>
        <w:t>市</w:t>
      </w:r>
      <w:r>
        <w:rPr>
          <w:spacing w:val="-3"/>
          <w:w w:val="100"/>
        </w:rPr>
        <w:t>设</w:t>
      </w:r>
      <w:r>
        <w:rPr>
          <w:w w:val="100"/>
        </w:rPr>
        <w:t>立</w:t>
      </w:r>
      <w:r>
        <w:rPr>
          <w:spacing w:val="-76"/>
        </w:rPr>
        <w:t> </w:t>
      </w:r>
      <w:r>
        <w:rPr>
          <w:rFonts w:ascii="宋体" w:hAnsi="宋体" w:cs="宋体" w:eastAsia="宋体" w:hint="default"/>
          <w:w w:val="100"/>
        </w:rPr>
        <w:t>2</w:t>
      </w:r>
      <w:r>
        <w:rPr>
          <w:rFonts w:ascii="宋体" w:hAnsi="宋体" w:cs="宋体" w:eastAsia="宋体" w:hint="default"/>
          <w:spacing w:val="-77"/>
        </w:rPr>
        <w:t> </w:t>
      </w:r>
      <w:r>
        <w:rPr>
          <w:w w:val="100"/>
        </w:rPr>
        <w:t>家</w:t>
      </w:r>
      <w:r>
        <w:rPr>
          <w:spacing w:val="-3"/>
          <w:w w:val="100"/>
        </w:rPr>
        <w:t>全</w:t>
      </w:r>
      <w:r>
        <w:rPr>
          <w:w w:val="100"/>
        </w:rPr>
        <w:t>资</w:t>
      </w:r>
      <w:r>
        <w:rPr>
          <w:spacing w:val="-3"/>
          <w:w w:val="100"/>
        </w:rPr>
        <w:t>子</w:t>
      </w:r>
      <w:r>
        <w:rPr>
          <w:w w:val="100"/>
        </w:rPr>
        <w:t>公</w:t>
      </w:r>
      <w:r>
        <w:rPr>
          <w:spacing w:val="-3"/>
          <w:w w:val="100"/>
        </w:rPr>
        <w:t>司</w:t>
      </w:r>
      <w:r>
        <w:rPr>
          <w:w w:val="100"/>
        </w:rPr>
        <w:t>，</w:t>
      </w:r>
    </w:p>
    <w:p>
      <w:pPr>
        <w:pStyle w:val="BodyText"/>
        <w:spacing w:line="240" w:lineRule="auto" w:before="133"/>
        <w:ind w:right="0"/>
        <w:jc w:val="left"/>
        <w:rPr>
          <w:rFonts w:ascii="宋体" w:hAnsi="宋体" w:cs="宋体" w:eastAsia="宋体" w:hint="default"/>
        </w:rPr>
      </w:pPr>
      <w:r>
        <w:rPr>
          <w:rFonts w:ascii="宋体" w:hAnsi="宋体" w:cs="宋体" w:eastAsia="宋体" w:hint="default"/>
        </w:rPr>
        <w:t>2017</w:t>
      </w:r>
      <w:r>
        <w:rPr>
          <w:rFonts w:ascii="宋体" w:hAnsi="宋体" w:cs="宋体" w:eastAsia="宋体" w:hint="default"/>
          <w:spacing w:val="-45"/>
        </w:rPr>
        <w:t> </w:t>
      </w:r>
      <w:r>
        <w:rPr/>
        <w:t>年</w:t>
      </w:r>
      <w:r>
        <w:rPr>
          <w:spacing w:val="-42"/>
        </w:rPr>
        <w:t> </w:t>
      </w:r>
      <w:r>
        <w:rPr>
          <w:rFonts w:ascii="宋体" w:hAnsi="宋体" w:cs="宋体" w:eastAsia="宋体" w:hint="default"/>
        </w:rPr>
        <w:t>8</w:t>
      </w:r>
      <w:r>
        <w:rPr>
          <w:rFonts w:ascii="宋体" w:hAnsi="宋体" w:cs="宋体" w:eastAsia="宋体" w:hint="default"/>
          <w:spacing w:val="-45"/>
        </w:rPr>
        <w:t> </w:t>
      </w:r>
      <w:r>
        <w:rPr/>
        <w:t>月</w:t>
      </w:r>
      <w:r>
        <w:rPr>
          <w:spacing w:val="-42"/>
        </w:rPr>
        <w:t> </w:t>
      </w:r>
      <w:r>
        <w:rPr>
          <w:rFonts w:ascii="宋体" w:hAnsi="宋体" w:cs="宋体" w:eastAsia="宋体" w:hint="default"/>
        </w:rPr>
        <w:t>17</w:t>
      </w:r>
      <w:r>
        <w:rPr>
          <w:rFonts w:ascii="宋体" w:hAnsi="宋体" w:cs="宋体" w:eastAsia="宋体" w:hint="default"/>
          <w:spacing w:val="-45"/>
        </w:rPr>
        <w:t> </w:t>
      </w:r>
      <w:r>
        <w:rPr>
          <w:spacing w:val="-8"/>
        </w:rPr>
        <w:t>日，安通（泉州）多式联运基地有限公司完成工商注册登记手续，注册资本</w:t>
      </w:r>
      <w:r>
        <w:rPr>
          <w:spacing w:val="-42"/>
        </w:rPr>
        <w:t> </w:t>
      </w:r>
      <w:r>
        <w:rPr>
          <w:rFonts w:ascii="宋体" w:hAnsi="宋体" w:cs="宋体" w:eastAsia="宋体" w:hint="default"/>
        </w:rPr>
        <w:t>30,000</w:t>
      </w:r>
    </w:p>
    <w:p>
      <w:pPr>
        <w:pStyle w:val="BodyText"/>
        <w:spacing w:line="240" w:lineRule="auto" w:before="133"/>
        <w:ind w:right="0"/>
        <w:jc w:val="left"/>
      </w:pPr>
      <w:r>
        <w:rPr/>
        <w:t>万元。</w:t>
      </w:r>
      <w:r>
        <w:rPr>
          <w:rFonts w:ascii="宋体" w:hAnsi="宋体" w:cs="宋体" w:eastAsia="宋体" w:hint="default"/>
        </w:rPr>
        <w:t>2017</w:t>
      </w:r>
      <w:r>
        <w:rPr>
          <w:rFonts w:ascii="宋体" w:hAnsi="宋体" w:cs="宋体" w:eastAsia="宋体" w:hint="default"/>
          <w:spacing w:val="-43"/>
        </w:rPr>
        <w:t> </w:t>
      </w:r>
      <w:r>
        <w:rPr/>
        <w:t>年</w:t>
      </w:r>
      <w:r>
        <w:rPr>
          <w:spacing w:val="-45"/>
        </w:rPr>
        <w:t> </w:t>
      </w:r>
      <w:r>
        <w:rPr>
          <w:rFonts w:ascii="宋体" w:hAnsi="宋体" w:cs="宋体" w:eastAsia="宋体" w:hint="default"/>
        </w:rPr>
        <w:t>10</w:t>
      </w:r>
      <w:r>
        <w:rPr>
          <w:rFonts w:ascii="宋体" w:hAnsi="宋体" w:cs="宋体" w:eastAsia="宋体" w:hint="default"/>
          <w:spacing w:val="-45"/>
        </w:rPr>
        <w:t> </w:t>
      </w:r>
      <w:r>
        <w:rPr/>
        <w:t>月</w:t>
      </w:r>
      <w:r>
        <w:rPr>
          <w:spacing w:val="-43"/>
        </w:rPr>
        <w:t> </w:t>
      </w:r>
      <w:r>
        <w:rPr>
          <w:rFonts w:ascii="宋体" w:hAnsi="宋体" w:cs="宋体" w:eastAsia="宋体" w:hint="default"/>
        </w:rPr>
        <w:t>23</w:t>
      </w:r>
      <w:r>
        <w:rPr>
          <w:rFonts w:ascii="宋体" w:hAnsi="宋体" w:cs="宋体" w:eastAsia="宋体" w:hint="default"/>
          <w:spacing w:val="-44"/>
        </w:rPr>
        <w:t> </w:t>
      </w:r>
      <w:r>
        <w:rPr>
          <w:spacing w:val="-3"/>
        </w:rPr>
        <w:t>日，安通（唐山海港）多式联运物流有限公司完成工商注册登记手续，注</w:t>
      </w:r>
    </w:p>
    <w:p>
      <w:pPr>
        <w:pStyle w:val="BodyText"/>
        <w:spacing w:line="240" w:lineRule="auto" w:before="136"/>
        <w:ind w:right="2497"/>
        <w:jc w:val="left"/>
      </w:pPr>
      <w:r>
        <w:rPr/>
        <w:t>册资本</w:t>
      </w:r>
      <w:r>
        <w:rPr>
          <w:spacing w:val="-53"/>
        </w:rPr>
        <w:t> </w:t>
      </w:r>
      <w:r>
        <w:rPr>
          <w:rFonts w:ascii="宋体" w:hAnsi="宋体" w:cs="宋体" w:eastAsia="宋体" w:hint="default"/>
        </w:rPr>
        <w:t>30,000</w:t>
      </w:r>
      <w:r>
        <w:rPr>
          <w:rFonts w:ascii="宋体" w:hAnsi="宋体" w:cs="宋体" w:eastAsia="宋体" w:hint="default"/>
          <w:spacing w:val="-55"/>
        </w:rPr>
        <w:t> </w:t>
      </w:r>
      <w:r>
        <w:rPr/>
        <w:t>万元。</w:t>
      </w:r>
    </w:p>
    <w:p>
      <w:pPr>
        <w:spacing w:line="240" w:lineRule="auto" w:before="10"/>
        <w:rPr>
          <w:rFonts w:ascii="宋体" w:hAnsi="宋体" w:cs="宋体" w:eastAsia="宋体" w:hint="default"/>
          <w:sz w:val="14"/>
          <w:szCs w:val="14"/>
        </w:rPr>
      </w:pPr>
    </w:p>
    <w:p>
      <w:pPr>
        <w:pStyle w:val="Heading2"/>
        <w:spacing w:line="240" w:lineRule="auto"/>
        <w:ind w:right="2497"/>
        <w:jc w:val="left"/>
        <w:rPr>
          <w:b w:val="0"/>
          <w:bCs w:val="0"/>
        </w:rPr>
      </w:pPr>
      <w:r>
        <w:rPr>
          <w:rFonts w:ascii="宋体" w:hAnsi="宋体" w:cs="宋体" w:eastAsia="宋体" w:hint="default"/>
        </w:rPr>
        <w:t>(2)</w:t>
      </w:r>
      <w:r>
        <w:rPr>
          <w:rFonts w:ascii="宋体" w:hAnsi="宋体" w:cs="宋体" w:eastAsia="宋体" w:hint="default"/>
          <w:spacing w:val="-1"/>
        </w:rPr>
        <w:t> </w:t>
      </w:r>
      <w:r>
        <w:rPr/>
        <w:t>重大的非股权投资</w:t>
      </w:r>
      <w:r>
        <w:rPr>
          <w:b w:val="0"/>
          <w:bCs w:val="0"/>
        </w:rPr>
      </w:r>
    </w:p>
    <w:p>
      <w:pPr>
        <w:pStyle w:val="BodyText"/>
        <w:tabs>
          <w:tab w:pos="1060" w:val="left" w:leader="none"/>
        </w:tabs>
        <w:spacing w:line="240" w:lineRule="auto" w:before="56"/>
        <w:ind w:left="698" w:right="283" w:hanging="480"/>
        <w:jc w:val="left"/>
      </w:pPr>
      <w:r>
        <w:rPr>
          <w:spacing w:val="-1"/>
        </w:rPr>
        <w:t>√适用</w:t>
        <w:tab/>
      </w:r>
      <w:r>
        <w:rPr>
          <w:spacing w:val="-2"/>
        </w:rPr>
        <w:t>□不适用</w:t>
      </w:r>
      <w:r>
        <w:rPr>
          <w:spacing w:val="-99"/>
        </w:rPr>
        <w:t> </w:t>
      </w:r>
      <w:r>
        <w:rPr>
          <w:spacing w:val="-99"/>
        </w:rPr>
      </w:r>
      <w:r>
        <w:rPr/>
        <w:t>公司本年度重大的非股权投资为公司重大资产重组配套募集资金投资项目及投资建造</w:t>
      </w:r>
      <w:r>
        <w:rPr>
          <w:spacing w:val="-55"/>
        </w:rPr>
        <w:t> </w:t>
      </w:r>
      <w:r>
        <w:rPr>
          <w:rFonts w:ascii="宋体" w:hAnsi="宋体" w:cs="宋体" w:eastAsia="宋体" w:hint="default"/>
        </w:rPr>
        <w:t>12</w:t>
      </w:r>
      <w:r>
        <w:rPr>
          <w:rFonts w:ascii="宋体" w:hAnsi="宋体" w:cs="宋体" w:eastAsia="宋体" w:hint="default"/>
          <w:spacing w:val="-55"/>
        </w:rPr>
        <w:t> </w:t>
      </w:r>
      <w:r>
        <w:rPr/>
        <w:t>艘</w:t>
      </w:r>
    </w:p>
    <w:p>
      <w:pPr>
        <w:pStyle w:val="BodyText"/>
        <w:spacing w:line="240" w:lineRule="auto" w:before="133"/>
        <w:ind w:right="2497"/>
        <w:jc w:val="left"/>
      </w:pPr>
      <w:r>
        <w:rPr>
          <w:rFonts w:ascii="宋体" w:hAnsi="宋体" w:cs="宋体" w:eastAsia="宋体" w:hint="default"/>
        </w:rPr>
        <w:t>640TEU</w:t>
      </w:r>
      <w:r>
        <w:rPr>
          <w:rFonts w:ascii="宋体" w:hAnsi="宋体" w:cs="宋体" w:eastAsia="宋体" w:hint="default"/>
          <w:spacing w:val="-55"/>
        </w:rPr>
        <w:t> </w:t>
      </w:r>
      <w:r>
        <w:rPr/>
        <w:t>集装箱船舶项目。</w:t>
      </w:r>
    </w:p>
    <w:p>
      <w:pPr>
        <w:pStyle w:val="BodyText"/>
        <w:spacing w:line="240" w:lineRule="auto" w:before="133"/>
        <w:ind w:left="698" w:right="2497"/>
        <w:jc w:val="left"/>
      </w:pPr>
      <w:r>
        <w:rPr>
          <w:rFonts w:ascii="宋体" w:hAnsi="宋体" w:cs="宋体" w:eastAsia="宋体" w:hint="default"/>
        </w:rPr>
        <w:t>1</w:t>
      </w:r>
      <w:r>
        <w:rPr/>
        <w:t>、截止到</w:t>
      </w:r>
      <w:r>
        <w:rPr>
          <w:spacing w:val="-55"/>
        </w:rPr>
        <w:t> </w:t>
      </w:r>
      <w:r>
        <w:rPr>
          <w:rFonts w:ascii="宋体" w:hAnsi="宋体" w:cs="宋体" w:eastAsia="宋体" w:hint="default"/>
        </w:rPr>
        <w:t>2017</w:t>
      </w:r>
      <w:r>
        <w:rPr>
          <w:rFonts w:ascii="宋体" w:hAnsi="宋体" w:cs="宋体" w:eastAsia="宋体" w:hint="default"/>
          <w:spacing w:val="-55"/>
        </w:rPr>
        <w:t> </w:t>
      </w:r>
      <w:r>
        <w:rPr/>
        <w:t>年</w:t>
      </w:r>
      <w:r>
        <w:rPr>
          <w:spacing w:val="-52"/>
        </w:rPr>
        <w:t> </w:t>
      </w:r>
      <w:r>
        <w:rPr>
          <w:rFonts w:ascii="宋体" w:hAnsi="宋体" w:cs="宋体" w:eastAsia="宋体" w:hint="default"/>
        </w:rPr>
        <w:t>12</w:t>
      </w:r>
      <w:r>
        <w:rPr>
          <w:rFonts w:ascii="宋体" w:hAnsi="宋体" w:cs="宋体" w:eastAsia="宋体" w:hint="default"/>
          <w:spacing w:val="-53"/>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日募投项目的具体投资情况如下：</w:t>
      </w:r>
    </w:p>
    <w:p>
      <w:pPr>
        <w:pStyle w:val="BodyText"/>
        <w:spacing w:line="240" w:lineRule="auto" w:before="133"/>
        <w:ind w:left="0" w:right="230"/>
        <w:jc w:val="right"/>
      </w:pPr>
      <w:r>
        <w:rPr>
          <w:spacing w:val="-2"/>
        </w:rPr>
        <w:t>单位：人民币万元</w:t>
      </w:r>
    </w:p>
    <w:p>
      <w:pPr>
        <w:spacing w:line="240" w:lineRule="auto" w:before="13"/>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1534"/>
        <w:gridCol w:w="1537"/>
        <w:gridCol w:w="1534"/>
        <w:gridCol w:w="1536"/>
        <w:gridCol w:w="1537"/>
        <w:gridCol w:w="1373"/>
      </w:tblGrid>
      <w:tr>
        <w:trPr>
          <w:trHeight w:val="710" w:hRule="exact"/>
        </w:trPr>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承诺投资项目</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
              <w:jc w:val="center"/>
              <w:rPr>
                <w:rFonts w:ascii="宋体" w:hAnsi="宋体" w:cs="宋体" w:eastAsia="宋体" w:hint="default"/>
                <w:sz w:val="18"/>
                <w:szCs w:val="18"/>
              </w:rPr>
            </w:pPr>
            <w:r>
              <w:rPr>
                <w:rFonts w:ascii="宋体" w:hAnsi="宋体" w:cs="宋体" w:eastAsia="宋体" w:hint="default"/>
                <w:sz w:val="18"/>
                <w:szCs w:val="18"/>
              </w:rPr>
              <w:t>募集资金承诺投</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资总额</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1-12</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34" w:lineRule="exact"/>
              <w:ind w:left="2" w:right="0"/>
              <w:jc w:val="center"/>
              <w:rPr>
                <w:rFonts w:ascii="宋体" w:hAnsi="宋体" w:cs="宋体" w:eastAsia="宋体" w:hint="default"/>
                <w:sz w:val="18"/>
                <w:szCs w:val="18"/>
              </w:rPr>
            </w:pPr>
            <w:r>
              <w:rPr>
                <w:rFonts w:ascii="宋体" w:hAnsi="宋体" w:cs="宋体" w:eastAsia="宋体" w:hint="default"/>
                <w:sz w:val="18"/>
                <w:szCs w:val="18"/>
              </w:rPr>
              <w:t>投入金额</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6"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7"/>
                <w:sz w:val="18"/>
                <w:szCs w:val="18"/>
              </w:rPr>
              <w:t> </w:t>
            </w:r>
            <w:r>
              <w:rPr>
                <w:rFonts w:ascii="宋体" w:hAnsi="宋体" w:cs="宋体" w:eastAsia="宋体" w:hint="default"/>
                <w:sz w:val="18"/>
                <w:szCs w:val="18"/>
              </w:rPr>
              <w:t>2017</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p>
          <w:p>
            <w:pPr>
              <w:pStyle w:val="TableParagraph"/>
              <w:spacing w:line="232" w:lineRule="exact" w:before="23"/>
              <w:ind w:left="583" w:right="101" w:hanging="48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宋体" w:hAnsi="宋体" w:cs="宋体" w:eastAsia="宋体" w:hint="default"/>
                <w:sz w:val="18"/>
                <w:szCs w:val="18"/>
              </w:rPr>
              <w:t>31</w:t>
            </w:r>
            <w:r>
              <w:rPr>
                <w:rFonts w:ascii="宋体" w:hAnsi="宋体" w:cs="宋体" w:eastAsia="宋体" w:hint="default"/>
                <w:spacing w:val="-60"/>
                <w:sz w:val="18"/>
                <w:szCs w:val="18"/>
              </w:rPr>
              <w:t> </w:t>
            </w:r>
            <w:r>
              <w:rPr>
                <w:rFonts w:ascii="宋体" w:hAnsi="宋体" w:cs="宋体" w:eastAsia="宋体" w:hint="default"/>
                <w:sz w:val="18"/>
                <w:szCs w:val="18"/>
              </w:rPr>
              <w:t>日累计投入 金额</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截至期末投入进</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度</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
              <w:jc w:val="center"/>
              <w:rPr>
                <w:rFonts w:ascii="宋体" w:hAnsi="宋体" w:cs="宋体" w:eastAsia="宋体" w:hint="default"/>
                <w:sz w:val="18"/>
                <w:szCs w:val="18"/>
              </w:rPr>
            </w:pPr>
            <w:r>
              <w:rPr>
                <w:rFonts w:ascii="宋体" w:hAnsi="宋体" w:cs="宋体" w:eastAsia="宋体" w:hint="default"/>
                <w:sz w:val="18"/>
                <w:szCs w:val="18"/>
              </w:rPr>
              <w:t>是否达到预计</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效益</w:t>
            </w:r>
          </w:p>
        </w:tc>
      </w:tr>
      <w:tr>
        <w:trPr>
          <w:trHeight w:val="476" w:hRule="exact"/>
        </w:trPr>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集装箱</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
              <w:jc w:val="center"/>
              <w:rPr>
                <w:rFonts w:ascii="宋体" w:hAnsi="宋体" w:cs="宋体" w:eastAsia="宋体" w:hint="default"/>
                <w:sz w:val="18"/>
                <w:szCs w:val="18"/>
              </w:rPr>
            </w:pPr>
            <w:r>
              <w:rPr>
                <w:rFonts w:ascii="宋体" w:hAnsi="宋体" w:cs="宋体" w:eastAsia="宋体" w:hint="default"/>
                <w:sz w:val="18"/>
                <w:szCs w:val="18"/>
              </w:rPr>
              <w:t>不超过</w:t>
            </w:r>
            <w:r>
              <w:rPr>
                <w:rFonts w:ascii="宋体" w:hAnsi="宋体" w:cs="宋体" w:eastAsia="宋体" w:hint="default"/>
                <w:spacing w:val="-45"/>
                <w:sz w:val="18"/>
                <w:szCs w:val="18"/>
              </w:rPr>
              <w:t> </w:t>
            </w:r>
            <w:r>
              <w:rPr>
                <w:rFonts w:ascii="宋体" w:hAnsi="宋体" w:cs="宋体" w:eastAsia="宋体" w:hint="default"/>
                <w:sz w:val="18"/>
                <w:szCs w:val="18"/>
              </w:rPr>
              <w:t>48,000</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 w:right="0"/>
              <w:jc w:val="center"/>
              <w:rPr>
                <w:rFonts w:ascii="宋体" w:hAnsi="宋体" w:cs="宋体" w:eastAsia="宋体" w:hint="default"/>
                <w:sz w:val="18"/>
                <w:szCs w:val="18"/>
              </w:rPr>
            </w:pPr>
            <w:r>
              <w:rPr>
                <w:rFonts w:ascii="宋体"/>
                <w:sz w:val="18"/>
              </w:rPr>
              <w:t>26,434.83</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sz w:val="18"/>
              </w:rPr>
              <w:t>47,886.15</w:t>
            </w:r>
          </w:p>
        </w:tc>
        <w:tc>
          <w:tcPr>
            <w:tcW w:w="1537"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r>
      <w:tr>
        <w:trPr>
          <w:trHeight w:val="684" w:hRule="exact"/>
        </w:trPr>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97"/>
              <w:ind w:left="131" w:right="129"/>
              <w:jc w:val="left"/>
              <w:rPr>
                <w:rFonts w:ascii="宋体" w:hAnsi="宋体" w:cs="宋体" w:eastAsia="宋体" w:hint="default"/>
                <w:sz w:val="18"/>
                <w:szCs w:val="18"/>
              </w:rPr>
            </w:pPr>
            <w:r>
              <w:rPr>
                <w:rFonts w:ascii="宋体" w:hAnsi="宋体" w:cs="宋体" w:eastAsia="宋体" w:hint="default"/>
                <w:sz w:val="18"/>
                <w:szCs w:val="18"/>
              </w:rPr>
              <w:t>商务物流网络及 管理系统信息化</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不超过</w:t>
            </w:r>
            <w:r>
              <w:rPr>
                <w:rFonts w:ascii="宋体" w:hAnsi="宋体" w:cs="宋体" w:eastAsia="宋体" w:hint="default"/>
                <w:spacing w:val="-46"/>
                <w:sz w:val="18"/>
                <w:szCs w:val="18"/>
              </w:rPr>
              <w:t> </w:t>
            </w:r>
            <w:r>
              <w:rPr>
                <w:rFonts w:ascii="宋体" w:hAnsi="宋体" w:cs="宋体" w:eastAsia="宋体" w:hint="default"/>
                <w:sz w:val="18"/>
                <w:szCs w:val="18"/>
              </w:rPr>
              <w:t>7,000</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sz w:val="18"/>
              </w:rPr>
              <w:t>1,456.80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1,712.20</w:t>
            </w:r>
          </w:p>
        </w:tc>
        <w:tc>
          <w:tcPr>
            <w:tcW w:w="1537"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r>
      <w:tr>
        <w:trPr>
          <w:trHeight w:val="684" w:hRule="exact"/>
        </w:trPr>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20" w:right="129" w:hanging="89"/>
              <w:jc w:val="left"/>
              <w:rPr>
                <w:rFonts w:ascii="宋体" w:hAnsi="宋体" w:cs="宋体" w:eastAsia="宋体" w:hint="default"/>
                <w:sz w:val="18"/>
                <w:szCs w:val="18"/>
              </w:rPr>
            </w:pPr>
            <w:r>
              <w:rPr>
                <w:rFonts w:ascii="宋体" w:hAnsi="宋体" w:cs="宋体" w:eastAsia="宋体" w:hint="default"/>
                <w:sz w:val="18"/>
                <w:szCs w:val="18"/>
              </w:rPr>
              <w:t>场站仓储设备及 冷链仓储设备</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不超过</w:t>
            </w:r>
            <w:r>
              <w:rPr>
                <w:rFonts w:ascii="宋体" w:hAnsi="宋体" w:cs="宋体" w:eastAsia="宋体" w:hint="default"/>
                <w:spacing w:val="-45"/>
                <w:sz w:val="18"/>
                <w:szCs w:val="18"/>
              </w:rPr>
              <w:t> </w:t>
            </w:r>
            <w:r>
              <w:rPr>
                <w:rFonts w:ascii="宋体" w:hAnsi="宋体" w:cs="宋体" w:eastAsia="宋体" w:hint="default"/>
                <w:sz w:val="18"/>
                <w:szCs w:val="18"/>
              </w:rPr>
              <w:t>15,000</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137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64,364.73</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sz w:val="18"/>
              </w:rPr>
              <w:t>27,891.63</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49,598.35</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w:t>
            </w:r>
          </w:p>
        </w:tc>
      </w:tr>
    </w:tbl>
    <w:p>
      <w:pPr>
        <w:pStyle w:val="BodyText"/>
        <w:spacing w:line="241" w:lineRule="exact"/>
        <w:ind w:left="638" w:right="227"/>
        <w:jc w:val="left"/>
      </w:pPr>
      <w:r>
        <w:rPr>
          <w:rFonts w:ascii="宋体" w:hAnsi="宋体" w:cs="宋体" w:eastAsia="宋体" w:hint="default"/>
        </w:rPr>
        <w:t>2</w:t>
      </w:r>
      <w:r>
        <w:rPr/>
        <w:t>、截止</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4"/>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日投资建造</w:t>
      </w:r>
      <w:r>
        <w:rPr>
          <w:spacing w:val="-53"/>
        </w:rPr>
        <w:t> </w:t>
      </w:r>
      <w:r>
        <w:rPr>
          <w:rFonts w:ascii="宋体" w:hAnsi="宋体" w:cs="宋体" w:eastAsia="宋体" w:hint="default"/>
        </w:rPr>
        <w:t>12</w:t>
      </w:r>
      <w:r>
        <w:rPr>
          <w:rFonts w:ascii="宋体" w:hAnsi="宋体" w:cs="宋体" w:eastAsia="宋体" w:hint="default"/>
          <w:spacing w:val="-55"/>
        </w:rPr>
        <w:t> </w:t>
      </w:r>
      <w:r>
        <w:rPr/>
        <w:t>艘</w:t>
      </w:r>
      <w:r>
        <w:rPr>
          <w:spacing w:val="-53"/>
        </w:rPr>
        <w:t> </w:t>
      </w:r>
      <w:r>
        <w:rPr>
          <w:rFonts w:ascii="宋体" w:hAnsi="宋体" w:cs="宋体" w:eastAsia="宋体" w:hint="default"/>
        </w:rPr>
        <w:t>640TEU</w:t>
      </w:r>
      <w:r>
        <w:rPr>
          <w:rFonts w:ascii="宋体" w:hAnsi="宋体" w:cs="宋体" w:eastAsia="宋体" w:hint="default"/>
          <w:spacing w:val="-55"/>
        </w:rPr>
        <w:t> </w:t>
      </w:r>
      <w:r>
        <w:rPr/>
        <w:t>集装箱船舶项目的投资情况如下：</w:t>
      </w:r>
    </w:p>
    <w:p>
      <w:pPr>
        <w:pStyle w:val="BodyText"/>
        <w:spacing w:line="355" w:lineRule="auto" w:before="133"/>
        <w:ind w:right="227" w:firstLine="419"/>
        <w:jc w:val="left"/>
      </w:pPr>
      <w:r>
        <w:rPr/>
        <w:t>公司分别于</w:t>
      </w:r>
      <w:r>
        <w:rPr>
          <w:spacing w:val="-62"/>
        </w:rPr>
        <w:t> </w:t>
      </w:r>
      <w:r>
        <w:rPr>
          <w:rFonts w:ascii="宋体" w:hAnsi="宋体" w:cs="宋体" w:eastAsia="宋体" w:hint="default"/>
        </w:rPr>
        <w:t>2017</w:t>
      </w:r>
      <w:r>
        <w:rPr>
          <w:rFonts w:ascii="宋体" w:hAnsi="宋体" w:cs="宋体" w:eastAsia="宋体" w:hint="default"/>
          <w:spacing w:val="-62"/>
        </w:rPr>
        <w:t> </w:t>
      </w:r>
      <w:r>
        <w:rPr/>
        <w:t>年</w:t>
      </w:r>
      <w:r>
        <w:rPr>
          <w:spacing w:val="-59"/>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13</w:t>
      </w:r>
      <w:r>
        <w:rPr>
          <w:rFonts w:ascii="宋体" w:hAnsi="宋体" w:cs="宋体" w:eastAsia="宋体" w:hint="default"/>
          <w:spacing w:val="-60"/>
        </w:rPr>
        <w:t> </w:t>
      </w:r>
      <w:r>
        <w:rPr/>
        <w:t>日和</w:t>
      </w:r>
      <w:r>
        <w:rPr>
          <w:spacing w:val="-60"/>
        </w:rPr>
        <w:t> </w:t>
      </w:r>
      <w:r>
        <w:rPr>
          <w:rFonts w:ascii="宋体" w:hAnsi="宋体" w:cs="宋体" w:eastAsia="宋体" w:hint="default"/>
        </w:rPr>
        <w:t>2017</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59"/>
        </w:rPr>
        <w:t> </w:t>
      </w:r>
      <w:r>
        <w:rPr>
          <w:rFonts w:ascii="宋体" w:hAnsi="宋体" w:cs="宋体" w:eastAsia="宋体" w:hint="default"/>
        </w:rPr>
        <w:t>29</w:t>
      </w:r>
      <w:r>
        <w:rPr>
          <w:rFonts w:ascii="宋体" w:hAnsi="宋体" w:cs="宋体" w:eastAsia="宋体" w:hint="default"/>
          <w:spacing w:val="-62"/>
        </w:rPr>
        <w:t> </w:t>
      </w:r>
      <w:r>
        <w:rPr/>
        <w:t>日召开公司第六届董事会</w:t>
      </w:r>
      <w:r>
        <w:rPr>
          <w:spacing w:val="-60"/>
        </w:rPr>
        <w:t> </w:t>
      </w:r>
      <w:r>
        <w:rPr>
          <w:rFonts w:ascii="宋体" w:hAnsi="宋体" w:cs="宋体" w:eastAsia="宋体" w:hint="default"/>
        </w:rPr>
        <w:t>2017</w:t>
      </w:r>
      <w:r>
        <w:rPr>
          <w:rFonts w:ascii="宋体" w:hAnsi="宋体" w:cs="宋体" w:eastAsia="宋体" w:hint="default"/>
          <w:spacing w:val="-60"/>
        </w:rPr>
        <w:t> </w:t>
      </w:r>
      <w:r>
        <w:rPr/>
        <w:t>年第三次临</w:t>
      </w:r>
      <w:r>
        <w:rPr>
          <w:spacing w:val="-3"/>
          <w:w w:val="100"/>
        </w:rPr>
        <w:t> </w:t>
      </w:r>
      <w:r>
        <w:rPr/>
        <w:t>时会议和</w:t>
      </w:r>
      <w:r>
        <w:rPr>
          <w:spacing w:val="-46"/>
        </w:rPr>
        <w:t> </w:t>
      </w:r>
      <w:r>
        <w:rPr>
          <w:rFonts w:ascii="宋体" w:hAnsi="宋体" w:cs="宋体" w:eastAsia="宋体" w:hint="default"/>
        </w:rPr>
        <w:t>2017</w:t>
      </w:r>
      <w:r>
        <w:rPr>
          <w:rFonts w:ascii="宋体" w:hAnsi="宋体" w:cs="宋体" w:eastAsia="宋体" w:hint="default"/>
          <w:spacing w:val="-48"/>
        </w:rPr>
        <w:t> </w:t>
      </w:r>
      <w:r>
        <w:rPr>
          <w:spacing w:val="-6"/>
        </w:rPr>
        <w:t>年第二次临时股东大会，审议通过了《关于拟投资建造</w:t>
      </w:r>
      <w:r>
        <w:rPr>
          <w:spacing w:val="-46"/>
        </w:rPr>
        <w:t> </w:t>
      </w:r>
      <w:r>
        <w:rPr>
          <w:rFonts w:ascii="宋体" w:hAnsi="宋体" w:cs="宋体" w:eastAsia="宋体" w:hint="default"/>
        </w:rPr>
        <w:t>12</w:t>
      </w:r>
      <w:r>
        <w:rPr>
          <w:rFonts w:ascii="宋体" w:hAnsi="宋体" w:cs="宋体" w:eastAsia="宋体" w:hint="default"/>
          <w:spacing w:val="-48"/>
        </w:rPr>
        <w:t> </w:t>
      </w:r>
      <w:r>
        <w:rPr/>
        <w:t>艘</w:t>
      </w:r>
      <w:r>
        <w:rPr>
          <w:spacing w:val="-46"/>
        </w:rPr>
        <w:t> </w:t>
      </w:r>
      <w:r>
        <w:rPr>
          <w:rFonts w:ascii="宋体" w:hAnsi="宋体" w:cs="宋体" w:eastAsia="宋体" w:hint="default"/>
        </w:rPr>
        <w:t>640TEU</w:t>
      </w:r>
      <w:r>
        <w:rPr>
          <w:rFonts w:ascii="宋体" w:hAnsi="宋体" w:cs="宋体" w:eastAsia="宋体" w:hint="default"/>
          <w:spacing w:val="-45"/>
        </w:rPr>
        <w:t> </w:t>
      </w:r>
      <w:r>
        <w:rPr/>
        <w:t>集装箱船的议</w:t>
      </w:r>
    </w:p>
    <w:p>
      <w:pPr>
        <w:spacing w:after="0" w:line="355" w:lineRule="auto"/>
        <w:jc w:val="left"/>
        <w:sectPr>
          <w:pgSz w:w="11910" w:h="16840"/>
          <w:pgMar w:header="880" w:footer="1195" w:top="1120" w:bottom="1380" w:left="1580" w:right="1040"/>
        </w:sectPr>
      </w:pPr>
    </w:p>
    <w:p>
      <w:pPr>
        <w:spacing w:line="240" w:lineRule="auto" w:before="4"/>
        <w:rPr>
          <w:rFonts w:ascii="宋体" w:hAnsi="宋体" w:cs="宋体" w:eastAsia="宋体" w:hint="default"/>
          <w:sz w:val="25"/>
          <w:szCs w:val="25"/>
        </w:rPr>
      </w:pPr>
    </w:p>
    <w:p>
      <w:pPr>
        <w:pStyle w:val="BodyText"/>
        <w:spacing w:line="357" w:lineRule="auto" w:before="36"/>
        <w:ind w:left="138" w:right="377"/>
        <w:jc w:val="left"/>
      </w:pPr>
      <w:r>
        <w:rPr/>
        <w:t>案》，同意由公司全资子公司安盛船务投资建造</w:t>
      </w:r>
      <w:r>
        <w:rPr>
          <w:spacing w:val="-53"/>
        </w:rPr>
        <w:t> </w:t>
      </w:r>
      <w:r>
        <w:rPr>
          <w:rFonts w:ascii="宋体" w:hAnsi="宋体" w:cs="宋体" w:eastAsia="宋体" w:hint="default"/>
        </w:rPr>
        <w:t>12</w:t>
      </w:r>
      <w:r>
        <w:rPr>
          <w:rFonts w:ascii="宋体" w:hAnsi="宋体" w:cs="宋体" w:eastAsia="宋体" w:hint="default"/>
          <w:spacing w:val="-55"/>
        </w:rPr>
        <w:t> </w:t>
      </w:r>
      <w:r>
        <w:rPr/>
        <w:t>艘</w:t>
      </w:r>
      <w:r>
        <w:rPr>
          <w:spacing w:val="-53"/>
        </w:rPr>
        <w:t> </w:t>
      </w:r>
      <w:r>
        <w:rPr>
          <w:rFonts w:ascii="宋体" w:hAnsi="宋体" w:cs="宋体" w:eastAsia="宋体" w:hint="default"/>
        </w:rPr>
        <w:t>640TEU</w:t>
      </w:r>
      <w:r>
        <w:rPr>
          <w:rFonts w:ascii="宋体" w:hAnsi="宋体" w:cs="宋体" w:eastAsia="宋体" w:hint="default"/>
          <w:spacing w:val="-55"/>
        </w:rPr>
        <w:t> </w:t>
      </w:r>
      <w:r>
        <w:rPr/>
        <w:t>集装箱船。截止</w:t>
      </w:r>
      <w:r>
        <w:rPr>
          <w:spacing w:val="-52"/>
        </w:rPr>
        <w:t> </w:t>
      </w:r>
      <w:r>
        <w:rPr>
          <w:rFonts w:ascii="宋体" w:hAnsi="宋体" w:cs="宋体" w:eastAsia="宋体" w:hint="default"/>
        </w:rPr>
        <w:t>2017</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w w:val="100"/>
        </w:rPr>
        <w:t> </w:t>
      </w:r>
      <w:r>
        <w:rPr/>
        <w:t>日，公司尚未实际投入造船资金。</w:t>
      </w:r>
    </w:p>
    <w:p>
      <w:pPr>
        <w:pStyle w:val="Heading2"/>
        <w:spacing w:line="240" w:lineRule="auto" w:before="90"/>
        <w:ind w:left="138" w:right="0"/>
        <w:jc w:val="both"/>
        <w:rPr>
          <w:b w:val="0"/>
          <w:bCs w:val="0"/>
        </w:rPr>
      </w:pPr>
      <w:r>
        <w:rPr>
          <w:rFonts w:ascii="宋体" w:hAnsi="宋体" w:cs="宋体" w:eastAsia="宋体" w:hint="default"/>
        </w:rPr>
        <w:t>(3)</w:t>
      </w:r>
      <w:r>
        <w:rPr>
          <w:rFonts w:ascii="宋体" w:hAnsi="宋体" w:cs="宋体" w:eastAsia="宋体" w:hint="default"/>
          <w:spacing w:val="-6"/>
        </w:rPr>
        <w:t> </w:t>
      </w:r>
      <w:r>
        <w:rPr/>
        <w:t>以公允价值计量的金融资产</w:t>
      </w:r>
      <w:r>
        <w:rPr>
          <w:b w:val="0"/>
          <w:bCs w:val="0"/>
        </w:rPr>
      </w:r>
    </w:p>
    <w:p>
      <w:pPr>
        <w:pStyle w:val="BodyText"/>
        <w:spacing w:line="240" w:lineRule="auto" w:before="56"/>
        <w:ind w:left="138" w:right="0"/>
        <w:jc w:val="both"/>
      </w:pPr>
      <w:r>
        <w:rPr/>
        <w:t>□适用</w:t>
      </w:r>
      <w:r>
        <w:rPr>
          <w:spacing w:val="104"/>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both"/>
        <w:rPr>
          <w:b w:val="0"/>
          <w:bCs w:val="0"/>
        </w:rPr>
      </w:pPr>
      <w:r>
        <w:rPr>
          <w:rFonts w:ascii="宋体" w:hAnsi="宋体" w:cs="宋体" w:eastAsia="宋体" w:hint="default"/>
        </w:rPr>
        <w:t>(</w:t>
      </w:r>
      <w:r>
        <w:rPr/>
        <w:t>六</w:t>
      </w:r>
      <w:r>
        <w:rPr>
          <w:rFonts w:ascii="宋体" w:hAnsi="宋体" w:cs="宋体" w:eastAsia="宋体" w:hint="default"/>
        </w:rPr>
        <w:t>)  </w:t>
      </w:r>
      <w:r>
        <w:rPr>
          <w:rFonts w:ascii="宋体" w:hAnsi="宋体" w:cs="宋体" w:eastAsia="宋体" w:hint="default"/>
          <w:spacing w:val="102"/>
        </w:rPr>
        <w:t> </w:t>
      </w:r>
      <w:r>
        <w:rPr/>
        <w:t>重大资产和股权出售</w:t>
      </w:r>
      <w:r>
        <w:rPr>
          <w:b w:val="0"/>
          <w:bCs w:val="0"/>
        </w:rPr>
      </w:r>
    </w:p>
    <w:p>
      <w:pPr>
        <w:pStyle w:val="BodyText"/>
        <w:spacing w:line="240" w:lineRule="auto" w:before="58"/>
        <w:ind w:left="138" w:right="0"/>
        <w:jc w:val="both"/>
      </w:pPr>
      <w:r>
        <w:rPr/>
        <w:t>□适用</w:t>
      </w:r>
      <w:r>
        <w:rPr>
          <w:spacing w:val="104"/>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both"/>
        <w:rPr>
          <w:b w:val="0"/>
          <w:bCs w:val="0"/>
        </w:rPr>
      </w:pPr>
      <w:r>
        <w:rPr>
          <w:rFonts w:ascii="宋体" w:hAnsi="宋体" w:cs="宋体" w:eastAsia="宋体" w:hint="default"/>
        </w:rPr>
        <w:t>(</w:t>
      </w:r>
      <w:r>
        <w:rPr/>
        <w:t>七</w:t>
      </w:r>
      <w:r>
        <w:rPr>
          <w:rFonts w:ascii="宋体" w:hAnsi="宋体" w:cs="宋体" w:eastAsia="宋体" w:hint="default"/>
        </w:rPr>
        <w:t>)  </w:t>
      </w:r>
      <w:r>
        <w:rPr>
          <w:rFonts w:ascii="宋体" w:hAnsi="宋体" w:cs="宋体" w:eastAsia="宋体" w:hint="default"/>
          <w:spacing w:val="99"/>
        </w:rPr>
        <w:t> </w:t>
      </w:r>
      <w:r>
        <w:rPr/>
        <w:t>主要控股参股公司分析</w:t>
      </w:r>
      <w:r>
        <w:rPr>
          <w:b w:val="0"/>
          <w:bCs w:val="0"/>
        </w:rPr>
      </w:r>
    </w:p>
    <w:p>
      <w:pPr>
        <w:pStyle w:val="BodyText"/>
        <w:spacing w:line="275" w:lineRule="exact" w:before="56"/>
        <w:ind w:left="138" w:right="0"/>
        <w:jc w:val="both"/>
      </w:pPr>
      <w:r>
        <w:rPr/>
        <w:t>√适用</w:t>
      </w:r>
      <w:r>
        <w:rPr>
          <w:spacing w:val="104"/>
        </w:rPr>
        <w:t> </w:t>
      </w:r>
      <w:r>
        <w:rPr/>
        <w:t>□不适用</w:t>
      </w:r>
    </w:p>
    <w:p>
      <w:pPr>
        <w:pStyle w:val="BodyText"/>
        <w:spacing w:line="357" w:lineRule="auto"/>
        <w:ind w:left="138" w:right="207" w:firstLine="419"/>
        <w:jc w:val="both"/>
      </w:pPr>
      <w:r>
        <w:rPr>
          <w:rFonts w:ascii="宋体" w:hAnsi="宋体" w:cs="宋体" w:eastAsia="宋体" w:hint="default"/>
        </w:rPr>
        <w:t>1</w:t>
      </w:r>
      <w:r>
        <w:rPr/>
        <w:t>、泉州安通物流有限公司，注册资本：</w:t>
      </w:r>
      <w:r>
        <w:rPr>
          <w:rFonts w:ascii="宋体" w:hAnsi="宋体" w:cs="宋体" w:eastAsia="宋体" w:hint="default"/>
        </w:rPr>
        <w:t>55,000</w:t>
      </w:r>
      <w:r>
        <w:rPr>
          <w:rFonts w:ascii="宋体" w:hAnsi="宋体" w:cs="宋体" w:eastAsia="宋体" w:hint="default"/>
          <w:spacing w:val="-56"/>
        </w:rPr>
        <w:t> </w:t>
      </w:r>
      <w:r>
        <w:rPr/>
        <w:t>万元，经营范围：</w:t>
      </w:r>
      <w:r>
        <w:rPr>
          <w:color w:val="121212"/>
        </w:rPr>
        <w:t>国内沿海、长江中下游及</w:t>
      </w:r>
      <w:r>
        <w:rPr>
          <w:color w:val="121212"/>
          <w:w w:val="100"/>
        </w:rPr>
        <w:t> </w:t>
      </w:r>
      <w:r>
        <w:rPr>
          <w:color w:val="121212"/>
          <w:spacing w:val="-2"/>
        </w:rPr>
        <w:t>珠江三角洲普通货船运输；从事国内船舶代理和货物运输代理业务、货物专用运输（集装箱）、</w:t>
      </w:r>
      <w:r>
        <w:rPr>
          <w:color w:val="121212"/>
          <w:spacing w:val="-25"/>
        </w:rPr>
        <w:t> </w:t>
      </w:r>
      <w:r>
        <w:rPr>
          <w:color w:val="121212"/>
          <w:spacing w:val="-25"/>
        </w:rPr>
      </w:r>
      <w:r>
        <w:rPr>
          <w:color w:val="121212"/>
          <w:spacing w:val="-2"/>
        </w:rPr>
        <w:t>货物专用运输（冷藏保鲜）、道路普通货物运输、多式联运；国际货运代理（不含须经前置许可</w:t>
      </w:r>
      <w:r>
        <w:rPr>
          <w:color w:val="121212"/>
          <w:spacing w:val="-25"/>
        </w:rPr>
        <w:t> </w:t>
      </w:r>
      <w:r>
        <w:rPr>
          <w:color w:val="121212"/>
          <w:spacing w:val="-25"/>
        </w:rPr>
      </w:r>
      <w:r>
        <w:rPr>
          <w:color w:val="121212"/>
          <w:spacing w:val="-2"/>
        </w:rPr>
        <w:t>的项目）；仓储（不含危险化学品、监控化学品及易制毒化学品），集装箱装卸；销售：车辆、</w:t>
      </w:r>
      <w:r>
        <w:rPr>
          <w:color w:val="121212"/>
          <w:spacing w:val="-25"/>
        </w:rPr>
        <w:t> </w:t>
      </w:r>
      <w:r>
        <w:rPr>
          <w:color w:val="121212"/>
          <w:spacing w:val="-25"/>
        </w:rPr>
      </w:r>
      <w:r>
        <w:rPr>
          <w:color w:val="121212"/>
          <w:spacing w:val="-2"/>
        </w:rPr>
        <w:t>建材（不含危险化学品）、纺织品原料、煤炭、船用配件、汽车配件、钢材、机电设备、食用农</w:t>
      </w:r>
      <w:r>
        <w:rPr>
          <w:color w:val="121212"/>
          <w:spacing w:val="-25"/>
        </w:rPr>
        <w:t> </w:t>
      </w:r>
      <w:r>
        <w:rPr>
          <w:color w:val="121212"/>
          <w:spacing w:val="-25"/>
        </w:rPr>
      </w:r>
      <w:r>
        <w:rPr>
          <w:color w:val="121212"/>
          <w:spacing w:val="-6"/>
        </w:rPr>
        <w:t>产品、橡胶、润滑油、</w:t>
      </w:r>
      <w:r>
        <w:rPr>
          <w:spacing w:val="-6"/>
        </w:rPr>
        <w:t>矿产品</w:t>
      </w:r>
      <w:r>
        <w:rPr>
          <w:color w:val="121212"/>
          <w:spacing w:val="-6"/>
        </w:rPr>
        <w:t>。（依法须经批准的项目，经相关部门批准后方可开展经营活动），</w:t>
      </w:r>
      <w:r>
        <w:rPr>
          <w:color w:val="121212"/>
          <w:spacing w:val="-53"/>
        </w:rPr>
        <w:t> </w:t>
      </w:r>
      <w:r>
        <w:rPr>
          <w:color w:val="121212"/>
          <w:spacing w:val="-53"/>
        </w:rPr>
      </w:r>
      <w:r>
        <w:rPr>
          <w:color w:val="121212"/>
        </w:rPr>
        <w:t>公司持股比例</w:t>
      </w:r>
      <w:r>
        <w:rPr>
          <w:color w:val="121212"/>
          <w:spacing w:val="-56"/>
        </w:rPr>
        <w:t> </w:t>
      </w:r>
      <w:r>
        <w:rPr>
          <w:rFonts w:ascii="宋体" w:hAnsi="宋体" w:cs="宋体" w:eastAsia="宋体" w:hint="default"/>
          <w:color w:val="121212"/>
        </w:rPr>
        <w:t>100%</w:t>
      </w:r>
      <w:r>
        <w:rPr>
          <w:color w:val="121212"/>
        </w:rPr>
        <w:t>。</w:t>
      </w:r>
      <w:r>
        <w:rPr/>
      </w:r>
    </w:p>
    <w:p>
      <w:pPr>
        <w:pStyle w:val="BodyText"/>
        <w:spacing w:line="240" w:lineRule="auto" w:before="30"/>
        <w:ind w:left="558" w:right="104"/>
        <w:jc w:val="left"/>
        <w:rPr>
          <w:rFonts w:ascii="宋体" w:hAnsi="宋体" w:cs="宋体" w:eastAsia="宋体" w:hint="default"/>
        </w:rPr>
      </w:pPr>
      <w:r>
        <w:rPr>
          <w:color w:val="121212"/>
        </w:rPr>
        <w:t>截至</w:t>
      </w:r>
      <w:r>
        <w:rPr>
          <w:color w:val="121212"/>
          <w:spacing w:val="-51"/>
        </w:rPr>
        <w:t> </w:t>
      </w:r>
      <w:r>
        <w:rPr>
          <w:rFonts w:ascii="宋体" w:hAnsi="宋体" w:cs="宋体" w:eastAsia="宋体" w:hint="default"/>
          <w:color w:val="121212"/>
        </w:rPr>
        <w:t>2017</w:t>
      </w:r>
      <w:r>
        <w:rPr>
          <w:rFonts w:ascii="宋体" w:hAnsi="宋体" w:cs="宋体" w:eastAsia="宋体" w:hint="default"/>
          <w:color w:val="121212"/>
          <w:spacing w:val="-53"/>
        </w:rPr>
        <w:t> </w:t>
      </w:r>
      <w:r>
        <w:rPr>
          <w:color w:val="121212"/>
        </w:rPr>
        <w:t>年</w:t>
      </w:r>
      <w:r>
        <w:rPr>
          <w:color w:val="121212"/>
          <w:spacing w:val="-51"/>
        </w:rPr>
        <w:t> </w:t>
      </w:r>
      <w:r>
        <w:rPr>
          <w:rFonts w:ascii="宋体" w:hAnsi="宋体" w:cs="宋体" w:eastAsia="宋体" w:hint="default"/>
          <w:color w:val="121212"/>
        </w:rPr>
        <w:t>12</w:t>
      </w:r>
      <w:r>
        <w:rPr>
          <w:rFonts w:ascii="宋体" w:hAnsi="宋体" w:cs="宋体" w:eastAsia="宋体" w:hint="default"/>
          <w:color w:val="121212"/>
          <w:spacing w:val="-53"/>
        </w:rPr>
        <w:t> </w:t>
      </w:r>
      <w:r>
        <w:rPr>
          <w:color w:val="121212"/>
        </w:rPr>
        <w:t>月</w:t>
      </w:r>
      <w:r>
        <w:rPr>
          <w:color w:val="121212"/>
          <w:spacing w:val="-50"/>
        </w:rPr>
        <w:t> </w:t>
      </w:r>
      <w:r>
        <w:rPr>
          <w:rFonts w:ascii="宋体" w:hAnsi="宋体" w:cs="宋体" w:eastAsia="宋体" w:hint="default"/>
          <w:color w:val="121212"/>
        </w:rPr>
        <w:t>31</w:t>
      </w:r>
      <w:r>
        <w:rPr>
          <w:rFonts w:ascii="宋体" w:hAnsi="宋体" w:cs="宋体" w:eastAsia="宋体" w:hint="default"/>
          <w:color w:val="121212"/>
          <w:spacing w:val="-51"/>
        </w:rPr>
        <w:t> </w:t>
      </w:r>
      <w:r>
        <w:rPr>
          <w:color w:val="121212"/>
          <w:spacing w:val="-4"/>
        </w:rPr>
        <w:t>日，安通物流总资产为</w:t>
      </w:r>
      <w:r>
        <w:rPr>
          <w:color w:val="121212"/>
          <w:spacing w:val="-50"/>
        </w:rPr>
        <w:t> </w:t>
      </w:r>
      <w:r>
        <w:rPr>
          <w:rFonts w:ascii="宋体" w:hAnsi="宋体" w:cs="宋体" w:eastAsia="宋体" w:hint="default"/>
          <w:color w:val="121212"/>
        </w:rPr>
        <w:t>4,685,189,160.28</w:t>
      </w:r>
      <w:r>
        <w:rPr>
          <w:rFonts w:ascii="宋体" w:hAnsi="宋体" w:cs="宋体" w:eastAsia="宋体" w:hint="default"/>
          <w:color w:val="121212"/>
          <w:spacing w:val="-51"/>
        </w:rPr>
        <w:t> </w:t>
      </w:r>
      <w:r>
        <w:rPr>
          <w:color w:val="121212"/>
          <w:spacing w:val="-7"/>
        </w:rPr>
        <w:t>元，负债</w:t>
      </w:r>
      <w:r>
        <w:rPr>
          <w:color w:val="121212"/>
          <w:spacing w:val="-50"/>
        </w:rPr>
        <w:t> </w:t>
      </w:r>
      <w:r>
        <w:rPr>
          <w:rFonts w:ascii="宋体" w:hAnsi="宋体" w:cs="宋体" w:eastAsia="宋体" w:hint="default"/>
          <w:color w:val="121212"/>
        </w:rPr>
        <w:t>2,625,560,039.02</w:t>
      </w:r>
      <w:r>
        <w:rPr>
          <w:rFonts w:ascii="宋体" w:hAnsi="宋体" w:cs="宋体" w:eastAsia="宋体" w:hint="default"/>
        </w:rPr>
      </w:r>
    </w:p>
    <w:p>
      <w:pPr>
        <w:pStyle w:val="BodyText"/>
        <w:spacing w:line="240" w:lineRule="auto" w:before="133"/>
        <w:ind w:left="138" w:right="0"/>
        <w:jc w:val="both"/>
      </w:pPr>
      <w:r>
        <w:rPr>
          <w:color w:val="121212"/>
        </w:rPr>
        <w:t>元，净资产</w:t>
      </w:r>
      <w:r>
        <w:rPr>
          <w:color w:val="121212"/>
          <w:spacing w:val="-53"/>
        </w:rPr>
        <w:t> </w:t>
      </w:r>
      <w:r>
        <w:rPr>
          <w:rFonts w:ascii="宋体" w:hAnsi="宋体" w:cs="宋体" w:eastAsia="宋体" w:hint="default"/>
          <w:color w:val="121212"/>
        </w:rPr>
        <w:t>2,059,629,121.26</w:t>
      </w:r>
      <w:r>
        <w:rPr>
          <w:rFonts w:ascii="宋体" w:hAnsi="宋体" w:cs="宋体" w:eastAsia="宋体" w:hint="default"/>
          <w:color w:val="121212"/>
          <w:spacing w:val="-55"/>
        </w:rPr>
        <w:t> </w:t>
      </w:r>
      <w:r>
        <w:rPr>
          <w:color w:val="121212"/>
        </w:rPr>
        <w:t>元，营业收入</w:t>
      </w:r>
      <w:r>
        <w:rPr>
          <w:color w:val="121212"/>
          <w:spacing w:val="-53"/>
        </w:rPr>
        <w:t> </w:t>
      </w:r>
      <w:r>
        <w:rPr>
          <w:rFonts w:ascii="宋体" w:hAnsi="宋体" w:cs="宋体" w:eastAsia="宋体" w:hint="default"/>
          <w:color w:val="121212"/>
        </w:rPr>
        <w:t>6,738,421,969.37</w:t>
      </w:r>
      <w:r>
        <w:rPr>
          <w:rFonts w:ascii="宋体" w:hAnsi="宋体" w:cs="宋体" w:eastAsia="宋体" w:hint="default"/>
          <w:color w:val="121212"/>
          <w:spacing w:val="-53"/>
        </w:rPr>
        <w:t> </w:t>
      </w:r>
      <w:r>
        <w:rPr>
          <w:color w:val="121212"/>
        </w:rPr>
        <w:t>元，净利润</w:t>
      </w:r>
      <w:r>
        <w:rPr>
          <w:color w:val="121212"/>
          <w:spacing w:val="-53"/>
        </w:rPr>
        <w:t> </w:t>
      </w:r>
      <w:r>
        <w:rPr>
          <w:rFonts w:ascii="宋体" w:hAnsi="宋体" w:cs="宋体" w:eastAsia="宋体" w:hint="default"/>
          <w:color w:val="121212"/>
        </w:rPr>
        <w:t>385,296,733.84</w:t>
      </w:r>
      <w:r>
        <w:rPr>
          <w:rFonts w:ascii="宋体" w:hAnsi="宋体" w:cs="宋体" w:eastAsia="宋体" w:hint="default"/>
          <w:color w:val="121212"/>
          <w:spacing w:val="-52"/>
        </w:rPr>
        <w:t> </w:t>
      </w:r>
      <w:r>
        <w:rPr>
          <w:color w:val="121212"/>
        </w:rPr>
        <w:t>元。</w:t>
      </w:r>
      <w:r>
        <w:rPr/>
      </w:r>
    </w:p>
    <w:p>
      <w:pPr>
        <w:pStyle w:val="BodyText"/>
        <w:spacing w:line="355" w:lineRule="auto" w:before="135"/>
        <w:ind w:left="138" w:right="207" w:firstLine="419"/>
        <w:jc w:val="both"/>
      </w:pPr>
      <w:r>
        <w:rPr>
          <w:rFonts w:ascii="宋体" w:hAnsi="宋体" w:cs="宋体" w:eastAsia="宋体" w:hint="default"/>
          <w:color w:val="121212"/>
        </w:rPr>
        <w:t>2</w:t>
      </w:r>
      <w:r>
        <w:rPr>
          <w:color w:val="121212"/>
        </w:rPr>
        <w:t>、泉州安盛船务有限公司，注册资本：</w:t>
      </w:r>
      <w:r>
        <w:rPr>
          <w:rFonts w:ascii="宋体" w:hAnsi="宋体" w:cs="宋体" w:eastAsia="宋体" w:hint="default"/>
          <w:color w:val="121212"/>
        </w:rPr>
        <w:t>45,000</w:t>
      </w:r>
      <w:r>
        <w:rPr>
          <w:rFonts w:ascii="宋体" w:hAnsi="宋体" w:cs="宋体" w:eastAsia="宋体" w:hint="default"/>
          <w:color w:val="121212"/>
          <w:spacing w:val="-56"/>
        </w:rPr>
        <w:t> </w:t>
      </w:r>
      <w:r>
        <w:rPr>
          <w:color w:val="121212"/>
        </w:rPr>
        <w:t>万元，经营范围：国内沿海普通货船机务、</w:t>
      </w:r>
      <w:r>
        <w:rPr>
          <w:color w:val="121212"/>
          <w:w w:val="100"/>
        </w:rPr>
        <w:t> </w:t>
      </w:r>
      <w:r>
        <w:rPr>
          <w:color w:val="121212"/>
          <w:spacing w:val="-6"/>
        </w:rPr>
        <w:t>海务管理，船舶检修、保养，船舶买卖、租赁、营运及资产管理，其他船舶管理服务；国内沿海、</w:t>
      </w:r>
      <w:r>
        <w:rPr>
          <w:color w:val="121212"/>
          <w:spacing w:val="-53"/>
        </w:rPr>
        <w:t> </w:t>
      </w:r>
      <w:r>
        <w:rPr>
          <w:color w:val="121212"/>
          <w:spacing w:val="-53"/>
        </w:rPr>
      </w:r>
      <w:r>
        <w:rPr>
          <w:color w:val="121212"/>
          <w:spacing w:val="-6"/>
        </w:rPr>
        <w:t>长江中下游及珠江三角洲普通货船运输；国际船舶普通货物运输；国际船舶管理业务；货物代理、</w:t>
      </w:r>
      <w:r>
        <w:rPr>
          <w:color w:val="121212"/>
          <w:spacing w:val="-54"/>
        </w:rPr>
        <w:t> </w:t>
      </w:r>
      <w:r>
        <w:rPr>
          <w:color w:val="121212"/>
          <w:spacing w:val="-54"/>
        </w:rPr>
      </w:r>
      <w:r>
        <w:rPr>
          <w:color w:val="121212"/>
          <w:spacing w:val="-2"/>
        </w:rPr>
        <w:t>集装箱仓储（化学危险品除外）；销售：船用材料及配件；自营和代理各类商品和技术的进出口</w:t>
      </w:r>
      <w:r>
        <w:rPr>
          <w:spacing w:val="-2"/>
        </w:rPr>
      </w:r>
    </w:p>
    <w:p>
      <w:pPr>
        <w:pStyle w:val="BodyText"/>
        <w:spacing w:line="357" w:lineRule="auto" w:before="32"/>
        <w:ind w:left="138" w:right="217"/>
        <w:jc w:val="both"/>
      </w:pPr>
      <w:r>
        <w:rPr>
          <w:color w:val="121212"/>
          <w:spacing w:val="-2"/>
        </w:rPr>
        <w:t>（但涉及前置许可、国家限定公司经营或禁止进出口的商品和技术除外）；国内沿海外贸集装箱</w:t>
      </w:r>
      <w:r>
        <w:rPr>
          <w:color w:val="121212"/>
          <w:spacing w:val="-25"/>
        </w:rPr>
        <w:t> </w:t>
      </w:r>
      <w:r>
        <w:rPr>
          <w:color w:val="121212"/>
          <w:spacing w:val="-25"/>
        </w:rPr>
      </w:r>
      <w:r>
        <w:rPr>
          <w:color w:val="121212"/>
          <w:spacing w:val="-2"/>
        </w:rPr>
        <w:t>内支线班轮运输。（依法须经批准的项目，经相关部门批准后方可开展经营活动），公司持股比</w:t>
      </w:r>
      <w:r>
        <w:rPr>
          <w:color w:val="121212"/>
          <w:spacing w:val="-25"/>
        </w:rPr>
        <w:t> </w:t>
      </w:r>
      <w:r>
        <w:rPr>
          <w:color w:val="121212"/>
          <w:spacing w:val="-25"/>
        </w:rPr>
      </w:r>
      <w:r>
        <w:rPr>
          <w:color w:val="121212"/>
        </w:rPr>
        <w:t>例</w:t>
      </w:r>
      <w:r>
        <w:rPr>
          <w:color w:val="121212"/>
          <w:spacing w:val="-53"/>
        </w:rPr>
        <w:t> </w:t>
      </w:r>
      <w:r>
        <w:rPr>
          <w:rFonts w:ascii="宋体" w:hAnsi="宋体" w:cs="宋体" w:eastAsia="宋体" w:hint="default"/>
          <w:color w:val="121212"/>
        </w:rPr>
        <w:t>100%</w:t>
      </w:r>
      <w:r>
        <w:rPr>
          <w:color w:val="121212"/>
        </w:rPr>
        <w:t>。</w:t>
      </w:r>
      <w:r>
        <w:rPr/>
      </w:r>
    </w:p>
    <w:p>
      <w:pPr>
        <w:pStyle w:val="BodyText"/>
        <w:spacing w:line="240" w:lineRule="auto" w:before="31"/>
        <w:ind w:left="558" w:right="104"/>
        <w:jc w:val="left"/>
        <w:rPr>
          <w:rFonts w:ascii="宋体" w:hAnsi="宋体" w:cs="宋体" w:eastAsia="宋体" w:hint="default"/>
        </w:rPr>
      </w:pPr>
      <w:r>
        <w:rPr>
          <w:color w:val="121212"/>
        </w:rPr>
        <w:t>截至</w:t>
      </w:r>
      <w:r>
        <w:rPr>
          <w:color w:val="121212"/>
          <w:spacing w:val="-51"/>
        </w:rPr>
        <w:t> </w:t>
      </w:r>
      <w:r>
        <w:rPr>
          <w:rFonts w:ascii="宋体" w:hAnsi="宋体" w:cs="宋体" w:eastAsia="宋体" w:hint="default"/>
          <w:color w:val="121212"/>
        </w:rPr>
        <w:t>2017</w:t>
      </w:r>
      <w:r>
        <w:rPr>
          <w:rFonts w:ascii="宋体" w:hAnsi="宋体" w:cs="宋体" w:eastAsia="宋体" w:hint="default"/>
          <w:color w:val="121212"/>
          <w:spacing w:val="-53"/>
        </w:rPr>
        <w:t> </w:t>
      </w:r>
      <w:r>
        <w:rPr>
          <w:color w:val="121212"/>
        </w:rPr>
        <w:t>年</w:t>
      </w:r>
      <w:r>
        <w:rPr>
          <w:color w:val="121212"/>
          <w:spacing w:val="-51"/>
        </w:rPr>
        <w:t> </w:t>
      </w:r>
      <w:r>
        <w:rPr>
          <w:rFonts w:ascii="宋体" w:hAnsi="宋体" w:cs="宋体" w:eastAsia="宋体" w:hint="default"/>
          <w:color w:val="121212"/>
        </w:rPr>
        <w:t>12</w:t>
      </w:r>
      <w:r>
        <w:rPr>
          <w:rFonts w:ascii="宋体" w:hAnsi="宋体" w:cs="宋体" w:eastAsia="宋体" w:hint="default"/>
          <w:color w:val="121212"/>
          <w:spacing w:val="-53"/>
        </w:rPr>
        <w:t> </w:t>
      </w:r>
      <w:r>
        <w:rPr>
          <w:color w:val="121212"/>
        </w:rPr>
        <w:t>月</w:t>
      </w:r>
      <w:r>
        <w:rPr>
          <w:color w:val="121212"/>
          <w:spacing w:val="-50"/>
        </w:rPr>
        <w:t> </w:t>
      </w:r>
      <w:r>
        <w:rPr>
          <w:rFonts w:ascii="宋体" w:hAnsi="宋体" w:cs="宋体" w:eastAsia="宋体" w:hint="default"/>
          <w:color w:val="121212"/>
        </w:rPr>
        <w:t>31</w:t>
      </w:r>
      <w:r>
        <w:rPr>
          <w:rFonts w:ascii="宋体" w:hAnsi="宋体" w:cs="宋体" w:eastAsia="宋体" w:hint="default"/>
          <w:color w:val="121212"/>
          <w:spacing w:val="-51"/>
        </w:rPr>
        <w:t> </w:t>
      </w:r>
      <w:r>
        <w:rPr>
          <w:color w:val="121212"/>
          <w:spacing w:val="-4"/>
        </w:rPr>
        <w:t>日，安盛船务总资产为</w:t>
      </w:r>
      <w:r>
        <w:rPr>
          <w:color w:val="121212"/>
          <w:spacing w:val="-50"/>
        </w:rPr>
        <w:t> </w:t>
      </w:r>
      <w:r>
        <w:rPr>
          <w:rFonts w:ascii="宋体" w:hAnsi="宋体" w:cs="宋体" w:eastAsia="宋体" w:hint="default"/>
          <w:color w:val="121212"/>
        </w:rPr>
        <w:t>4,701,259,793.59</w:t>
      </w:r>
      <w:r>
        <w:rPr>
          <w:rFonts w:ascii="宋体" w:hAnsi="宋体" w:cs="宋体" w:eastAsia="宋体" w:hint="default"/>
          <w:color w:val="121212"/>
          <w:spacing w:val="-51"/>
        </w:rPr>
        <w:t> </w:t>
      </w:r>
      <w:r>
        <w:rPr>
          <w:color w:val="121212"/>
          <w:spacing w:val="-7"/>
        </w:rPr>
        <w:t>元，负债</w:t>
      </w:r>
      <w:r>
        <w:rPr>
          <w:color w:val="121212"/>
          <w:spacing w:val="-50"/>
        </w:rPr>
        <w:t> </w:t>
      </w:r>
      <w:r>
        <w:rPr>
          <w:rFonts w:ascii="宋体" w:hAnsi="宋体" w:cs="宋体" w:eastAsia="宋体" w:hint="default"/>
          <w:color w:val="121212"/>
        </w:rPr>
        <w:t>3,778,034,665.25</w:t>
      </w:r>
      <w:r>
        <w:rPr>
          <w:rFonts w:ascii="宋体" w:hAnsi="宋体" w:cs="宋体" w:eastAsia="宋体" w:hint="default"/>
        </w:rPr>
      </w:r>
    </w:p>
    <w:p>
      <w:pPr>
        <w:pStyle w:val="BodyText"/>
        <w:spacing w:line="240" w:lineRule="auto" w:before="133"/>
        <w:ind w:left="138" w:right="0"/>
        <w:jc w:val="both"/>
      </w:pPr>
      <w:r>
        <w:rPr>
          <w:color w:val="121212"/>
        </w:rPr>
        <w:t>元，净资产</w:t>
      </w:r>
      <w:r>
        <w:rPr>
          <w:color w:val="121212"/>
          <w:spacing w:val="-55"/>
        </w:rPr>
        <w:t> </w:t>
      </w:r>
      <w:r>
        <w:rPr>
          <w:rFonts w:ascii="宋体" w:hAnsi="宋体" w:cs="宋体" w:eastAsia="宋体" w:hint="default"/>
          <w:color w:val="121212"/>
        </w:rPr>
        <w:t>923,225,128.34</w:t>
      </w:r>
      <w:r>
        <w:rPr>
          <w:rFonts w:ascii="宋体" w:hAnsi="宋体" w:cs="宋体" w:eastAsia="宋体" w:hint="default"/>
          <w:color w:val="121212"/>
          <w:spacing w:val="-54"/>
        </w:rPr>
        <w:t> </w:t>
      </w:r>
      <w:r>
        <w:rPr>
          <w:color w:val="121212"/>
        </w:rPr>
        <w:t>元，营业收入</w:t>
      </w:r>
      <w:r>
        <w:rPr>
          <w:color w:val="121212"/>
          <w:spacing w:val="-55"/>
        </w:rPr>
        <w:t> </w:t>
      </w:r>
      <w:r>
        <w:rPr>
          <w:rFonts w:ascii="宋体" w:hAnsi="宋体" w:cs="宋体" w:eastAsia="宋体" w:hint="default"/>
          <w:color w:val="121212"/>
        </w:rPr>
        <w:t>1,111,242,719.71</w:t>
      </w:r>
      <w:r>
        <w:rPr>
          <w:rFonts w:ascii="宋体" w:hAnsi="宋体" w:cs="宋体" w:eastAsia="宋体" w:hint="default"/>
          <w:color w:val="121212"/>
          <w:spacing w:val="-57"/>
        </w:rPr>
        <w:t> </w:t>
      </w:r>
      <w:r>
        <w:rPr>
          <w:color w:val="121212"/>
        </w:rPr>
        <w:t>元，净利润</w:t>
      </w:r>
      <w:r>
        <w:rPr>
          <w:color w:val="121212"/>
          <w:spacing w:val="-55"/>
        </w:rPr>
        <w:t> </w:t>
      </w:r>
      <w:r>
        <w:rPr>
          <w:rFonts w:ascii="宋体" w:hAnsi="宋体" w:cs="宋体" w:eastAsia="宋体" w:hint="default"/>
          <w:color w:val="121212"/>
        </w:rPr>
        <w:t>166,578,364.51</w:t>
      </w:r>
      <w:r>
        <w:rPr>
          <w:rFonts w:ascii="宋体" w:hAnsi="宋体" w:cs="宋体" w:eastAsia="宋体" w:hint="default"/>
          <w:color w:val="121212"/>
          <w:spacing w:val="-54"/>
        </w:rPr>
        <w:t> </w:t>
      </w:r>
      <w:r>
        <w:rPr>
          <w:color w:val="121212"/>
          <w:spacing w:val="-3"/>
        </w:rPr>
        <w:t>元。</w:t>
      </w:r>
      <w:r>
        <w:rPr/>
      </w:r>
    </w:p>
    <w:p>
      <w:pPr>
        <w:pStyle w:val="BodyText"/>
        <w:spacing w:line="355" w:lineRule="auto" w:before="135"/>
        <w:ind w:left="138" w:right="217" w:firstLine="419"/>
        <w:jc w:val="both"/>
      </w:pPr>
      <w:r>
        <w:rPr>
          <w:rFonts w:ascii="宋体" w:hAnsi="宋体" w:cs="宋体" w:eastAsia="宋体" w:hint="default"/>
          <w:color w:val="121212"/>
        </w:rPr>
        <w:t>3</w:t>
      </w:r>
      <w:r>
        <w:rPr>
          <w:color w:val="121212"/>
        </w:rPr>
        <w:t>、安通（泉州）多式联运基地有限公司，注册资本：</w:t>
      </w:r>
      <w:r>
        <w:rPr>
          <w:rFonts w:ascii="宋体" w:hAnsi="宋体" w:cs="宋体" w:eastAsia="宋体" w:hint="default"/>
          <w:color w:val="121212"/>
        </w:rPr>
        <w:t>30,000</w:t>
      </w:r>
      <w:r>
        <w:rPr>
          <w:rFonts w:ascii="宋体" w:hAnsi="宋体" w:cs="宋体" w:eastAsia="宋体" w:hint="default"/>
          <w:color w:val="121212"/>
          <w:spacing w:val="-58"/>
        </w:rPr>
        <w:t> </w:t>
      </w:r>
      <w:r>
        <w:rPr>
          <w:color w:val="121212"/>
        </w:rPr>
        <w:t>万元，经营范围：物流园区开</w:t>
      </w:r>
      <w:r>
        <w:rPr>
          <w:color w:val="121212"/>
          <w:w w:val="100"/>
        </w:rPr>
        <w:t> </w:t>
      </w:r>
      <w:r>
        <w:rPr>
          <w:color w:val="121212"/>
          <w:spacing w:val="-2"/>
        </w:rPr>
        <w:t>发；多式联运、货物运输代理业务、国际货物运输代理业务、货物专用运输（集装箱）、货物专</w:t>
      </w:r>
      <w:r>
        <w:rPr>
          <w:color w:val="121212"/>
          <w:spacing w:val="-25"/>
        </w:rPr>
        <w:t> </w:t>
      </w:r>
      <w:r>
        <w:rPr>
          <w:color w:val="121212"/>
          <w:spacing w:val="-25"/>
        </w:rPr>
      </w:r>
      <w:r>
        <w:rPr>
          <w:color w:val="121212"/>
          <w:spacing w:val="-2"/>
        </w:rPr>
        <w:t>用运输（冷藏保鲜）、道路普通货物运输（不含须经前置许可的项目）；货物装卸服务；仓储服</w:t>
      </w:r>
      <w:r>
        <w:rPr>
          <w:color w:val="121212"/>
          <w:spacing w:val="-25"/>
        </w:rPr>
        <w:t> </w:t>
      </w:r>
      <w:r>
        <w:rPr>
          <w:color w:val="121212"/>
          <w:spacing w:val="-25"/>
        </w:rPr>
      </w:r>
      <w:r>
        <w:rPr>
          <w:color w:val="121212"/>
          <w:spacing w:val="-2"/>
        </w:rPr>
        <w:t>务（除危险品）；保税仓储服务；食品加工、冷冻冷藏服务；货物监控保管服务。（依法须经批</w:t>
      </w:r>
      <w:r>
        <w:rPr>
          <w:color w:val="121212"/>
          <w:spacing w:val="-25"/>
        </w:rPr>
        <w:t> </w:t>
      </w:r>
      <w:r>
        <w:rPr>
          <w:color w:val="121212"/>
          <w:spacing w:val="-25"/>
        </w:rPr>
      </w:r>
      <w:r>
        <w:rPr>
          <w:color w:val="121212"/>
          <w:spacing w:val="-2"/>
        </w:rPr>
        <w:t>准的项目，经相关部门批准后方可开展经营活动），公司持股比例</w:t>
      </w:r>
      <w:r>
        <w:rPr>
          <w:color w:val="121212"/>
          <w:spacing w:val="5"/>
        </w:rPr>
        <w:t> </w:t>
      </w:r>
      <w:r>
        <w:rPr>
          <w:rFonts w:ascii="宋体" w:hAnsi="宋体" w:cs="宋体" w:eastAsia="宋体" w:hint="default"/>
          <w:color w:val="121212"/>
          <w:spacing w:val="-1"/>
        </w:rPr>
        <w:t>100%</w:t>
      </w:r>
      <w:r>
        <w:rPr>
          <w:color w:val="121212"/>
          <w:spacing w:val="-1"/>
        </w:rPr>
        <w:t>。</w:t>
      </w:r>
      <w:r>
        <w:rPr>
          <w:spacing w:val="-1"/>
        </w:rPr>
      </w:r>
    </w:p>
    <w:p>
      <w:pPr>
        <w:pStyle w:val="BodyText"/>
        <w:spacing w:line="357" w:lineRule="auto" w:before="34"/>
        <w:ind w:left="558" w:right="271"/>
        <w:jc w:val="left"/>
      </w:pPr>
      <w:r>
        <w:rPr>
          <w:color w:val="121212"/>
        </w:rPr>
        <w:t>截至</w:t>
      </w:r>
      <w:r>
        <w:rPr>
          <w:color w:val="121212"/>
          <w:spacing w:val="-53"/>
        </w:rPr>
        <w:t> </w:t>
      </w:r>
      <w:r>
        <w:rPr>
          <w:rFonts w:ascii="宋体" w:hAnsi="宋体" w:cs="宋体" w:eastAsia="宋体" w:hint="default"/>
          <w:color w:val="121212"/>
        </w:rPr>
        <w:t>2017</w:t>
      </w:r>
      <w:r>
        <w:rPr>
          <w:rFonts w:ascii="宋体" w:hAnsi="宋体" w:cs="宋体" w:eastAsia="宋体" w:hint="default"/>
          <w:color w:val="121212"/>
          <w:spacing w:val="-55"/>
        </w:rPr>
        <w:t> </w:t>
      </w:r>
      <w:r>
        <w:rPr>
          <w:color w:val="121212"/>
        </w:rPr>
        <w:t>年</w:t>
      </w:r>
      <w:r>
        <w:rPr>
          <w:color w:val="121212"/>
          <w:spacing w:val="-53"/>
        </w:rPr>
        <w:t> </w:t>
      </w:r>
      <w:r>
        <w:rPr>
          <w:rFonts w:ascii="宋体" w:hAnsi="宋体" w:cs="宋体" w:eastAsia="宋体" w:hint="default"/>
          <w:color w:val="121212"/>
        </w:rPr>
        <w:t>12</w:t>
      </w:r>
      <w:r>
        <w:rPr>
          <w:rFonts w:ascii="宋体" w:hAnsi="宋体" w:cs="宋体" w:eastAsia="宋体" w:hint="default"/>
          <w:color w:val="121212"/>
          <w:spacing w:val="-55"/>
        </w:rPr>
        <w:t> </w:t>
      </w:r>
      <w:r>
        <w:rPr>
          <w:color w:val="121212"/>
        </w:rPr>
        <w:t>月</w:t>
      </w:r>
      <w:r>
        <w:rPr>
          <w:color w:val="121212"/>
          <w:spacing w:val="-52"/>
        </w:rPr>
        <w:t> </w:t>
      </w:r>
      <w:r>
        <w:rPr>
          <w:rFonts w:ascii="宋体" w:hAnsi="宋体" w:cs="宋体" w:eastAsia="宋体" w:hint="default"/>
          <w:color w:val="121212"/>
        </w:rPr>
        <w:t>31</w:t>
      </w:r>
      <w:r>
        <w:rPr>
          <w:rFonts w:ascii="宋体" w:hAnsi="宋体" w:cs="宋体" w:eastAsia="宋体" w:hint="default"/>
          <w:color w:val="121212"/>
          <w:spacing w:val="-53"/>
        </w:rPr>
        <w:t> </w:t>
      </w:r>
      <w:r>
        <w:rPr>
          <w:color w:val="121212"/>
        </w:rPr>
        <w:t>日，安通（泉州）多式联运基地有限公司尚未开展实际经营。</w:t>
      </w:r>
      <w:r>
        <w:rPr>
          <w:color w:val="121212"/>
          <w:w w:val="100"/>
        </w:rPr>
        <w:t> </w:t>
      </w:r>
      <w:r>
        <w:rPr>
          <w:rFonts w:ascii="宋体" w:hAnsi="宋体" w:cs="宋体" w:eastAsia="宋体" w:hint="default"/>
          <w:color w:val="121212"/>
          <w:spacing w:val="-2"/>
        </w:rPr>
        <w:t>4</w:t>
      </w:r>
      <w:r>
        <w:rPr>
          <w:color w:val="121212"/>
          <w:spacing w:val="-2"/>
        </w:rPr>
        <w:t>、安通（唐山海港）多式联运物流有限公司，注册资本：</w:t>
      </w:r>
      <w:r>
        <w:rPr>
          <w:rFonts w:ascii="宋体" w:hAnsi="宋体" w:cs="宋体" w:eastAsia="宋体" w:hint="default"/>
          <w:color w:val="121212"/>
          <w:spacing w:val="-2"/>
        </w:rPr>
        <w:t>30,000</w:t>
      </w:r>
      <w:r>
        <w:rPr>
          <w:rFonts w:ascii="宋体" w:hAnsi="宋体" w:cs="宋体" w:eastAsia="宋体" w:hint="default"/>
          <w:color w:val="121212"/>
          <w:spacing w:val="23"/>
        </w:rPr>
        <w:t> </w:t>
      </w:r>
      <w:r>
        <w:rPr>
          <w:color w:val="121212"/>
          <w:spacing w:val="-2"/>
        </w:rPr>
        <w:t>万元，经营范围：物流园</w:t>
      </w:r>
      <w:r>
        <w:rPr>
          <w:spacing w:val="-2"/>
        </w:rPr>
      </w:r>
    </w:p>
    <w:p>
      <w:pPr>
        <w:pStyle w:val="BodyText"/>
        <w:spacing w:line="240" w:lineRule="auto" w:before="30"/>
        <w:ind w:left="138" w:right="0"/>
        <w:jc w:val="both"/>
      </w:pPr>
      <w:r>
        <w:rPr>
          <w:color w:val="121212"/>
        </w:rPr>
        <w:t>区的开发、管理；普通货运；货物专用运输（集装箱）；国际、国内货物运输代理业务；货物装</w:t>
      </w:r>
      <w:r>
        <w:rPr/>
      </w:r>
    </w:p>
    <w:p>
      <w:pPr>
        <w:spacing w:after="0" w:line="240" w:lineRule="auto"/>
        <w:jc w:val="both"/>
        <w:sectPr>
          <w:footerReference w:type="default" r:id="rId12"/>
          <w:pgSz w:w="11910" w:h="16840"/>
          <w:pgMar w:footer="1195" w:header="880" w:top="1120" w:bottom="1380" w:left="1660" w:right="1060"/>
        </w:sectPr>
      </w:pPr>
    </w:p>
    <w:p>
      <w:pPr>
        <w:spacing w:line="240" w:lineRule="auto" w:before="4"/>
        <w:rPr>
          <w:rFonts w:ascii="宋体" w:hAnsi="宋体" w:cs="宋体" w:eastAsia="宋体" w:hint="default"/>
          <w:sz w:val="25"/>
          <w:szCs w:val="25"/>
        </w:rPr>
      </w:pPr>
    </w:p>
    <w:p>
      <w:pPr>
        <w:pStyle w:val="BodyText"/>
        <w:spacing w:line="357" w:lineRule="auto" w:before="36"/>
        <w:ind w:left="138" w:right="137"/>
        <w:jc w:val="both"/>
      </w:pPr>
      <w:r>
        <w:rPr>
          <w:color w:val="121212"/>
          <w:spacing w:val="-2"/>
        </w:rPr>
        <w:t>卸搬运；仓储服务（危险化学品除外）（依法须经批准的项目，经相关部门批准后方可开展经营</w:t>
      </w:r>
      <w:r>
        <w:rPr>
          <w:color w:val="121212"/>
          <w:spacing w:val="-25"/>
        </w:rPr>
        <w:t> </w:t>
      </w:r>
      <w:r>
        <w:rPr>
          <w:color w:val="121212"/>
          <w:spacing w:val="-25"/>
        </w:rPr>
      </w:r>
      <w:r>
        <w:rPr>
          <w:color w:val="121212"/>
        </w:rPr>
        <w:t>活动），公司持股比例</w:t>
      </w:r>
      <w:r>
        <w:rPr>
          <w:color w:val="121212"/>
          <w:spacing w:val="-56"/>
        </w:rPr>
        <w:t> </w:t>
      </w:r>
      <w:r>
        <w:rPr>
          <w:rFonts w:ascii="宋体" w:hAnsi="宋体" w:cs="宋体" w:eastAsia="宋体" w:hint="default"/>
          <w:color w:val="121212"/>
        </w:rPr>
        <w:t>100%</w:t>
      </w:r>
      <w:r>
        <w:rPr>
          <w:color w:val="121212"/>
        </w:rPr>
        <w:t>。</w:t>
      </w:r>
      <w:r>
        <w:rPr/>
      </w:r>
    </w:p>
    <w:p>
      <w:pPr>
        <w:pStyle w:val="BodyText"/>
        <w:spacing w:line="240" w:lineRule="auto" w:before="30"/>
        <w:ind w:left="558" w:right="125"/>
        <w:jc w:val="left"/>
      </w:pPr>
      <w:r>
        <w:rPr>
          <w:color w:val="121212"/>
        </w:rPr>
        <w:t>截至</w:t>
      </w:r>
      <w:r>
        <w:rPr>
          <w:color w:val="121212"/>
          <w:spacing w:val="-54"/>
        </w:rPr>
        <w:t> </w:t>
      </w:r>
      <w:r>
        <w:rPr>
          <w:rFonts w:ascii="宋体" w:hAnsi="宋体" w:cs="宋体" w:eastAsia="宋体" w:hint="default"/>
          <w:color w:val="121212"/>
        </w:rPr>
        <w:t>2017</w:t>
      </w:r>
      <w:r>
        <w:rPr>
          <w:rFonts w:ascii="宋体" w:hAnsi="宋体" w:cs="宋体" w:eastAsia="宋体" w:hint="default"/>
          <w:color w:val="121212"/>
          <w:spacing w:val="-56"/>
        </w:rPr>
        <w:t> </w:t>
      </w:r>
      <w:r>
        <w:rPr>
          <w:color w:val="121212"/>
        </w:rPr>
        <w:t>年</w:t>
      </w:r>
      <w:r>
        <w:rPr>
          <w:color w:val="121212"/>
          <w:spacing w:val="-54"/>
        </w:rPr>
        <w:t> </w:t>
      </w:r>
      <w:r>
        <w:rPr>
          <w:rFonts w:ascii="宋体" w:hAnsi="宋体" w:cs="宋体" w:eastAsia="宋体" w:hint="default"/>
          <w:color w:val="121212"/>
        </w:rPr>
        <w:t>12</w:t>
      </w:r>
      <w:r>
        <w:rPr>
          <w:rFonts w:ascii="宋体" w:hAnsi="宋体" w:cs="宋体" w:eastAsia="宋体" w:hint="default"/>
          <w:color w:val="121212"/>
          <w:spacing w:val="-56"/>
        </w:rPr>
        <w:t> </w:t>
      </w:r>
      <w:r>
        <w:rPr>
          <w:color w:val="121212"/>
        </w:rPr>
        <w:t>月</w:t>
      </w:r>
      <w:r>
        <w:rPr>
          <w:color w:val="121212"/>
          <w:spacing w:val="-53"/>
        </w:rPr>
        <w:t> </w:t>
      </w:r>
      <w:r>
        <w:rPr>
          <w:rFonts w:ascii="宋体" w:hAnsi="宋体" w:cs="宋体" w:eastAsia="宋体" w:hint="default"/>
          <w:color w:val="121212"/>
        </w:rPr>
        <w:t>31</w:t>
      </w:r>
      <w:r>
        <w:rPr>
          <w:rFonts w:ascii="宋体" w:hAnsi="宋体" w:cs="宋体" w:eastAsia="宋体" w:hint="default"/>
          <w:color w:val="121212"/>
          <w:spacing w:val="-54"/>
        </w:rPr>
        <w:t> </w:t>
      </w:r>
      <w:r>
        <w:rPr>
          <w:color w:val="121212"/>
        </w:rPr>
        <w:t>日，安通（唐山海港）多式联运物流有限公司尚未开展实际经营。</w:t>
      </w:r>
      <w:r>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2"/>
        <w:spacing w:line="240" w:lineRule="auto"/>
        <w:ind w:left="138" w:right="0"/>
        <w:jc w:val="both"/>
        <w:rPr>
          <w:b w:val="0"/>
          <w:bCs w:val="0"/>
        </w:rPr>
      </w:pPr>
      <w:r>
        <w:rPr>
          <w:rFonts w:ascii="宋体" w:hAnsi="宋体" w:cs="宋体" w:eastAsia="宋体" w:hint="default"/>
        </w:rPr>
        <w:t>(</w:t>
      </w:r>
      <w:r>
        <w:rPr/>
        <w:t>八</w:t>
      </w:r>
      <w:r>
        <w:rPr>
          <w:rFonts w:ascii="宋体" w:hAnsi="宋体" w:cs="宋体" w:eastAsia="宋体" w:hint="default"/>
        </w:rPr>
        <w:t>)  </w:t>
      </w:r>
      <w:r>
        <w:rPr>
          <w:rFonts w:ascii="宋体" w:hAnsi="宋体" w:cs="宋体" w:eastAsia="宋体" w:hint="default"/>
          <w:spacing w:val="97"/>
        </w:rPr>
        <w:t> </w:t>
      </w:r>
      <w:r>
        <w:rPr/>
        <w:t>公司控制的结构化主体情况</w:t>
      </w:r>
      <w:r>
        <w:rPr>
          <w:b w:val="0"/>
          <w:bCs w:val="0"/>
        </w:rPr>
      </w:r>
    </w:p>
    <w:p>
      <w:pPr>
        <w:pStyle w:val="BodyText"/>
        <w:tabs>
          <w:tab w:pos="980" w:val="left" w:leader="none"/>
        </w:tabs>
        <w:spacing w:line="272" w:lineRule="exact" w:before="84"/>
        <w:ind w:left="558" w:right="148" w:hanging="420"/>
        <w:jc w:val="left"/>
      </w:pPr>
      <w:r>
        <w:rPr>
          <w:spacing w:val="-1"/>
        </w:rPr>
        <w:t>√适用</w:t>
        <w:tab/>
      </w:r>
      <w:r>
        <w:rPr>
          <w:spacing w:val="-2"/>
        </w:rPr>
        <w:t>□不适用</w:t>
      </w:r>
      <w:r>
        <w:rPr>
          <w:spacing w:val="-99"/>
        </w:rPr>
        <w:t> </w:t>
      </w:r>
      <w:r>
        <w:rPr>
          <w:spacing w:val="-99"/>
        </w:rPr>
      </w:r>
      <w:r>
        <w:rPr>
          <w:spacing w:val="-2"/>
        </w:rPr>
        <w:t>报告期内，公司将全资子公司安通（泉州）多式联运基地有限公司、安通（唐山海港）多式</w:t>
      </w:r>
    </w:p>
    <w:p>
      <w:pPr>
        <w:pStyle w:val="BodyText"/>
        <w:spacing w:line="357" w:lineRule="auto" w:before="110"/>
        <w:ind w:left="138" w:right="137"/>
        <w:jc w:val="both"/>
      </w:pPr>
      <w:r>
        <w:rPr>
          <w:spacing w:val="-2"/>
        </w:rPr>
        <w:t>联运物流有限公司以及全资孙公司泉州安通集速拼物流有限公司、东润船舶代理有限公司、上海</w:t>
      </w:r>
      <w:r>
        <w:rPr>
          <w:spacing w:val="-25"/>
        </w:rPr>
        <w:t> </w:t>
      </w:r>
      <w:r>
        <w:rPr>
          <w:spacing w:val="-25"/>
        </w:rPr>
      </w:r>
      <w:r>
        <w:rPr>
          <w:spacing w:val="-2"/>
        </w:rPr>
        <w:t>建润通嘉物流有限公司、安通华南物流有限公司、东南冷链仓储有限公司和安通（新加坡）物流</w:t>
      </w:r>
      <w:r>
        <w:rPr>
          <w:spacing w:val="-26"/>
        </w:rPr>
        <w:t> </w:t>
      </w:r>
      <w:r>
        <w:rPr>
          <w:spacing w:val="-26"/>
        </w:rPr>
      </w:r>
      <w:r>
        <w:rPr/>
        <w:t>产业有限公司纳入了合并报表范围内。</w:t>
      </w:r>
    </w:p>
    <w:p>
      <w:pPr>
        <w:spacing w:line="240" w:lineRule="auto" w:before="11"/>
        <w:rPr>
          <w:rFonts w:ascii="宋体" w:hAnsi="宋体" w:cs="宋体" w:eastAsia="宋体" w:hint="default"/>
          <w:sz w:val="27"/>
          <w:szCs w:val="27"/>
        </w:rPr>
      </w:pPr>
    </w:p>
    <w:p>
      <w:pPr>
        <w:pStyle w:val="Heading2"/>
        <w:tabs>
          <w:tab w:pos="977" w:val="left" w:leader="none"/>
        </w:tabs>
        <w:spacing w:line="290" w:lineRule="auto"/>
        <w:ind w:left="138" w:right="5169"/>
        <w:jc w:val="left"/>
        <w:rPr>
          <w:b w:val="0"/>
          <w:bCs w:val="0"/>
        </w:rPr>
      </w:pPr>
      <w:r>
        <w:rPr>
          <w:spacing w:val="-1"/>
        </w:rPr>
        <w:t>三、公司关于公司未来发展的讨论与分析</w:t>
      </w:r>
      <w:r>
        <w:rPr>
          <w:spacing w:val="-88"/>
        </w:rPr>
        <w:t> </w:t>
      </w:r>
      <w:r>
        <w:rPr>
          <w:spacing w:val="-88"/>
        </w:rPr>
      </w:r>
      <w:r>
        <w:rPr>
          <w:rFonts w:ascii="宋体" w:hAnsi="宋体" w:cs="宋体" w:eastAsia="宋体" w:hint="default"/>
          <w:spacing w:val="-1"/>
        </w:rPr>
        <w:t>(</w:t>
      </w:r>
      <w:r>
        <w:rPr>
          <w:spacing w:val="-1"/>
        </w:rPr>
        <w:t>一</w:t>
      </w:r>
      <w:r>
        <w:rPr>
          <w:rFonts w:ascii="宋体" w:hAnsi="宋体" w:cs="宋体" w:eastAsia="宋体" w:hint="default"/>
          <w:spacing w:val="-1"/>
        </w:rPr>
        <w:t>)</w:t>
        <w:tab/>
      </w:r>
      <w:r>
        <w:rPr/>
        <w:t>行业格局和趋势</w:t>
      </w:r>
      <w:r>
        <w:rPr>
          <w:b w:val="0"/>
          <w:bCs w:val="0"/>
        </w:rPr>
      </w:r>
    </w:p>
    <w:p>
      <w:pPr>
        <w:pStyle w:val="BodyText"/>
        <w:spacing w:line="273" w:lineRule="exact" w:before="14"/>
        <w:ind w:left="138" w:right="0"/>
        <w:jc w:val="both"/>
      </w:pPr>
      <w:r>
        <w:rPr/>
        <w:t>√适用</w:t>
      </w:r>
      <w:r>
        <w:rPr>
          <w:spacing w:val="104"/>
        </w:rPr>
        <w:t> </w:t>
      </w:r>
      <w:r>
        <w:rPr/>
        <w:t>□不适用</w:t>
      </w:r>
    </w:p>
    <w:p>
      <w:pPr>
        <w:pStyle w:val="BodyText"/>
        <w:spacing w:line="357" w:lineRule="auto"/>
        <w:ind w:left="138" w:right="128" w:firstLine="419"/>
        <w:jc w:val="both"/>
      </w:pPr>
      <w:r>
        <w:rPr>
          <w:spacing w:val="-4"/>
        </w:rPr>
        <w:t>近年来，国务院出台《物流业发展中长期规划（</w:t>
      </w:r>
      <w:r>
        <w:rPr>
          <w:rFonts w:ascii="宋体" w:hAnsi="宋体" w:cs="宋体" w:eastAsia="宋体" w:hint="default"/>
          <w:spacing w:val="-4"/>
        </w:rPr>
        <w:t>2014-2020</w:t>
      </w:r>
      <w:r>
        <w:rPr>
          <w:spacing w:val="-4"/>
        </w:rPr>
        <w:t>）》，将物流业定位于支撑国民经</w:t>
      </w:r>
      <w:r>
        <w:rPr>
          <w:w w:val="100"/>
        </w:rPr>
        <w:t> </w:t>
      </w:r>
      <w:r>
        <w:rPr>
          <w:spacing w:val="-2"/>
        </w:rPr>
        <w:t>济发展的基础性、战略性产业。同时受益于我国长期积极的财政政策和宽松的货币政策，以及京</w:t>
      </w:r>
      <w:r>
        <w:rPr>
          <w:spacing w:val="-25"/>
        </w:rPr>
        <w:t> </w:t>
      </w:r>
      <w:r>
        <w:rPr>
          <w:spacing w:val="-25"/>
        </w:rPr>
      </w:r>
      <w:r>
        <w:rPr>
          <w:spacing w:val="-2"/>
        </w:rPr>
        <w:t>津冀协同发展、长江经济带等区域战略规划的出台，区域间商品交换将更为频繁，国内市场需求</w:t>
      </w:r>
      <w:r>
        <w:rPr>
          <w:spacing w:val="-25"/>
        </w:rPr>
        <w:t> </w:t>
      </w:r>
      <w:r>
        <w:rPr>
          <w:spacing w:val="-25"/>
        </w:rPr>
      </w:r>
      <w:r>
        <w:rPr>
          <w:spacing w:val="-2"/>
        </w:rPr>
        <w:t>得到释放，多品种、多批次货物运输需求的增加，为我国港口内贸集装箱运输市场提供广阔的发</w:t>
      </w:r>
      <w:r>
        <w:rPr>
          <w:spacing w:val="-25"/>
        </w:rPr>
        <w:t> </w:t>
      </w:r>
      <w:r>
        <w:rPr>
          <w:spacing w:val="-25"/>
        </w:rPr>
      </w:r>
      <w:r>
        <w:rPr/>
        <w:t>展空间。</w:t>
      </w:r>
    </w:p>
    <w:p>
      <w:pPr>
        <w:pStyle w:val="BodyText"/>
        <w:spacing w:line="357" w:lineRule="auto" w:before="30"/>
        <w:ind w:left="138" w:right="137" w:firstLine="419"/>
        <w:jc w:val="both"/>
      </w:pPr>
      <w:r>
        <w:rPr>
          <w:spacing w:val="-2"/>
        </w:rPr>
        <w:t>目前，各大港口纷纷加大集装箱物流的基础设施建设投入，集装箱物流公司也纷纷投入大吨</w:t>
      </w:r>
      <w:r>
        <w:rPr>
          <w:w w:val="100"/>
        </w:rPr>
        <w:t> </w:t>
      </w:r>
      <w:r>
        <w:rPr>
          <w:spacing w:val="-2"/>
        </w:rPr>
        <w:t>位船舶运营，开辟集装箱航线，特别是随着多式联运的快速发展，以集装箱为运输单元的多式联</w:t>
      </w:r>
      <w:r>
        <w:rPr>
          <w:spacing w:val="-25"/>
        </w:rPr>
        <w:t> </w:t>
      </w:r>
      <w:r>
        <w:rPr>
          <w:spacing w:val="-25"/>
        </w:rPr>
      </w:r>
      <w:r>
        <w:rPr>
          <w:spacing w:val="-2"/>
        </w:rPr>
        <w:t>运能够提高运输效率，实现门到门运输，且由于在运输过程中不需要换箱，可以减少由于中间环</w:t>
      </w:r>
      <w:r>
        <w:rPr>
          <w:spacing w:val="-25"/>
        </w:rPr>
        <w:t> </w:t>
      </w:r>
      <w:r>
        <w:rPr>
          <w:spacing w:val="-25"/>
        </w:rPr>
      </w:r>
      <w:r>
        <w:rPr>
          <w:spacing w:val="-2"/>
        </w:rPr>
        <w:t>节及换装可能带来的货物损坏及损失，有效地降低运输成本，提高运输质量，也推动了集装箱物</w:t>
      </w:r>
      <w:r>
        <w:rPr>
          <w:spacing w:val="-25"/>
        </w:rPr>
        <w:t> </w:t>
      </w:r>
      <w:r>
        <w:rPr>
          <w:spacing w:val="-25"/>
        </w:rPr>
      </w:r>
      <w:r>
        <w:rPr>
          <w:spacing w:val="-2"/>
        </w:rPr>
        <w:t>流业成为一个极具增长潜力的发展行业。同时，在“一带一路”政策利好充分释放的背景下，集</w:t>
      </w:r>
      <w:r>
        <w:rPr>
          <w:spacing w:val="-25"/>
        </w:rPr>
        <w:t> </w:t>
      </w:r>
      <w:r>
        <w:rPr>
          <w:spacing w:val="-25"/>
        </w:rPr>
      </w:r>
      <w:r>
        <w:rPr>
          <w:spacing w:val="-2"/>
        </w:rPr>
        <w:t>装箱物流业更是迎来了千载难逢的发展机遇。安通控股近年来加大对多式联运布局的投入，加快</w:t>
      </w:r>
      <w:r>
        <w:rPr>
          <w:spacing w:val="-25"/>
        </w:rPr>
        <w:t> </w:t>
      </w:r>
      <w:r>
        <w:rPr>
          <w:spacing w:val="-25"/>
        </w:rPr>
      </w:r>
      <w:r>
        <w:rPr>
          <w:spacing w:val="-2"/>
        </w:rPr>
        <w:t>了综合物流服务平台的建设进程，并且延伸了对接“一带一路”战略的外贸航线开通，取得了卓</w:t>
      </w:r>
      <w:r>
        <w:rPr>
          <w:spacing w:val="-25"/>
        </w:rPr>
        <w:t> </w:t>
      </w:r>
      <w:r>
        <w:rPr>
          <w:spacing w:val="-25"/>
        </w:rPr>
      </w:r>
      <w:r>
        <w:rPr/>
        <w:t>有成效的发展，也有力地提升其综合竞争力、品牌影响力和行业地位。</w:t>
      </w:r>
    </w:p>
    <w:p>
      <w:pPr>
        <w:spacing w:line="240" w:lineRule="auto" w:before="11"/>
        <w:rPr>
          <w:rFonts w:ascii="宋体" w:hAnsi="宋体" w:cs="宋体" w:eastAsia="宋体" w:hint="default"/>
          <w:sz w:val="27"/>
          <w:szCs w:val="27"/>
        </w:rPr>
      </w:pPr>
    </w:p>
    <w:p>
      <w:pPr>
        <w:pStyle w:val="Heading2"/>
        <w:spacing w:line="240" w:lineRule="auto"/>
        <w:ind w:left="138" w:right="0"/>
        <w:jc w:val="both"/>
        <w:rPr>
          <w:b w:val="0"/>
          <w:bCs w:val="0"/>
        </w:rPr>
      </w:pPr>
      <w:r>
        <w:rPr>
          <w:rFonts w:ascii="宋体" w:hAnsi="宋体" w:cs="宋体" w:eastAsia="宋体" w:hint="default"/>
        </w:rPr>
        <w:t>(</w:t>
      </w:r>
      <w:r>
        <w:rPr/>
        <w:t>二</w:t>
      </w:r>
      <w:r>
        <w:rPr>
          <w:rFonts w:ascii="宋体" w:hAnsi="宋体" w:cs="宋体" w:eastAsia="宋体" w:hint="default"/>
        </w:rPr>
        <w:t>)  </w:t>
      </w:r>
      <w:r>
        <w:rPr>
          <w:rFonts w:ascii="宋体" w:hAnsi="宋体" w:cs="宋体" w:eastAsia="宋体" w:hint="default"/>
          <w:spacing w:val="101"/>
        </w:rPr>
        <w:t> </w:t>
      </w:r>
      <w:r>
        <w:rPr/>
        <w:t>公司发展战略</w:t>
      </w:r>
      <w:r>
        <w:rPr>
          <w:b w:val="0"/>
          <w:bCs w:val="0"/>
        </w:rPr>
      </w:r>
    </w:p>
    <w:p>
      <w:pPr>
        <w:pStyle w:val="BodyText"/>
        <w:tabs>
          <w:tab w:pos="980" w:val="left" w:leader="none"/>
        </w:tabs>
        <w:spacing w:line="272" w:lineRule="exact" w:before="84"/>
        <w:ind w:left="558" w:right="148" w:hanging="420"/>
        <w:jc w:val="left"/>
      </w:pPr>
      <w:r>
        <w:rPr>
          <w:spacing w:val="-1"/>
        </w:rPr>
        <w:t>√适用</w:t>
        <w:tab/>
      </w:r>
      <w:r>
        <w:rPr>
          <w:spacing w:val="-2"/>
        </w:rPr>
        <w:t>□不适用</w:t>
      </w:r>
      <w:r>
        <w:rPr>
          <w:spacing w:val="-99"/>
        </w:rPr>
        <w:t> </w:t>
      </w:r>
      <w:r>
        <w:rPr>
          <w:spacing w:val="-99"/>
        </w:rPr>
      </w:r>
      <w:r>
        <w:rPr>
          <w:rFonts w:ascii="宋体" w:hAnsi="宋体" w:cs="宋体" w:eastAsia="宋体" w:hint="default"/>
          <w:spacing w:val="-2"/>
        </w:rPr>
        <w:t>2018</w:t>
      </w:r>
      <w:r>
        <w:rPr>
          <w:spacing w:val="-2"/>
        </w:rPr>
        <w:t>年公司将继续，利用多式联运的网络优势和信息化平台基础，不断扩展和延伸综合物流</w:t>
      </w:r>
    </w:p>
    <w:p>
      <w:pPr>
        <w:pStyle w:val="BodyText"/>
        <w:spacing w:line="355" w:lineRule="auto" w:before="110"/>
        <w:ind w:left="138" w:right="137"/>
        <w:jc w:val="both"/>
      </w:pPr>
      <w:r>
        <w:rPr>
          <w:spacing w:val="-2"/>
        </w:rPr>
        <w:t>服务能力，努力构建闭环式、一站式的产业生态，为客户提供定制化的物流解决方案，并适时借</w:t>
      </w:r>
      <w:r>
        <w:rPr>
          <w:spacing w:val="-26"/>
        </w:rPr>
        <w:t> </w:t>
      </w:r>
      <w:r>
        <w:rPr>
          <w:spacing w:val="-26"/>
        </w:rPr>
      </w:r>
      <w:r>
        <w:rPr>
          <w:spacing w:val="-2"/>
        </w:rPr>
        <w:t>助资本去整合渠道、网络、服务互补性强的优质供应商资源，扩大公司业务规模推动公司持续发</w:t>
      </w:r>
      <w:r>
        <w:rPr>
          <w:spacing w:val="-25"/>
        </w:rPr>
        <w:t> </w:t>
      </w:r>
      <w:r>
        <w:rPr>
          <w:spacing w:val="-25"/>
        </w:rPr>
      </w:r>
      <w:r>
        <w:rPr/>
        <w:t>展。</w:t>
      </w:r>
    </w:p>
    <w:p>
      <w:pPr>
        <w:pStyle w:val="Heading2"/>
        <w:spacing w:line="240" w:lineRule="auto" w:before="32"/>
        <w:ind w:left="560" w:right="125"/>
        <w:jc w:val="left"/>
        <w:rPr>
          <w:b w:val="0"/>
          <w:bCs w:val="0"/>
        </w:rPr>
      </w:pPr>
      <w:r>
        <w:rPr>
          <w:rFonts w:ascii="宋体" w:hAnsi="宋体" w:cs="宋体" w:eastAsia="宋体" w:hint="default"/>
        </w:rPr>
        <w:t>1</w:t>
      </w:r>
      <w:r>
        <w:rPr/>
        <w:t>、巩固海运优势</w:t>
      </w:r>
      <w:r>
        <w:rPr>
          <w:b w:val="0"/>
          <w:bCs w:val="0"/>
        </w:rPr>
      </w:r>
    </w:p>
    <w:p>
      <w:pPr>
        <w:pStyle w:val="BodyText"/>
        <w:spacing w:line="240" w:lineRule="auto" w:before="135"/>
        <w:ind w:left="558" w:right="0"/>
        <w:jc w:val="left"/>
      </w:pPr>
      <w:r>
        <w:rPr>
          <w:rFonts w:ascii="宋体" w:hAnsi="宋体" w:cs="宋体" w:eastAsia="宋体" w:hint="default"/>
        </w:rPr>
        <w:t>2018</w:t>
      </w:r>
      <w:r>
        <w:rPr/>
        <w:t>年，公司将在现有的船队基础上，继续对现有船队结构进行优化，逐步淘汰部分老旧、</w:t>
      </w:r>
    </w:p>
    <w:p>
      <w:pPr>
        <w:spacing w:after="0" w:line="240" w:lineRule="auto"/>
        <w:jc w:val="left"/>
        <w:sectPr>
          <w:footerReference w:type="default" r:id="rId13"/>
          <w:pgSz w:w="11910" w:h="16840"/>
          <w:pgMar w:footer="1195" w:header="880" w:top="1120" w:bottom="1380" w:left="1660" w:right="1140"/>
          <w:pgNumType w:start="21"/>
        </w:sectPr>
      </w:pPr>
    </w:p>
    <w:p>
      <w:pPr>
        <w:spacing w:line="240" w:lineRule="auto" w:before="4"/>
        <w:rPr>
          <w:rFonts w:ascii="宋体" w:hAnsi="宋体" w:cs="宋体" w:eastAsia="宋体" w:hint="default"/>
          <w:sz w:val="25"/>
          <w:szCs w:val="25"/>
        </w:rPr>
      </w:pPr>
    </w:p>
    <w:p>
      <w:pPr>
        <w:pStyle w:val="BodyText"/>
        <w:spacing w:line="357" w:lineRule="auto" w:before="36"/>
        <w:ind w:left="138" w:right="217"/>
        <w:jc w:val="both"/>
      </w:pPr>
      <w:r>
        <w:rPr>
          <w:spacing w:val="-2"/>
        </w:rPr>
        <w:t>高能耗的船舶；同时将有部分新建船舶和船况较好、技术较先进的二手船舶投入运营，预计船队</w:t>
      </w:r>
      <w:r>
        <w:rPr>
          <w:spacing w:val="-25"/>
        </w:rPr>
        <w:t> </w:t>
      </w:r>
      <w:r>
        <w:rPr>
          <w:spacing w:val="-25"/>
        </w:rPr>
      </w:r>
      <w:r>
        <w:rPr/>
        <w:t>规模将匹配全市场货量，保持适当增长，继续巩固公司现有的海运优势。</w:t>
      </w:r>
    </w:p>
    <w:p>
      <w:pPr>
        <w:pStyle w:val="Heading2"/>
        <w:spacing w:line="240" w:lineRule="auto" w:before="30"/>
        <w:ind w:left="560" w:right="104"/>
        <w:jc w:val="left"/>
        <w:rPr>
          <w:b w:val="0"/>
          <w:bCs w:val="0"/>
        </w:rPr>
      </w:pPr>
      <w:r>
        <w:rPr>
          <w:rFonts w:ascii="宋体" w:hAnsi="宋体" w:cs="宋体" w:eastAsia="宋体" w:hint="default"/>
        </w:rPr>
        <w:t>2</w:t>
      </w:r>
      <w:r>
        <w:rPr/>
        <w:t>、重点深化铁路布局</w:t>
      </w:r>
      <w:r>
        <w:rPr>
          <w:b w:val="0"/>
          <w:bCs w:val="0"/>
        </w:rPr>
      </w:r>
    </w:p>
    <w:p>
      <w:pPr>
        <w:spacing w:line="355" w:lineRule="auto" w:before="133"/>
        <w:ind w:left="558" w:right="104"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）加强联系，实现合作共赢</w:t>
      </w:r>
      <w:r>
        <w:rPr>
          <w:rFonts w:ascii="宋体" w:hAnsi="宋体" w:cs="宋体" w:eastAsia="宋体" w:hint="default"/>
          <w:b/>
          <w:bCs/>
          <w:w w:val="100"/>
          <w:sz w:val="21"/>
          <w:szCs w:val="21"/>
        </w:rPr>
        <w:t> </w:t>
      </w:r>
      <w:r>
        <w:rPr>
          <w:rFonts w:ascii="宋体" w:hAnsi="宋体" w:cs="宋体" w:eastAsia="宋体" w:hint="default"/>
          <w:spacing w:val="-2"/>
          <w:sz w:val="21"/>
          <w:szCs w:val="21"/>
        </w:rPr>
        <w:t>2018</w:t>
      </w:r>
      <w:r>
        <w:rPr>
          <w:rFonts w:ascii="宋体" w:hAnsi="宋体" w:cs="宋体" w:eastAsia="宋体" w:hint="default"/>
          <w:spacing w:val="-2"/>
          <w:sz w:val="21"/>
          <w:szCs w:val="21"/>
        </w:rPr>
        <w:t>年，公司将全面提升与各地铁路局的战略合作高度，在沟通机制、资源共享、重点项目</w:t>
      </w:r>
    </w:p>
    <w:p>
      <w:pPr>
        <w:pStyle w:val="BodyText"/>
        <w:spacing w:line="357" w:lineRule="auto" w:before="32"/>
        <w:ind w:left="138" w:right="217"/>
        <w:jc w:val="both"/>
      </w:pPr>
      <w:r>
        <w:rPr>
          <w:spacing w:val="-2"/>
        </w:rPr>
        <w:t>等方面展开合作对接，以价格政策、班列产品、箱管合作、场站共享、信息数据、物流配送作为</w:t>
      </w:r>
      <w:r>
        <w:rPr>
          <w:spacing w:val="-25"/>
        </w:rPr>
        <w:t> </w:t>
      </w:r>
      <w:r>
        <w:rPr>
          <w:spacing w:val="-25"/>
        </w:rPr>
      </w:r>
      <w:r>
        <w:rPr/>
        <w:t>未来铁路板块的六大主要合作内容，并根据市场的需求继续开发众多特色海铁线路。</w:t>
      </w:r>
    </w:p>
    <w:p>
      <w:pPr>
        <w:spacing w:line="357" w:lineRule="auto" w:before="30"/>
        <w:ind w:left="663" w:right="104" w:hanging="104"/>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）持续布局特种箱铁路业务</w:t>
      </w:r>
      <w:r>
        <w:rPr>
          <w:rFonts w:ascii="宋体" w:hAnsi="宋体" w:cs="宋体" w:eastAsia="宋体" w:hint="default"/>
          <w:b/>
          <w:bCs/>
          <w:w w:val="100"/>
          <w:sz w:val="21"/>
          <w:szCs w:val="21"/>
        </w:rPr>
        <w:t> </w:t>
      </w:r>
      <w:r>
        <w:rPr>
          <w:rFonts w:ascii="宋体" w:hAnsi="宋体" w:cs="宋体" w:eastAsia="宋体" w:hint="default"/>
          <w:spacing w:val="-2"/>
          <w:sz w:val="21"/>
          <w:szCs w:val="21"/>
        </w:rPr>
        <w:t>公司未来将继续为广大海铁客户提供专业化、规范化的特种集装箱运输服务，如：小超高、</w:t>
      </w:r>
    </w:p>
    <w:p>
      <w:pPr>
        <w:pStyle w:val="BodyText"/>
        <w:spacing w:line="357" w:lineRule="auto" w:before="30"/>
        <w:ind w:left="138" w:right="217"/>
        <w:jc w:val="both"/>
      </w:pPr>
      <w:r>
        <w:rPr>
          <w:spacing w:val="-2"/>
        </w:rPr>
        <w:t>冷藏箱、汽车箱、框架箱、开顶箱、小罐箱等具有特色的特种箱，并通过多元化的箱型结构，为</w:t>
      </w:r>
      <w:r>
        <w:rPr>
          <w:spacing w:val="-25"/>
        </w:rPr>
        <w:t> </w:t>
      </w:r>
      <w:r>
        <w:rPr>
          <w:spacing w:val="-25"/>
        </w:rPr>
      </w:r>
      <w:r>
        <w:rPr/>
        <w:t>客户带来更便捷的综合物流服务。</w:t>
      </w:r>
    </w:p>
    <w:p>
      <w:pPr>
        <w:spacing w:line="355" w:lineRule="auto" w:before="30"/>
        <w:ind w:left="558" w:right="104"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）加快海铁外贸联运业务</w:t>
      </w:r>
      <w:r>
        <w:rPr>
          <w:rFonts w:ascii="宋体" w:hAnsi="宋体" w:cs="宋体" w:eastAsia="宋体" w:hint="default"/>
          <w:b/>
          <w:bCs/>
          <w:w w:val="100"/>
          <w:sz w:val="21"/>
          <w:szCs w:val="21"/>
        </w:rPr>
        <w:t> </w:t>
      </w:r>
      <w:r>
        <w:rPr>
          <w:rFonts w:ascii="宋体" w:hAnsi="宋体" w:cs="宋体" w:eastAsia="宋体" w:hint="default"/>
          <w:spacing w:val="-2"/>
          <w:sz w:val="21"/>
          <w:szCs w:val="21"/>
        </w:rPr>
        <w:t>公司未来将加快海铁外贸联运业务线布局，通过快速衔接公司的东南亚航线，搭建一条“贯</w:t>
      </w:r>
    </w:p>
    <w:p>
      <w:pPr>
        <w:pStyle w:val="BodyText"/>
        <w:spacing w:line="357" w:lineRule="auto" w:before="32"/>
        <w:ind w:left="138" w:right="207"/>
        <w:jc w:val="both"/>
      </w:pPr>
      <w:r>
        <w:rPr>
          <w:spacing w:val="-4"/>
        </w:rPr>
        <w:t>通东南亚、连接中亚、辐射至欧洲”的“海丝”+“陆丝”物流运输大动脉。未来，东南亚货物可</w:t>
      </w:r>
      <w:r>
        <w:rPr>
          <w:spacing w:val="-38"/>
        </w:rPr>
        <w:t> </w:t>
      </w:r>
      <w:r>
        <w:rPr>
          <w:spacing w:val="-38"/>
        </w:rPr>
      </w:r>
      <w:r>
        <w:rPr>
          <w:spacing w:val="-2"/>
        </w:rPr>
        <w:t>依托安通国际航线运至国内各大港口，然后海运箱上铁路，利用公司的海铁联运的网络，沿欧亚</w:t>
      </w:r>
      <w:r>
        <w:rPr>
          <w:spacing w:val="-25"/>
        </w:rPr>
        <w:t> </w:t>
      </w:r>
      <w:r>
        <w:rPr>
          <w:spacing w:val="-25"/>
        </w:rPr>
      </w:r>
      <w:r>
        <w:rPr>
          <w:spacing w:val="-2"/>
        </w:rPr>
        <w:t>大陆桥向西可运抵中亚国家，向北可运抵蒙古、俄罗斯等国，还将延伸至欧洲等各国，以达到节</w:t>
      </w:r>
      <w:r>
        <w:rPr>
          <w:spacing w:val="-25"/>
        </w:rPr>
        <w:t> </w:t>
      </w:r>
      <w:r>
        <w:rPr>
          <w:spacing w:val="-25"/>
        </w:rPr>
      </w:r>
      <w:r>
        <w:rPr/>
        <w:t>省时间、降低成本的双重目的。</w:t>
      </w:r>
    </w:p>
    <w:p>
      <w:pPr>
        <w:spacing w:line="355" w:lineRule="auto" w:before="30"/>
        <w:ind w:left="558" w:right="104" w:firstLine="2"/>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、推进仓储及物流生态园区建设</w:t>
      </w:r>
      <w:r>
        <w:rPr>
          <w:rFonts w:ascii="宋体" w:hAnsi="宋体" w:cs="宋体" w:eastAsia="宋体" w:hint="default"/>
          <w:b/>
          <w:bCs/>
          <w:w w:val="100"/>
          <w:sz w:val="21"/>
          <w:szCs w:val="21"/>
        </w:rPr>
        <w:t> </w:t>
      </w:r>
      <w:r>
        <w:rPr>
          <w:rFonts w:ascii="宋体" w:hAnsi="宋体" w:cs="宋体" w:eastAsia="宋体" w:hint="default"/>
          <w:spacing w:val="-2"/>
          <w:sz w:val="21"/>
          <w:szCs w:val="21"/>
        </w:rPr>
        <w:t>公司</w:t>
      </w:r>
      <w:r>
        <w:rPr>
          <w:rFonts w:ascii="宋体" w:hAnsi="宋体" w:cs="宋体" w:eastAsia="宋体" w:hint="default"/>
          <w:spacing w:val="-2"/>
          <w:sz w:val="21"/>
          <w:szCs w:val="21"/>
        </w:rPr>
        <w:t>2018</w:t>
      </w:r>
      <w:r>
        <w:rPr>
          <w:rFonts w:ascii="宋体" w:hAnsi="宋体" w:cs="宋体" w:eastAsia="宋体" w:hint="default"/>
          <w:spacing w:val="-2"/>
          <w:sz w:val="21"/>
          <w:szCs w:val="21"/>
        </w:rPr>
        <w:t>年将重点在唐山港区和泉州港区打造综合物流园区，该物流园区将以多式联运运营</w:t>
      </w:r>
    </w:p>
    <w:p>
      <w:pPr>
        <w:pStyle w:val="BodyText"/>
        <w:spacing w:line="357" w:lineRule="auto" w:before="32"/>
        <w:ind w:left="138" w:right="217"/>
        <w:jc w:val="both"/>
      </w:pPr>
      <w:r>
        <w:rPr>
          <w:spacing w:val="-2"/>
        </w:rPr>
        <w:t>模式为基础，致力于整合人力、资本、设施、信息、网络和平台等多项资源，以资金流为导向、</w:t>
      </w:r>
      <w:r>
        <w:rPr>
          <w:spacing w:val="-25"/>
        </w:rPr>
        <w:t> </w:t>
      </w:r>
      <w:r>
        <w:rPr>
          <w:spacing w:val="-25"/>
        </w:rPr>
      </w:r>
      <w:r>
        <w:rPr>
          <w:spacing w:val="-2"/>
        </w:rPr>
        <w:t>以信息流为管控手段，以物流、商流为监管体系，结合所在城市或区域的支柱产业和优势产业，</w:t>
      </w:r>
      <w:r>
        <w:rPr>
          <w:spacing w:val="-25"/>
        </w:rPr>
        <w:t> </w:t>
      </w:r>
      <w:r>
        <w:rPr>
          <w:spacing w:val="-25"/>
        </w:rPr>
      </w:r>
      <w:r>
        <w:rPr>
          <w:spacing w:val="-2"/>
        </w:rPr>
        <w:t>与物流网络和产业链条有机融合，更好地融入物流产业生态链，最终实现跨平台、跨区域的综合</w:t>
      </w:r>
      <w:r>
        <w:rPr>
          <w:spacing w:val="-25"/>
        </w:rPr>
        <w:t> </w:t>
      </w:r>
      <w:r>
        <w:rPr>
          <w:spacing w:val="-25"/>
        </w:rPr>
      </w:r>
      <w:r>
        <w:rPr/>
        <w:t>物流一体化服务。</w:t>
      </w:r>
    </w:p>
    <w:p>
      <w:pPr>
        <w:pStyle w:val="Heading2"/>
        <w:spacing w:line="240" w:lineRule="auto" w:before="30"/>
        <w:ind w:left="560" w:right="104"/>
        <w:jc w:val="left"/>
        <w:rPr>
          <w:b w:val="0"/>
          <w:bCs w:val="0"/>
        </w:rPr>
      </w:pPr>
      <w:r>
        <w:rPr>
          <w:rFonts w:ascii="宋体" w:hAnsi="宋体" w:cs="宋体" w:eastAsia="宋体" w:hint="default"/>
        </w:rPr>
        <w:t>4</w:t>
      </w:r>
      <w:r>
        <w:rPr/>
        <w:t>、推进公司债券发行和非公开发行股份的进程</w:t>
      </w:r>
      <w:r>
        <w:rPr>
          <w:b w:val="0"/>
          <w:bCs w:val="0"/>
        </w:rPr>
      </w:r>
    </w:p>
    <w:p>
      <w:pPr>
        <w:spacing w:line="355" w:lineRule="auto" w:before="136"/>
        <w:ind w:left="558" w:right="322"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）公司债券的推进情况</w:t>
      </w:r>
      <w:r>
        <w:rPr>
          <w:rFonts w:ascii="宋体" w:hAnsi="宋体" w:cs="宋体" w:eastAsia="宋体" w:hint="default"/>
          <w:b/>
          <w:bCs/>
          <w:w w:val="100"/>
          <w:sz w:val="21"/>
          <w:szCs w:val="21"/>
        </w:rPr>
        <w:t> </w:t>
      </w:r>
      <w:r>
        <w:rPr>
          <w:rFonts w:ascii="宋体" w:hAnsi="宋体" w:cs="宋体" w:eastAsia="宋体" w:hint="default"/>
          <w:sz w:val="21"/>
          <w:szCs w:val="21"/>
        </w:rPr>
        <w:t>公司于</w:t>
      </w:r>
      <w:r>
        <w:rPr>
          <w:rFonts w:ascii="宋体" w:hAnsi="宋体" w:cs="宋体" w:eastAsia="宋体" w:hint="default"/>
          <w:sz w:val="21"/>
          <w:szCs w:val="21"/>
        </w:rPr>
        <w:t>2017</w:t>
      </w:r>
      <w:r>
        <w:rPr>
          <w:rFonts w:ascii="宋体" w:hAnsi="宋体" w:cs="宋体" w:eastAsia="宋体" w:hint="default"/>
          <w:sz w:val="21"/>
          <w:szCs w:val="21"/>
        </w:rPr>
        <w:t>年</w:t>
      </w:r>
      <w:r>
        <w:rPr>
          <w:rFonts w:ascii="宋体" w:hAnsi="宋体" w:cs="宋体" w:eastAsia="宋体" w:hint="default"/>
          <w:sz w:val="21"/>
          <w:szCs w:val="21"/>
        </w:rPr>
        <w:t>4</w:t>
      </w:r>
      <w:r>
        <w:rPr>
          <w:rFonts w:ascii="宋体" w:hAnsi="宋体" w:cs="宋体" w:eastAsia="宋体" w:hint="default"/>
          <w:sz w:val="21"/>
          <w:szCs w:val="21"/>
        </w:rPr>
        <w:t>月</w:t>
      </w:r>
      <w:r>
        <w:rPr>
          <w:rFonts w:ascii="宋体" w:hAnsi="宋体" w:cs="宋体" w:eastAsia="宋体" w:hint="default"/>
          <w:sz w:val="21"/>
          <w:szCs w:val="21"/>
        </w:rPr>
        <w:t>18</w:t>
      </w:r>
      <w:r>
        <w:rPr>
          <w:rFonts w:ascii="宋体" w:hAnsi="宋体" w:cs="宋体" w:eastAsia="宋体" w:hint="default"/>
          <w:sz w:val="21"/>
          <w:szCs w:val="21"/>
        </w:rPr>
        <w:t>日和</w:t>
      </w:r>
      <w:r>
        <w:rPr>
          <w:rFonts w:ascii="宋体" w:hAnsi="宋体" w:cs="宋体" w:eastAsia="宋体" w:hint="default"/>
          <w:sz w:val="21"/>
          <w:szCs w:val="21"/>
        </w:rPr>
        <w:t>2017</w:t>
      </w:r>
      <w:r>
        <w:rPr>
          <w:rFonts w:ascii="宋体" w:hAnsi="宋体" w:cs="宋体" w:eastAsia="宋体" w:hint="default"/>
          <w:sz w:val="21"/>
          <w:szCs w:val="21"/>
        </w:rPr>
        <w:t>年</w:t>
      </w:r>
      <w:r>
        <w:rPr>
          <w:rFonts w:ascii="宋体" w:hAnsi="宋体" w:cs="宋体" w:eastAsia="宋体" w:hint="default"/>
          <w:sz w:val="21"/>
          <w:szCs w:val="21"/>
        </w:rPr>
        <w:t>5</w:t>
      </w:r>
      <w:r>
        <w:rPr>
          <w:rFonts w:ascii="宋体" w:hAnsi="宋体" w:cs="宋体" w:eastAsia="宋体" w:hint="default"/>
          <w:sz w:val="21"/>
          <w:szCs w:val="21"/>
        </w:rPr>
        <w:t>月</w:t>
      </w:r>
      <w:r>
        <w:rPr>
          <w:rFonts w:ascii="宋体" w:hAnsi="宋体" w:cs="宋体" w:eastAsia="宋体" w:hint="default"/>
          <w:sz w:val="21"/>
          <w:szCs w:val="21"/>
        </w:rPr>
        <w:t>10</w:t>
      </w:r>
      <w:r>
        <w:rPr>
          <w:rFonts w:ascii="宋体" w:hAnsi="宋体" w:cs="宋体" w:eastAsia="宋体" w:hint="default"/>
          <w:sz w:val="21"/>
          <w:szCs w:val="21"/>
        </w:rPr>
        <w:t>日分别召开的第六届董事会第六次会议和</w:t>
      </w:r>
      <w:r>
        <w:rPr>
          <w:rFonts w:ascii="宋体" w:hAnsi="宋体" w:cs="宋体" w:eastAsia="宋体" w:hint="default"/>
          <w:sz w:val="21"/>
          <w:szCs w:val="21"/>
        </w:rPr>
        <w:t>2016</w:t>
      </w:r>
      <w:r>
        <w:rPr>
          <w:rFonts w:ascii="宋体" w:hAnsi="宋体" w:cs="宋体" w:eastAsia="宋体" w:hint="default"/>
          <w:spacing w:val="-9"/>
          <w:sz w:val="21"/>
          <w:szCs w:val="21"/>
        </w:rPr>
        <w:t> </w:t>
      </w:r>
      <w:r>
        <w:rPr>
          <w:rFonts w:ascii="宋体" w:hAnsi="宋体" w:cs="宋体" w:eastAsia="宋体" w:hint="default"/>
          <w:sz w:val="21"/>
          <w:szCs w:val="21"/>
        </w:rPr>
        <w:t>年年度</w:t>
      </w:r>
    </w:p>
    <w:p>
      <w:pPr>
        <w:pStyle w:val="BodyText"/>
        <w:spacing w:line="357" w:lineRule="auto" w:before="32"/>
        <w:ind w:left="138" w:right="208"/>
        <w:jc w:val="right"/>
      </w:pPr>
      <w:r>
        <w:rPr>
          <w:spacing w:val="-2"/>
        </w:rPr>
        <w:t>股东大会审议通过了《关于面向合格投资者非公开发行公司债券方案的议案》等相关议案，基于</w:t>
      </w:r>
      <w:r>
        <w:rPr>
          <w:spacing w:val="-52"/>
        </w:rPr>
        <w:t> </w:t>
      </w:r>
      <w:r>
        <w:rPr>
          <w:spacing w:val="-52"/>
        </w:rPr>
      </w:r>
      <w:r>
        <w:rPr>
          <w:spacing w:val="-4"/>
        </w:rPr>
        <w:t>公司目前所处的行业情况以及未来</w:t>
      </w:r>
      <w:r>
        <w:rPr>
          <w:rFonts w:ascii="宋体" w:hAnsi="宋体" w:cs="宋体" w:eastAsia="宋体" w:hint="default"/>
          <w:spacing w:val="-4"/>
        </w:rPr>
        <w:t>3-5</w:t>
      </w:r>
      <w:r>
        <w:rPr>
          <w:spacing w:val="-4"/>
        </w:rPr>
        <w:t>年公司在多式联运、全程物流的战略布局和发展规划，同时</w:t>
      </w:r>
      <w:r>
        <w:rPr>
          <w:spacing w:val="-56"/>
        </w:rPr>
        <w:t> </w:t>
      </w:r>
      <w:r>
        <w:rPr>
          <w:spacing w:val="-56"/>
        </w:rPr>
      </w:r>
      <w:r>
        <w:rPr>
          <w:spacing w:val="-7"/>
        </w:rPr>
        <w:t>为进一步拓宽公司融资渠道，调整优化公司债务结构、降低财务成本，以满足公司经营发展需要。</w:t>
      </w:r>
      <w:r>
        <w:rPr>
          <w:spacing w:val="-37"/>
        </w:rPr>
        <w:t> </w:t>
      </w:r>
      <w:r>
        <w:rPr>
          <w:spacing w:val="-37"/>
        </w:rPr>
      </w:r>
      <w:r>
        <w:rPr>
          <w:rFonts w:ascii="宋体" w:hAnsi="宋体" w:cs="宋体" w:eastAsia="宋体" w:hint="default"/>
        </w:rPr>
        <w:t>2017 </w:t>
      </w:r>
      <w:r>
        <w:rPr/>
        <w:t>年 </w:t>
      </w:r>
      <w:r>
        <w:rPr>
          <w:rFonts w:ascii="宋体" w:hAnsi="宋体" w:cs="宋体" w:eastAsia="宋体" w:hint="default"/>
        </w:rPr>
        <w:t>11 </w:t>
      </w:r>
      <w:r>
        <w:rPr/>
        <w:t>月 </w:t>
      </w:r>
      <w:r>
        <w:rPr>
          <w:rFonts w:ascii="宋体" w:hAnsi="宋体" w:cs="宋体" w:eastAsia="宋体" w:hint="default"/>
        </w:rPr>
        <w:t>17 </w:t>
      </w:r>
      <w:r>
        <w:rPr/>
        <w:t>日公司收到上海证券交易所出具</w:t>
      </w:r>
      <w:r>
        <w:rPr>
          <w:spacing w:val="-8"/>
        </w:rPr>
        <w:t> </w:t>
      </w:r>
      <w:r>
        <w:rPr/>
        <w:t>的《关于对安通控股股份有限公司非公</w:t>
      </w:r>
      <w:r>
        <w:rPr>
          <w:w w:val="100"/>
        </w:rPr>
        <w:t> </w:t>
      </w:r>
      <w:r>
        <w:rPr>
          <w:spacing w:val="-4"/>
        </w:rPr>
        <w:t>开发行公司债券挂牌转让无异议的函》（上证函【</w:t>
      </w:r>
      <w:r>
        <w:rPr>
          <w:rFonts w:ascii="宋体" w:hAnsi="宋体" w:cs="宋体" w:eastAsia="宋体" w:hint="default"/>
          <w:spacing w:val="-4"/>
        </w:rPr>
        <w:t>2017</w:t>
      </w:r>
      <w:r>
        <w:rPr>
          <w:spacing w:val="-4"/>
        </w:rPr>
        <w:t>】</w:t>
      </w:r>
      <w:r>
        <w:rPr>
          <w:rFonts w:ascii="宋体" w:hAnsi="宋体" w:cs="宋体" w:eastAsia="宋体" w:hint="default"/>
          <w:spacing w:val="-4"/>
        </w:rPr>
        <w:t>1228</w:t>
      </w:r>
      <w:r>
        <w:rPr>
          <w:rFonts w:ascii="宋体" w:hAnsi="宋体" w:cs="宋体" w:eastAsia="宋体" w:hint="default"/>
          <w:spacing w:val="82"/>
        </w:rPr>
        <w:t> </w:t>
      </w:r>
      <w:r>
        <w:rPr>
          <w:spacing w:val="-4"/>
        </w:rPr>
        <w:t>号），上交所对本次公司非公开发</w:t>
      </w:r>
    </w:p>
    <w:p>
      <w:pPr>
        <w:pStyle w:val="BodyText"/>
        <w:spacing w:line="357" w:lineRule="auto" w:before="30"/>
        <w:ind w:left="558" w:right="104" w:hanging="420"/>
        <w:jc w:val="left"/>
      </w:pPr>
      <w:r>
        <w:rPr/>
        <w:t>行公司债券挂牌转让无异议。</w:t>
      </w:r>
      <w:r>
        <w:rPr>
          <w:w w:val="100"/>
        </w:rPr>
        <w:t> </w:t>
      </w:r>
      <w:r>
        <w:rPr>
          <w:rFonts w:ascii="宋体" w:hAnsi="宋体" w:cs="宋体" w:eastAsia="宋体" w:hint="default"/>
          <w:spacing w:val="-2"/>
        </w:rPr>
        <w:t>2018</w:t>
      </w:r>
      <w:r>
        <w:rPr>
          <w:spacing w:val="-2"/>
        </w:rPr>
        <w:t>年，公司将择机发行第一期公司债券，本次债券完成发行后，将有效地优化公司债务结</w:t>
      </w:r>
    </w:p>
    <w:p>
      <w:pPr>
        <w:pStyle w:val="BodyText"/>
        <w:spacing w:line="240" w:lineRule="auto" w:before="32"/>
        <w:ind w:left="138" w:right="0"/>
        <w:jc w:val="both"/>
      </w:pPr>
      <w:r>
        <w:rPr/>
        <w:t>构、降低财务成本，满足公司未来的经营发展需要。</w:t>
      </w:r>
    </w:p>
    <w:p>
      <w:pPr>
        <w:spacing w:after="0" w:line="240" w:lineRule="auto"/>
        <w:jc w:val="both"/>
        <w:sectPr>
          <w:pgSz w:w="11910" w:h="16840"/>
          <w:pgMar w:header="880" w:footer="1195" w:top="1120" w:bottom="1380" w:left="1660" w:right="1060"/>
        </w:sectPr>
      </w:pPr>
    </w:p>
    <w:p>
      <w:pPr>
        <w:spacing w:line="240" w:lineRule="auto" w:before="4"/>
        <w:rPr>
          <w:rFonts w:ascii="宋体" w:hAnsi="宋体" w:cs="宋体" w:eastAsia="宋体" w:hint="default"/>
          <w:sz w:val="25"/>
          <w:szCs w:val="25"/>
        </w:rPr>
      </w:pPr>
    </w:p>
    <w:p>
      <w:pPr>
        <w:spacing w:line="357" w:lineRule="auto" w:before="36"/>
        <w:ind w:left="558" w:right="227"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）筹划非公开发行股票的进展情况</w:t>
      </w:r>
      <w:r>
        <w:rPr>
          <w:rFonts w:ascii="宋体" w:hAnsi="宋体" w:cs="宋体" w:eastAsia="宋体" w:hint="default"/>
          <w:b/>
          <w:bCs/>
          <w:w w:val="100"/>
          <w:sz w:val="21"/>
          <w:szCs w:val="21"/>
        </w:rPr>
        <w:t> </w:t>
      </w:r>
      <w:r>
        <w:rPr>
          <w:rFonts w:ascii="宋体" w:hAnsi="宋体" w:cs="宋体" w:eastAsia="宋体" w:hint="default"/>
          <w:spacing w:val="-2"/>
          <w:sz w:val="21"/>
          <w:szCs w:val="21"/>
        </w:rPr>
        <w:t>公司由于筹划非公开发行股票事项，公司股票已自</w:t>
      </w:r>
      <w:r>
        <w:rPr>
          <w:rFonts w:ascii="宋体" w:hAnsi="宋体" w:cs="宋体" w:eastAsia="宋体" w:hint="default"/>
          <w:spacing w:val="-2"/>
          <w:sz w:val="21"/>
          <w:szCs w:val="21"/>
        </w:rPr>
        <w:t>2018</w:t>
      </w:r>
      <w:r>
        <w:rPr>
          <w:rFonts w:ascii="宋体" w:hAnsi="宋体" w:cs="宋体" w:eastAsia="宋体" w:hint="default"/>
          <w:spacing w:val="-2"/>
          <w:sz w:val="21"/>
          <w:szCs w:val="21"/>
        </w:rPr>
        <w:t>年</w:t>
      </w:r>
      <w:r>
        <w:rPr>
          <w:rFonts w:ascii="宋体" w:hAnsi="宋体" w:cs="宋体" w:eastAsia="宋体" w:hint="default"/>
          <w:spacing w:val="-2"/>
          <w:sz w:val="21"/>
          <w:szCs w:val="21"/>
        </w:rPr>
        <w:t>2</w:t>
      </w:r>
      <w:r>
        <w:rPr>
          <w:rFonts w:ascii="宋体" w:hAnsi="宋体" w:cs="宋体" w:eastAsia="宋体" w:hint="default"/>
          <w:spacing w:val="-2"/>
          <w:sz w:val="21"/>
          <w:szCs w:val="21"/>
        </w:rPr>
        <w:t>月</w:t>
      </w:r>
      <w:r>
        <w:rPr>
          <w:rFonts w:ascii="宋体" w:hAnsi="宋体" w:cs="宋体" w:eastAsia="宋体" w:hint="default"/>
          <w:spacing w:val="-2"/>
          <w:sz w:val="21"/>
          <w:szCs w:val="21"/>
        </w:rPr>
        <w:t>2</w:t>
      </w:r>
      <w:r>
        <w:rPr>
          <w:rFonts w:ascii="宋体" w:hAnsi="宋体" w:cs="宋体" w:eastAsia="宋体" w:hint="default"/>
          <w:spacing w:val="-2"/>
          <w:sz w:val="21"/>
          <w:szCs w:val="21"/>
        </w:rPr>
        <w:t>日起停牌，自停牌以来，公司</w:t>
      </w:r>
    </w:p>
    <w:p>
      <w:pPr>
        <w:pStyle w:val="BodyText"/>
        <w:spacing w:line="355" w:lineRule="auto" w:before="30"/>
        <w:ind w:left="138" w:right="0"/>
        <w:jc w:val="left"/>
      </w:pPr>
      <w:r>
        <w:rPr>
          <w:spacing w:val="-2"/>
        </w:rPr>
        <w:t>及相关各方积极推进本次非公开发行股票事项的各项工作，对本次非公开发行股票开展方案讨论、</w:t>
      </w:r>
      <w:r>
        <w:rPr>
          <w:spacing w:val="-16"/>
        </w:rPr>
        <w:t> </w:t>
      </w:r>
      <w:r>
        <w:rPr>
          <w:spacing w:val="-16"/>
        </w:rPr>
      </w:r>
      <w:r>
        <w:rPr/>
        <w:t>尽职调查工作，就募投项目可行性及整体影响进行充分的分析及论证。公司将继续全力推进本次</w:t>
      </w:r>
      <w:r>
        <w:rPr>
          <w:w w:val="100"/>
        </w:rPr>
        <w:t> </w:t>
      </w:r>
      <w:r>
        <w:rPr/>
        <w:t>非公开发行股票的工作进程，争取尽早完成本次非公开发行股票的工作。</w:t>
      </w:r>
    </w:p>
    <w:p>
      <w:pPr>
        <w:spacing w:line="240" w:lineRule="auto" w:before="13"/>
        <w:rPr>
          <w:rFonts w:ascii="宋体" w:hAnsi="宋体" w:cs="宋体" w:eastAsia="宋体" w:hint="default"/>
          <w:sz w:val="27"/>
          <w:szCs w:val="27"/>
        </w:rPr>
      </w:pPr>
    </w:p>
    <w:p>
      <w:pPr>
        <w:pStyle w:val="Heading2"/>
        <w:spacing w:line="240" w:lineRule="auto"/>
        <w:ind w:left="138" w:right="0"/>
        <w:jc w:val="both"/>
        <w:rPr>
          <w:b w:val="0"/>
          <w:bCs w:val="0"/>
        </w:rPr>
      </w:pPr>
      <w:r>
        <w:rPr>
          <w:rFonts w:ascii="宋体" w:hAnsi="宋体" w:cs="宋体" w:eastAsia="宋体" w:hint="default"/>
        </w:rPr>
        <w:t>(</w:t>
      </w:r>
      <w:r>
        <w:rPr/>
        <w:t>三</w:t>
      </w:r>
      <w:r>
        <w:rPr>
          <w:rFonts w:ascii="宋体" w:hAnsi="宋体" w:cs="宋体" w:eastAsia="宋体" w:hint="default"/>
        </w:rPr>
        <w:t>)  </w:t>
      </w:r>
      <w:r>
        <w:rPr>
          <w:rFonts w:ascii="宋体" w:hAnsi="宋体" w:cs="宋体" w:eastAsia="宋体" w:hint="default"/>
          <w:spacing w:val="100"/>
        </w:rPr>
        <w:t> </w:t>
      </w:r>
      <w:r>
        <w:rPr/>
        <w:t>经营计划</w:t>
      </w:r>
      <w:r>
        <w:rPr>
          <w:b w:val="0"/>
          <w:bCs w:val="0"/>
        </w:rPr>
      </w:r>
    </w:p>
    <w:p>
      <w:pPr>
        <w:pStyle w:val="BodyText"/>
        <w:tabs>
          <w:tab w:pos="980" w:val="left" w:leader="none"/>
        </w:tabs>
        <w:spacing w:line="240" w:lineRule="auto" w:before="56"/>
        <w:ind w:left="558" w:right="317" w:hanging="420"/>
        <w:jc w:val="left"/>
      </w:pPr>
      <w:r>
        <w:rPr>
          <w:spacing w:val="-1"/>
        </w:rPr>
        <w:t>√适用</w:t>
        <w:tab/>
      </w:r>
      <w:r>
        <w:rPr>
          <w:spacing w:val="-2"/>
        </w:rPr>
        <w:t>□不适用</w:t>
      </w:r>
      <w:r>
        <w:rPr>
          <w:spacing w:val="-99"/>
        </w:rPr>
        <w:t> </w:t>
      </w:r>
      <w:r>
        <w:rPr>
          <w:spacing w:val="-99"/>
        </w:rPr>
      </w:r>
      <w:r>
        <w:rPr>
          <w:rFonts w:ascii="宋体" w:hAnsi="宋体" w:cs="宋体" w:eastAsia="宋体" w:hint="default"/>
          <w:spacing w:val="-2"/>
        </w:rPr>
        <w:t>2018</w:t>
      </w:r>
      <w:r>
        <w:rPr>
          <w:spacing w:val="-2"/>
        </w:rPr>
        <w:t>年是贯彻党的十九大精神的开局之年，是实施“十三五”规划承上启下的关键一年。新</w:t>
      </w:r>
    </w:p>
    <w:p>
      <w:pPr>
        <w:pStyle w:val="BodyText"/>
        <w:spacing w:line="357" w:lineRule="auto" w:before="133"/>
        <w:ind w:left="138" w:right="308"/>
        <w:jc w:val="both"/>
      </w:pPr>
      <w:r>
        <w:rPr>
          <w:spacing w:val="-2"/>
        </w:rPr>
        <w:t>的一年为安通发展提供了一个新的契机、新的起点。</w:t>
      </w:r>
      <w:r>
        <w:rPr>
          <w:rFonts w:ascii="宋体" w:hAnsi="宋体" w:cs="宋体" w:eastAsia="宋体" w:hint="default"/>
          <w:spacing w:val="-2"/>
        </w:rPr>
        <w:t>2018</w:t>
      </w:r>
      <w:r>
        <w:rPr>
          <w:spacing w:val="-2"/>
        </w:rPr>
        <w:t>年，公司计划实现营业收入较</w:t>
      </w:r>
      <w:r>
        <w:rPr>
          <w:rFonts w:ascii="宋体" w:hAnsi="宋体" w:cs="宋体" w:eastAsia="宋体" w:hint="default"/>
          <w:spacing w:val="-2"/>
        </w:rPr>
        <w:t>2017</w:t>
      </w:r>
      <w:r>
        <w:rPr>
          <w:spacing w:val="-2"/>
        </w:rPr>
        <w:t>年增</w:t>
      </w:r>
      <w:r>
        <w:rPr>
          <w:spacing w:val="-17"/>
        </w:rPr>
        <w:t> </w:t>
      </w:r>
      <w:r>
        <w:rPr>
          <w:spacing w:val="-4"/>
        </w:rPr>
        <w:t>长</w:t>
      </w:r>
      <w:r>
        <w:rPr>
          <w:rFonts w:ascii="宋体" w:hAnsi="宋体" w:cs="宋体" w:eastAsia="宋体" w:hint="default"/>
          <w:spacing w:val="-4"/>
        </w:rPr>
        <w:t>50%</w:t>
      </w:r>
      <w:r>
        <w:rPr>
          <w:spacing w:val="-4"/>
        </w:rPr>
        <w:t>（该经营计划并不构成公司对投资者的业绩承诺，请投资者注意投资风险）。为完成上述经</w:t>
      </w:r>
      <w:r>
        <w:rPr>
          <w:spacing w:val="-32"/>
        </w:rPr>
        <w:t> </w:t>
      </w:r>
      <w:r>
        <w:rPr>
          <w:spacing w:val="-32"/>
        </w:rPr>
      </w:r>
      <w:r>
        <w:rPr/>
        <w:t>营计划，</w:t>
      </w:r>
      <w:r>
        <w:rPr>
          <w:rFonts w:ascii="宋体" w:hAnsi="宋体" w:cs="宋体" w:eastAsia="宋体" w:hint="default"/>
        </w:rPr>
        <w:t>2018</w:t>
      </w:r>
      <w:r>
        <w:rPr/>
        <w:t>年在经营中将重点做好以下几项工作：</w:t>
      </w:r>
    </w:p>
    <w:p>
      <w:pPr>
        <w:pStyle w:val="BodyText"/>
        <w:spacing w:line="355" w:lineRule="auto" w:before="30"/>
        <w:ind w:left="558" w:right="227"/>
        <w:jc w:val="left"/>
      </w:pPr>
      <w:r>
        <w:rPr/>
        <w:t>一、拓宽融资渠道，创新融资模式</w:t>
      </w:r>
      <w:r>
        <w:rPr>
          <w:w w:val="100"/>
        </w:rPr>
        <w:t> </w:t>
      </w:r>
      <w:r>
        <w:rPr>
          <w:rFonts w:ascii="宋体" w:hAnsi="宋体" w:cs="宋体" w:eastAsia="宋体" w:hint="default"/>
          <w:spacing w:val="-2"/>
        </w:rPr>
        <w:t>2018</w:t>
      </w:r>
      <w:r>
        <w:rPr>
          <w:spacing w:val="-2"/>
        </w:rPr>
        <w:t>年，公司将利用上市公司的平台优势，积极对接资本市场，发挥股权、债权融资等资本</w:t>
      </w:r>
    </w:p>
    <w:p>
      <w:pPr>
        <w:pStyle w:val="BodyText"/>
        <w:spacing w:line="357" w:lineRule="auto" w:before="32"/>
        <w:ind w:left="138" w:right="317"/>
        <w:jc w:val="both"/>
      </w:pPr>
      <w:r>
        <w:rPr>
          <w:spacing w:val="-2"/>
        </w:rPr>
        <w:t>市场直接融资工具的作用，开展更加富有成效的资本运作与融资管理，对融资渠道和融资形式进</w:t>
      </w:r>
      <w:r>
        <w:rPr>
          <w:spacing w:val="-25"/>
        </w:rPr>
        <w:t> </w:t>
      </w:r>
      <w:r>
        <w:rPr>
          <w:spacing w:val="-25"/>
        </w:rPr>
      </w:r>
      <w:r>
        <w:rPr>
          <w:spacing w:val="-2"/>
        </w:rPr>
        <w:t>行优化，找寻一条更加适合安通发展的多层次的融资渠道组合，实现企业规模扩大和效益提高的</w:t>
      </w:r>
      <w:r>
        <w:rPr>
          <w:spacing w:val="-25"/>
        </w:rPr>
        <w:t> </w:t>
      </w:r>
      <w:r>
        <w:rPr>
          <w:spacing w:val="-25"/>
        </w:rPr>
      </w:r>
      <w:r>
        <w:rPr/>
        <w:t>同步运行，推动公司持续、健康的发展。</w:t>
      </w:r>
    </w:p>
    <w:p>
      <w:pPr>
        <w:pStyle w:val="BodyText"/>
        <w:spacing w:line="355" w:lineRule="auto" w:before="30"/>
        <w:ind w:left="558" w:right="227"/>
        <w:jc w:val="left"/>
      </w:pPr>
      <w:r>
        <w:rPr/>
        <w:t>二、强化人才队伍建设，扩充智力资本</w:t>
      </w:r>
      <w:r>
        <w:rPr>
          <w:w w:val="100"/>
        </w:rPr>
        <w:t> </w:t>
      </w:r>
      <w:r>
        <w:rPr>
          <w:rFonts w:ascii="宋体" w:hAnsi="宋体" w:cs="宋体" w:eastAsia="宋体" w:hint="default"/>
          <w:spacing w:val="-2"/>
        </w:rPr>
        <w:t>2018</w:t>
      </w:r>
      <w:r>
        <w:rPr>
          <w:spacing w:val="-2"/>
        </w:rPr>
        <w:t>年，公司将结合内部的组织机构设置、工作流程和经营管理特点，加强人才队伍建设，</w:t>
      </w:r>
    </w:p>
    <w:p>
      <w:pPr>
        <w:pStyle w:val="BodyText"/>
        <w:spacing w:line="357" w:lineRule="auto" w:before="32"/>
        <w:ind w:left="138" w:right="308"/>
        <w:jc w:val="both"/>
      </w:pPr>
      <w:r>
        <w:rPr>
          <w:spacing w:val="-2"/>
        </w:rPr>
        <w:t>在积极培养现有人才队伍的基础上通过校园招聘和社会招聘等多个渠道为公司引进多方面人才，</w:t>
      </w:r>
      <w:r>
        <w:rPr>
          <w:spacing w:val="-25"/>
        </w:rPr>
        <w:t> </w:t>
      </w:r>
      <w:r>
        <w:rPr>
          <w:spacing w:val="-25"/>
        </w:rPr>
      </w:r>
      <w:r>
        <w:rPr>
          <w:spacing w:val="-6"/>
        </w:rPr>
        <w:t>为公司补充新鲜血液和后备力量；公司将继续完善人力资源管理体系，考核激励、完善岗位职责、</w:t>
      </w:r>
      <w:r>
        <w:rPr>
          <w:spacing w:val="-54"/>
        </w:rPr>
        <w:t> </w:t>
      </w:r>
      <w:r>
        <w:rPr>
          <w:spacing w:val="-54"/>
        </w:rPr>
      </w:r>
      <w:r>
        <w:rPr>
          <w:spacing w:val="-2"/>
        </w:rPr>
        <w:t>培训教育等体系建设，形成良性竞争机制，激发员工的积极性、主动性，营造和谐的用人环境；</w:t>
      </w:r>
      <w:r>
        <w:rPr>
          <w:spacing w:val="-26"/>
        </w:rPr>
        <w:t> </w:t>
      </w:r>
      <w:r>
        <w:rPr>
          <w:spacing w:val="-26"/>
        </w:rPr>
      </w:r>
      <w:r>
        <w:rPr>
          <w:spacing w:val="-7"/>
        </w:rPr>
        <w:t>同时公司将根据发展战略和业务需要，做好人员的储备、培养和配置工作，为公司扩充智力资本。</w:t>
      </w:r>
    </w:p>
    <w:p>
      <w:pPr>
        <w:pStyle w:val="BodyText"/>
        <w:spacing w:line="240" w:lineRule="auto" w:before="30"/>
        <w:ind w:left="558" w:right="2497"/>
        <w:jc w:val="left"/>
      </w:pPr>
      <w:r>
        <w:rPr/>
        <w:t>三、全面布局，降本增效，提升内部管理水平</w:t>
      </w:r>
    </w:p>
    <w:p>
      <w:pPr>
        <w:pStyle w:val="BodyText"/>
        <w:spacing w:line="357" w:lineRule="auto" w:before="133"/>
        <w:ind w:left="138" w:right="310" w:firstLine="419"/>
        <w:jc w:val="both"/>
      </w:pPr>
      <w:r>
        <w:rPr>
          <w:rFonts w:ascii="宋体" w:hAnsi="宋体" w:cs="宋体" w:eastAsia="宋体" w:hint="default"/>
        </w:rPr>
        <w:t>2018</w:t>
      </w:r>
      <w:r>
        <w:rPr>
          <w:rFonts w:ascii="宋体" w:hAnsi="宋体" w:cs="宋体" w:eastAsia="宋体" w:hint="default"/>
          <w:spacing w:val="-11"/>
        </w:rPr>
        <w:t> </w:t>
      </w:r>
      <w:r>
        <w:rPr>
          <w:spacing w:val="-3"/>
        </w:rPr>
        <w:t>年公司将继续通过整合海运、铁路与公路运输方式，全面布局多式联运网络，从空间上</w:t>
      </w:r>
      <w:r>
        <w:rPr>
          <w:w w:val="100"/>
        </w:rPr>
        <w:t> </w:t>
      </w:r>
      <w:r>
        <w:rPr>
          <w:spacing w:val="-2"/>
        </w:rPr>
        <w:t>拓宽公司的服务半径，将覆盖范围由沿海不断向内陆延伸；从时效上实现一次托运、一票到底、</w:t>
      </w:r>
      <w:r>
        <w:rPr>
          <w:spacing w:val="-25"/>
        </w:rPr>
        <w:t> </w:t>
      </w:r>
      <w:r>
        <w:rPr>
          <w:spacing w:val="-25"/>
        </w:rPr>
      </w:r>
      <w:r>
        <w:rPr>
          <w:spacing w:val="-2"/>
        </w:rPr>
        <w:t>一个经营人、同一费率、同一保险、一体运输，实现不同运输方式的有机组合、无缝衔接，提升</w:t>
      </w:r>
      <w:r>
        <w:rPr>
          <w:spacing w:val="-25"/>
        </w:rPr>
        <w:t> </w:t>
      </w:r>
      <w:r>
        <w:rPr>
          <w:spacing w:val="-25"/>
        </w:rPr>
      </w:r>
      <w:r>
        <w:rPr>
          <w:spacing w:val="-2"/>
        </w:rPr>
        <w:t>物流效率。同时公司内部将积极构建以全面成本管控为核心的经营体系，要把成本管控渗透到各</w:t>
      </w:r>
      <w:r>
        <w:rPr>
          <w:spacing w:val="-25"/>
        </w:rPr>
        <w:t> </w:t>
      </w:r>
      <w:r>
        <w:rPr>
          <w:spacing w:val="-25"/>
        </w:rPr>
      </w:r>
      <w:r>
        <w:rPr>
          <w:spacing w:val="-2"/>
        </w:rPr>
        <w:t>项管理当中。由财务部门牵头组织协调，实施全面成本管控模式，规范体系工作系统管理，严格</w:t>
      </w:r>
      <w:r>
        <w:rPr>
          <w:spacing w:val="-25"/>
        </w:rPr>
        <w:t> </w:t>
      </w:r>
      <w:r>
        <w:rPr>
          <w:spacing w:val="-25"/>
        </w:rPr>
      </w:r>
      <w:r>
        <w:rPr/>
        <w:t>执行规章制度，提升标准化、流程化、信息化水平，提质增效。</w:t>
      </w:r>
    </w:p>
    <w:p>
      <w:pPr>
        <w:pStyle w:val="BodyText"/>
        <w:spacing w:line="355" w:lineRule="auto" w:before="32"/>
        <w:ind w:left="558" w:right="227"/>
        <w:jc w:val="left"/>
      </w:pPr>
      <w:r>
        <w:rPr/>
        <w:t>四、打造软实力，实现新跨越</w:t>
      </w:r>
      <w:r>
        <w:rPr>
          <w:w w:val="100"/>
        </w:rPr>
        <w:t> </w:t>
      </w:r>
      <w:r>
        <w:rPr>
          <w:spacing w:val="-2"/>
        </w:rPr>
        <w:t>新的一年，公司将致力于打造企业软实力，在品牌建设、企业文化建设、后勤保障等方面投</w:t>
      </w:r>
    </w:p>
    <w:p>
      <w:pPr>
        <w:pStyle w:val="BodyText"/>
        <w:spacing w:line="357" w:lineRule="auto" w:before="32"/>
        <w:ind w:left="138" w:right="317"/>
        <w:jc w:val="both"/>
      </w:pPr>
      <w:r>
        <w:rPr>
          <w:spacing w:val="-2"/>
        </w:rPr>
        <w:t>入更多，形成更好的基础，为后续企业发展创造更好条件。对内公司本着“以人为本”的用人理</w:t>
      </w:r>
      <w:r>
        <w:rPr>
          <w:spacing w:val="-25"/>
        </w:rPr>
        <w:t> </w:t>
      </w:r>
      <w:r>
        <w:rPr>
          <w:spacing w:val="-25"/>
        </w:rPr>
      </w:r>
      <w:r>
        <w:rPr>
          <w:spacing w:val="-2"/>
        </w:rPr>
        <w:t>念，不断丰富员工文化生活，积极推动企业内部文化活动开展，创建和谐工作环境，加强企业文</w:t>
      </w:r>
    </w:p>
    <w:p>
      <w:pPr>
        <w:spacing w:after="0" w:line="357" w:lineRule="auto"/>
        <w:jc w:val="both"/>
        <w:sectPr>
          <w:pgSz w:w="11910" w:h="16840"/>
          <w:pgMar w:header="880" w:footer="1195" w:top="1120" w:bottom="1380" w:left="1660" w:right="960"/>
        </w:sectPr>
      </w:pPr>
    </w:p>
    <w:p>
      <w:pPr>
        <w:spacing w:line="240" w:lineRule="auto" w:before="4"/>
        <w:rPr>
          <w:rFonts w:ascii="宋体" w:hAnsi="宋体" w:cs="宋体" w:eastAsia="宋体" w:hint="default"/>
          <w:sz w:val="25"/>
          <w:szCs w:val="25"/>
        </w:rPr>
      </w:pPr>
    </w:p>
    <w:p>
      <w:pPr>
        <w:pStyle w:val="BodyText"/>
        <w:spacing w:line="357" w:lineRule="auto" w:before="36"/>
        <w:ind w:left="138" w:right="128"/>
        <w:jc w:val="both"/>
      </w:pPr>
      <w:r>
        <w:rPr>
          <w:spacing w:val="-6"/>
        </w:rPr>
        <w:t>化建设和员工队伍建设，关注成长，努力成就每位员工的幸福感。对外公司将加大品牌宣传力度，</w:t>
      </w:r>
      <w:r>
        <w:rPr>
          <w:spacing w:val="-54"/>
        </w:rPr>
        <w:t> </w:t>
      </w:r>
      <w:r>
        <w:rPr>
          <w:spacing w:val="-54"/>
        </w:rPr>
      </w:r>
      <w:r>
        <w:rPr>
          <w:spacing w:val="-2"/>
        </w:rPr>
        <w:t>通过与行业协会、大国品牌宣传合作打造企业品牌美誉度进一步提升企业的品牌影响力，通过提</w:t>
      </w:r>
      <w:r>
        <w:rPr>
          <w:spacing w:val="-25"/>
        </w:rPr>
        <w:t> </w:t>
      </w:r>
      <w:r>
        <w:rPr>
          <w:spacing w:val="-25"/>
        </w:rPr>
      </w:r>
      <w:r>
        <w:rPr>
          <w:spacing w:val="-2"/>
        </w:rPr>
        <w:t>升设备先进性、整合水路、铁路、公路资源来营造企业的资源整合力，从而提升企业软实力使公</w:t>
      </w:r>
      <w:r>
        <w:rPr>
          <w:spacing w:val="-25"/>
        </w:rPr>
        <w:t> </w:t>
      </w:r>
      <w:r>
        <w:rPr>
          <w:spacing w:val="-25"/>
        </w:rPr>
      </w:r>
      <w:r>
        <w:rPr/>
        <w:t>司在客户市场建立广泛的客户基础，为公司的持续发展奠定扎实的基础。</w:t>
      </w:r>
    </w:p>
    <w:p>
      <w:pPr>
        <w:pStyle w:val="Heading2"/>
        <w:spacing w:line="240" w:lineRule="auto" w:before="90"/>
        <w:ind w:left="138" w:right="0"/>
        <w:jc w:val="both"/>
        <w:rPr>
          <w:b w:val="0"/>
          <w:bCs w:val="0"/>
        </w:rPr>
      </w:pPr>
      <w:r>
        <w:rPr>
          <w:rFonts w:ascii="宋体" w:hAnsi="宋体" w:cs="宋体" w:eastAsia="宋体" w:hint="default"/>
        </w:rPr>
        <w:t>(</w:t>
      </w:r>
      <w:r>
        <w:rPr/>
        <w:t>四</w:t>
      </w:r>
      <w:r>
        <w:rPr>
          <w:rFonts w:ascii="宋体" w:hAnsi="宋体" w:cs="宋体" w:eastAsia="宋体" w:hint="default"/>
        </w:rPr>
        <w:t>)  </w:t>
      </w:r>
      <w:r>
        <w:rPr>
          <w:rFonts w:ascii="宋体" w:hAnsi="宋体" w:cs="宋体" w:eastAsia="宋体" w:hint="default"/>
          <w:spacing w:val="101"/>
        </w:rPr>
        <w:t> </w:t>
      </w:r>
      <w:r>
        <w:rPr/>
        <w:t>可能面对的风险</w:t>
      </w:r>
      <w:r>
        <w:rPr>
          <w:b w:val="0"/>
          <w:bCs w:val="0"/>
        </w:rPr>
      </w:r>
    </w:p>
    <w:p>
      <w:pPr>
        <w:pStyle w:val="BodyText"/>
        <w:spacing w:line="273" w:lineRule="exact" w:before="58"/>
        <w:ind w:left="138" w:right="0"/>
        <w:jc w:val="both"/>
      </w:pPr>
      <w:r>
        <w:rPr/>
        <w:t>√适用</w:t>
      </w:r>
      <w:r>
        <w:rPr>
          <w:spacing w:val="104"/>
        </w:rPr>
        <w:t> </w:t>
      </w:r>
      <w:r>
        <w:rPr/>
        <w:t>□不适用</w:t>
      </w:r>
    </w:p>
    <w:p>
      <w:pPr>
        <w:pStyle w:val="BodyText"/>
        <w:spacing w:line="355" w:lineRule="auto"/>
        <w:ind w:left="558" w:right="125"/>
        <w:jc w:val="left"/>
      </w:pPr>
      <w:r>
        <w:rPr/>
        <w:t>（一）政策风险</w:t>
      </w:r>
      <w:r>
        <w:rPr>
          <w:spacing w:val="-103"/>
        </w:rPr>
        <w:t> </w:t>
      </w:r>
      <w:r>
        <w:rPr>
          <w:spacing w:val="-103"/>
        </w:rPr>
      </w:r>
      <w:r>
        <w:rPr>
          <w:spacing w:val="-2"/>
        </w:rPr>
        <w:t>公司目前主要从事内贸集装箱物流综合业务，主要依赖于自有或租赁的船舶从事国内港口之</w:t>
      </w:r>
    </w:p>
    <w:p>
      <w:pPr>
        <w:pStyle w:val="BodyText"/>
        <w:spacing w:line="357" w:lineRule="auto" w:before="34"/>
        <w:ind w:left="138" w:right="137"/>
        <w:jc w:val="both"/>
      </w:pPr>
      <w:r>
        <w:rPr>
          <w:spacing w:val="-2"/>
        </w:rPr>
        <w:t>间的海上运输。国内港口之间的海上运输是我国重要的战略性产业，长期来看国家还会继续加大</w:t>
      </w:r>
      <w:r>
        <w:rPr>
          <w:spacing w:val="-25"/>
        </w:rPr>
        <w:t> </w:t>
      </w:r>
      <w:r>
        <w:rPr>
          <w:spacing w:val="-25"/>
        </w:rPr>
      </w:r>
      <w:r>
        <w:rPr>
          <w:spacing w:val="-2"/>
        </w:rPr>
        <w:t>对国内沿海运输的支持力度，但对于国内港口之间的海上运输相关政策在未来一定期限内仍具有</w:t>
      </w:r>
      <w:r>
        <w:rPr>
          <w:spacing w:val="-25"/>
        </w:rPr>
        <w:t> </w:t>
      </w:r>
      <w:r>
        <w:rPr>
          <w:spacing w:val="-25"/>
        </w:rPr>
      </w:r>
      <w:r>
        <w:rPr>
          <w:spacing w:val="-2"/>
        </w:rPr>
        <w:t>不确定性，这种不确定性可能会影响到公司的业务布局和战略发展，进而对公司的经营产生一定</w:t>
      </w:r>
      <w:r>
        <w:rPr>
          <w:spacing w:val="-25"/>
        </w:rPr>
        <w:t> </w:t>
      </w:r>
      <w:r>
        <w:rPr>
          <w:spacing w:val="-25"/>
        </w:rPr>
      </w:r>
      <w:r>
        <w:rPr/>
        <w:t>影响，请投资者注意。</w:t>
      </w:r>
    </w:p>
    <w:p>
      <w:pPr>
        <w:pStyle w:val="BodyText"/>
        <w:spacing w:line="355" w:lineRule="auto" w:before="32"/>
        <w:ind w:left="558" w:right="125"/>
        <w:jc w:val="left"/>
      </w:pPr>
      <w:r>
        <w:rPr/>
        <w:t>（二）竞争风险</w:t>
      </w:r>
      <w:r>
        <w:rPr>
          <w:spacing w:val="-103"/>
        </w:rPr>
        <w:t> </w:t>
      </w:r>
      <w:r>
        <w:rPr>
          <w:spacing w:val="-103"/>
        </w:rPr>
      </w:r>
      <w:r>
        <w:rPr>
          <w:spacing w:val="-2"/>
        </w:rPr>
        <w:t>目前，集装箱物流行业竞争较为激烈、行业集中度较高，大型国企占据较大市场份额，与之</w:t>
      </w:r>
    </w:p>
    <w:p>
      <w:pPr>
        <w:pStyle w:val="BodyText"/>
        <w:spacing w:line="355" w:lineRule="auto" w:before="32"/>
        <w:ind w:left="138" w:right="137"/>
        <w:jc w:val="both"/>
      </w:pPr>
      <w:r>
        <w:rPr>
          <w:spacing w:val="-2"/>
        </w:rPr>
        <w:t>相比，这类竞争对手拥有较大的运力、更多的船队和更大的业务规模。同时，公司还面临行业内</w:t>
      </w:r>
      <w:r>
        <w:rPr>
          <w:spacing w:val="-25"/>
        </w:rPr>
        <w:t> </w:t>
      </w:r>
      <w:r>
        <w:rPr>
          <w:spacing w:val="-25"/>
        </w:rPr>
      </w:r>
      <w:r>
        <w:rPr/>
        <w:t>其它公司的激烈竞争。</w:t>
      </w:r>
    </w:p>
    <w:p>
      <w:pPr>
        <w:pStyle w:val="BodyText"/>
        <w:spacing w:line="357" w:lineRule="auto" w:before="32"/>
        <w:ind w:left="558" w:right="125"/>
        <w:jc w:val="left"/>
      </w:pPr>
      <w:r>
        <w:rPr/>
        <w:t>（三）业绩的季节性波动风险</w:t>
      </w:r>
      <w:r>
        <w:rPr>
          <w:w w:val="100"/>
        </w:rPr>
        <w:t> </w:t>
      </w:r>
      <w:r>
        <w:rPr>
          <w:spacing w:val="-2"/>
        </w:rPr>
        <w:t>公司从事的集装箱物流综合业务存在较为明显的季节性特征，每年第一季度是公司业务收入</w:t>
      </w:r>
    </w:p>
    <w:p>
      <w:pPr>
        <w:pStyle w:val="BodyText"/>
        <w:spacing w:line="355" w:lineRule="auto" w:before="30"/>
        <w:ind w:left="138" w:right="127"/>
        <w:jc w:val="both"/>
      </w:pPr>
      <w:r>
        <w:rPr>
          <w:spacing w:val="-6"/>
        </w:rPr>
        <w:t>的淡季，受元旦、春节等假期因素影响，集装箱物流业务的需求在此期间内较小。每年第二季度、</w:t>
      </w:r>
      <w:r>
        <w:rPr>
          <w:spacing w:val="-52"/>
        </w:rPr>
        <w:t> </w:t>
      </w:r>
      <w:r>
        <w:rPr>
          <w:spacing w:val="-52"/>
        </w:rPr>
      </w:r>
      <w:r>
        <w:rPr>
          <w:spacing w:val="-3"/>
        </w:rPr>
        <w:t>第三季度是公司业务收入的稳定期；第四季度为公司的业务旺季，特别是</w:t>
      </w:r>
      <w:r>
        <w:rPr>
          <w:spacing w:val="-28"/>
        </w:rPr>
        <w:t> </w:t>
      </w:r>
      <w:r>
        <w:rPr>
          <w:rFonts w:ascii="宋体" w:hAnsi="宋体" w:cs="宋体" w:eastAsia="宋体" w:hint="default"/>
          <w:spacing w:val="-6"/>
        </w:rPr>
        <w:t>11</w:t>
      </w:r>
      <w:r>
        <w:rPr>
          <w:spacing w:val="-6"/>
        </w:rPr>
        <w:t>、</w:t>
      </w:r>
      <w:r>
        <w:rPr>
          <w:rFonts w:ascii="宋体" w:hAnsi="宋体" w:cs="宋体" w:eastAsia="宋体" w:hint="default"/>
          <w:spacing w:val="-6"/>
        </w:rPr>
        <w:t>12</w:t>
      </w:r>
      <w:r>
        <w:rPr>
          <w:rFonts w:ascii="宋体" w:hAnsi="宋体" w:cs="宋体" w:eastAsia="宋体" w:hint="default"/>
          <w:spacing w:val="-28"/>
        </w:rPr>
        <w:t> </w:t>
      </w:r>
      <w:r>
        <w:rPr>
          <w:spacing w:val="-5"/>
        </w:rPr>
        <w:t>月，客户多在该</w:t>
      </w:r>
      <w:r>
        <w:rPr>
          <w:spacing w:val="-95"/>
        </w:rPr>
        <w:t> </w:t>
      </w:r>
      <w:r>
        <w:rPr>
          <w:spacing w:val="-95"/>
        </w:rPr>
      </w:r>
      <w:r>
        <w:rPr/>
        <w:t>期间内采购集装箱物流服务。因而收入的季节性导致公司可能存在业绩季节性波动风险。</w:t>
      </w:r>
    </w:p>
    <w:p>
      <w:pPr>
        <w:pStyle w:val="BodyText"/>
        <w:spacing w:line="357" w:lineRule="auto" w:before="32"/>
        <w:ind w:left="558" w:right="125"/>
        <w:jc w:val="left"/>
      </w:pPr>
      <w:r>
        <w:rPr/>
        <w:t>（四）集装箱物流运输安全风险</w:t>
      </w:r>
      <w:r>
        <w:rPr>
          <w:w w:val="100"/>
        </w:rPr>
        <w:t> </w:t>
      </w:r>
      <w:r>
        <w:rPr>
          <w:spacing w:val="-2"/>
        </w:rPr>
        <w:t>集装箱物流系以集装箱为载体，通过海上运输工具（船舶等）、内河运输工具（驳船等）或</w:t>
      </w:r>
    </w:p>
    <w:p>
      <w:pPr>
        <w:pStyle w:val="BodyText"/>
        <w:spacing w:line="357" w:lineRule="auto" w:before="30"/>
        <w:ind w:left="138" w:right="137"/>
        <w:jc w:val="both"/>
      </w:pPr>
      <w:r>
        <w:rPr>
          <w:spacing w:val="-2"/>
        </w:rPr>
        <w:t>陆上运输工具（铁路、集装箱卡车等）等对集装箱进行运输。集装箱和船舶是公司的主要营运资</w:t>
      </w:r>
      <w:r>
        <w:rPr>
          <w:spacing w:val="-25"/>
        </w:rPr>
        <w:t> </w:t>
      </w:r>
      <w:r>
        <w:rPr>
          <w:spacing w:val="-25"/>
        </w:rPr>
      </w:r>
      <w:r>
        <w:rPr>
          <w:spacing w:val="-2"/>
        </w:rPr>
        <w:t>产。集装箱或船舶在上述运输过程中，可能存在因遭遇暴风雨或台风等意外因素而造成集装箱损</w:t>
      </w:r>
      <w:r>
        <w:rPr>
          <w:spacing w:val="-25"/>
        </w:rPr>
        <w:t> </w:t>
      </w:r>
      <w:r>
        <w:rPr>
          <w:spacing w:val="-25"/>
        </w:rPr>
      </w:r>
      <w:r>
        <w:rPr>
          <w:spacing w:val="-2"/>
        </w:rPr>
        <w:t>坏或灭失、集装箱装载的货物受损或灭失、船舶损坏甚至沉没的风险。虽然公司在日常经营中，</w:t>
      </w:r>
      <w:r>
        <w:rPr>
          <w:spacing w:val="-25"/>
        </w:rPr>
        <w:t> </w:t>
      </w:r>
      <w:r>
        <w:rPr>
          <w:spacing w:val="-25"/>
        </w:rPr>
      </w:r>
      <w:r>
        <w:rPr>
          <w:spacing w:val="-2"/>
        </w:rPr>
        <w:t>对集装箱、货物、船舶均购买了航运物流业企业一般所购买的保险并对保险责任范围进行了较大</w:t>
      </w:r>
      <w:r>
        <w:rPr>
          <w:spacing w:val="-25"/>
        </w:rPr>
        <w:t> </w:t>
      </w:r>
      <w:r>
        <w:rPr>
          <w:spacing w:val="-25"/>
        </w:rPr>
      </w:r>
      <w:r>
        <w:rPr/>
        <w:t>的扩展，但该等风险仍可能对公司的日常经营带来不利影响。</w:t>
      </w:r>
    </w:p>
    <w:p>
      <w:pPr>
        <w:pStyle w:val="BodyText"/>
        <w:spacing w:line="240" w:lineRule="auto" w:before="30"/>
        <w:ind w:left="558" w:right="125"/>
        <w:jc w:val="left"/>
      </w:pPr>
      <w:r>
        <w:rPr>
          <w:rFonts w:ascii="宋体" w:hAnsi="宋体" w:cs="宋体" w:eastAsia="宋体" w:hint="default"/>
        </w:rPr>
        <w:t>(</w:t>
      </w:r>
      <w:r>
        <w:rPr/>
        <w:t>五</w:t>
      </w:r>
      <w:r>
        <w:rPr>
          <w:rFonts w:ascii="宋体" w:hAnsi="宋体" w:cs="宋体" w:eastAsia="宋体" w:hint="default"/>
        </w:rPr>
        <w:t>)</w:t>
      </w:r>
      <w:r>
        <w:rPr>
          <w:rFonts w:ascii="宋体" w:hAnsi="宋体" w:cs="宋体" w:eastAsia="宋体" w:hint="default"/>
          <w:spacing w:val="-1"/>
        </w:rPr>
        <w:t> </w:t>
      </w:r>
      <w:r>
        <w:rPr/>
        <w:t>多式联运基地项目经营风险</w:t>
      </w:r>
    </w:p>
    <w:p>
      <w:pPr>
        <w:pStyle w:val="BodyText"/>
        <w:spacing w:line="357" w:lineRule="auto" w:before="133"/>
        <w:ind w:left="138" w:right="137" w:firstLine="419"/>
        <w:jc w:val="both"/>
      </w:pPr>
      <w:r>
        <w:rPr/>
        <w:t>公司对外投资在泉州和唐山建立</w:t>
      </w:r>
      <w:r>
        <w:rPr>
          <w:spacing w:val="-55"/>
        </w:rPr>
        <w:t> </w:t>
      </w:r>
      <w:r>
        <w:rPr>
          <w:rFonts w:ascii="宋体" w:hAnsi="宋体" w:cs="宋体" w:eastAsia="宋体" w:hint="default"/>
        </w:rPr>
        <w:t>2</w:t>
      </w:r>
      <w:r>
        <w:rPr>
          <w:rFonts w:ascii="宋体" w:hAnsi="宋体" w:cs="宋体" w:eastAsia="宋体" w:hint="default"/>
          <w:spacing w:val="-55"/>
        </w:rPr>
        <w:t> </w:t>
      </w:r>
      <w:r>
        <w:rPr/>
        <w:t>个多式联运基地，该基地项目实施后，公司的经营规模进</w:t>
      </w:r>
      <w:r>
        <w:rPr>
          <w:w w:val="100"/>
        </w:rPr>
        <w:t> </w:t>
      </w:r>
      <w:r>
        <w:rPr>
          <w:spacing w:val="-2"/>
        </w:rPr>
        <w:t>一步扩大，资产管理难度进一步增加，在机构设置、内部控制、资金管理和人员安排等方面均面</w:t>
      </w:r>
      <w:r>
        <w:rPr>
          <w:spacing w:val="-25"/>
        </w:rPr>
        <w:t> </w:t>
      </w:r>
      <w:r>
        <w:rPr>
          <w:spacing w:val="-25"/>
        </w:rPr>
      </w:r>
      <w:r>
        <w:rPr>
          <w:spacing w:val="-2"/>
        </w:rPr>
        <w:t>临更高的要求，如不能建立起有效的沟通与协调机制，形成高效的管理模式和组织架构，则可能</w:t>
      </w:r>
      <w:r>
        <w:rPr>
          <w:spacing w:val="-25"/>
        </w:rPr>
        <w:t> </w:t>
      </w:r>
      <w:r>
        <w:rPr>
          <w:spacing w:val="-25"/>
        </w:rPr>
      </w:r>
      <w:r>
        <w:rPr/>
        <w:t>导致多式联运基地项目实施后公司的管理效率下降、运营成本上升等不利影响。</w:t>
      </w:r>
    </w:p>
    <w:p>
      <w:pPr>
        <w:spacing w:after="0" w:line="357" w:lineRule="auto"/>
        <w:jc w:val="both"/>
        <w:sectPr>
          <w:pgSz w:w="11910" w:h="16840"/>
          <w:pgMar w:header="880" w:footer="1195" w:top="1120" w:bottom="1380" w:left="1660" w:right="1140"/>
        </w:sectPr>
      </w:pPr>
    </w:p>
    <w:p>
      <w:pPr>
        <w:spacing w:line="240" w:lineRule="auto" w:before="4"/>
        <w:rPr>
          <w:rFonts w:ascii="宋体" w:hAnsi="宋体" w:cs="宋体" w:eastAsia="宋体" w:hint="default"/>
          <w:sz w:val="25"/>
          <w:szCs w:val="25"/>
        </w:rPr>
      </w:pPr>
    </w:p>
    <w:p>
      <w:pPr>
        <w:pStyle w:val="Heading2"/>
        <w:spacing w:line="240" w:lineRule="auto" w:before="36"/>
        <w:ind w:left="138" w:right="0"/>
        <w:jc w:val="both"/>
        <w:rPr>
          <w:b w:val="0"/>
          <w:bCs w:val="0"/>
        </w:rPr>
      </w:pPr>
      <w:r>
        <w:rPr>
          <w:rFonts w:ascii="宋体" w:hAnsi="宋体" w:cs="宋体" w:eastAsia="宋体" w:hint="default"/>
        </w:rPr>
        <w:t>(</w:t>
      </w:r>
      <w:r>
        <w:rPr/>
        <w:t>五</w:t>
      </w:r>
      <w:r>
        <w:rPr>
          <w:rFonts w:ascii="宋体" w:hAnsi="宋体" w:cs="宋体" w:eastAsia="宋体" w:hint="default"/>
        </w:rPr>
        <w:t>)  </w:t>
      </w:r>
      <w:r>
        <w:rPr>
          <w:rFonts w:ascii="宋体" w:hAnsi="宋体" w:cs="宋体" w:eastAsia="宋体" w:hint="default"/>
          <w:spacing w:val="99"/>
        </w:rPr>
        <w:t> </w:t>
      </w:r>
      <w:r>
        <w:rPr/>
        <w:t>其他</w:t>
      </w:r>
      <w:r>
        <w:rPr>
          <w:b w:val="0"/>
          <w:bCs w:val="0"/>
        </w:rPr>
      </w:r>
    </w:p>
    <w:p>
      <w:pPr>
        <w:pStyle w:val="BodyText"/>
        <w:spacing w:line="240" w:lineRule="auto" w:before="58"/>
        <w:ind w:left="138" w:right="0"/>
        <w:jc w:val="both"/>
      </w:pPr>
      <w:r>
        <w:rPr/>
        <w:t>□适用</w:t>
      </w:r>
      <w:r>
        <w:rPr>
          <w:spacing w:val="104"/>
        </w:rPr>
        <w:t> </w:t>
      </w:r>
      <w:r>
        <w:rPr/>
        <w:t>√不适用</w:t>
      </w:r>
    </w:p>
    <w:p>
      <w:pPr>
        <w:spacing w:line="240" w:lineRule="auto" w:before="4"/>
        <w:rPr>
          <w:rFonts w:ascii="宋体" w:hAnsi="宋体" w:cs="宋体" w:eastAsia="宋体" w:hint="default"/>
          <w:sz w:val="27"/>
          <w:szCs w:val="27"/>
        </w:rPr>
      </w:pPr>
    </w:p>
    <w:p>
      <w:pPr>
        <w:pStyle w:val="Heading2"/>
        <w:spacing w:line="272" w:lineRule="exact"/>
        <w:ind w:left="985" w:right="125" w:hanging="420"/>
        <w:jc w:val="left"/>
        <w:rPr>
          <w:b w:val="0"/>
          <w:bCs w:val="0"/>
        </w:rPr>
      </w:pPr>
      <w:r>
        <w:rPr>
          <w:spacing w:val="-2"/>
        </w:rPr>
        <w:t>四、公司因不适用准则规定或国家秘密、商业秘密等特殊原因，未按准则披露的情况和原因</w:t>
      </w:r>
      <w:r>
        <w:rPr>
          <w:spacing w:val="-58"/>
        </w:rPr>
        <w:t> </w:t>
      </w:r>
      <w:r>
        <w:rPr>
          <w:spacing w:val="-58"/>
        </w:rPr>
      </w:r>
      <w:r>
        <w:rPr/>
        <w:t>说明</w:t>
      </w:r>
      <w:r>
        <w:rPr>
          <w:b w:val="0"/>
          <w:bCs w:val="0"/>
        </w:rPr>
      </w:r>
    </w:p>
    <w:p>
      <w:pPr>
        <w:pStyle w:val="BodyText"/>
        <w:spacing w:line="240" w:lineRule="auto" w:before="34"/>
        <w:ind w:left="138" w:right="0"/>
        <w:jc w:val="both"/>
      </w:pPr>
      <w:r>
        <w:rPr/>
        <w:t>□适用</w:t>
      </w:r>
      <w:r>
        <w:rPr>
          <w:spacing w:val="104"/>
        </w:rPr>
        <w:t> </w:t>
      </w:r>
      <w:r>
        <w:rPr/>
        <w:t>√不适用</w:t>
      </w:r>
    </w:p>
    <w:p>
      <w:pPr>
        <w:spacing w:line="240" w:lineRule="auto" w:before="1"/>
        <w:rPr>
          <w:rFonts w:ascii="宋体" w:hAnsi="宋体" w:cs="宋体" w:eastAsia="宋体" w:hint="default"/>
          <w:sz w:val="24"/>
          <w:szCs w:val="24"/>
        </w:rPr>
      </w:pPr>
    </w:p>
    <w:p>
      <w:pPr>
        <w:pStyle w:val="Heading1"/>
        <w:tabs>
          <w:tab w:pos="1262" w:val="left" w:leader="none"/>
        </w:tabs>
        <w:spacing w:line="240" w:lineRule="auto"/>
        <w:ind w:left="2" w:right="0"/>
        <w:jc w:val="center"/>
        <w:rPr>
          <w:b w:val="0"/>
          <w:bCs w:val="0"/>
        </w:rPr>
      </w:pPr>
      <w:bookmarkStart w:name="_TOC_250007" w:id="5"/>
      <w:r>
        <w:rPr>
          <w:w w:val="95"/>
        </w:rPr>
        <w:t>第五节</w:t>
        <w:tab/>
      </w:r>
      <w:r>
        <w:rPr/>
        <w:t>重要事项</w:t>
      </w:r>
      <w:bookmarkEnd w:id="5"/>
      <w:r>
        <w:rPr>
          <w:b w:val="0"/>
          <w:bCs w:val="0"/>
        </w:rPr>
      </w:r>
    </w:p>
    <w:p>
      <w:pPr>
        <w:spacing w:line="240" w:lineRule="auto" w:before="4"/>
        <w:rPr>
          <w:rFonts w:ascii="黑体" w:hAnsi="黑体" w:cs="黑体" w:eastAsia="黑体" w:hint="default"/>
          <w:b/>
          <w:bCs/>
          <w:sz w:val="19"/>
          <w:szCs w:val="19"/>
        </w:rPr>
      </w:pPr>
    </w:p>
    <w:p>
      <w:pPr>
        <w:pStyle w:val="Heading2"/>
        <w:spacing w:line="240" w:lineRule="auto"/>
        <w:ind w:left="138" w:right="0"/>
        <w:jc w:val="both"/>
        <w:rPr>
          <w:b w:val="0"/>
          <w:bCs w:val="0"/>
        </w:rPr>
      </w:pPr>
      <w:r>
        <w:rPr/>
        <w:t>一、普通股利润分配或资本公积金转增预案</w:t>
      </w:r>
      <w:r>
        <w:rPr>
          <w:b w:val="0"/>
          <w:bCs w:val="0"/>
        </w:rPr>
      </w:r>
    </w:p>
    <w:p>
      <w:pPr>
        <w:pStyle w:val="Heading2"/>
        <w:spacing w:line="240" w:lineRule="auto" w:before="56"/>
        <w:ind w:left="138" w:right="0"/>
        <w:jc w:val="both"/>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0"/>
        </w:rPr>
        <w:t> </w:t>
      </w:r>
      <w:r>
        <w:rPr/>
        <w:t>现金分红政策的制定、执行或调整情况</w:t>
      </w:r>
      <w:r>
        <w:rPr>
          <w:b w:val="0"/>
          <w:bCs w:val="0"/>
        </w:rPr>
      </w:r>
    </w:p>
    <w:p>
      <w:pPr>
        <w:pStyle w:val="BodyText"/>
        <w:spacing w:line="273" w:lineRule="exact" w:before="32"/>
        <w:ind w:left="138" w:right="0"/>
        <w:jc w:val="both"/>
      </w:pPr>
      <w:r>
        <w:rPr/>
        <w:t>√适用</w:t>
      </w:r>
      <w:r>
        <w:rPr>
          <w:spacing w:val="104"/>
        </w:rPr>
        <w:t> </w:t>
      </w:r>
      <w:r>
        <w:rPr/>
        <w:t>□不适用</w:t>
      </w:r>
    </w:p>
    <w:p>
      <w:pPr>
        <w:pStyle w:val="BodyText"/>
        <w:spacing w:line="273" w:lineRule="exact"/>
        <w:ind w:left="558" w:right="0"/>
        <w:jc w:val="left"/>
      </w:pPr>
      <w:r>
        <w:rPr/>
        <w:t>公司第六届董事会第六次会议及 </w:t>
      </w:r>
      <w:r>
        <w:rPr>
          <w:rFonts w:ascii="宋体" w:hAnsi="宋体" w:cs="宋体" w:eastAsia="宋体" w:hint="default"/>
        </w:rPr>
        <w:t>2016</w:t>
      </w:r>
      <w:r>
        <w:rPr>
          <w:rFonts w:ascii="宋体" w:hAnsi="宋体" w:cs="宋体" w:eastAsia="宋体" w:hint="default"/>
          <w:spacing w:val="-62"/>
        </w:rPr>
        <w:t> </w:t>
      </w:r>
      <w:r>
        <w:rPr>
          <w:spacing w:val="-6"/>
        </w:rPr>
        <w:t>年年度股东大会，审议通过了《安通控股股份有限公司</w:t>
      </w:r>
    </w:p>
    <w:p>
      <w:pPr>
        <w:pStyle w:val="BodyText"/>
        <w:spacing w:line="240" w:lineRule="auto" w:before="133"/>
        <w:ind w:left="138" w:right="0"/>
        <w:jc w:val="both"/>
        <w:rPr>
          <w:rFonts w:ascii="宋体" w:hAnsi="宋体" w:cs="宋体" w:eastAsia="宋体" w:hint="default"/>
        </w:rPr>
      </w:pPr>
      <w:r>
        <w:rPr>
          <w:spacing w:val="-4"/>
        </w:rPr>
        <w:t>未来三年分红回报规划（</w:t>
      </w:r>
      <w:r>
        <w:rPr>
          <w:rFonts w:ascii="宋体" w:hAnsi="宋体" w:cs="宋体" w:eastAsia="宋体" w:hint="default"/>
          <w:spacing w:val="-4"/>
        </w:rPr>
        <w:t>2017</w:t>
      </w:r>
      <w:r>
        <w:rPr>
          <w:rFonts w:ascii="宋体" w:hAnsi="宋体" w:cs="宋体" w:eastAsia="宋体" w:hint="default"/>
          <w:spacing w:val="-47"/>
        </w:rPr>
        <w:t> </w:t>
      </w:r>
      <w:r>
        <w:rPr/>
        <w:t>年—</w:t>
      </w:r>
      <w:r>
        <w:rPr>
          <w:rFonts w:ascii="宋体" w:hAnsi="宋体" w:cs="宋体" w:eastAsia="宋体" w:hint="default"/>
        </w:rPr>
        <w:t>2019</w:t>
      </w:r>
      <w:r>
        <w:rPr>
          <w:rFonts w:ascii="宋体" w:hAnsi="宋体" w:cs="宋体" w:eastAsia="宋体" w:hint="default"/>
          <w:spacing w:val="-47"/>
        </w:rPr>
        <w:t> </w:t>
      </w:r>
      <w:r>
        <w:rPr>
          <w:spacing w:val="-10"/>
        </w:rPr>
        <w:t>年）》，具体内容请详见公司于</w:t>
      </w:r>
      <w:r>
        <w:rPr>
          <w:spacing w:val="-47"/>
        </w:rPr>
        <w:t> </w:t>
      </w:r>
      <w:r>
        <w:rPr>
          <w:rFonts w:ascii="宋体" w:hAnsi="宋体" w:cs="宋体" w:eastAsia="宋体" w:hint="default"/>
        </w:rPr>
        <w:t>2017</w:t>
      </w:r>
      <w:r>
        <w:rPr>
          <w:rFonts w:ascii="宋体" w:hAnsi="宋体" w:cs="宋体" w:eastAsia="宋体" w:hint="default"/>
          <w:spacing w:val="-49"/>
        </w:rPr>
        <w:t> </w:t>
      </w:r>
      <w:r>
        <w:rPr/>
        <w:t>年</w:t>
      </w:r>
      <w:r>
        <w:rPr>
          <w:spacing w:val="-46"/>
        </w:rPr>
        <w:t> </w:t>
      </w:r>
      <w:r>
        <w:rPr>
          <w:rFonts w:ascii="宋体" w:hAnsi="宋体" w:cs="宋体" w:eastAsia="宋体" w:hint="default"/>
        </w:rPr>
        <w:t>4</w:t>
      </w:r>
      <w:r>
        <w:rPr>
          <w:rFonts w:ascii="宋体" w:hAnsi="宋体" w:cs="宋体" w:eastAsia="宋体" w:hint="default"/>
          <w:spacing w:val="-49"/>
        </w:rPr>
        <w:t> </w:t>
      </w:r>
      <w:r>
        <w:rPr/>
        <w:t>月</w:t>
      </w:r>
      <w:r>
        <w:rPr>
          <w:spacing w:val="-47"/>
        </w:rPr>
        <w:t> </w:t>
      </w:r>
      <w:r>
        <w:rPr>
          <w:rFonts w:ascii="宋体" w:hAnsi="宋体" w:cs="宋体" w:eastAsia="宋体" w:hint="default"/>
        </w:rPr>
        <w:t>20</w:t>
      </w:r>
      <w:r>
        <w:rPr>
          <w:rFonts w:ascii="宋体" w:hAnsi="宋体" w:cs="宋体" w:eastAsia="宋体" w:hint="default"/>
          <w:spacing w:val="-49"/>
        </w:rPr>
        <w:t> </w:t>
      </w:r>
      <w:r>
        <w:rPr/>
        <w:t>日和</w:t>
      </w:r>
      <w:r>
        <w:rPr>
          <w:spacing w:val="-49"/>
        </w:rPr>
        <w:t> </w:t>
      </w:r>
      <w:r>
        <w:rPr>
          <w:rFonts w:ascii="宋体" w:hAnsi="宋体" w:cs="宋体" w:eastAsia="宋体" w:hint="default"/>
        </w:rPr>
        <w:t>2017</w:t>
      </w:r>
    </w:p>
    <w:p>
      <w:pPr>
        <w:pStyle w:val="BodyText"/>
        <w:spacing w:line="355" w:lineRule="auto" w:before="135"/>
        <w:ind w:left="558" w:right="125" w:hanging="420"/>
        <w:jc w:val="left"/>
      </w:pPr>
      <w:r>
        <w:rPr/>
        <w:t>年</w:t>
      </w:r>
      <w:r>
        <w:rPr>
          <w:spacing w:val="-53"/>
        </w:rPr>
        <w:t> </w:t>
      </w:r>
      <w:r>
        <w:rPr>
          <w:rFonts w:ascii="宋体" w:hAnsi="宋体" w:cs="宋体" w:eastAsia="宋体" w:hint="default"/>
        </w:rPr>
        <w:t>5</w:t>
      </w:r>
      <w:r>
        <w:rPr>
          <w:rFonts w:ascii="宋体" w:hAnsi="宋体" w:cs="宋体" w:eastAsia="宋体" w:hint="default"/>
          <w:spacing w:val="-55"/>
        </w:rPr>
        <w:t> </w:t>
      </w:r>
      <w:r>
        <w:rPr/>
        <w:t>月</w:t>
      </w:r>
      <w:r>
        <w:rPr>
          <w:spacing w:val="-53"/>
        </w:rPr>
        <w:t> </w:t>
      </w:r>
      <w:r>
        <w:rPr>
          <w:rFonts w:ascii="宋体" w:hAnsi="宋体" w:cs="宋体" w:eastAsia="宋体" w:hint="default"/>
        </w:rPr>
        <w:t>11</w:t>
      </w:r>
      <w:r>
        <w:rPr>
          <w:rFonts w:ascii="宋体" w:hAnsi="宋体" w:cs="宋体" w:eastAsia="宋体" w:hint="default"/>
          <w:spacing w:val="-55"/>
        </w:rPr>
        <w:t> </w:t>
      </w:r>
      <w:r>
        <w:rPr/>
        <w:t>日披露的相关公告。</w:t>
      </w:r>
      <w:r>
        <w:rPr>
          <w:spacing w:val="-103"/>
        </w:rPr>
        <w:t> </w:t>
      </w:r>
      <w:r>
        <w:rPr>
          <w:spacing w:val="-103"/>
        </w:rPr>
      </w:r>
      <w:r>
        <w:rPr>
          <w:spacing w:val="-2"/>
        </w:rPr>
        <w:t>公司实施持续、稳定的利润分配政策，重视投资者的合理投资回报。在公司当年盈利，且年</w:t>
      </w:r>
    </w:p>
    <w:p>
      <w:pPr>
        <w:pStyle w:val="BodyText"/>
        <w:spacing w:line="357" w:lineRule="auto" w:before="32"/>
        <w:ind w:left="138" w:right="137"/>
        <w:jc w:val="both"/>
      </w:pPr>
      <w:r>
        <w:rPr>
          <w:spacing w:val="-2"/>
        </w:rPr>
        <w:t>度实现的可分配利润为正数的情况下，可以采取现金、股票或现金与股票相结合的方式进行分配</w:t>
      </w:r>
      <w:r>
        <w:rPr>
          <w:spacing w:val="-25"/>
        </w:rPr>
        <w:t> </w:t>
      </w:r>
      <w:r>
        <w:rPr>
          <w:spacing w:val="-25"/>
        </w:rPr>
      </w:r>
      <w:r>
        <w:rPr>
          <w:spacing w:val="-2"/>
        </w:rPr>
        <w:t>利润。在具备现金分红条件时，优先采用现金分红的利润分配方式。公司利润分配方案由董事会</w:t>
      </w:r>
      <w:r>
        <w:rPr>
          <w:spacing w:val="-25"/>
        </w:rPr>
        <w:t> </w:t>
      </w:r>
      <w:r>
        <w:rPr>
          <w:spacing w:val="-25"/>
        </w:rPr>
      </w:r>
      <w:r>
        <w:rPr>
          <w:spacing w:val="-2"/>
        </w:rPr>
        <w:t>制定并审议通过后提交股东大会批准。独立董事可以在征集中小股东意见的基础上提出利润分配</w:t>
      </w:r>
      <w:r>
        <w:rPr>
          <w:spacing w:val="-25"/>
        </w:rPr>
        <w:t> </w:t>
      </w:r>
      <w:r>
        <w:rPr>
          <w:spacing w:val="-25"/>
        </w:rPr>
      </w:r>
      <w:r>
        <w:rPr/>
        <w:t>方案，直接提交董事会审议。</w:t>
      </w:r>
    </w:p>
    <w:p>
      <w:pPr>
        <w:pStyle w:val="BodyText"/>
        <w:spacing w:line="355" w:lineRule="auto" w:before="30"/>
        <w:ind w:left="138" w:right="135" w:firstLine="419"/>
        <w:jc w:val="both"/>
      </w:pPr>
      <w:r>
        <w:rPr/>
        <w:t>由于母公司</w:t>
      </w:r>
      <w:r>
        <w:rPr>
          <w:spacing w:val="-56"/>
        </w:rPr>
        <w:t> </w:t>
      </w:r>
      <w:r>
        <w:rPr>
          <w:rFonts w:ascii="宋体" w:hAnsi="宋体" w:cs="宋体" w:eastAsia="宋体" w:hint="default"/>
        </w:rPr>
        <w:t>2016</w:t>
      </w:r>
      <w:r>
        <w:rPr>
          <w:rFonts w:ascii="宋体" w:hAnsi="宋体" w:cs="宋体" w:eastAsia="宋体" w:hint="default"/>
          <w:spacing w:val="-56"/>
        </w:rPr>
        <w:t> </w:t>
      </w:r>
      <w:r>
        <w:rPr/>
        <w:t>年度末未分配利润为负，</w:t>
      </w:r>
      <w:r>
        <w:rPr>
          <w:rFonts w:ascii="宋体" w:hAnsi="宋体" w:cs="宋体" w:eastAsia="宋体" w:hint="default"/>
        </w:rPr>
        <w:t>2017</w:t>
      </w:r>
      <w:r>
        <w:rPr>
          <w:rFonts w:ascii="宋体" w:hAnsi="宋体" w:cs="宋体" w:eastAsia="宋体" w:hint="default"/>
          <w:spacing w:val="-55"/>
        </w:rPr>
        <w:t> </w:t>
      </w:r>
      <w:r>
        <w:rPr/>
        <w:t>年公司拟加大整合水路、铁路、公路运输资</w:t>
      </w:r>
      <w:r>
        <w:rPr>
          <w:w w:val="100"/>
        </w:rPr>
        <w:t> </w:t>
      </w:r>
      <w:r>
        <w:rPr>
          <w:spacing w:val="-2"/>
        </w:rPr>
        <w:t>源协同运作，做大、做精、做强集装箱物流主营业务，进一步利用多式联运的网络优势和信息化</w:t>
      </w:r>
      <w:r>
        <w:rPr>
          <w:spacing w:val="-25"/>
        </w:rPr>
        <w:t> </w:t>
      </w:r>
      <w:r>
        <w:rPr>
          <w:spacing w:val="-25"/>
        </w:rPr>
      </w:r>
      <w:r>
        <w:rPr>
          <w:spacing w:val="-3"/>
        </w:rPr>
        <w:t>的平台基础，不断扩展和延伸综合物流服务能力。因此，鉴于对公司未来发展的考虑，</w:t>
      </w:r>
      <w:r>
        <w:rPr>
          <w:rFonts w:ascii="宋体" w:hAnsi="宋体" w:cs="宋体" w:eastAsia="宋体" w:hint="default"/>
          <w:spacing w:val="-3"/>
        </w:rPr>
        <w:t>2016 </w:t>
      </w:r>
      <w:r>
        <w:rPr>
          <w:spacing w:val="-3"/>
        </w:rPr>
        <w:t>年度</w:t>
      </w:r>
      <w:r>
        <w:rPr>
          <w:spacing w:val="-82"/>
        </w:rPr>
        <w:t> </w:t>
      </w:r>
      <w:r>
        <w:rPr/>
        <w:t>公司不进行利润分配，也不进行资本公积金转增股本。</w:t>
      </w:r>
    </w:p>
    <w:p>
      <w:pPr>
        <w:pStyle w:val="BodyText"/>
        <w:spacing w:line="240" w:lineRule="auto" w:before="34"/>
        <w:ind w:left="558" w:right="0"/>
        <w:jc w:val="left"/>
      </w:pPr>
      <w:r>
        <w:rPr>
          <w:rFonts w:ascii="宋体" w:hAnsi="宋体" w:cs="宋体" w:eastAsia="宋体" w:hint="default"/>
          <w:w w:val="100"/>
        </w:rPr>
        <w:t>2018</w:t>
      </w:r>
      <w:r>
        <w:rPr>
          <w:rFonts w:ascii="宋体" w:hAnsi="宋体" w:cs="宋体" w:eastAsia="宋体" w:hint="default"/>
          <w:spacing w:val="-55"/>
        </w:rPr>
        <w:t> </w:t>
      </w:r>
      <w:r>
        <w:rPr>
          <w:w w:val="100"/>
        </w:rPr>
        <w:t>年</w:t>
      </w:r>
      <w:r>
        <w:rPr>
          <w:spacing w:val="-53"/>
        </w:rPr>
        <w:t> </w:t>
      </w:r>
      <w:r>
        <w:rPr>
          <w:rFonts w:ascii="宋体" w:hAnsi="宋体" w:cs="宋体" w:eastAsia="宋体" w:hint="default"/>
          <w:w w:val="100"/>
        </w:rPr>
        <w:t>3</w:t>
      </w:r>
      <w:r>
        <w:rPr>
          <w:rFonts w:ascii="宋体" w:hAnsi="宋体" w:cs="宋体" w:eastAsia="宋体" w:hint="default"/>
          <w:spacing w:val="-55"/>
        </w:rPr>
        <w:t> </w:t>
      </w:r>
      <w:r>
        <w:rPr>
          <w:w w:val="100"/>
        </w:rPr>
        <w:t>月</w:t>
      </w:r>
      <w:r>
        <w:rPr>
          <w:spacing w:val="-53"/>
        </w:rPr>
        <w:t> </w:t>
      </w:r>
      <w:r>
        <w:rPr>
          <w:rFonts w:ascii="宋体" w:hAnsi="宋体" w:cs="宋体" w:eastAsia="宋体" w:hint="default"/>
          <w:w w:val="100"/>
        </w:rPr>
        <w:t>11</w:t>
      </w:r>
      <w:r>
        <w:rPr>
          <w:rFonts w:ascii="宋体" w:hAnsi="宋体" w:cs="宋体" w:eastAsia="宋体" w:hint="default"/>
          <w:spacing w:val="-55"/>
        </w:rPr>
        <w:t> </w:t>
      </w:r>
      <w:r>
        <w:rPr>
          <w:w w:val="100"/>
        </w:rPr>
        <w:t>日</w:t>
      </w:r>
      <w:r>
        <w:rPr>
          <w:spacing w:val="-3"/>
          <w:w w:val="100"/>
        </w:rPr>
        <w:t>公</w:t>
      </w:r>
      <w:r>
        <w:rPr>
          <w:w w:val="100"/>
        </w:rPr>
        <w:t>司</w:t>
      </w:r>
      <w:r>
        <w:rPr>
          <w:spacing w:val="-3"/>
          <w:w w:val="100"/>
        </w:rPr>
        <w:t>召</w:t>
      </w:r>
      <w:r>
        <w:rPr>
          <w:w w:val="100"/>
        </w:rPr>
        <w:t>开第</w:t>
      </w:r>
      <w:r>
        <w:rPr>
          <w:spacing w:val="-3"/>
          <w:w w:val="100"/>
        </w:rPr>
        <w:t>六</w:t>
      </w:r>
      <w:r>
        <w:rPr>
          <w:w w:val="100"/>
        </w:rPr>
        <w:t>届</w:t>
      </w:r>
      <w:r>
        <w:rPr>
          <w:spacing w:val="-3"/>
          <w:w w:val="100"/>
        </w:rPr>
        <w:t>董</w:t>
      </w:r>
      <w:r>
        <w:rPr>
          <w:w w:val="100"/>
        </w:rPr>
        <w:t>事</w:t>
      </w:r>
      <w:r>
        <w:rPr>
          <w:spacing w:val="-3"/>
          <w:w w:val="100"/>
        </w:rPr>
        <w:t>会</w:t>
      </w:r>
      <w:r>
        <w:rPr>
          <w:w w:val="100"/>
        </w:rPr>
        <w:t>第</w:t>
      </w:r>
      <w:r>
        <w:rPr>
          <w:spacing w:val="-3"/>
          <w:w w:val="100"/>
        </w:rPr>
        <w:t>九</w:t>
      </w:r>
      <w:r>
        <w:rPr>
          <w:w w:val="100"/>
        </w:rPr>
        <w:t>次</w:t>
      </w:r>
      <w:r>
        <w:rPr>
          <w:spacing w:val="-3"/>
          <w:w w:val="100"/>
        </w:rPr>
        <w:t>会</w:t>
      </w:r>
      <w:r>
        <w:rPr>
          <w:w w:val="100"/>
        </w:rPr>
        <w:t>议审</w:t>
      </w:r>
      <w:r>
        <w:rPr>
          <w:spacing w:val="-3"/>
          <w:w w:val="100"/>
        </w:rPr>
        <w:t>议</w:t>
      </w:r>
      <w:r>
        <w:rPr>
          <w:w w:val="100"/>
        </w:rPr>
        <w:t>通</w:t>
      </w:r>
      <w:r>
        <w:rPr>
          <w:spacing w:val="-3"/>
          <w:w w:val="100"/>
        </w:rPr>
        <w:t>过</w:t>
      </w:r>
      <w:r>
        <w:rPr>
          <w:spacing w:val="-99"/>
          <w:w w:val="100"/>
        </w:rPr>
        <w:t>了</w:t>
      </w:r>
      <w:r>
        <w:rPr>
          <w:spacing w:val="-3"/>
          <w:w w:val="100"/>
        </w:rPr>
        <w:t>《</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7</w:t>
      </w:r>
      <w:r>
        <w:rPr>
          <w:rFonts w:ascii="宋体" w:hAnsi="宋体" w:cs="宋体" w:eastAsia="宋体" w:hint="default"/>
          <w:spacing w:val="-53"/>
        </w:rPr>
        <w:t> </w:t>
      </w:r>
      <w:r>
        <w:rPr>
          <w:spacing w:val="-3"/>
          <w:w w:val="100"/>
        </w:rPr>
        <w:t>年度</w:t>
      </w:r>
      <w:r>
        <w:rPr>
          <w:w w:val="100"/>
        </w:rPr>
        <w:t>利润</w:t>
      </w:r>
      <w:r>
        <w:rPr>
          <w:spacing w:val="-3"/>
          <w:w w:val="100"/>
        </w:rPr>
        <w:t>分</w:t>
      </w:r>
      <w:r>
        <w:rPr>
          <w:w w:val="100"/>
        </w:rPr>
        <w:t>配</w:t>
      </w:r>
      <w:r>
        <w:rPr>
          <w:spacing w:val="-3"/>
          <w:w w:val="100"/>
        </w:rPr>
        <w:t>预</w:t>
      </w:r>
      <w:r>
        <w:rPr>
          <w:w w:val="100"/>
        </w:rPr>
        <w:t>案</w:t>
      </w:r>
      <w:r>
        <w:rPr>
          <w:spacing w:val="-101"/>
          <w:w w:val="100"/>
        </w:rPr>
        <w:t>》</w:t>
      </w:r>
      <w:r>
        <w:rPr>
          <w:w w:val="100"/>
        </w:rPr>
        <w:t>。</w:t>
      </w:r>
    </w:p>
    <w:p>
      <w:pPr>
        <w:pStyle w:val="BodyText"/>
        <w:spacing w:line="240" w:lineRule="auto" w:before="133"/>
        <w:ind w:left="138" w:right="0"/>
        <w:jc w:val="both"/>
      </w:pPr>
      <w:r>
        <w:rPr>
          <w:spacing w:val="-6"/>
        </w:rPr>
        <w:t>经华普天健会计师事务所（特殊普通合伙）审计：公司 </w:t>
      </w:r>
      <w:r>
        <w:rPr>
          <w:rFonts w:ascii="宋体" w:hAnsi="宋体" w:cs="宋体" w:eastAsia="宋体" w:hint="default"/>
        </w:rPr>
        <w:t>2017</w:t>
      </w:r>
      <w:r>
        <w:rPr>
          <w:rFonts w:ascii="宋体" w:hAnsi="宋体" w:cs="宋体" w:eastAsia="宋体" w:hint="default"/>
          <w:spacing w:val="-57"/>
        </w:rPr>
        <w:t> </w:t>
      </w:r>
      <w:r>
        <w:rPr/>
        <w:t>年度实现归属于公司股东的净利润为</w:t>
      </w:r>
    </w:p>
    <w:p>
      <w:pPr>
        <w:pStyle w:val="BodyText"/>
        <w:spacing w:line="357" w:lineRule="auto" w:before="133"/>
        <w:ind w:left="138" w:right="137"/>
        <w:jc w:val="both"/>
        <w:rPr>
          <w:rFonts w:ascii="宋体" w:hAnsi="宋体" w:cs="宋体" w:eastAsia="宋体" w:hint="default"/>
        </w:rPr>
      </w:pPr>
      <w:r>
        <w:rPr>
          <w:rFonts w:ascii="宋体" w:hAnsi="宋体" w:cs="宋体" w:eastAsia="宋体" w:hint="default"/>
        </w:rPr>
        <w:t>552,366,107.62</w:t>
      </w:r>
      <w:r>
        <w:rPr>
          <w:rFonts w:ascii="宋体" w:hAnsi="宋体" w:cs="宋体" w:eastAsia="宋体" w:hint="default"/>
          <w:spacing w:val="-55"/>
        </w:rPr>
        <w:t> </w:t>
      </w:r>
      <w:r>
        <w:rPr/>
        <w:t>元。鉴于公司</w:t>
      </w:r>
      <w:r>
        <w:rPr>
          <w:spacing w:val="-54"/>
        </w:rPr>
        <w:t> </w:t>
      </w:r>
      <w:r>
        <w:rPr>
          <w:rFonts w:ascii="宋体" w:hAnsi="宋体" w:cs="宋体" w:eastAsia="宋体" w:hint="default"/>
        </w:rPr>
        <w:t>2017</w:t>
      </w:r>
      <w:r>
        <w:rPr>
          <w:rFonts w:ascii="宋体" w:hAnsi="宋体" w:cs="宋体" w:eastAsia="宋体" w:hint="default"/>
          <w:spacing w:val="-57"/>
        </w:rPr>
        <w:t> </w:t>
      </w:r>
      <w:r>
        <w:rPr/>
        <w:t>年盈利状况良好，公司主营业务保持持续稳定增长，为回馈</w:t>
      </w:r>
      <w:r>
        <w:rPr>
          <w:w w:val="100"/>
        </w:rPr>
        <w:t> </w:t>
      </w:r>
      <w:r>
        <w:rPr>
          <w:spacing w:val="-2"/>
        </w:rPr>
        <w:t>广大投资者对公司的支持，在符合相关法律法规和结合《公司章程》中关于分红政策的规定、保</w:t>
      </w:r>
      <w:r>
        <w:rPr>
          <w:spacing w:val="-25"/>
        </w:rPr>
        <w:t> </w:t>
      </w:r>
      <w:r>
        <w:rPr>
          <w:spacing w:val="-25"/>
        </w:rPr>
      </w:r>
      <w:r>
        <w:rPr>
          <w:spacing w:val="-2"/>
        </w:rPr>
        <w:t>证公司正常运营和长远发展的前提下与全体股东分享公司的经营成果，公司董事会拟定了</w:t>
      </w:r>
      <w:r>
        <w:rPr>
          <w:spacing w:val="25"/>
        </w:rPr>
        <w:t> </w:t>
      </w:r>
      <w:r>
        <w:rPr>
          <w:rFonts w:ascii="宋体" w:hAnsi="宋体" w:cs="宋体" w:eastAsia="宋体" w:hint="default"/>
          <w:spacing w:val="-1"/>
        </w:rPr>
        <w:t>2017</w:t>
      </w:r>
    </w:p>
    <w:p>
      <w:pPr>
        <w:pStyle w:val="BodyText"/>
        <w:spacing w:line="240" w:lineRule="auto" w:before="30"/>
        <w:ind w:left="138" w:right="0"/>
        <w:jc w:val="both"/>
      </w:pPr>
      <w:r>
        <w:rPr/>
        <w:t>年度利润分配预案：以截至</w:t>
      </w:r>
      <w:r>
        <w:rPr>
          <w:spacing w:val="-53"/>
        </w:rPr>
        <w:t> </w:t>
      </w:r>
      <w:r>
        <w:rPr>
          <w:rFonts w:ascii="宋体" w:hAnsi="宋体" w:cs="宋体" w:eastAsia="宋体" w:hint="default"/>
        </w:rPr>
        <w:t>2017</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日总股本</w:t>
      </w:r>
      <w:r>
        <w:rPr>
          <w:spacing w:val="-52"/>
        </w:rPr>
        <w:t> </w:t>
      </w:r>
      <w:r>
        <w:rPr>
          <w:rFonts w:ascii="宋体" w:hAnsi="宋体" w:cs="宋体" w:eastAsia="宋体" w:hint="default"/>
        </w:rPr>
        <w:t>1,062,128,511</w:t>
      </w:r>
      <w:r>
        <w:rPr>
          <w:rFonts w:ascii="宋体" w:hAnsi="宋体" w:cs="宋体" w:eastAsia="宋体" w:hint="default"/>
          <w:spacing w:val="-53"/>
        </w:rPr>
        <w:t> </w:t>
      </w:r>
      <w:r>
        <w:rPr/>
        <w:t>股为基数，向全体股东每</w:t>
      </w:r>
    </w:p>
    <w:p>
      <w:pPr>
        <w:pStyle w:val="BodyText"/>
        <w:spacing w:line="240" w:lineRule="auto" w:before="133"/>
        <w:ind w:left="138" w:right="0"/>
        <w:jc w:val="both"/>
      </w:pPr>
      <w:r>
        <w:rPr>
          <w:rFonts w:ascii="宋体" w:hAnsi="宋体" w:cs="宋体" w:eastAsia="宋体" w:hint="default"/>
        </w:rPr>
        <w:t>10</w:t>
      </w:r>
      <w:r>
        <w:rPr>
          <w:rFonts w:ascii="宋体" w:hAnsi="宋体" w:cs="宋体" w:eastAsia="宋体" w:hint="default"/>
          <w:spacing w:val="-55"/>
        </w:rPr>
        <w:t> </w:t>
      </w:r>
      <w:r>
        <w:rPr/>
        <w:t>股分配现金股利人民币</w:t>
      </w:r>
      <w:r>
        <w:rPr>
          <w:spacing w:val="-56"/>
        </w:rPr>
        <w:t> </w:t>
      </w:r>
      <w:r>
        <w:rPr>
          <w:rFonts w:ascii="宋体" w:hAnsi="宋体" w:cs="宋体" w:eastAsia="宋体" w:hint="default"/>
        </w:rPr>
        <w:t>1.00</w:t>
      </w:r>
      <w:r>
        <w:rPr>
          <w:rFonts w:ascii="宋体" w:hAnsi="宋体" w:cs="宋体" w:eastAsia="宋体" w:hint="default"/>
          <w:spacing w:val="-56"/>
        </w:rPr>
        <w:t> </w:t>
      </w:r>
      <w:r>
        <w:rPr/>
        <w:t>元（含税），共计分配股利</w:t>
      </w:r>
      <w:r>
        <w:rPr>
          <w:spacing w:val="-55"/>
        </w:rPr>
        <w:t> </w:t>
      </w:r>
      <w:r>
        <w:rPr>
          <w:rFonts w:ascii="宋体" w:hAnsi="宋体" w:cs="宋体" w:eastAsia="宋体" w:hint="default"/>
        </w:rPr>
        <w:t>106,212,851.1</w:t>
      </w:r>
      <w:r>
        <w:rPr>
          <w:rFonts w:ascii="宋体" w:hAnsi="宋体" w:cs="宋体" w:eastAsia="宋体" w:hint="default"/>
          <w:spacing w:val="-55"/>
        </w:rPr>
        <w:t> </w:t>
      </w:r>
      <w:r>
        <w:rPr/>
        <w:t>元；同时进行资本公</w:t>
      </w:r>
    </w:p>
    <w:p>
      <w:pPr>
        <w:pStyle w:val="BodyText"/>
        <w:spacing w:line="240" w:lineRule="auto" w:before="133"/>
        <w:ind w:left="138" w:right="0"/>
        <w:jc w:val="both"/>
        <w:rPr>
          <w:rFonts w:ascii="宋体" w:hAnsi="宋体" w:cs="宋体" w:eastAsia="宋体" w:hint="default"/>
        </w:rPr>
      </w:pPr>
      <w:r>
        <w:rPr>
          <w:spacing w:val="-4"/>
        </w:rPr>
        <w:t>积金转增股本，以</w:t>
      </w:r>
      <w:r>
        <w:rPr>
          <w:spacing w:val="-54"/>
        </w:rPr>
        <w:t> </w:t>
      </w:r>
      <w:r>
        <w:rPr>
          <w:rFonts w:ascii="宋体" w:hAnsi="宋体" w:cs="宋体" w:eastAsia="宋体" w:hint="default"/>
        </w:rPr>
        <w:t>1,062,128,511</w:t>
      </w:r>
      <w:r>
        <w:rPr>
          <w:rFonts w:ascii="宋体" w:hAnsi="宋体" w:cs="宋体" w:eastAsia="宋体" w:hint="default"/>
          <w:spacing w:val="-51"/>
        </w:rPr>
        <w:t> </w:t>
      </w:r>
      <w:r>
        <w:rPr/>
        <w:t>股为基数向全体股东每</w:t>
      </w:r>
      <w:r>
        <w:rPr>
          <w:spacing w:val="-52"/>
        </w:rPr>
        <w:t> </w:t>
      </w:r>
      <w:r>
        <w:rPr>
          <w:rFonts w:ascii="宋体" w:hAnsi="宋体" w:cs="宋体" w:eastAsia="宋体" w:hint="default"/>
        </w:rPr>
        <w:t>10</w:t>
      </w:r>
      <w:r>
        <w:rPr>
          <w:rFonts w:ascii="宋体" w:hAnsi="宋体" w:cs="宋体" w:eastAsia="宋体" w:hint="default"/>
          <w:spacing w:val="-52"/>
        </w:rPr>
        <w:t> </w:t>
      </w:r>
      <w:r>
        <w:rPr/>
        <w:t>股转增</w:t>
      </w:r>
      <w:r>
        <w:rPr>
          <w:spacing w:val="-54"/>
        </w:rPr>
        <w:t> </w:t>
      </w:r>
      <w:r>
        <w:rPr>
          <w:rFonts w:ascii="宋体" w:hAnsi="宋体" w:cs="宋体" w:eastAsia="宋体" w:hint="default"/>
        </w:rPr>
        <w:t>4</w:t>
      </w:r>
      <w:r>
        <w:rPr>
          <w:rFonts w:ascii="宋体" w:hAnsi="宋体" w:cs="宋体" w:eastAsia="宋体" w:hint="default"/>
          <w:spacing w:val="-52"/>
        </w:rPr>
        <w:t> </w:t>
      </w:r>
      <w:r>
        <w:rPr>
          <w:spacing w:val="-5"/>
        </w:rPr>
        <w:t>股，共计转增</w:t>
      </w:r>
      <w:r>
        <w:rPr>
          <w:spacing w:val="-51"/>
        </w:rPr>
        <w:t> </w:t>
      </w:r>
      <w:r>
        <w:rPr>
          <w:rFonts w:ascii="宋体" w:hAnsi="宋体" w:cs="宋体" w:eastAsia="宋体" w:hint="default"/>
        </w:rPr>
        <w:t>424,851,404</w:t>
      </w:r>
    </w:p>
    <w:p>
      <w:pPr>
        <w:pStyle w:val="BodyText"/>
        <w:spacing w:line="357" w:lineRule="auto" w:before="133"/>
        <w:ind w:left="558" w:right="125" w:hanging="420"/>
        <w:jc w:val="left"/>
      </w:pPr>
      <w:r>
        <w:rPr/>
        <w:t>股，转增后公司总股本将增加至 </w:t>
      </w:r>
      <w:r>
        <w:rPr>
          <w:rFonts w:ascii="宋体" w:hAnsi="宋体" w:cs="宋体" w:eastAsia="宋体" w:hint="default"/>
        </w:rPr>
        <w:t>1,486,979,915</w:t>
      </w:r>
      <w:r>
        <w:rPr>
          <w:rFonts w:ascii="宋体" w:hAnsi="宋体" w:cs="宋体" w:eastAsia="宋体" w:hint="default"/>
          <w:spacing w:val="-58"/>
        </w:rPr>
        <w:t> </w:t>
      </w:r>
      <w:r>
        <w:rPr/>
        <w:t>股。剩余未分配利润结转以后年度分配。</w:t>
      </w:r>
      <w:r>
        <w:rPr>
          <w:w w:val="100"/>
        </w:rPr>
        <w:t> </w:t>
      </w:r>
      <w:r>
        <w:rPr>
          <w:spacing w:val="-2"/>
        </w:rPr>
        <w:t>此次方案的现金分红水平有利于兼顾业务规模和盈利规模增长，有利于提高公司资产的运营</w:t>
      </w:r>
    </w:p>
    <w:p>
      <w:pPr>
        <w:pStyle w:val="BodyText"/>
        <w:spacing w:line="357" w:lineRule="auto" w:before="30"/>
        <w:ind w:left="558" w:right="125" w:hanging="420"/>
        <w:jc w:val="left"/>
      </w:pPr>
      <w:r>
        <w:rPr>
          <w:spacing w:val="-2"/>
        </w:rPr>
        <w:t>和使用效率，更好地保护股东权益，实现公司的可持续发展和股东利益的最大化。</w:t>
      </w:r>
      <w:r>
        <w:rPr>
          <w:spacing w:val="-35"/>
        </w:rPr>
        <w:t> </w:t>
      </w:r>
      <w:r>
        <w:rPr>
          <w:spacing w:val="-35"/>
        </w:rPr>
      </w:r>
      <w:r>
        <w:rPr/>
        <w:t>此方案需提交公司</w:t>
      </w:r>
      <w:r>
        <w:rPr>
          <w:spacing w:val="-53"/>
        </w:rPr>
        <w:t> </w:t>
      </w:r>
      <w:r>
        <w:rPr>
          <w:rFonts w:ascii="宋体" w:hAnsi="宋体" w:cs="宋体" w:eastAsia="宋体" w:hint="default"/>
        </w:rPr>
        <w:t>2017</w:t>
      </w:r>
      <w:r>
        <w:rPr>
          <w:rFonts w:ascii="宋体" w:hAnsi="宋体" w:cs="宋体" w:eastAsia="宋体" w:hint="default"/>
          <w:spacing w:val="-56"/>
        </w:rPr>
        <w:t> </w:t>
      </w:r>
      <w:r>
        <w:rPr/>
        <w:t>年度股东大会审议。</w:t>
      </w:r>
    </w:p>
    <w:p>
      <w:pPr>
        <w:spacing w:after="0" w:line="357" w:lineRule="auto"/>
        <w:jc w:val="left"/>
        <w:sectPr>
          <w:pgSz w:w="11910" w:h="16840"/>
          <w:pgMar w:header="880" w:footer="1195" w:top="1120" w:bottom="1380" w:left="1660" w:right="1140"/>
        </w:sectPr>
      </w:pPr>
    </w:p>
    <w:p>
      <w:pPr>
        <w:spacing w:line="240" w:lineRule="auto" w:before="4"/>
        <w:rPr>
          <w:rFonts w:ascii="宋体" w:hAnsi="宋体" w:cs="宋体" w:eastAsia="宋体" w:hint="default"/>
          <w:sz w:val="25"/>
          <w:szCs w:val="25"/>
        </w:rPr>
      </w:pPr>
    </w:p>
    <w:p>
      <w:pPr>
        <w:pStyle w:val="Heading2"/>
        <w:spacing w:line="240" w:lineRule="auto" w:before="36"/>
        <w:ind w:right="227"/>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公司近三年（含报告期）的普通股股利分配方案或预案、资本公积金转增股本方案或预案</w:t>
      </w:r>
      <w:r>
        <w:rPr>
          <w:b w:val="0"/>
          <w:bCs w:val="0"/>
        </w:rPr>
      </w:r>
    </w:p>
    <w:p>
      <w:pPr>
        <w:pStyle w:val="BodyText"/>
        <w:tabs>
          <w:tab w:pos="1051" w:val="left" w:leader="none"/>
        </w:tabs>
        <w:spacing w:line="240" w:lineRule="auto" w:before="32"/>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917"/>
        <w:gridCol w:w="1118"/>
        <w:gridCol w:w="1066"/>
        <w:gridCol w:w="1118"/>
        <w:gridCol w:w="1685"/>
        <w:gridCol w:w="1688"/>
        <w:gridCol w:w="1457"/>
      </w:tblGrid>
      <w:tr>
        <w:trPr>
          <w:trHeight w:val="1644" w:hRule="exact"/>
        </w:trPr>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42" w:right="240"/>
              <w:jc w:val="left"/>
              <w:rPr>
                <w:rFonts w:ascii="宋体" w:hAnsi="宋体" w:cs="宋体" w:eastAsia="宋体" w:hint="default"/>
                <w:sz w:val="21"/>
                <w:szCs w:val="21"/>
              </w:rPr>
            </w:pPr>
            <w:r>
              <w:rPr>
                <w:rFonts w:ascii="宋体" w:hAnsi="宋体" w:cs="宋体" w:eastAsia="宋体" w:hint="default"/>
                <w:sz w:val="21"/>
                <w:szCs w:val="21"/>
              </w:rPr>
              <w:t>分红</w:t>
            </w:r>
            <w:r>
              <w:rPr>
                <w:rFonts w:ascii="宋体" w:hAnsi="宋体" w:cs="宋体" w:eastAsia="宋体" w:hint="default"/>
                <w:spacing w:val="-103"/>
                <w:sz w:val="21"/>
                <w:szCs w:val="21"/>
              </w:rPr>
              <w:t> </w:t>
            </w:r>
            <w:r>
              <w:rPr>
                <w:rFonts w:ascii="宋体" w:hAnsi="宋体" w:cs="宋体" w:eastAsia="宋体" w:hint="default"/>
                <w:sz w:val="21"/>
                <w:szCs w:val="21"/>
              </w:rPr>
              <w:t>年度</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103" w:right="98"/>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72"/>
                <w:sz w:val="21"/>
                <w:szCs w:val="21"/>
              </w:rPr>
              <w:t> </w:t>
            </w:r>
            <w:r>
              <w:rPr>
                <w:rFonts w:ascii="宋体" w:hAnsi="宋体" w:cs="宋体" w:eastAsia="宋体" w:hint="default"/>
                <w:sz w:val="21"/>
                <w:szCs w:val="21"/>
              </w:rPr>
              <w:t>10</w:t>
            </w:r>
            <w:r>
              <w:rPr>
                <w:rFonts w:ascii="宋体" w:hAnsi="宋体" w:cs="宋体" w:eastAsia="宋体" w:hint="default"/>
                <w:spacing w:val="-75"/>
                <w:sz w:val="21"/>
                <w:szCs w:val="21"/>
              </w:rPr>
              <w:t> </w:t>
            </w:r>
            <w:r>
              <w:rPr>
                <w:rFonts w:ascii="宋体" w:hAnsi="宋体" w:cs="宋体" w:eastAsia="宋体" w:hint="default"/>
                <w:sz w:val="21"/>
                <w:szCs w:val="21"/>
              </w:rPr>
              <w:t>股送</w:t>
            </w:r>
            <w:r>
              <w:rPr>
                <w:rFonts w:ascii="宋体" w:hAnsi="宋体" w:cs="宋体" w:eastAsia="宋体" w:hint="default"/>
                <w:w w:val="100"/>
                <w:sz w:val="21"/>
                <w:szCs w:val="21"/>
              </w:rPr>
              <w:t> </w:t>
            </w:r>
            <w:r>
              <w:rPr>
                <w:rFonts w:ascii="宋体" w:hAnsi="宋体" w:cs="宋体" w:eastAsia="宋体" w:hint="default"/>
                <w:sz w:val="21"/>
                <w:szCs w:val="21"/>
              </w:rPr>
              <w:t>红股数</w:t>
            </w:r>
          </w:p>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08" w:right="107" w:firstLine="2"/>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派息数</w:t>
            </w:r>
            <w:r>
              <w:rPr>
                <w:rFonts w:ascii="宋体" w:hAnsi="宋体" w:cs="宋体" w:eastAsia="宋体" w:hint="default"/>
                <w:w w:val="100"/>
                <w:sz w:val="21"/>
                <w:szCs w:val="21"/>
              </w:rPr>
              <w:t> </w:t>
            </w:r>
            <w:r>
              <w:rPr>
                <w:rFonts w:ascii="宋体" w:hAnsi="宋体" w:cs="宋体" w:eastAsia="宋体" w:hint="default"/>
                <w:spacing w:val="-2"/>
                <w:sz w:val="21"/>
                <w:szCs w:val="21"/>
              </w:rPr>
              <w:t>(</w:t>
            </w:r>
            <w:r>
              <w:rPr>
                <w:rFonts w:ascii="宋体" w:hAnsi="宋体" w:cs="宋体" w:eastAsia="宋体" w:hint="default"/>
                <w:spacing w:val="-2"/>
                <w:sz w:val="21"/>
                <w:szCs w:val="21"/>
              </w:rPr>
              <w:t>元</w:t>
            </w:r>
            <w:r>
              <w:rPr>
                <w:rFonts w:ascii="宋体" w:hAnsi="宋体" w:cs="宋体" w:eastAsia="宋体" w:hint="default"/>
                <w:spacing w:val="-2"/>
                <w:sz w:val="21"/>
                <w:szCs w:val="21"/>
              </w:rPr>
              <w:t>)</w:t>
            </w:r>
            <w:r>
              <w:rPr>
                <w:rFonts w:ascii="宋体" w:hAnsi="宋体" w:cs="宋体" w:eastAsia="宋体" w:hint="default"/>
                <w:spacing w:val="-2"/>
                <w:sz w:val="21"/>
                <w:szCs w:val="21"/>
              </w:rPr>
              <w:t>（含</w:t>
            </w:r>
            <w:r>
              <w:rPr>
                <w:rFonts w:ascii="宋体" w:hAnsi="宋体" w:cs="宋体" w:eastAsia="宋体" w:hint="default"/>
                <w:spacing w:val="-103"/>
                <w:sz w:val="21"/>
                <w:szCs w:val="21"/>
              </w:rPr>
              <w:t> </w:t>
            </w:r>
            <w:r>
              <w:rPr>
                <w:rFonts w:ascii="宋体" w:hAnsi="宋体" w:cs="宋体" w:eastAsia="宋体" w:hint="default"/>
                <w:sz w:val="21"/>
                <w:szCs w:val="21"/>
              </w:rPr>
              <w:t>税）</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0" w:right="-3"/>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74"/>
                <w:sz w:val="21"/>
                <w:szCs w:val="21"/>
              </w:rPr>
              <w:t> </w:t>
            </w:r>
            <w:r>
              <w:rPr>
                <w:rFonts w:ascii="宋体" w:hAnsi="宋体" w:cs="宋体" w:eastAsia="宋体" w:hint="default"/>
                <w:sz w:val="21"/>
                <w:szCs w:val="21"/>
              </w:rPr>
              <w:t>10</w:t>
            </w:r>
            <w:r>
              <w:rPr>
                <w:rFonts w:ascii="宋体" w:hAnsi="宋体" w:cs="宋体" w:eastAsia="宋体" w:hint="default"/>
                <w:spacing w:val="-74"/>
                <w:sz w:val="21"/>
                <w:szCs w:val="21"/>
              </w:rPr>
              <w:t> </w:t>
            </w:r>
            <w:r>
              <w:rPr>
                <w:rFonts w:ascii="宋体" w:hAnsi="宋体" w:cs="宋体" w:eastAsia="宋体" w:hint="default"/>
                <w:spacing w:val="-3"/>
                <w:sz w:val="21"/>
                <w:szCs w:val="21"/>
              </w:rPr>
              <w:t>股转</w:t>
            </w:r>
            <w:r>
              <w:rPr>
                <w:rFonts w:ascii="宋体" w:hAnsi="宋体" w:cs="宋体" w:eastAsia="宋体" w:hint="default"/>
                <w:spacing w:val="-102"/>
                <w:sz w:val="21"/>
                <w:szCs w:val="21"/>
              </w:rPr>
              <w:t> </w:t>
            </w:r>
            <w:r>
              <w:rPr>
                <w:rFonts w:ascii="宋体" w:hAnsi="宋体" w:cs="宋体" w:eastAsia="宋体" w:hint="default"/>
                <w:spacing w:val="-10"/>
                <w:sz w:val="21"/>
                <w:szCs w:val="21"/>
              </w:rPr>
              <w:t>增数（股）</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现金分红的数额</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（含税）</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03" w:right="99"/>
              <w:jc w:val="center"/>
              <w:rPr>
                <w:rFonts w:ascii="宋体" w:hAnsi="宋体" w:cs="宋体" w:eastAsia="宋体" w:hint="default"/>
                <w:sz w:val="21"/>
                <w:szCs w:val="21"/>
              </w:rPr>
            </w:pPr>
            <w:r>
              <w:rPr>
                <w:rFonts w:ascii="宋体" w:hAnsi="宋体" w:cs="宋体" w:eastAsia="宋体" w:hint="default"/>
                <w:spacing w:val="-1"/>
                <w:sz w:val="21"/>
                <w:szCs w:val="21"/>
              </w:rPr>
              <w:t>分红年度合并报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表中归属于上市</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公司普通股股东</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的净利润</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占合并报表</w:t>
            </w:r>
          </w:p>
          <w:p>
            <w:pPr>
              <w:pStyle w:val="TableParagraph"/>
              <w:spacing w:line="237" w:lineRule="auto"/>
              <w:ind w:left="199" w:right="192"/>
              <w:jc w:val="center"/>
              <w:rPr>
                <w:rFonts w:ascii="宋体" w:hAnsi="宋体" w:cs="宋体" w:eastAsia="宋体" w:hint="default"/>
                <w:sz w:val="21"/>
                <w:szCs w:val="21"/>
              </w:rPr>
            </w:pPr>
            <w:r>
              <w:rPr>
                <w:rFonts w:ascii="宋体" w:hAnsi="宋体" w:cs="宋体" w:eastAsia="宋体" w:hint="default"/>
                <w:sz w:val="21"/>
                <w:szCs w:val="21"/>
              </w:rPr>
              <w:t>中归属于上</w:t>
            </w:r>
            <w:r>
              <w:rPr>
                <w:rFonts w:ascii="宋体" w:hAnsi="宋体" w:cs="宋体" w:eastAsia="宋体" w:hint="default"/>
                <w:w w:val="100"/>
                <w:sz w:val="21"/>
                <w:szCs w:val="21"/>
              </w:rPr>
              <w:t> </w:t>
            </w:r>
            <w:r>
              <w:rPr>
                <w:rFonts w:ascii="宋体" w:hAnsi="宋体" w:cs="宋体" w:eastAsia="宋体" w:hint="default"/>
                <w:sz w:val="21"/>
                <w:szCs w:val="21"/>
              </w:rPr>
              <w:t>市公司普通</w:t>
            </w:r>
            <w:r>
              <w:rPr>
                <w:rFonts w:ascii="宋体" w:hAnsi="宋体" w:cs="宋体" w:eastAsia="宋体" w:hint="default"/>
                <w:w w:val="100"/>
                <w:sz w:val="21"/>
                <w:szCs w:val="21"/>
              </w:rPr>
              <w:t> </w:t>
            </w:r>
            <w:r>
              <w:rPr>
                <w:rFonts w:ascii="宋体" w:hAnsi="宋体" w:cs="宋体" w:eastAsia="宋体" w:hint="default"/>
                <w:sz w:val="21"/>
                <w:szCs w:val="21"/>
              </w:rPr>
              <w:t>股股东的净</w:t>
            </w:r>
            <w:r>
              <w:rPr>
                <w:rFonts w:ascii="宋体" w:hAnsi="宋体" w:cs="宋体" w:eastAsia="宋体" w:hint="default"/>
                <w:w w:val="100"/>
                <w:sz w:val="21"/>
                <w:szCs w:val="21"/>
              </w:rPr>
              <w:t> </w:t>
            </w:r>
            <w:r>
              <w:rPr>
                <w:rFonts w:ascii="宋体" w:hAnsi="宋体" w:cs="宋体" w:eastAsia="宋体" w:hint="default"/>
                <w:sz w:val="21"/>
                <w:szCs w:val="21"/>
              </w:rPr>
              <w:t>利润的比率</w:t>
            </w:r>
            <w:r>
              <w:rPr>
                <w:rFonts w:ascii="宋体" w:hAnsi="宋体" w:cs="宋体" w:eastAsia="宋体" w:hint="default"/>
                <w:w w:val="100"/>
                <w:sz w:val="21"/>
                <w:szCs w:val="21"/>
              </w:rPr>
              <w:t> </w:t>
            </w:r>
            <w:r>
              <w:rPr>
                <w:rFonts w:ascii="宋体" w:hAnsi="宋体" w:cs="宋体" w:eastAsia="宋体" w:hint="default"/>
                <w:sz w:val="21"/>
                <w:szCs w:val="21"/>
              </w:rPr>
              <w:t>(%)</w:t>
            </w:r>
          </w:p>
        </w:tc>
      </w:tr>
      <w:tr>
        <w:trPr>
          <w:trHeight w:val="283" w:hRule="exact"/>
        </w:trPr>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1</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106,212,851.10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sz w:val="21"/>
              </w:rPr>
              <w:t>552,366,107.62</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19.23</w:t>
            </w:r>
          </w:p>
        </w:tc>
      </w:tr>
      <w:tr>
        <w:trPr>
          <w:trHeight w:val="283" w:hRule="exact"/>
        </w:trPr>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18"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401,292,805.45</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r>
      <w:tr>
        <w:trPr>
          <w:trHeight w:val="281" w:hRule="exact"/>
        </w:trPr>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18"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265,160,722.05</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Heading2"/>
        <w:spacing w:line="240" w:lineRule="auto" w:before="36"/>
        <w:ind w:right="2497"/>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1"/>
        </w:rPr>
        <w:t> </w:t>
      </w:r>
      <w:r>
        <w:rPr/>
        <w:t>以现金方式要约回购股份计入现金分红的情况</w:t>
      </w:r>
      <w:r>
        <w:rPr>
          <w:b w:val="0"/>
          <w:bCs w:val="0"/>
        </w:rPr>
      </w:r>
    </w:p>
    <w:p>
      <w:pPr>
        <w:pStyle w:val="BodyText"/>
        <w:spacing w:line="290" w:lineRule="auto" w:before="32"/>
        <w:ind w:right="7474"/>
        <w:jc w:val="left"/>
        <w:rPr>
          <w:rFonts w:ascii="宋体" w:hAnsi="宋体" w:cs="宋体" w:eastAsia="宋体" w:hint="default"/>
        </w:rPr>
      </w:pPr>
      <w:r>
        <w:rPr/>
        <w:t>□适用</w:t>
      </w:r>
      <w:r>
        <w:rPr>
          <w:spacing w:val="-1"/>
        </w:rPr>
        <w:t> </w:t>
      </w:r>
      <w:r>
        <w:rPr/>
        <w:t>√不适用</w:t>
      </w:r>
      <w:r>
        <w:rPr>
          <w:w w:val="100"/>
        </w:rPr>
        <w:t> </w:t>
      </w:r>
      <w:r>
        <w:rPr>
          <w:rFonts w:ascii="宋体" w:hAnsi="宋体" w:cs="宋体" w:eastAsia="宋体" w:hint="default"/>
        </w:rPr>
        <w:t>(</w:t>
      </w:r>
      <w:r>
        <w:rPr/>
        <w:t>四</w:t>
      </w:r>
      <w:r>
        <w:rPr>
          <w:rFonts w:ascii="宋体" w:hAnsi="宋体" w:cs="宋体" w:eastAsia="宋体" w:hint="default"/>
        </w:rPr>
        <w:t>)</w:t>
      </w:r>
    </w:p>
    <w:p>
      <w:pPr>
        <w:spacing w:after="0" w:line="290" w:lineRule="auto"/>
        <w:jc w:val="left"/>
        <w:rPr>
          <w:rFonts w:ascii="宋体" w:hAnsi="宋体" w:cs="宋体" w:eastAsia="宋体" w:hint="default"/>
        </w:rPr>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Heading2"/>
        <w:spacing w:line="272" w:lineRule="exact" w:before="64"/>
        <w:ind w:left="660" w:right="0" w:hanging="421"/>
        <w:jc w:val="left"/>
        <w:rPr>
          <w:b w:val="0"/>
          <w:bCs w:val="0"/>
        </w:rPr>
      </w:pPr>
      <w:r>
        <w:rPr>
          <w:rFonts w:ascii="Calibri" w:hAnsi="Calibri" w:cs="Calibri" w:eastAsia="Calibri" w:hint="default"/>
        </w:rPr>
        <w:t>(</w:t>
      </w:r>
      <w:r>
        <w:rPr/>
        <w:t>五</w:t>
      </w:r>
      <w:r>
        <w:rPr>
          <w:rFonts w:ascii="Calibri" w:hAnsi="Calibri" w:cs="Calibri" w:eastAsia="Calibri" w:hint="default"/>
        </w:rPr>
        <w:t>) </w:t>
      </w:r>
      <w:r>
        <w:rPr>
          <w:spacing w:val="-2"/>
        </w:rPr>
        <w:t>报告期内盈利且母公司可供普通股股东分配利润为正，但未提出普通股现金利润分配方案预案的，公司应当详细披露原因以及未分配利润的用途和</w:t>
      </w:r>
      <w:r>
        <w:rPr>
          <w:spacing w:val="-89"/>
        </w:rPr>
        <w:t> </w:t>
      </w:r>
      <w:r>
        <w:rPr>
          <w:spacing w:val="-89"/>
        </w:rPr>
      </w:r>
      <w:r>
        <w:rPr/>
        <w:t>使用计划</w:t>
      </w:r>
      <w:r>
        <w:rPr>
          <w:b w:val="0"/>
          <w:bCs w:val="0"/>
        </w:rPr>
      </w:r>
    </w:p>
    <w:p>
      <w:pPr>
        <w:spacing w:line="290" w:lineRule="auto" w:before="34"/>
        <w:ind w:left="240" w:right="1197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二、承诺事项履行情况</w:t>
      </w:r>
      <w:r>
        <w:rPr>
          <w:rFonts w:ascii="宋体" w:hAnsi="宋体" w:cs="宋体" w:eastAsia="宋体" w:hint="default"/>
          <w:sz w:val="21"/>
          <w:szCs w:val="21"/>
        </w:rPr>
      </w:r>
    </w:p>
    <w:p>
      <w:pPr>
        <w:pStyle w:val="Heading2"/>
        <w:tabs>
          <w:tab w:pos="806" w:val="left" w:leader="none"/>
        </w:tabs>
        <w:spacing w:line="240" w:lineRule="auto" w:before="14"/>
        <w:ind w:left="240" w:right="0"/>
        <w:jc w:val="left"/>
        <w:rPr>
          <w:b w:val="0"/>
          <w:bCs w:val="0"/>
        </w:rPr>
      </w:pPr>
      <w:r>
        <w:rPr>
          <w:rFonts w:ascii="Calibri" w:hAnsi="Calibri" w:cs="Calibri" w:eastAsia="Calibri" w:hint="default"/>
        </w:rPr>
        <w:t>(</w:t>
      </w:r>
      <w:r>
        <w:rPr/>
        <w:t>一</w:t>
      </w:r>
      <w:r>
        <w:rPr>
          <w:rFonts w:ascii="Calibri" w:hAnsi="Calibri" w:cs="Calibri" w:eastAsia="Calibri" w:hint="default"/>
        </w:rPr>
        <w:t>)</w:t>
        <w:tab/>
      </w:r>
      <w:r>
        <w:rPr/>
        <w:t>公司实际控制人、股东、关联方、收购人以及公司等承诺相关方在报告期内或持续到报告期内的承诺事项</w:t>
      </w:r>
      <w:r>
        <w:rPr>
          <w:b w:val="0"/>
          <w:bCs w:val="0"/>
        </w:rPr>
      </w:r>
    </w:p>
    <w:p>
      <w:pPr>
        <w:pStyle w:val="BodyText"/>
        <w:spacing w:line="240" w:lineRule="auto" w:before="29"/>
        <w:ind w:left="240" w:right="0"/>
        <w:jc w:val="left"/>
      </w:pPr>
      <w:r>
        <w:rPr/>
        <w:t>√适用 □不适用</w:t>
      </w: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004"/>
        <w:gridCol w:w="631"/>
        <w:gridCol w:w="1178"/>
        <w:gridCol w:w="6008"/>
        <w:gridCol w:w="2024"/>
        <w:gridCol w:w="629"/>
        <w:gridCol w:w="665"/>
        <w:gridCol w:w="1070"/>
        <w:gridCol w:w="900"/>
      </w:tblGrid>
      <w:tr>
        <w:trPr>
          <w:trHeight w:val="1916" w:hRule="exact"/>
        </w:trPr>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391" w:right="178" w:hanging="212"/>
              <w:jc w:val="left"/>
              <w:rPr>
                <w:rFonts w:ascii="宋体" w:hAnsi="宋体" w:cs="宋体" w:eastAsia="宋体" w:hint="default"/>
                <w:sz w:val="21"/>
                <w:szCs w:val="21"/>
              </w:rPr>
            </w:pPr>
            <w:r>
              <w:rPr>
                <w:rFonts w:ascii="宋体" w:hAnsi="宋体" w:cs="宋体" w:eastAsia="宋体" w:hint="default"/>
                <w:sz w:val="21"/>
                <w:szCs w:val="21"/>
              </w:rPr>
              <w:t>承诺背</w:t>
            </w:r>
            <w:r>
              <w:rPr>
                <w:rFonts w:ascii="宋体" w:hAnsi="宋体" w:cs="宋体" w:eastAsia="宋体" w:hint="default"/>
                <w:spacing w:val="-102"/>
                <w:sz w:val="21"/>
                <w:szCs w:val="21"/>
              </w:rPr>
              <w:t> </w:t>
            </w:r>
            <w:r>
              <w:rPr>
                <w:rFonts w:ascii="宋体" w:hAnsi="宋体" w:cs="宋体" w:eastAsia="宋体" w:hint="default"/>
                <w:sz w:val="21"/>
                <w:szCs w:val="21"/>
              </w:rPr>
              <w:t>景</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37" w:lineRule="auto"/>
              <w:ind w:left="204" w:right="204"/>
              <w:jc w:val="both"/>
              <w:rPr>
                <w:rFonts w:ascii="宋体" w:hAnsi="宋体" w:cs="宋体" w:eastAsia="宋体" w:hint="default"/>
                <w:sz w:val="21"/>
                <w:szCs w:val="21"/>
              </w:rPr>
            </w:pPr>
            <w:r>
              <w:rPr>
                <w:rFonts w:ascii="宋体" w:hAnsi="宋体" w:cs="宋体" w:eastAsia="宋体" w:hint="default"/>
                <w:sz w:val="21"/>
                <w:szCs w:val="21"/>
              </w:rPr>
              <w:t>承</w:t>
            </w:r>
            <w:r>
              <w:rPr>
                <w:rFonts w:ascii="宋体" w:hAnsi="宋体" w:cs="宋体" w:eastAsia="宋体" w:hint="default"/>
                <w:w w:val="100"/>
                <w:sz w:val="21"/>
                <w:szCs w:val="21"/>
              </w:rPr>
              <w:t> </w:t>
            </w:r>
            <w:r>
              <w:rPr>
                <w:rFonts w:ascii="宋体" w:hAnsi="宋体" w:cs="宋体" w:eastAsia="宋体" w:hint="default"/>
                <w:sz w:val="21"/>
                <w:szCs w:val="21"/>
              </w:rPr>
              <w:t>诺</w:t>
            </w:r>
            <w:r>
              <w:rPr>
                <w:rFonts w:ascii="宋体" w:hAnsi="宋体" w:cs="宋体" w:eastAsia="宋体" w:hint="default"/>
                <w:w w:val="100"/>
                <w:sz w:val="21"/>
                <w:szCs w:val="21"/>
              </w:rPr>
              <w:t> </w:t>
            </w:r>
            <w:r>
              <w:rPr>
                <w:rFonts w:ascii="宋体" w:hAnsi="宋体" w:cs="宋体" w:eastAsia="宋体" w:hint="default"/>
                <w:sz w:val="21"/>
                <w:szCs w:val="21"/>
              </w:rPr>
              <w:t>类</w:t>
            </w:r>
            <w:r>
              <w:rPr>
                <w:rFonts w:ascii="宋体" w:hAnsi="宋体" w:cs="宋体" w:eastAsia="宋体" w:hint="default"/>
                <w:w w:val="100"/>
                <w:sz w:val="21"/>
                <w:szCs w:val="21"/>
              </w:rPr>
              <w:t> </w:t>
            </w:r>
            <w:r>
              <w:rPr>
                <w:rFonts w:ascii="宋体" w:hAnsi="宋体" w:cs="宋体" w:eastAsia="宋体" w:hint="default"/>
                <w:sz w:val="21"/>
                <w:szCs w:val="21"/>
              </w:rPr>
              <w:t>型</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66" w:right="0"/>
              <w:jc w:val="left"/>
              <w:rPr>
                <w:rFonts w:ascii="宋体" w:hAnsi="宋体" w:cs="宋体" w:eastAsia="宋体" w:hint="default"/>
                <w:sz w:val="21"/>
                <w:szCs w:val="21"/>
              </w:rPr>
            </w:pPr>
            <w:r>
              <w:rPr>
                <w:rFonts w:ascii="宋体" w:hAnsi="宋体" w:cs="宋体" w:eastAsia="宋体" w:hint="default"/>
                <w:sz w:val="21"/>
                <w:szCs w:val="21"/>
              </w:rPr>
              <w:t>承诺方</w:t>
            </w:r>
          </w:p>
        </w:tc>
        <w:tc>
          <w:tcPr>
            <w:tcW w:w="6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2789" w:right="2784"/>
              <w:jc w:val="center"/>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w w:val="100"/>
                <w:sz w:val="21"/>
                <w:szCs w:val="21"/>
              </w:rPr>
              <w:t> </w:t>
            </w:r>
            <w:r>
              <w:rPr>
                <w:rFonts w:ascii="宋体" w:hAnsi="宋体" w:cs="宋体" w:eastAsia="宋体" w:hint="default"/>
                <w:sz w:val="21"/>
                <w:szCs w:val="21"/>
              </w:rPr>
              <w:t>内容</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71" w:right="0"/>
              <w:jc w:val="left"/>
              <w:rPr>
                <w:rFonts w:ascii="宋体" w:hAnsi="宋体" w:cs="宋体" w:eastAsia="宋体" w:hint="default"/>
                <w:sz w:val="21"/>
                <w:szCs w:val="21"/>
              </w:rPr>
            </w:pPr>
            <w:r>
              <w:rPr>
                <w:rFonts w:ascii="宋体" w:hAnsi="宋体" w:cs="宋体" w:eastAsia="宋体" w:hint="default"/>
                <w:sz w:val="21"/>
                <w:szCs w:val="21"/>
              </w:rPr>
              <w:t>承诺时间及期限</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4" w:right="0"/>
              <w:jc w:val="both"/>
              <w:rPr>
                <w:rFonts w:ascii="宋体" w:hAnsi="宋体" w:cs="宋体" w:eastAsia="宋体" w:hint="default"/>
                <w:sz w:val="21"/>
                <w:szCs w:val="21"/>
              </w:rPr>
            </w:pPr>
            <w:r>
              <w:rPr>
                <w:rFonts w:ascii="宋体" w:hAnsi="宋体" w:cs="宋体" w:eastAsia="宋体" w:hint="default"/>
                <w:w w:val="100"/>
                <w:sz w:val="21"/>
                <w:szCs w:val="21"/>
              </w:rPr>
              <w:t>是</w:t>
            </w:r>
          </w:p>
          <w:p>
            <w:pPr>
              <w:pStyle w:val="TableParagraph"/>
              <w:spacing w:line="237" w:lineRule="auto"/>
              <w:ind w:left="204" w:right="203"/>
              <w:jc w:val="both"/>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履</w:t>
            </w:r>
            <w:r>
              <w:rPr>
                <w:rFonts w:ascii="宋体" w:hAnsi="宋体" w:cs="宋体" w:eastAsia="宋体" w:hint="default"/>
                <w:w w:val="100"/>
                <w:sz w:val="21"/>
                <w:szCs w:val="21"/>
              </w:rPr>
              <w:t> </w:t>
            </w: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限</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37" w:lineRule="auto"/>
              <w:ind w:left="117" w:right="113"/>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及时</w:t>
            </w:r>
            <w:r>
              <w:rPr>
                <w:rFonts w:ascii="宋体" w:hAnsi="宋体" w:cs="宋体" w:eastAsia="宋体" w:hint="default"/>
                <w:spacing w:val="-103"/>
                <w:sz w:val="21"/>
                <w:szCs w:val="21"/>
              </w:rPr>
              <w:t> </w:t>
            </w:r>
            <w:r>
              <w:rPr>
                <w:rFonts w:ascii="宋体" w:hAnsi="宋体" w:cs="宋体" w:eastAsia="宋体" w:hint="default"/>
                <w:sz w:val="21"/>
                <w:szCs w:val="21"/>
              </w:rPr>
              <w:t>严格</w:t>
            </w:r>
            <w:r>
              <w:rPr>
                <w:rFonts w:ascii="宋体" w:hAnsi="宋体" w:cs="宋体" w:eastAsia="宋体" w:hint="default"/>
                <w:spacing w:val="-103"/>
                <w:sz w:val="21"/>
                <w:szCs w:val="21"/>
              </w:rPr>
              <w:t> </w:t>
            </w:r>
            <w:r>
              <w:rPr>
                <w:rFonts w:ascii="宋体" w:hAnsi="宋体" w:cs="宋体" w:eastAsia="宋体" w:hint="default"/>
                <w:sz w:val="21"/>
                <w:szCs w:val="21"/>
              </w:rPr>
              <w:t>履行</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37" w:lineRule="auto"/>
              <w:ind w:left="110" w:right="105"/>
              <w:jc w:val="both"/>
              <w:rPr>
                <w:rFonts w:ascii="宋体" w:hAnsi="宋体" w:cs="宋体" w:eastAsia="宋体" w:hint="default"/>
                <w:sz w:val="21"/>
                <w:szCs w:val="21"/>
              </w:rPr>
            </w:pPr>
            <w:r>
              <w:rPr>
                <w:rFonts w:ascii="宋体" w:hAnsi="宋体" w:cs="宋体" w:eastAsia="宋体" w:hint="default"/>
                <w:sz w:val="21"/>
                <w:szCs w:val="21"/>
              </w:rPr>
              <w:t>如未能及</w:t>
            </w:r>
            <w:r>
              <w:rPr>
                <w:rFonts w:ascii="宋体" w:hAnsi="宋体" w:cs="宋体" w:eastAsia="宋体" w:hint="default"/>
                <w:w w:val="100"/>
                <w:sz w:val="21"/>
                <w:szCs w:val="21"/>
              </w:rPr>
              <w:t> </w:t>
            </w:r>
            <w:r>
              <w:rPr>
                <w:rFonts w:ascii="宋体" w:hAnsi="宋体" w:cs="宋体" w:eastAsia="宋体" w:hint="default"/>
                <w:sz w:val="21"/>
                <w:szCs w:val="21"/>
              </w:rPr>
              <w:t>时履行应</w:t>
            </w:r>
            <w:r>
              <w:rPr>
                <w:rFonts w:ascii="宋体" w:hAnsi="宋体" w:cs="宋体" w:eastAsia="宋体" w:hint="default"/>
                <w:w w:val="100"/>
                <w:sz w:val="21"/>
                <w:szCs w:val="21"/>
              </w:rPr>
              <w:t> </w:t>
            </w:r>
            <w:r>
              <w:rPr>
                <w:rFonts w:ascii="宋体" w:hAnsi="宋体" w:cs="宋体" w:eastAsia="宋体" w:hint="default"/>
                <w:sz w:val="21"/>
                <w:szCs w:val="21"/>
              </w:rPr>
              <w:t>说明未完</w:t>
            </w:r>
            <w:r>
              <w:rPr>
                <w:rFonts w:ascii="宋体" w:hAnsi="宋体" w:cs="宋体" w:eastAsia="宋体" w:hint="default"/>
                <w:w w:val="100"/>
                <w:sz w:val="21"/>
                <w:szCs w:val="21"/>
              </w:rPr>
              <w:t> </w:t>
            </w:r>
            <w:r>
              <w:rPr>
                <w:rFonts w:ascii="宋体" w:hAnsi="宋体" w:cs="宋体" w:eastAsia="宋体" w:hint="default"/>
                <w:sz w:val="21"/>
                <w:szCs w:val="21"/>
              </w:rPr>
              <w:t>成履行的</w:t>
            </w:r>
            <w:r>
              <w:rPr>
                <w:rFonts w:ascii="宋体" w:hAnsi="宋体" w:cs="宋体" w:eastAsia="宋体" w:hint="default"/>
                <w:w w:val="100"/>
                <w:sz w:val="21"/>
                <w:szCs w:val="21"/>
              </w:rPr>
              <w:t> </w:t>
            </w:r>
            <w:r>
              <w:rPr>
                <w:rFonts w:ascii="宋体" w:hAnsi="宋体" w:cs="宋体" w:eastAsia="宋体" w:hint="default"/>
                <w:sz w:val="21"/>
                <w:szCs w:val="21"/>
              </w:rPr>
              <w:t>具体原因</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37" w:lineRule="auto"/>
              <w:ind w:left="130" w:right="125"/>
              <w:jc w:val="both"/>
              <w:rPr>
                <w:rFonts w:ascii="宋体" w:hAnsi="宋体" w:cs="宋体" w:eastAsia="宋体" w:hint="default"/>
                <w:sz w:val="21"/>
                <w:szCs w:val="21"/>
              </w:rPr>
            </w:pPr>
            <w:r>
              <w:rPr>
                <w:rFonts w:ascii="宋体" w:hAnsi="宋体" w:cs="宋体" w:eastAsia="宋体" w:hint="default"/>
                <w:sz w:val="21"/>
                <w:szCs w:val="21"/>
              </w:rPr>
              <w:t>如未能</w:t>
            </w:r>
            <w:r>
              <w:rPr>
                <w:rFonts w:ascii="宋体" w:hAnsi="宋体" w:cs="宋体" w:eastAsia="宋体" w:hint="default"/>
                <w:spacing w:val="-102"/>
                <w:sz w:val="21"/>
                <w:szCs w:val="21"/>
              </w:rPr>
              <w:t> </w:t>
            </w:r>
            <w:r>
              <w:rPr>
                <w:rFonts w:ascii="宋体" w:hAnsi="宋体" w:cs="宋体" w:eastAsia="宋体" w:hint="default"/>
                <w:sz w:val="21"/>
                <w:szCs w:val="21"/>
              </w:rPr>
              <w:t>及时履</w:t>
            </w:r>
            <w:r>
              <w:rPr>
                <w:rFonts w:ascii="宋体" w:hAnsi="宋体" w:cs="宋体" w:eastAsia="宋体" w:hint="default"/>
                <w:spacing w:val="-102"/>
                <w:sz w:val="21"/>
                <w:szCs w:val="21"/>
              </w:rPr>
              <w:t> </w:t>
            </w:r>
            <w:r>
              <w:rPr>
                <w:rFonts w:ascii="宋体" w:hAnsi="宋体" w:cs="宋体" w:eastAsia="宋体" w:hint="default"/>
                <w:sz w:val="21"/>
                <w:szCs w:val="21"/>
              </w:rPr>
              <w:t>行应说</w:t>
            </w:r>
            <w:r>
              <w:rPr>
                <w:rFonts w:ascii="宋体" w:hAnsi="宋体" w:cs="宋体" w:eastAsia="宋体" w:hint="default"/>
                <w:spacing w:val="-102"/>
                <w:sz w:val="21"/>
                <w:szCs w:val="21"/>
              </w:rPr>
              <w:t> </w:t>
            </w:r>
            <w:r>
              <w:rPr>
                <w:rFonts w:ascii="宋体" w:hAnsi="宋体" w:cs="宋体" w:eastAsia="宋体" w:hint="default"/>
                <w:sz w:val="21"/>
                <w:szCs w:val="21"/>
              </w:rPr>
              <w:t>明下一</w:t>
            </w:r>
            <w:r>
              <w:rPr>
                <w:rFonts w:ascii="宋体" w:hAnsi="宋体" w:cs="宋体" w:eastAsia="宋体" w:hint="default"/>
                <w:spacing w:val="-102"/>
                <w:sz w:val="21"/>
                <w:szCs w:val="21"/>
              </w:rPr>
              <w:t> </w:t>
            </w:r>
            <w:r>
              <w:rPr>
                <w:rFonts w:ascii="宋体" w:hAnsi="宋体" w:cs="宋体" w:eastAsia="宋体" w:hint="default"/>
                <w:sz w:val="21"/>
                <w:szCs w:val="21"/>
              </w:rPr>
              <w:t>步计划</w:t>
            </w:r>
          </w:p>
        </w:tc>
      </w:tr>
      <w:tr>
        <w:trPr>
          <w:trHeight w:val="283" w:hRule="exact"/>
        </w:trPr>
        <w:tc>
          <w:tcPr>
            <w:tcW w:w="1004" w:type="dxa"/>
            <w:vMerge w:val="restart"/>
            <w:tcBorders>
              <w:top w:val="single" w:sz="4" w:space="0" w:color="000000"/>
              <w:left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与股改</w:t>
            </w:r>
          </w:p>
          <w:p>
            <w:pPr>
              <w:pStyle w:val="TableParagraph"/>
              <w:spacing w:line="272" w:lineRule="exact" w:before="27"/>
              <w:ind w:left="103" w:right="255"/>
              <w:jc w:val="left"/>
              <w:rPr>
                <w:rFonts w:ascii="宋体" w:hAnsi="宋体" w:cs="宋体" w:eastAsia="宋体" w:hint="default"/>
                <w:sz w:val="21"/>
                <w:szCs w:val="21"/>
              </w:rPr>
            </w:pPr>
            <w:r>
              <w:rPr>
                <w:rFonts w:ascii="宋体" w:hAnsi="宋体" w:cs="宋体" w:eastAsia="宋体" w:hint="default"/>
                <w:sz w:val="21"/>
                <w:szCs w:val="21"/>
              </w:rPr>
              <w:t>相关的</w:t>
            </w:r>
            <w:r>
              <w:rPr>
                <w:rFonts w:ascii="宋体" w:hAnsi="宋体" w:cs="宋体" w:eastAsia="宋体" w:hint="default"/>
                <w:spacing w:val="-102"/>
                <w:sz w:val="21"/>
                <w:szCs w:val="21"/>
              </w:rPr>
              <w:t> </w:t>
            </w:r>
            <w:r>
              <w:rPr>
                <w:rFonts w:ascii="宋体" w:hAnsi="宋体" w:cs="宋体" w:eastAsia="宋体" w:hint="default"/>
                <w:sz w:val="21"/>
                <w:szCs w:val="21"/>
              </w:rPr>
              <w:t>承诺</w:t>
            </w:r>
          </w:p>
        </w:tc>
        <w:tc>
          <w:tcPr>
            <w:tcW w:w="631"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6008" w:type="dxa"/>
            <w:tcBorders>
              <w:top w:val="single" w:sz="4" w:space="0" w:color="000000"/>
              <w:left w:val="single" w:sz="4" w:space="0" w:color="000000"/>
              <w:bottom w:val="single" w:sz="4" w:space="0" w:color="000000"/>
              <w:right w:val="single" w:sz="4" w:space="0" w:color="000000"/>
            </w:tcBorders>
          </w:tcPr>
          <w:p>
            <w:pPr/>
          </w:p>
        </w:tc>
        <w:tc>
          <w:tcPr>
            <w:tcW w:w="2024"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545" w:hRule="exact"/>
        </w:trPr>
        <w:tc>
          <w:tcPr>
            <w:tcW w:w="1004" w:type="dxa"/>
            <w:vMerge/>
            <w:tcBorders>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6008" w:type="dxa"/>
            <w:tcBorders>
              <w:top w:val="single" w:sz="4" w:space="0" w:color="000000"/>
              <w:left w:val="single" w:sz="4" w:space="0" w:color="000000"/>
              <w:bottom w:val="single" w:sz="4" w:space="0" w:color="000000"/>
              <w:right w:val="single" w:sz="4" w:space="0" w:color="000000"/>
            </w:tcBorders>
          </w:tcPr>
          <w:p>
            <w:pPr/>
          </w:p>
        </w:tc>
        <w:tc>
          <w:tcPr>
            <w:tcW w:w="2024"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638" w:hRule="exact"/>
        </w:trPr>
        <w:tc>
          <w:tcPr>
            <w:tcW w:w="1004" w:type="dxa"/>
            <w:vMerge w:val="restart"/>
            <w:tcBorders>
              <w:top w:val="single" w:sz="4" w:space="0" w:color="000000"/>
              <w:left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收购报</w:t>
            </w:r>
          </w:p>
          <w:p>
            <w:pPr>
              <w:pStyle w:val="TableParagraph"/>
              <w:spacing w:line="237" w:lineRule="auto"/>
              <w:ind w:left="103" w:right="255"/>
              <w:jc w:val="both"/>
              <w:rPr>
                <w:rFonts w:ascii="宋体" w:hAnsi="宋体" w:cs="宋体" w:eastAsia="宋体" w:hint="default"/>
                <w:sz w:val="21"/>
                <w:szCs w:val="21"/>
              </w:rPr>
            </w:pPr>
            <w:r>
              <w:rPr>
                <w:rFonts w:ascii="宋体" w:hAnsi="宋体" w:cs="宋体" w:eastAsia="宋体" w:hint="default"/>
                <w:sz w:val="21"/>
                <w:szCs w:val="21"/>
              </w:rPr>
              <w:t>告书或</w:t>
            </w:r>
            <w:r>
              <w:rPr>
                <w:rFonts w:ascii="宋体" w:hAnsi="宋体" w:cs="宋体" w:eastAsia="宋体" w:hint="default"/>
                <w:spacing w:val="-102"/>
                <w:sz w:val="21"/>
                <w:szCs w:val="21"/>
              </w:rPr>
              <w:t> </w:t>
            </w:r>
            <w:r>
              <w:rPr>
                <w:rFonts w:ascii="宋体" w:hAnsi="宋体" w:cs="宋体" w:eastAsia="宋体" w:hint="default"/>
                <w:sz w:val="21"/>
                <w:szCs w:val="21"/>
              </w:rPr>
              <w:t>权益变</w:t>
            </w:r>
            <w:r>
              <w:rPr>
                <w:rFonts w:ascii="宋体" w:hAnsi="宋体" w:cs="宋体" w:eastAsia="宋体" w:hint="default"/>
                <w:spacing w:val="-102"/>
                <w:sz w:val="21"/>
                <w:szCs w:val="21"/>
              </w:rPr>
              <w:t> </w:t>
            </w:r>
            <w:r>
              <w:rPr>
                <w:rFonts w:ascii="宋体" w:hAnsi="宋体" w:cs="宋体" w:eastAsia="宋体" w:hint="default"/>
                <w:sz w:val="21"/>
                <w:szCs w:val="21"/>
              </w:rPr>
              <w:t>动报告</w:t>
            </w:r>
            <w:r>
              <w:rPr>
                <w:rFonts w:ascii="宋体" w:hAnsi="宋体" w:cs="宋体" w:eastAsia="宋体" w:hint="default"/>
                <w:spacing w:val="-102"/>
                <w:sz w:val="21"/>
                <w:szCs w:val="21"/>
              </w:rPr>
              <w:t> </w:t>
            </w:r>
            <w:r>
              <w:rPr>
                <w:rFonts w:ascii="宋体" w:hAnsi="宋体" w:cs="宋体" w:eastAsia="宋体" w:hint="default"/>
                <w:sz w:val="21"/>
                <w:szCs w:val="21"/>
              </w:rPr>
              <w:t>书中所</w:t>
            </w:r>
            <w:r>
              <w:rPr>
                <w:rFonts w:ascii="宋体" w:hAnsi="宋体" w:cs="宋体" w:eastAsia="宋体" w:hint="default"/>
                <w:spacing w:val="-102"/>
                <w:sz w:val="21"/>
                <w:szCs w:val="21"/>
              </w:rPr>
              <w:t> </w:t>
            </w:r>
            <w:r>
              <w:rPr>
                <w:rFonts w:ascii="宋体" w:hAnsi="宋体" w:cs="宋体" w:eastAsia="宋体" w:hint="default"/>
                <w:sz w:val="21"/>
                <w:szCs w:val="21"/>
              </w:rPr>
              <w:t>作承诺</w:t>
            </w:r>
          </w:p>
        </w:tc>
        <w:tc>
          <w:tcPr>
            <w:tcW w:w="631"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6008" w:type="dxa"/>
            <w:tcBorders>
              <w:top w:val="single" w:sz="4" w:space="0" w:color="000000"/>
              <w:left w:val="single" w:sz="4" w:space="0" w:color="000000"/>
              <w:bottom w:val="single" w:sz="4" w:space="0" w:color="000000"/>
              <w:right w:val="single" w:sz="4" w:space="0" w:color="000000"/>
            </w:tcBorders>
          </w:tcPr>
          <w:p>
            <w:pPr/>
          </w:p>
        </w:tc>
        <w:tc>
          <w:tcPr>
            <w:tcW w:w="2024"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1006" w:hRule="exact"/>
        </w:trPr>
        <w:tc>
          <w:tcPr>
            <w:tcW w:w="1004" w:type="dxa"/>
            <w:vMerge/>
            <w:tcBorders>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6008" w:type="dxa"/>
            <w:tcBorders>
              <w:top w:val="single" w:sz="4" w:space="0" w:color="000000"/>
              <w:left w:val="single" w:sz="4" w:space="0" w:color="000000"/>
              <w:bottom w:val="single" w:sz="4" w:space="0" w:color="000000"/>
              <w:right w:val="single" w:sz="4" w:space="0" w:color="000000"/>
            </w:tcBorders>
          </w:tcPr>
          <w:p>
            <w:pPr/>
          </w:p>
        </w:tc>
        <w:tc>
          <w:tcPr>
            <w:tcW w:w="2024"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1371" w:hRule="exact"/>
        </w:trPr>
        <w:tc>
          <w:tcPr>
            <w:tcW w:w="100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37" w:lineRule="auto"/>
              <w:ind w:left="103" w:right="255"/>
              <w:jc w:val="both"/>
              <w:rPr>
                <w:rFonts w:ascii="宋体" w:hAnsi="宋体" w:cs="宋体" w:eastAsia="宋体" w:hint="default"/>
                <w:sz w:val="21"/>
                <w:szCs w:val="21"/>
              </w:rPr>
            </w:pPr>
            <w:r>
              <w:rPr>
                <w:rFonts w:ascii="宋体" w:hAnsi="宋体" w:cs="宋体" w:eastAsia="宋体" w:hint="default"/>
                <w:sz w:val="21"/>
                <w:szCs w:val="21"/>
              </w:rPr>
              <w:t>与重大</w:t>
            </w:r>
            <w:r>
              <w:rPr>
                <w:rFonts w:ascii="宋体" w:hAnsi="宋体" w:cs="宋体" w:eastAsia="宋体" w:hint="default"/>
                <w:spacing w:val="-102"/>
                <w:sz w:val="21"/>
                <w:szCs w:val="21"/>
              </w:rPr>
              <w:t> </w:t>
            </w:r>
            <w:r>
              <w:rPr>
                <w:rFonts w:ascii="宋体" w:hAnsi="宋体" w:cs="宋体" w:eastAsia="宋体" w:hint="default"/>
                <w:sz w:val="21"/>
                <w:szCs w:val="21"/>
              </w:rPr>
              <w:t>资产重</w:t>
            </w:r>
            <w:r>
              <w:rPr>
                <w:rFonts w:ascii="宋体" w:hAnsi="宋体" w:cs="宋体" w:eastAsia="宋体" w:hint="default"/>
                <w:spacing w:val="-102"/>
                <w:sz w:val="21"/>
                <w:szCs w:val="21"/>
              </w:rPr>
              <w:t> </w:t>
            </w:r>
            <w:r>
              <w:rPr>
                <w:rFonts w:ascii="宋体" w:hAnsi="宋体" w:cs="宋体" w:eastAsia="宋体" w:hint="default"/>
                <w:sz w:val="21"/>
                <w:szCs w:val="21"/>
              </w:rPr>
              <w:t>组相关</w:t>
            </w:r>
            <w:r>
              <w:rPr>
                <w:rFonts w:ascii="宋体" w:hAnsi="宋体" w:cs="宋体" w:eastAsia="宋体" w:hint="default"/>
                <w:spacing w:val="-102"/>
                <w:sz w:val="21"/>
                <w:szCs w:val="21"/>
              </w:rPr>
              <w:t> </w:t>
            </w:r>
            <w:r>
              <w:rPr>
                <w:rFonts w:ascii="宋体" w:hAnsi="宋体" w:cs="宋体" w:eastAsia="宋体" w:hint="default"/>
                <w:sz w:val="21"/>
                <w:szCs w:val="21"/>
              </w:rPr>
              <w:t>的承诺</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股</w:t>
            </w:r>
          </w:p>
          <w:p>
            <w:pPr>
              <w:pStyle w:val="TableParagraph"/>
              <w:spacing w:line="237" w:lineRule="auto"/>
              <w:ind w:left="103" w:right="305"/>
              <w:jc w:val="both"/>
              <w:rPr>
                <w:rFonts w:ascii="宋体" w:hAnsi="宋体" w:cs="宋体" w:eastAsia="宋体" w:hint="default"/>
                <w:sz w:val="21"/>
                <w:szCs w:val="21"/>
              </w:rPr>
            </w:pPr>
            <w:r>
              <w:rPr>
                <w:rFonts w:ascii="宋体" w:hAnsi="宋体" w:cs="宋体" w:eastAsia="宋体" w:hint="default"/>
                <w:sz w:val="21"/>
                <w:szCs w:val="21"/>
              </w:rPr>
              <w:t>份</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售</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郭东</w:t>
            </w:r>
            <w:r>
              <w:rPr>
                <w:rFonts w:ascii="宋体" w:hAnsi="宋体" w:cs="宋体" w:eastAsia="宋体" w:hint="default"/>
                <w:spacing w:val="-3"/>
                <w:w w:val="100"/>
                <w:sz w:val="21"/>
                <w:szCs w:val="21"/>
              </w:rPr>
              <w:t>泽</w:t>
            </w:r>
            <w:r>
              <w:rPr>
                <w:rFonts w:ascii="宋体" w:hAnsi="宋体" w:cs="宋体" w:eastAsia="宋体" w:hint="default"/>
                <w:spacing w:val="-89"/>
                <w:w w:val="100"/>
                <w:sz w:val="21"/>
                <w:szCs w:val="21"/>
              </w:rPr>
              <w:t>、</w:t>
            </w:r>
            <w:r>
              <w:rPr>
                <w:rFonts w:ascii="宋体" w:hAnsi="宋体" w:cs="宋体" w:eastAsia="宋体" w:hint="default"/>
                <w:w w:val="100"/>
                <w:sz w:val="21"/>
                <w:szCs w:val="21"/>
              </w:rPr>
              <w:t>郭</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东圣</w:t>
            </w:r>
          </w:p>
        </w:tc>
        <w:tc>
          <w:tcPr>
            <w:tcW w:w="60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本人</w:t>
            </w:r>
            <w:r>
              <w:rPr>
                <w:rFonts w:ascii="宋体" w:hAnsi="宋体" w:cs="宋体" w:eastAsia="宋体" w:hint="default"/>
                <w:spacing w:val="-3"/>
                <w:w w:val="100"/>
                <w:sz w:val="21"/>
                <w:szCs w:val="21"/>
              </w:rPr>
              <w:t>通</w:t>
            </w:r>
            <w:r>
              <w:rPr>
                <w:rFonts w:ascii="宋体" w:hAnsi="宋体" w:cs="宋体" w:eastAsia="宋体" w:hint="default"/>
                <w:w w:val="100"/>
                <w:sz w:val="21"/>
                <w:szCs w:val="21"/>
              </w:rPr>
              <w:t>过</w:t>
            </w:r>
            <w:r>
              <w:rPr>
                <w:rFonts w:ascii="宋体" w:hAnsi="宋体" w:cs="宋体" w:eastAsia="宋体" w:hint="default"/>
                <w:spacing w:val="-3"/>
                <w:w w:val="100"/>
                <w:sz w:val="21"/>
                <w:szCs w:val="21"/>
              </w:rPr>
              <w:t>本</w:t>
            </w:r>
            <w:r>
              <w:rPr>
                <w:rFonts w:ascii="宋体" w:hAnsi="宋体" w:cs="宋体" w:eastAsia="宋体" w:hint="default"/>
                <w:w w:val="100"/>
                <w:sz w:val="21"/>
                <w:szCs w:val="21"/>
              </w:rPr>
              <w:t>次</w:t>
            </w:r>
            <w:r>
              <w:rPr>
                <w:rFonts w:ascii="宋体" w:hAnsi="宋体" w:cs="宋体" w:eastAsia="宋体" w:hint="default"/>
                <w:spacing w:val="-3"/>
                <w:w w:val="100"/>
                <w:sz w:val="21"/>
                <w:szCs w:val="21"/>
              </w:rPr>
              <w:t>交</w:t>
            </w:r>
            <w:r>
              <w:rPr>
                <w:rFonts w:ascii="宋体" w:hAnsi="宋体" w:cs="宋体" w:eastAsia="宋体" w:hint="default"/>
                <w:w w:val="100"/>
                <w:sz w:val="21"/>
                <w:szCs w:val="21"/>
              </w:rPr>
              <w:t>易</w:t>
            </w:r>
            <w:r>
              <w:rPr>
                <w:rFonts w:ascii="宋体" w:hAnsi="宋体" w:cs="宋体" w:eastAsia="宋体" w:hint="default"/>
                <w:spacing w:val="-3"/>
                <w:w w:val="100"/>
                <w:sz w:val="21"/>
                <w:szCs w:val="21"/>
              </w:rPr>
              <w:t>取</w:t>
            </w:r>
            <w:r>
              <w:rPr>
                <w:rFonts w:ascii="宋体" w:hAnsi="宋体" w:cs="宋体" w:eastAsia="宋体" w:hint="default"/>
                <w:w w:val="100"/>
                <w:sz w:val="21"/>
                <w:szCs w:val="21"/>
              </w:rPr>
              <w:t>得</w:t>
            </w:r>
            <w:r>
              <w:rPr>
                <w:rFonts w:ascii="宋体" w:hAnsi="宋体" w:cs="宋体" w:eastAsia="宋体" w:hint="default"/>
                <w:spacing w:val="-3"/>
                <w:w w:val="100"/>
                <w:sz w:val="21"/>
                <w:szCs w:val="21"/>
              </w:rPr>
              <w:t>的</w:t>
            </w:r>
            <w:r>
              <w:rPr>
                <w:rFonts w:ascii="宋体" w:hAnsi="宋体" w:cs="宋体" w:eastAsia="宋体" w:hint="default"/>
                <w:w w:val="100"/>
                <w:sz w:val="21"/>
                <w:szCs w:val="21"/>
              </w:rPr>
              <w:t>黑化</w:t>
            </w:r>
            <w:r>
              <w:rPr>
                <w:rFonts w:ascii="宋体" w:hAnsi="宋体" w:cs="宋体" w:eastAsia="宋体" w:hint="default"/>
                <w:spacing w:val="-3"/>
                <w:w w:val="100"/>
                <w:sz w:val="21"/>
                <w:szCs w:val="21"/>
              </w:rPr>
              <w:t>股</w:t>
            </w:r>
            <w:r>
              <w:rPr>
                <w:rFonts w:ascii="宋体" w:hAnsi="宋体" w:cs="宋体" w:eastAsia="宋体" w:hint="default"/>
                <w:w w:val="100"/>
                <w:sz w:val="21"/>
                <w:szCs w:val="21"/>
              </w:rPr>
              <w:t>份</w:t>
            </w:r>
            <w:r>
              <w:rPr>
                <w:rFonts w:ascii="宋体" w:hAnsi="宋体" w:cs="宋体" w:eastAsia="宋体" w:hint="default"/>
                <w:spacing w:val="-3"/>
                <w:w w:val="100"/>
                <w:sz w:val="21"/>
                <w:szCs w:val="21"/>
              </w:rPr>
              <w:t>的</w:t>
            </w:r>
            <w:r>
              <w:rPr>
                <w:rFonts w:ascii="宋体" w:hAnsi="宋体" w:cs="宋体" w:eastAsia="宋体" w:hint="default"/>
                <w:w w:val="100"/>
                <w:sz w:val="21"/>
                <w:szCs w:val="21"/>
              </w:rPr>
              <w:t>新</w:t>
            </w:r>
            <w:r>
              <w:rPr>
                <w:rFonts w:ascii="宋体" w:hAnsi="宋体" w:cs="宋体" w:eastAsia="宋体" w:hint="default"/>
                <w:spacing w:val="-3"/>
                <w:w w:val="100"/>
                <w:sz w:val="21"/>
                <w:szCs w:val="21"/>
              </w:rPr>
              <w:t>增</w:t>
            </w:r>
            <w:r>
              <w:rPr>
                <w:rFonts w:ascii="宋体" w:hAnsi="宋体" w:cs="宋体" w:eastAsia="宋体" w:hint="default"/>
                <w:w w:val="100"/>
                <w:sz w:val="21"/>
                <w:szCs w:val="21"/>
              </w:rPr>
              <w:t>股</w:t>
            </w:r>
            <w:r>
              <w:rPr>
                <w:rFonts w:ascii="宋体" w:hAnsi="宋体" w:cs="宋体" w:eastAsia="宋体" w:hint="default"/>
                <w:spacing w:val="-3"/>
                <w:w w:val="100"/>
                <w:sz w:val="21"/>
                <w:szCs w:val="21"/>
              </w:rPr>
              <w:t>份</w:t>
            </w:r>
            <w:r>
              <w:rPr>
                <w:rFonts w:ascii="宋体" w:hAnsi="宋体" w:cs="宋体" w:eastAsia="宋体" w:hint="default"/>
                <w:spacing w:val="-92"/>
                <w:w w:val="100"/>
                <w:sz w:val="21"/>
                <w:szCs w:val="21"/>
              </w:rPr>
              <w:t>，</w:t>
            </w:r>
            <w:r>
              <w:rPr>
                <w:rFonts w:ascii="宋体" w:hAnsi="宋体" w:cs="宋体" w:eastAsia="宋体" w:hint="default"/>
                <w:w w:val="100"/>
                <w:sz w:val="21"/>
                <w:szCs w:val="21"/>
              </w:rPr>
              <w:t>自</w:t>
            </w:r>
            <w:r>
              <w:rPr>
                <w:rFonts w:ascii="宋体" w:hAnsi="宋体" w:cs="宋体" w:eastAsia="宋体" w:hint="default"/>
                <w:spacing w:val="-3"/>
                <w:w w:val="100"/>
                <w:sz w:val="21"/>
                <w:szCs w:val="21"/>
              </w:rPr>
              <w:t>该</w:t>
            </w:r>
            <w:r>
              <w:rPr>
                <w:rFonts w:ascii="宋体" w:hAnsi="宋体" w:cs="宋体" w:eastAsia="宋体" w:hint="default"/>
                <w:w w:val="100"/>
                <w:sz w:val="21"/>
                <w:szCs w:val="21"/>
              </w:rPr>
              <w:t>等股</w:t>
            </w:r>
            <w:r>
              <w:rPr>
                <w:rFonts w:ascii="宋体" w:hAnsi="宋体" w:cs="宋体" w:eastAsia="宋体" w:hint="default"/>
                <w:spacing w:val="-3"/>
                <w:w w:val="100"/>
                <w:sz w:val="21"/>
                <w:szCs w:val="21"/>
              </w:rPr>
              <w:t>份</w:t>
            </w:r>
            <w:r>
              <w:rPr>
                <w:rFonts w:ascii="宋体" w:hAnsi="宋体" w:cs="宋体" w:eastAsia="宋体" w:hint="default"/>
                <w:w w:val="100"/>
                <w:sz w:val="21"/>
                <w:szCs w:val="21"/>
              </w:rPr>
              <w:t>登记</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在本人名下之日起</w:t>
            </w:r>
            <w:r>
              <w:rPr>
                <w:rFonts w:ascii="宋体" w:hAnsi="宋体" w:cs="宋体" w:eastAsia="宋体" w:hint="default"/>
                <w:spacing w:val="-48"/>
                <w:sz w:val="21"/>
                <w:szCs w:val="21"/>
              </w:rPr>
              <w:t> </w:t>
            </w:r>
            <w:r>
              <w:rPr>
                <w:rFonts w:ascii="宋体" w:hAnsi="宋体" w:cs="宋体" w:eastAsia="宋体" w:hint="default"/>
                <w:sz w:val="21"/>
                <w:szCs w:val="21"/>
              </w:rPr>
              <w:t>36</w:t>
            </w:r>
            <w:r>
              <w:rPr>
                <w:rFonts w:ascii="宋体" w:hAnsi="宋体" w:cs="宋体" w:eastAsia="宋体" w:hint="default"/>
                <w:spacing w:val="-49"/>
                <w:sz w:val="21"/>
                <w:szCs w:val="21"/>
              </w:rPr>
              <w:t> </w:t>
            </w:r>
            <w:r>
              <w:rPr>
                <w:rFonts w:ascii="宋体" w:hAnsi="宋体" w:cs="宋体" w:eastAsia="宋体" w:hint="default"/>
                <w:spacing w:val="-5"/>
                <w:sz w:val="21"/>
                <w:szCs w:val="21"/>
              </w:rPr>
              <w:t>个月内不进行转让，</w:t>
            </w:r>
            <w:r>
              <w:rPr>
                <w:rFonts w:ascii="宋体" w:hAnsi="宋体" w:cs="宋体" w:eastAsia="宋体" w:hint="default"/>
                <w:spacing w:val="-5"/>
                <w:sz w:val="21"/>
                <w:szCs w:val="21"/>
              </w:rPr>
              <w:t>36</w:t>
            </w:r>
            <w:r>
              <w:rPr>
                <w:rFonts w:ascii="宋体" w:hAnsi="宋体" w:cs="宋体" w:eastAsia="宋体" w:hint="default"/>
                <w:spacing w:val="-51"/>
                <w:sz w:val="21"/>
                <w:szCs w:val="21"/>
              </w:rPr>
              <w:t> </w:t>
            </w:r>
            <w:r>
              <w:rPr>
                <w:rFonts w:ascii="宋体" w:hAnsi="宋体" w:cs="宋体" w:eastAsia="宋体" w:hint="default"/>
                <w:sz w:val="21"/>
                <w:szCs w:val="21"/>
              </w:rPr>
              <w:t>个月之后按照中国</w:t>
            </w:r>
            <w:r>
              <w:rPr>
                <w:rFonts w:ascii="宋体" w:hAnsi="宋体" w:cs="宋体" w:eastAsia="宋体" w:hint="default"/>
                <w:w w:val="100"/>
                <w:sz w:val="21"/>
                <w:szCs w:val="21"/>
              </w:rPr>
              <w:t> </w:t>
            </w:r>
            <w:r>
              <w:rPr>
                <w:rFonts w:ascii="宋体" w:hAnsi="宋体" w:cs="宋体" w:eastAsia="宋体" w:hint="default"/>
                <w:sz w:val="21"/>
                <w:szCs w:val="21"/>
              </w:rPr>
              <w:t>证监会及上海证券交易所的有关规定执行。</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承诺时间：</w:t>
            </w: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37" w:lineRule="auto"/>
              <w:ind w:left="103" w:right="226"/>
              <w:jc w:val="both"/>
              <w:rPr>
                <w:rFonts w:ascii="宋体" w:hAnsi="宋体" w:cs="宋体" w:eastAsia="宋体" w:hint="default"/>
                <w:sz w:val="21"/>
                <w:szCs w:val="21"/>
              </w:rPr>
            </w:pPr>
            <w:r>
              <w:rPr>
                <w:rFonts w:ascii="宋体" w:hAnsi="宋体" w:cs="宋体" w:eastAsia="宋体" w:hint="default"/>
                <w:sz w:val="21"/>
                <w:szCs w:val="21"/>
              </w:rPr>
              <w:t>公司重大资产重组</w:t>
            </w:r>
            <w:r>
              <w:rPr>
                <w:rFonts w:ascii="宋体" w:hAnsi="宋体" w:cs="宋体" w:eastAsia="宋体" w:hint="default"/>
                <w:w w:val="100"/>
                <w:sz w:val="21"/>
                <w:szCs w:val="21"/>
              </w:rPr>
              <w:t> </w:t>
            </w:r>
            <w:r>
              <w:rPr>
                <w:rFonts w:ascii="宋体" w:hAnsi="宋体" w:cs="宋体" w:eastAsia="宋体" w:hint="default"/>
                <w:sz w:val="21"/>
                <w:szCs w:val="21"/>
              </w:rPr>
              <w:t>期间；承诺期限：</w:t>
            </w:r>
            <w:r>
              <w:rPr>
                <w:rFonts w:ascii="宋体" w:hAnsi="宋体" w:cs="宋体" w:eastAsia="宋体" w:hint="default"/>
                <w:w w:val="100"/>
                <w:sz w:val="21"/>
                <w:szCs w:val="21"/>
              </w:rPr>
              <w:t> </w:t>
            </w: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z w:val="21"/>
                <w:szCs w:val="21"/>
              </w:rPr>
              <w:t>日</w:t>
            </w:r>
          </w:p>
          <w:p>
            <w:pPr>
              <w:pStyle w:val="TableParagraph"/>
              <w:spacing w:line="274" w:lineRule="exact"/>
              <w:ind w:left="103" w:right="0"/>
              <w:jc w:val="both"/>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07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004" w:type="dxa"/>
            <w:vMerge/>
            <w:tcBorders>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股</w:t>
            </w:r>
          </w:p>
          <w:p>
            <w:pPr>
              <w:pStyle w:val="TableParagraph"/>
              <w:spacing w:line="272" w:lineRule="exact" w:before="27"/>
              <w:ind w:left="103" w:right="305"/>
              <w:jc w:val="left"/>
              <w:rPr>
                <w:rFonts w:ascii="宋体" w:hAnsi="宋体" w:cs="宋体" w:eastAsia="宋体" w:hint="default"/>
                <w:sz w:val="21"/>
                <w:szCs w:val="21"/>
              </w:rPr>
            </w:pPr>
            <w:r>
              <w:rPr>
                <w:rFonts w:ascii="宋体" w:hAnsi="宋体" w:cs="宋体" w:eastAsia="宋体" w:hint="default"/>
                <w:sz w:val="21"/>
                <w:szCs w:val="21"/>
              </w:rPr>
              <w:t>份</w:t>
            </w:r>
            <w:r>
              <w:rPr>
                <w:rFonts w:ascii="宋体" w:hAnsi="宋体" w:cs="宋体" w:eastAsia="宋体" w:hint="default"/>
                <w:w w:val="100"/>
                <w:sz w:val="21"/>
                <w:szCs w:val="21"/>
              </w:rPr>
              <w:t> </w:t>
            </w:r>
            <w:r>
              <w:rPr>
                <w:rFonts w:ascii="宋体" w:hAnsi="宋体" w:cs="宋体" w:eastAsia="宋体" w:hint="default"/>
                <w:sz w:val="21"/>
                <w:szCs w:val="21"/>
              </w:rPr>
              <w:t>限</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纪世</w:t>
            </w:r>
            <w:r>
              <w:rPr>
                <w:rFonts w:ascii="宋体" w:hAnsi="宋体" w:cs="宋体" w:eastAsia="宋体" w:hint="default"/>
                <w:spacing w:val="-3"/>
                <w:w w:val="100"/>
                <w:sz w:val="21"/>
                <w:szCs w:val="21"/>
              </w:rPr>
              <w:t>贤</w:t>
            </w:r>
            <w:r>
              <w:rPr>
                <w:rFonts w:ascii="宋体" w:hAnsi="宋体" w:cs="宋体" w:eastAsia="宋体" w:hint="default"/>
                <w:spacing w:val="-89"/>
                <w:w w:val="100"/>
                <w:sz w:val="21"/>
                <w:szCs w:val="21"/>
              </w:rPr>
              <w:t>、</w:t>
            </w:r>
            <w:r>
              <w:rPr>
                <w:rFonts w:ascii="宋体" w:hAnsi="宋体" w:cs="宋体" w:eastAsia="宋体" w:hint="default"/>
                <w:w w:val="100"/>
                <w:sz w:val="21"/>
                <w:szCs w:val="21"/>
              </w:rPr>
              <w:t>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天赠</w:t>
            </w:r>
          </w:p>
        </w:tc>
        <w:tc>
          <w:tcPr>
            <w:tcW w:w="60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本人</w:t>
            </w:r>
            <w:r>
              <w:rPr>
                <w:rFonts w:ascii="宋体" w:hAnsi="宋体" w:cs="宋体" w:eastAsia="宋体" w:hint="default"/>
                <w:spacing w:val="-3"/>
                <w:w w:val="100"/>
                <w:sz w:val="21"/>
                <w:szCs w:val="21"/>
              </w:rPr>
              <w:t>通</w:t>
            </w:r>
            <w:r>
              <w:rPr>
                <w:rFonts w:ascii="宋体" w:hAnsi="宋体" w:cs="宋体" w:eastAsia="宋体" w:hint="default"/>
                <w:w w:val="100"/>
                <w:sz w:val="21"/>
                <w:szCs w:val="21"/>
              </w:rPr>
              <w:t>过</w:t>
            </w:r>
            <w:r>
              <w:rPr>
                <w:rFonts w:ascii="宋体" w:hAnsi="宋体" w:cs="宋体" w:eastAsia="宋体" w:hint="default"/>
                <w:spacing w:val="-3"/>
                <w:w w:val="100"/>
                <w:sz w:val="21"/>
                <w:szCs w:val="21"/>
              </w:rPr>
              <w:t>本</w:t>
            </w:r>
            <w:r>
              <w:rPr>
                <w:rFonts w:ascii="宋体" w:hAnsi="宋体" w:cs="宋体" w:eastAsia="宋体" w:hint="default"/>
                <w:w w:val="100"/>
                <w:sz w:val="21"/>
                <w:szCs w:val="21"/>
              </w:rPr>
              <w:t>次</w:t>
            </w:r>
            <w:r>
              <w:rPr>
                <w:rFonts w:ascii="宋体" w:hAnsi="宋体" w:cs="宋体" w:eastAsia="宋体" w:hint="default"/>
                <w:spacing w:val="-3"/>
                <w:w w:val="100"/>
                <w:sz w:val="21"/>
                <w:szCs w:val="21"/>
              </w:rPr>
              <w:t>交</w:t>
            </w:r>
            <w:r>
              <w:rPr>
                <w:rFonts w:ascii="宋体" w:hAnsi="宋体" w:cs="宋体" w:eastAsia="宋体" w:hint="default"/>
                <w:w w:val="100"/>
                <w:sz w:val="21"/>
                <w:szCs w:val="21"/>
              </w:rPr>
              <w:t>易</w:t>
            </w:r>
            <w:r>
              <w:rPr>
                <w:rFonts w:ascii="宋体" w:hAnsi="宋体" w:cs="宋体" w:eastAsia="宋体" w:hint="default"/>
                <w:spacing w:val="-3"/>
                <w:w w:val="100"/>
                <w:sz w:val="21"/>
                <w:szCs w:val="21"/>
              </w:rPr>
              <w:t>取</w:t>
            </w:r>
            <w:r>
              <w:rPr>
                <w:rFonts w:ascii="宋体" w:hAnsi="宋体" w:cs="宋体" w:eastAsia="宋体" w:hint="default"/>
                <w:w w:val="100"/>
                <w:sz w:val="21"/>
                <w:szCs w:val="21"/>
              </w:rPr>
              <w:t>得</w:t>
            </w:r>
            <w:r>
              <w:rPr>
                <w:rFonts w:ascii="宋体" w:hAnsi="宋体" w:cs="宋体" w:eastAsia="宋体" w:hint="default"/>
                <w:spacing w:val="-3"/>
                <w:w w:val="100"/>
                <w:sz w:val="21"/>
                <w:szCs w:val="21"/>
              </w:rPr>
              <w:t>的</w:t>
            </w:r>
            <w:r>
              <w:rPr>
                <w:rFonts w:ascii="宋体" w:hAnsi="宋体" w:cs="宋体" w:eastAsia="宋体" w:hint="default"/>
                <w:w w:val="100"/>
                <w:sz w:val="21"/>
                <w:szCs w:val="21"/>
              </w:rPr>
              <w:t>黑化</w:t>
            </w:r>
            <w:r>
              <w:rPr>
                <w:rFonts w:ascii="宋体" w:hAnsi="宋体" w:cs="宋体" w:eastAsia="宋体" w:hint="default"/>
                <w:spacing w:val="-3"/>
                <w:w w:val="100"/>
                <w:sz w:val="21"/>
                <w:szCs w:val="21"/>
              </w:rPr>
              <w:t>股</w:t>
            </w:r>
            <w:r>
              <w:rPr>
                <w:rFonts w:ascii="宋体" w:hAnsi="宋体" w:cs="宋体" w:eastAsia="宋体" w:hint="default"/>
                <w:w w:val="100"/>
                <w:sz w:val="21"/>
                <w:szCs w:val="21"/>
              </w:rPr>
              <w:t>份</w:t>
            </w:r>
            <w:r>
              <w:rPr>
                <w:rFonts w:ascii="宋体" w:hAnsi="宋体" w:cs="宋体" w:eastAsia="宋体" w:hint="default"/>
                <w:spacing w:val="-3"/>
                <w:w w:val="100"/>
                <w:sz w:val="21"/>
                <w:szCs w:val="21"/>
              </w:rPr>
              <w:t>的</w:t>
            </w:r>
            <w:r>
              <w:rPr>
                <w:rFonts w:ascii="宋体" w:hAnsi="宋体" w:cs="宋体" w:eastAsia="宋体" w:hint="default"/>
                <w:w w:val="100"/>
                <w:sz w:val="21"/>
                <w:szCs w:val="21"/>
              </w:rPr>
              <w:t>新</w:t>
            </w:r>
            <w:r>
              <w:rPr>
                <w:rFonts w:ascii="宋体" w:hAnsi="宋体" w:cs="宋体" w:eastAsia="宋体" w:hint="default"/>
                <w:spacing w:val="-3"/>
                <w:w w:val="100"/>
                <w:sz w:val="21"/>
                <w:szCs w:val="21"/>
              </w:rPr>
              <w:t>增</w:t>
            </w:r>
            <w:r>
              <w:rPr>
                <w:rFonts w:ascii="宋体" w:hAnsi="宋体" w:cs="宋体" w:eastAsia="宋体" w:hint="default"/>
                <w:w w:val="100"/>
                <w:sz w:val="21"/>
                <w:szCs w:val="21"/>
              </w:rPr>
              <w:t>股</w:t>
            </w:r>
            <w:r>
              <w:rPr>
                <w:rFonts w:ascii="宋体" w:hAnsi="宋体" w:cs="宋体" w:eastAsia="宋体" w:hint="default"/>
                <w:spacing w:val="-3"/>
                <w:w w:val="100"/>
                <w:sz w:val="21"/>
                <w:szCs w:val="21"/>
              </w:rPr>
              <w:t>份</w:t>
            </w:r>
            <w:r>
              <w:rPr>
                <w:rFonts w:ascii="宋体" w:hAnsi="宋体" w:cs="宋体" w:eastAsia="宋体" w:hint="default"/>
                <w:spacing w:val="-92"/>
                <w:w w:val="100"/>
                <w:sz w:val="21"/>
                <w:szCs w:val="21"/>
              </w:rPr>
              <w:t>，</w:t>
            </w:r>
            <w:r>
              <w:rPr>
                <w:rFonts w:ascii="宋体" w:hAnsi="宋体" w:cs="宋体" w:eastAsia="宋体" w:hint="default"/>
                <w:w w:val="100"/>
                <w:sz w:val="21"/>
                <w:szCs w:val="21"/>
              </w:rPr>
              <w:t>自</w:t>
            </w:r>
            <w:r>
              <w:rPr>
                <w:rFonts w:ascii="宋体" w:hAnsi="宋体" w:cs="宋体" w:eastAsia="宋体" w:hint="default"/>
                <w:spacing w:val="-3"/>
                <w:w w:val="100"/>
                <w:sz w:val="21"/>
                <w:szCs w:val="21"/>
              </w:rPr>
              <w:t>该</w:t>
            </w:r>
            <w:r>
              <w:rPr>
                <w:rFonts w:ascii="宋体" w:hAnsi="宋体" w:cs="宋体" w:eastAsia="宋体" w:hint="default"/>
                <w:w w:val="100"/>
                <w:sz w:val="21"/>
                <w:szCs w:val="21"/>
              </w:rPr>
              <w:t>等股</w:t>
            </w:r>
            <w:r>
              <w:rPr>
                <w:rFonts w:ascii="宋体" w:hAnsi="宋体" w:cs="宋体" w:eastAsia="宋体" w:hint="default"/>
                <w:spacing w:val="-3"/>
                <w:w w:val="100"/>
                <w:sz w:val="21"/>
                <w:szCs w:val="21"/>
              </w:rPr>
              <w:t>份</w:t>
            </w:r>
            <w:r>
              <w:rPr>
                <w:rFonts w:ascii="宋体" w:hAnsi="宋体" w:cs="宋体" w:eastAsia="宋体" w:hint="default"/>
                <w:w w:val="100"/>
                <w:sz w:val="21"/>
                <w:szCs w:val="21"/>
              </w:rPr>
              <w:t>登记</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z w:val="21"/>
                <w:szCs w:val="21"/>
              </w:rPr>
              <w:t>在本人名下之日起</w:t>
            </w:r>
            <w:r>
              <w:rPr>
                <w:rFonts w:ascii="宋体" w:hAnsi="宋体" w:cs="宋体" w:eastAsia="宋体" w:hint="default"/>
                <w:spacing w:val="-48"/>
                <w:sz w:val="21"/>
                <w:szCs w:val="21"/>
              </w:rPr>
              <w:t> </w:t>
            </w:r>
            <w:r>
              <w:rPr>
                <w:rFonts w:ascii="宋体" w:hAnsi="宋体" w:cs="宋体" w:eastAsia="宋体" w:hint="default"/>
                <w:sz w:val="21"/>
                <w:szCs w:val="21"/>
              </w:rPr>
              <w:t>12</w:t>
            </w:r>
            <w:r>
              <w:rPr>
                <w:rFonts w:ascii="宋体" w:hAnsi="宋体" w:cs="宋体" w:eastAsia="宋体" w:hint="default"/>
                <w:spacing w:val="-49"/>
                <w:sz w:val="21"/>
                <w:szCs w:val="21"/>
              </w:rPr>
              <w:t> </w:t>
            </w:r>
            <w:r>
              <w:rPr>
                <w:rFonts w:ascii="宋体" w:hAnsi="宋体" w:cs="宋体" w:eastAsia="宋体" w:hint="default"/>
                <w:spacing w:val="-5"/>
                <w:sz w:val="21"/>
                <w:szCs w:val="21"/>
              </w:rPr>
              <w:t>个月内不进行转让，</w:t>
            </w:r>
            <w:r>
              <w:rPr>
                <w:rFonts w:ascii="宋体" w:hAnsi="宋体" w:cs="宋体" w:eastAsia="宋体" w:hint="default"/>
                <w:spacing w:val="-5"/>
                <w:sz w:val="21"/>
                <w:szCs w:val="21"/>
              </w:rPr>
              <w:t>12</w:t>
            </w:r>
            <w:r>
              <w:rPr>
                <w:rFonts w:ascii="宋体" w:hAnsi="宋体" w:cs="宋体" w:eastAsia="宋体" w:hint="default"/>
                <w:spacing w:val="-51"/>
                <w:sz w:val="21"/>
                <w:szCs w:val="21"/>
              </w:rPr>
              <w:t> </w:t>
            </w:r>
            <w:r>
              <w:rPr>
                <w:rFonts w:ascii="宋体" w:hAnsi="宋体" w:cs="宋体" w:eastAsia="宋体" w:hint="default"/>
                <w:sz w:val="21"/>
                <w:szCs w:val="21"/>
              </w:rPr>
              <w:t>个月之后按照中国</w:t>
            </w:r>
            <w:r>
              <w:rPr>
                <w:rFonts w:ascii="宋体" w:hAnsi="宋体" w:cs="宋体" w:eastAsia="宋体" w:hint="default"/>
                <w:w w:val="100"/>
                <w:sz w:val="21"/>
                <w:szCs w:val="21"/>
              </w:rPr>
              <w:t> </w:t>
            </w:r>
            <w:r>
              <w:rPr>
                <w:rFonts w:ascii="宋体" w:hAnsi="宋体" w:cs="宋体" w:eastAsia="宋体" w:hint="default"/>
                <w:sz w:val="21"/>
                <w:szCs w:val="21"/>
              </w:rPr>
              <w:t>证监会及上海证券交易所的有关规定执行。</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承诺时间：</w:t>
            </w: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72" w:lineRule="exact" w:before="27"/>
              <w:ind w:left="103" w:right="226"/>
              <w:jc w:val="left"/>
              <w:rPr>
                <w:rFonts w:ascii="宋体" w:hAnsi="宋体" w:cs="宋体" w:eastAsia="宋体" w:hint="default"/>
                <w:sz w:val="21"/>
                <w:szCs w:val="21"/>
              </w:rPr>
            </w:pPr>
            <w:r>
              <w:rPr>
                <w:rFonts w:ascii="宋体" w:hAnsi="宋体" w:cs="宋体" w:eastAsia="宋体" w:hint="default"/>
                <w:sz w:val="21"/>
                <w:szCs w:val="21"/>
              </w:rPr>
              <w:t>公司重大资产重组</w:t>
            </w:r>
            <w:r>
              <w:rPr>
                <w:rFonts w:ascii="宋体" w:hAnsi="宋体" w:cs="宋体" w:eastAsia="宋体" w:hint="default"/>
                <w:w w:val="100"/>
                <w:sz w:val="21"/>
                <w:szCs w:val="21"/>
              </w:rPr>
              <w:t> </w:t>
            </w:r>
            <w:r>
              <w:rPr>
                <w:rFonts w:ascii="宋体" w:hAnsi="宋体" w:cs="宋体" w:eastAsia="宋体" w:hint="default"/>
                <w:sz w:val="21"/>
                <w:szCs w:val="21"/>
              </w:rPr>
              <w:t>期间；承诺期限：</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07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14"/>
          <w:footerReference w:type="default" r:id="rId15"/>
          <w:pgSz w:w="16840" w:h="11910" w:orient="landscape"/>
          <w:pgMar w:header="882" w:footer="1195" w:top="1120" w:bottom="1380" w:left="1200" w:right="1300"/>
          <w:pgNumType w:start="27"/>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1004"/>
        <w:gridCol w:w="631"/>
        <w:gridCol w:w="1178"/>
        <w:gridCol w:w="6008"/>
        <w:gridCol w:w="2024"/>
        <w:gridCol w:w="629"/>
        <w:gridCol w:w="665"/>
        <w:gridCol w:w="1070"/>
        <w:gridCol w:w="900"/>
      </w:tblGrid>
      <w:tr>
        <w:trPr>
          <w:trHeight w:val="554" w:hRule="exact"/>
        </w:trPr>
        <w:tc>
          <w:tcPr>
            <w:tcW w:w="1004" w:type="dxa"/>
            <w:vMerge w:val="restart"/>
            <w:tcBorders>
              <w:top w:val="single" w:sz="4" w:space="0" w:color="000000"/>
              <w:left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售</w:t>
            </w:r>
          </w:p>
        </w:tc>
        <w:tc>
          <w:tcPr>
            <w:tcW w:w="1178" w:type="dxa"/>
            <w:tcBorders>
              <w:top w:val="single" w:sz="4" w:space="0" w:color="000000"/>
              <w:left w:val="single" w:sz="4" w:space="0" w:color="000000"/>
              <w:bottom w:val="single" w:sz="4" w:space="0" w:color="000000"/>
              <w:right w:val="single" w:sz="4" w:space="0" w:color="000000"/>
            </w:tcBorders>
          </w:tcPr>
          <w:p>
            <w:pPr/>
          </w:p>
        </w:tc>
        <w:tc>
          <w:tcPr>
            <w:tcW w:w="6008" w:type="dxa"/>
            <w:tcBorders>
              <w:top w:val="single" w:sz="4" w:space="0" w:color="000000"/>
              <w:left w:val="single" w:sz="4" w:space="0" w:color="000000"/>
              <w:bottom w:val="single" w:sz="4" w:space="0" w:color="000000"/>
              <w:right w:val="single" w:sz="4" w:space="0" w:color="000000"/>
            </w:tcBorders>
          </w:tcPr>
          <w:p>
            <w:pP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z w:val="21"/>
                <w:szCs w:val="21"/>
              </w:rPr>
              <w:t>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629"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2189" w:hRule="exact"/>
        </w:trPr>
        <w:tc>
          <w:tcPr>
            <w:tcW w:w="1004" w:type="dxa"/>
            <w:vMerge/>
            <w:tcBorders>
              <w:left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股</w:t>
            </w:r>
          </w:p>
          <w:p>
            <w:pPr>
              <w:pStyle w:val="TableParagraph"/>
              <w:spacing w:line="272" w:lineRule="exact" w:before="27"/>
              <w:ind w:left="103" w:right="305"/>
              <w:jc w:val="both"/>
              <w:rPr>
                <w:rFonts w:ascii="宋体" w:hAnsi="宋体" w:cs="宋体" w:eastAsia="宋体" w:hint="default"/>
                <w:sz w:val="21"/>
                <w:szCs w:val="21"/>
              </w:rPr>
            </w:pPr>
            <w:r>
              <w:rPr>
                <w:rFonts w:ascii="宋体" w:hAnsi="宋体" w:cs="宋体" w:eastAsia="宋体" w:hint="default"/>
                <w:sz w:val="21"/>
                <w:szCs w:val="21"/>
              </w:rPr>
              <w:t>份</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售</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王强</w:t>
            </w:r>
          </w:p>
        </w:tc>
        <w:tc>
          <w:tcPr>
            <w:tcW w:w="60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本人通过本次交易取得的黑化股份的新增股份时，（</w:t>
            </w:r>
            <w:r>
              <w:rPr>
                <w:rFonts w:ascii="宋体" w:hAnsi="宋体" w:cs="宋体" w:eastAsia="宋体" w:hint="default"/>
                <w:sz w:val="21"/>
                <w:szCs w:val="21"/>
              </w:rPr>
              <w:t>1</w:t>
            </w:r>
            <w:r>
              <w:rPr>
                <w:rFonts w:ascii="宋体" w:hAnsi="宋体" w:cs="宋体" w:eastAsia="宋体" w:hint="default"/>
                <w:sz w:val="21"/>
                <w:szCs w:val="21"/>
              </w:rPr>
              <w:t>）如本人</w:t>
            </w:r>
          </w:p>
          <w:p>
            <w:pPr>
              <w:pStyle w:val="TableParagraph"/>
              <w:spacing w:line="237" w:lineRule="auto" w:before="2"/>
              <w:ind w:left="103" w:right="113"/>
              <w:jc w:val="left"/>
              <w:rPr>
                <w:rFonts w:ascii="宋体" w:hAnsi="宋体" w:cs="宋体" w:eastAsia="宋体" w:hint="default"/>
                <w:sz w:val="21"/>
                <w:szCs w:val="21"/>
              </w:rPr>
            </w:pPr>
            <w:r>
              <w:rPr>
                <w:rFonts w:ascii="宋体" w:hAnsi="宋体" w:cs="宋体" w:eastAsia="宋体" w:hint="default"/>
                <w:sz w:val="21"/>
                <w:szCs w:val="21"/>
              </w:rPr>
              <w:t>对其用于认购股份的标的资产持续拥有权益的时间不足</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月，新取得的上市公司股份自该等股份登记在本人名下之日起</w:t>
            </w:r>
            <w:r>
              <w:rPr>
                <w:rFonts w:ascii="宋体" w:hAnsi="宋体" w:cs="宋体" w:eastAsia="宋体" w:hint="default"/>
                <w:w w:val="100"/>
                <w:sz w:val="21"/>
                <w:szCs w:val="21"/>
              </w:rPr>
              <w:t> </w:t>
            </w:r>
            <w:r>
              <w:rPr>
                <w:rFonts w:ascii="宋体" w:hAnsi="宋体" w:cs="宋体" w:eastAsia="宋体" w:hint="default"/>
                <w:sz w:val="21"/>
                <w:szCs w:val="21"/>
              </w:rPr>
              <w:t>36</w:t>
            </w:r>
            <w:r>
              <w:rPr>
                <w:rFonts w:ascii="宋体" w:hAnsi="宋体" w:cs="宋体" w:eastAsia="宋体" w:hint="default"/>
                <w:spacing w:val="-54"/>
                <w:sz w:val="21"/>
                <w:szCs w:val="21"/>
              </w:rPr>
              <w:t> </w:t>
            </w:r>
            <w:r>
              <w:rPr>
                <w:rFonts w:ascii="宋体" w:hAnsi="宋体" w:cs="宋体" w:eastAsia="宋体" w:hint="default"/>
                <w:sz w:val="21"/>
                <w:szCs w:val="21"/>
              </w:rPr>
              <w:t>个月内不进行转让，</w:t>
            </w:r>
            <w:r>
              <w:rPr>
                <w:rFonts w:ascii="宋体" w:hAnsi="宋体" w:cs="宋体" w:eastAsia="宋体" w:hint="default"/>
                <w:sz w:val="21"/>
                <w:szCs w:val="21"/>
              </w:rPr>
              <w:t>36</w:t>
            </w:r>
            <w:r>
              <w:rPr>
                <w:rFonts w:ascii="宋体" w:hAnsi="宋体" w:cs="宋体" w:eastAsia="宋体" w:hint="default"/>
                <w:spacing w:val="-56"/>
                <w:sz w:val="21"/>
                <w:szCs w:val="21"/>
              </w:rPr>
              <w:t> </w:t>
            </w:r>
            <w:r>
              <w:rPr>
                <w:rFonts w:ascii="宋体" w:hAnsi="宋体" w:cs="宋体" w:eastAsia="宋体" w:hint="default"/>
                <w:sz w:val="21"/>
                <w:szCs w:val="21"/>
              </w:rPr>
              <w:t>个月之后按照中国证监会及上海证券</w:t>
            </w:r>
            <w:r>
              <w:rPr>
                <w:rFonts w:ascii="宋体" w:hAnsi="宋体" w:cs="宋体" w:eastAsia="宋体" w:hint="default"/>
                <w:w w:val="100"/>
                <w:sz w:val="21"/>
                <w:szCs w:val="21"/>
              </w:rPr>
              <w:t> </w:t>
            </w:r>
            <w:r>
              <w:rPr>
                <w:rFonts w:ascii="宋体" w:hAnsi="宋体" w:cs="宋体" w:eastAsia="宋体" w:hint="default"/>
                <w:spacing w:val="-2"/>
                <w:sz w:val="21"/>
                <w:szCs w:val="21"/>
              </w:rPr>
              <w:t>交易所的有关规定执行。（</w:t>
            </w:r>
            <w:r>
              <w:rPr>
                <w:rFonts w:ascii="宋体" w:hAnsi="宋体" w:cs="宋体" w:eastAsia="宋体" w:hint="default"/>
                <w:spacing w:val="-2"/>
                <w:sz w:val="21"/>
                <w:szCs w:val="21"/>
              </w:rPr>
              <w:t>2</w:t>
            </w:r>
            <w:r>
              <w:rPr>
                <w:rFonts w:ascii="宋体" w:hAnsi="宋体" w:cs="宋体" w:eastAsia="宋体" w:hint="default"/>
                <w:spacing w:val="-2"/>
                <w:sz w:val="21"/>
                <w:szCs w:val="21"/>
              </w:rPr>
              <w:t>）如本人对其用于认购股份的标的</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资产持续拥有权益的时间已满</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个月的，新取得的上市公司股</w:t>
            </w:r>
          </w:p>
          <w:p>
            <w:pPr>
              <w:pStyle w:val="TableParagraph"/>
              <w:spacing w:line="272" w:lineRule="exact" w:before="26"/>
              <w:ind w:left="103" w:right="113"/>
              <w:jc w:val="left"/>
              <w:rPr>
                <w:rFonts w:ascii="宋体" w:hAnsi="宋体" w:cs="宋体" w:eastAsia="宋体" w:hint="default"/>
                <w:sz w:val="21"/>
                <w:szCs w:val="21"/>
              </w:rPr>
            </w:pPr>
            <w:r>
              <w:rPr>
                <w:rFonts w:ascii="宋体" w:hAnsi="宋体" w:cs="宋体" w:eastAsia="宋体" w:hint="default"/>
                <w:sz w:val="21"/>
                <w:szCs w:val="21"/>
              </w:rPr>
              <w:t>份自该等股份登记在本人名下之日起</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个月内不进行转让，</w:t>
            </w:r>
            <w:r>
              <w:rPr>
                <w:rFonts w:ascii="宋体" w:hAnsi="宋体" w:cs="宋体" w:eastAsia="宋体" w:hint="default"/>
                <w:sz w:val="21"/>
                <w:szCs w:val="21"/>
              </w:rPr>
              <w:t>12</w:t>
            </w:r>
            <w:r>
              <w:rPr>
                <w:rFonts w:ascii="宋体" w:hAnsi="宋体" w:cs="宋体" w:eastAsia="宋体" w:hint="default"/>
                <w:w w:val="100"/>
                <w:sz w:val="21"/>
                <w:szCs w:val="21"/>
              </w:rPr>
              <w:t> </w:t>
            </w:r>
            <w:r>
              <w:rPr>
                <w:rFonts w:ascii="宋体" w:hAnsi="宋体" w:cs="宋体" w:eastAsia="宋体" w:hint="default"/>
                <w:sz w:val="21"/>
                <w:szCs w:val="21"/>
              </w:rPr>
              <w:t>个月之后按照中国证监会及上海证券交易所的有关规定执行。</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承诺时间：</w:t>
            </w: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72" w:lineRule="exact" w:before="27"/>
              <w:ind w:left="103" w:right="226"/>
              <w:jc w:val="both"/>
              <w:rPr>
                <w:rFonts w:ascii="宋体" w:hAnsi="宋体" w:cs="宋体" w:eastAsia="宋体" w:hint="default"/>
                <w:sz w:val="21"/>
                <w:szCs w:val="21"/>
              </w:rPr>
            </w:pPr>
            <w:r>
              <w:rPr>
                <w:rFonts w:ascii="宋体" w:hAnsi="宋体" w:cs="宋体" w:eastAsia="宋体" w:hint="default"/>
                <w:sz w:val="21"/>
                <w:szCs w:val="21"/>
              </w:rPr>
              <w:t>公司重大资产重组</w:t>
            </w:r>
            <w:r>
              <w:rPr>
                <w:rFonts w:ascii="宋体" w:hAnsi="宋体" w:cs="宋体" w:eastAsia="宋体" w:hint="default"/>
                <w:w w:val="100"/>
                <w:sz w:val="21"/>
                <w:szCs w:val="21"/>
              </w:rPr>
              <w:t> </w:t>
            </w:r>
            <w:r>
              <w:rPr>
                <w:rFonts w:ascii="宋体" w:hAnsi="宋体" w:cs="宋体" w:eastAsia="宋体" w:hint="default"/>
                <w:sz w:val="21"/>
                <w:szCs w:val="21"/>
              </w:rPr>
              <w:t>期间；承诺期限：</w:t>
            </w:r>
            <w:r>
              <w:rPr>
                <w:rFonts w:ascii="宋体" w:hAnsi="宋体" w:cs="宋体" w:eastAsia="宋体" w:hint="default"/>
                <w:w w:val="100"/>
                <w:sz w:val="21"/>
                <w:szCs w:val="21"/>
              </w:rPr>
              <w:t> </w:t>
            </w: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z w:val="21"/>
                <w:szCs w:val="21"/>
              </w:rPr>
              <w:t>日</w:t>
            </w:r>
          </w:p>
          <w:p>
            <w:pPr>
              <w:pStyle w:val="TableParagraph"/>
              <w:spacing w:line="249" w:lineRule="exact"/>
              <w:ind w:left="103" w:right="0"/>
              <w:jc w:val="both"/>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07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1370" w:hRule="exact"/>
        </w:trPr>
        <w:tc>
          <w:tcPr>
            <w:tcW w:w="1004" w:type="dxa"/>
            <w:vMerge/>
            <w:tcBorders>
              <w:left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股</w:t>
            </w:r>
          </w:p>
          <w:p>
            <w:pPr>
              <w:pStyle w:val="TableParagraph"/>
              <w:spacing w:line="237" w:lineRule="auto"/>
              <w:ind w:left="103" w:right="305"/>
              <w:jc w:val="both"/>
              <w:rPr>
                <w:rFonts w:ascii="宋体" w:hAnsi="宋体" w:cs="宋体" w:eastAsia="宋体" w:hint="default"/>
                <w:sz w:val="21"/>
                <w:szCs w:val="21"/>
              </w:rPr>
            </w:pPr>
            <w:r>
              <w:rPr>
                <w:rFonts w:ascii="宋体" w:hAnsi="宋体" w:cs="宋体" w:eastAsia="宋体" w:hint="default"/>
                <w:sz w:val="21"/>
                <w:szCs w:val="21"/>
              </w:rPr>
              <w:t>份</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售</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郭东</w:t>
            </w:r>
            <w:r>
              <w:rPr>
                <w:rFonts w:ascii="宋体" w:hAnsi="宋体" w:cs="宋体" w:eastAsia="宋体" w:hint="default"/>
                <w:spacing w:val="-3"/>
                <w:w w:val="100"/>
                <w:sz w:val="21"/>
                <w:szCs w:val="21"/>
              </w:rPr>
              <w:t>泽</w:t>
            </w:r>
            <w:r>
              <w:rPr>
                <w:rFonts w:ascii="宋体" w:hAnsi="宋体" w:cs="宋体" w:eastAsia="宋体" w:hint="default"/>
                <w:spacing w:val="-89"/>
                <w:w w:val="100"/>
                <w:sz w:val="21"/>
                <w:szCs w:val="21"/>
              </w:rPr>
              <w:t>、</w:t>
            </w:r>
            <w:r>
              <w:rPr>
                <w:rFonts w:ascii="宋体" w:hAnsi="宋体" w:cs="宋体" w:eastAsia="宋体" w:hint="default"/>
                <w:w w:val="100"/>
                <w:sz w:val="21"/>
                <w:szCs w:val="21"/>
              </w:rPr>
              <w:t>郭</w:t>
            </w:r>
          </w:p>
          <w:p>
            <w:pPr>
              <w:pStyle w:val="TableParagraph"/>
              <w:spacing w:line="237" w:lineRule="auto"/>
              <w:ind w:left="100" w:right="101"/>
              <w:jc w:val="left"/>
              <w:rPr>
                <w:rFonts w:ascii="宋体" w:hAnsi="宋体" w:cs="宋体" w:eastAsia="宋体" w:hint="default"/>
                <w:sz w:val="21"/>
                <w:szCs w:val="21"/>
              </w:rPr>
            </w:pPr>
            <w:r>
              <w:rPr>
                <w:rFonts w:ascii="宋体" w:hAnsi="宋体" w:cs="宋体" w:eastAsia="宋体" w:hint="default"/>
                <w:spacing w:val="-19"/>
                <w:w w:val="100"/>
                <w:sz w:val="21"/>
                <w:szCs w:val="21"/>
              </w:rPr>
              <w:t>东圣、纪世</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贤、卢天</w:t>
            </w:r>
            <w:r>
              <w:rPr>
                <w:rFonts w:ascii="宋体" w:hAnsi="宋体" w:cs="宋体" w:eastAsia="宋体" w:hint="default"/>
                <w:w w:val="100"/>
                <w:sz w:val="21"/>
                <w:szCs w:val="21"/>
              </w:rPr>
              <w:t> </w:t>
            </w:r>
            <w:r>
              <w:rPr>
                <w:rFonts w:ascii="宋体" w:hAnsi="宋体" w:cs="宋体" w:eastAsia="宋体" w:hint="default"/>
                <w:sz w:val="21"/>
                <w:szCs w:val="21"/>
              </w:rPr>
              <w:t>赠、王强</w:t>
            </w:r>
          </w:p>
        </w:tc>
        <w:tc>
          <w:tcPr>
            <w:tcW w:w="60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1</w:t>
            </w:r>
            <w:r>
              <w:rPr>
                <w:rFonts w:ascii="宋体" w:hAnsi="宋体" w:cs="宋体" w:eastAsia="宋体" w:hint="default"/>
                <w:spacing w:val="-89"/>
                <w:w w:val="100"/>
                <w:sz w:val="21"/>
                <w:szCs w:val="21"/>
              </w:rPr>
              <w:t>、</w:t>
            </w:r>
            <w:r>
              <w:rPr>
                <w:rFonts w:ascii="宋体" w:hAnsi="宋体" w:cs="宋体" w:eastAsia="宋体" w:hint="default"/>
                <w:spacing w:val="-3"/>
                <w:w w:val="100"/>
                <w:sz w:val="21"/>
                <w:szCs w:val="21"/>
              </w:rPr>
              <w:t>本</w:t>
            </w:r>
            <w:r>
              <w:rPr>
                <w:rFonts w:ascii="宋体" w:hAnsi="宋体" w:cs="宋体" w:eastAsia="宋体" w:hint="default"/>
                <w:w w:val="100"/>
                <w:sz w:val="21"/>
                <w:szCs w:val="21"/>
              </w:rPr>
              <w:t>次</w:t>
            </w:r>
            <w:r>
              <w:rPr>
                <w:rFonts w:ascii="宋体" w:hAnsi="宋体" w:cs="宋体" w:eastAsia="宋体" w:hint="default"/>
                <w:spacing w:val="-3"/>
                <w:w w:val="100"/>
                <w:sz w:val="21"/>
                <w:szCs w:val="21"/>
              </w:rPr>
              <w:t>交</w:t>
            </w:r>
            <w:r>
              <w:rPr>
                <w:rFonts w:ascii="宋体" w:hAnsi="宋体" w:cs="宋体" w:eastAsia="宋体" w:hint="default"/>
                <w:w w:val="100"/>
                <w:sz w:val="21"/>
                <w:szCs w:val="21"/>
              </w:rPr>
              <w:t>易</w:t>
            </w:r>
            <w:r>
              <w:rPr>
                <w:rFonts w:ascii="宋体" w:hAnsi="宋体" w:cs="宋体" w:eastAsia="宋体" w:hint="default"/>
                <w:spacing w:val="-3"/>
                <w:w w:val="100"/>
                <w:sz w:val="21"/>
                <w:szCs w:val="21"/>
              </w:rPr>
              <w:t>完</w:t>
            </w:r>
            <w:r>
              <w:rPr>
                <w:rFonts w:ascii="宋体" w:hAnsi="宋体" w:cs="宋体" w:eastAsia="宋体" w:hint="default"/>
                <w:w w:val="100"/>
                <w:sz w:val="21"/>
                <w:szCs w:val="21"/>
              </w:rPr>
              <w:t>成后</w:t>
            </w:r>
            <w:r>
              <w:rPr>
                <w:rFonts w:ascii="宋体" w:hAnsi="宋体" w:cs="宋体" w:eastAsia="宋体" w:hint="default"/>
                <w:spacing w:val="-55"/>
                <w:sz w:val="21"/>
                <w:szCs w:val="21"/>
              </w:rPr>
              <w:t> </w:t>
            </w:r>
            <w:r>
              <w:rPr>
                <w:rFonts w:ascii="宋体" w:hAnsi="宋体" w:cs="宋体" w:eastAsia="宋体" w:hint="default"/>
                <w:w w:val="100"/>
                <w:sz w:val="21"/>
                <w:szCs w:val="21"/>
              </w:rPr>
              <w:t>6</w:t>
            </w:r>
            <w:r>
              <w:rPr>
                <w:rFonts w:ascii="宋体" w:hAnsi="宋体" w:cs="宋体" w:eastAsia="宋体" w:hint="default"/>
                <w:spacing w:val="-53"/>
                <w:sz w:val="21"/>
                <w:szCs w:val="21"/>
              </w:rPr>
              <w:t> </w:t>
            </w:r>
            <w:r>
              <w:rPr>
                <w:rFonts w:ascii="宋体" w:hAnsi="宋体" w:cs="宋体" w:eastAsia="宋体" w:hint="default"/>
                <w:spacing w:val="-3"/>
                <w:w w:val="100"/>
                <w:sz w:val="21"/>
                <w:szCs w:val="21"/>
              </w:rPr>
              <w:t>个月</w:t>
            </w:r>
            <w:r>
              <w:rPr>
                <w:rFonts w:ascii="宋体" w:hAnsi="宋体" w:cs="宋体" w:eastAsia="宋体" w:hint="default"/>
                <w:w w:val="100"/>
                <w:sz w:val="21"/>
                <w:szCs w:val="21"/>
              </w:rPr>
              <w:t>内如</w:t>
            </w:r>
            <w:r>
              <w:rPr>
                <w:rFonts w:ascii="宋体" w:hAnsi="宋体" w:cs="宋体" w:eastAsia="宋体" w:hint="default"/>
                <w:spacing w:val="-3"/>
                <w:w w:val="100"/>
                <w:sz w:val="21"/>
                <w:szCs w:val="21"/>
              </w:rPr>
              <w:t>上</w:t>
            </w:r>
            <w:r>
              <w:rPr>
                <w:rFonts w:ascii="宋体" w:hAnsi="宋体" w:cs="宋体" w:eastAsia="宋体" w:hint="default"/>
                <w:w w:val="100"/>
                <w:sz w:val="21"/>
                <w:szCs w:val="21"/>
              </w:rPr>
              <w:t>市</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股</w:t>
            </w:r>
            <w:r>
              <w:rPr>
                <w:rFonts w:ascii="宋体" w:hAnsi="宋体" w:cs="宋体" w:eastAsia="宋体" w:hint="default"/>
                <w:w w:val="100"/>
                <w:sz w:val="21"/>
                <w:szCs w:val="21"/>
              </w:rPr>
              <w:t>票</w:t>
            </w:r>
            <w:r>
              <w:rPr>
                <w:rFonts w:ascii="宋体" w:hAnsi="宋体" w:cs="宋体" w:eastAsia="宋体" w:hint="default"/>
                <w:spacing w:val="-3"/>
                <w:w w:val="100"/>
                <w:sz w:val="21"/>
                <w:szCs w:val="21"/>
              </w:rPr>
              <w:t>连</w:t>
            </w:r>
            <w:r>
              <w:rPr>
                <w:rFonts w:ascii="宋体" w:hAnsi="宋体" w:cs="宋体" w:eastAsia="宋体" w:hint="default"/>
                <w:w w:val="100"/>
                <w:sz w:val="21"/>
                <w:szCs w:val="21"/>
              </w:rPr>
              <w:t>续</w:t>
            </w:r>
            <w:r>
              <w:rPr>
                <w:rFonts w:ascii="宋体" w:hAnsi="宋体" w:cs="宋体" w:eastAsia="宋体" w:hint="default"/>
                <w:spacing w:val="-53"/>
                <w:sz w:val="21"/>
                <w:szCs w:val="21"/>
              </w:rPr>
              <w:t> </w:t>
            </w:r>
            <w:r>
              <w:rPr>
                <w:rFonts w:ascii="宋体" w:hAnsi="宋体" w:cs="宋体" w:eastAsia="宋体" w:hint="default"/>
                <w:spacing w:val="-3"/>
                <w:w w:val="100"/>
                <w:sz w:val="21"/>
                <w:szCs w:val="21"/>
              </w:rPr>
              <w:t>2</w:t>
            </w:r>
            <w:r>
              <w:rPr>
                <w:rFonts w:ascii="宋体" w:hAnsi="宋体" w:cs="宋体" w:eastAsia="宋体" w:hint="default"/>
                <w:w w:val="100"/>
                <w:sz w:val="21"/>
                <w:szCs w:val="21"/>
              </w:rPr>
              <w:t>0</w:t>
            </w:r>
            <w:r>
              <w:rPr>
                <w:rFonts w:ascii="宋体" w:hAnsi="宋体" w:cs="宋体" w:eastAsia="宋体" w:hint="default"/>
                <w:spacing w:val="-55"/>
                <w:sz w:val="21"/>
                <w:szCs w:val="21"/>
              </w:rPr>
              <w:t> </w:t>
            </w:r>
            <w:r>
              <w:rPr>
                <w:rFonts w:ascii="宋体" w:hAnsi="宋体" w:cs="宋体" w:eastAsia="宋体" w:hint="default"/>
                <w:w w:val="100"/>
                <w:sz w:val="21"/>
                <w:szCs w:val="21"/>
              </w:rPr>
              <w:t>个交</w:t>
            </w:r>
            <w:r>
              <w:rPr>
                <w:rFonts w:ascii="宋体" w:hAnsi="宋体" w:cs="宋体" w:eastAsia="宋体" w:hint="default"/>
                <w:spacing w:val="-3"/>
                <w:w w:val="100"/>
                <w:sz w:val="21"/>
                <w:szCs w:val="21"/>
              </w:rPr>
              <w:t>易</w:t>
            </w:r>
            <w:r>
              <w:rPr>
                <w:rFonts w:ascii="宋体" w:hAnsi="宋体" w:cs="宋体" w:eastAsia="宋体" w:hint="default"/>
                <w:w w:val="100"/>
                <w:sz w:val="21"/>
                <w:szCs w:val="21"/>
              </w:rPr>
              <w:t>日的</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收盘</w:t>
            </w:r>
            <w:r>
              <w:rPr>
                <w:rFonts w:ascii="宋体" w:hAnsi="宋体" w:cs="宋体" w:eastAsia="宋体" w:hint="default"/>
                <w:spacing w:val="-3"/>
                <w:w w:val="100"/>
                <w:sz w:val="21"/>
                <w:szCs w:val="21"/>
              </w:rPr>
              <w:t>价</w:t>
            </w:r>
            <w:r>
              <w:rPr>
                <w:rFonts w:ascii="宋体" w:hAnsi="宋体" w:cs="宋体" w:eastAsia="宋体" w:hint="default"/>
                <w:w w:val="100"/>
                <w:sz w:val="21"/>
                <w:szCs w:val="21"/>
              </w:rPr>
              <w:t>格</w:t>
            </w:r>
            <w:r>
              <w:rPr>
                <w:rFonts w:ascii="宋体" w:hAnsi="宋体" w:cs="宋体" w:eastAsia="宋体" w:hint="default"/>
                <w:spacing w:val="-3"/>
                <w:w w:val="100"/>
                <w:sz w:val="21"/>
                <w:szCs w:val="21"/>
              </w:rPr>
              <w:t>低</w:t>
            </w:r>
            <w:r>
              <w:rPr>
                <w:rFonts w:ascii="宋体" w:hAnsi="宋体" w:cs="宋体" w:eastAsia="宋体" w:hint="default"/>
                <w:w w:val="100"/>
                <w:sz w:val="21"/>
                <w:szCs w:val="21"/>
              </w:rPr>
              <w:t>于</w:t>
            </w:r>
            <w:r>
              <w:rPr>
                <w:rFonts w:ascii="宋体" w:hAnsi="宋体" w:cs="宋体" w:eastAsia="宋体" w:hint="default"/>
                <w:spacing w:val="-3"/>
                <w:w w:val="100"/>
                <w:sz w:val="21"/>
                <w:szCs w:val="21"/>
              </w:rPr>
              <w:t>发</w:t>
            </w:r>
            <w:r>
              <w:rPr>
                <w:rFonts w:ascii="宋体" w:hAnsi="宋体" w:cs="宋体" w:eastAsia="宋体" w:hint="default"/>
                <w:w w:val="100"/>
                <w:sz w:val="21"/>
                <w:szCs w:val="21"/>
              </w:rPr>
              <w:t>行</w:t>
            </w:r>
            <w:r>
              <w:rPr>
                <w:rFonts w:ascii="宋体" w:hAnsi="宋体" w:cs="宋体" w:eastAsia="宋体" w:hint="default"/>
                <w:spacing w:val="-3"/>
                <w:w w:val="100"/>
                <w:sz w:val="21"/>
                <w:szCs w:val="21"/>
              </w:rPr>
              <w:t>价</w:t>
            </w:r>
            <w:r>
              <w:rPr>
                <w:rFonts w:ascii="宋体" w:hAnsi="宋体" w:cs="宋体" w:eastAsia="宋体" w:hint="default"/>
                <w:spacing w:val="-92"/>
                <w:w w:val="100"/>
                <w:sz w:val="21"/>
                <w:szCs w:val="21"/>
              </w:rPr>
              <w:t>，</w:t>
            </w:r>
            <w:r>
              <w:rPr>
                <w:rFonts w:ascii="宋体" w:hAnsi="宋体" w:cs="宋体" w:eastAsia="宋体" w:hint="default"/>
                <w:w w:val="100"/>
                <w:sz w:val="21"/>
                <w:szCs w:val="21"/>
              </w:rPr>
              <w:t>或</w:t>
            </w:r>
            <w:r>
              <w:rPr>
                <w:rFonts w:ascii="宋体" w:hAnsi="宋体" w:cs="宋体" w:eastAsia="宋体" w:hint="default"/>
                <w:spacing w:val="-3"/>
                <w:w w:val="100"/>
                <w:sz w:val="21"/>
                <w:szCs w:val="21"/>
              </w:rPr>
              <w:t>者</w:t>
            </w:r>
            <w:r>
              <w:rPr>
                <w:rFonts w:ascii="宋体" w:hAnsi="宋体" w:cs="宋体" w:eastAsia="宋体" w:hint="default"/>
                <w:w w:val="100"/>
                <w:sz w:val="21"/>
                <w:szCs w:val="21"/>
              </w:rPr>
              <w:t>交易</w:t>
            </w:r>
            <w:r>
              <w:rPr>
                <w:rFonts w:ascii="宋体" w:hAnsi="宋体" w:cs="宋体" w:eastAsia="宋体" w:hint="default"/>
                <w:spacing w:val="-3"/>
                <w:w w:val="100"/>
                <w:sz w:val="21"/>
                <w:szCs w:val="21"/>
              </w:rPr>
              <w:t>完成</w:t>
            </w:r>
            <w:r>
              <w:rPr>
                <w:rFonts w:ascii="宋体" w:hAnsi="宋体" w:cs="宋体" w:eastAsia="宋体" w:hint="default"/>
                <w:w w:val="100"/>
                <w:sz w:val="21"/>
                <w:szCs w:val="21"/>
              </w:rPr>
              <w:t>后</w:t>
            </w:r>
            <w:r>
              <w:rPr>
                <w:rFonts w:ascii="宋体" w:hAnsi="宋体" w:cs="宋体" w:eastAsia="宋体" w:hint="default"/>
                <w:spacing w:val="-53"/>
                <w:sz w:val="21"/>
                <w:szCs w:val="21"/>
              </w:rPr>
              <w:t> </w:t>
            </w:r>
            <w:r>
              <w:rPr>
                <w:rFonts w:ascii="宋体" w:hAnsi="宋体" w:cs="宋体" w:eastAsia="宋体" w:hint="default"/>
                <w:w w:val="100"/>
                <w:sz w:val="21"/>
                <w:szCs w:val="21"/>
              </w:rPr>
              <w:t>6</w:t>
            </w:r>
            <w:r>
              <w:rPr>
                <w:rFonts w:ascii="宋体" w:hAnsi="宋体" w:cs="宋体" w:eastAsia="宋体" w:hint="default"/>
                <w:spacing w:val="-53"/>
                <w:sz w:val="21"/>
                <w:szCs w:val="21"/>
              </w:rPr>
              <w:t> </w:t>
            </w:r>
            <w:r>
              <w:rPr>
                <w:rFonts w:ascii="宋体" w:hAnsi="宋体" w:cs="宋体" w:eastAsia="宋体" w:hint="default"/>
                <w:spacing w:val="-3"/>
                <w:w w:val="100"/>
                <w:sz w:val="21"/>
                <w:szCs w:val="21"/>
              </w:rPr>
              <w:t>个</w:t>
            </w:r>
            <w:r>
              <w:rPr>
                <w:rFonts w:ascii="宋体" w:hAnsi="宋体" w:cs="宋体" w:eastAsia="宋体" w:hint="default"/>
                <w:w w:val="100"/>
                <w:sz w:val="21"/>
                <w:szCs w:val="21"/>
              </w:rPr>
              <w:t>月</w:t>
            </w:r>
            <w:r>
              <w:rPr>
                <w:rFonts w:ascii="宋体" w:hAnsi="宋体" w:cs="宋体" w:eastAsia="宋体" w:hint="default"/>
                <w:spacing w:val="-3"/>
                <w:w w:val="100"/>
                <w:sz w:val="21"/>
                <w:szCs w:val="21"/>
              </w:rPr>
              <w:t>期</w:t>
            </w:r>
            <w:r>
              <w:rPr>
                <w:rFonts w:ascii="宋体" w:hAnsi="宋体" w:cs="宋体" w:eastAsia="宋体" w:hint="default"/>
                <w:w w:val="100"/>
                <w:sz w:val="21"/>
                <w:szCs w:val="21"/>
              </w:rPr>
              <w:t>末</w:t>
            </w:r>
            <w:r>
              <w:rPr>
                <w:rFonts w:ascii="宋体" w:hAnsi="宋体" w:cs="宋体" w:eastAsia="宋体" w:hint="default"/>
                <w:spacing w:val="-3"/>
                <w:w w:val="100"/>
                <w:sz w:val="21"/>
                <w:szCs w:val="21"/>
              </w:rPr>
              <w:t>收</w:t>
            </w:r>
            <w:r>
              <w:rPr>
                <w:rFonts w:ascii="宋体" w:hAnsi="宋体" w:cs="宋体" w:eastAsia="宋体" w:hint="default"/>
                <w:w w:val="100"/>
                <w:sz w:val="21"/>
                <w:szCs w:val="21"/>
              </w:rPr>
              <w:t>盘价</w:t>
            </w:r>
            <w:r>
              <w:rPr>
                <w:rFonts w:ascii="宋体" w:hAnsi="宋体" w:cs="宋体" w:eastAsia="宋体" w:hint="default"/>
                <w:spacing w:val="-3"/>
                <w:w w:val="100"/>
                <w:sz w:val="21"/>
                <w:szCs w:val="21"/>
              </w:rPr>
              <w:t>低</w:t>
            </w:r>
            <w:r>
              <w:rPr>
                <w:rFonts w:ascii="宋体" w:hAnsi="宋体" w:cs="宋体" w:eastAsia="宋体" w:hint="default"/>
                <w:w w:val="100"/>
                <w:sz w:val="21"/>
                <w:szCs w:val="21"/>
              </w:rPr>
              <w:t>于发</w:t>
            </w:r>
          </w:p>
          <w:p>
            <w:pPr>
              <w:pStyle w:val="TableParagraph"/>
              <w:spacing w:line="237" w:lineRule="auto" w:before="2"/>
              <w:ind w:left="103" w:right="96"/>
              <w:jc w:val="both"/>
              <w:rPr>
                <w:rFonts w:ascii="宋体" w:hAnsi="宋体" w:cs="宋体" w:eastAsia="宋体" w:hint="default"/>
                <w:sz w:val="21"/>
                <w:szCs w:val="21"/>
              </w:rPr>
            </w:pPr>
            <w:r>
              <w:rPr>
                <w:rFonts w:ascii="宋体" w:hAnsi="宋体" w:cs="宋体" w:eastAsia="宋体" w:hint="default"/>
                <w:sz w:val="21"/>
                <w:szCs w:val="21"/>
              </w:rPr>
              <w:t>行价的，其持有公司股票的锁定期自动延长</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6"/>
                <w:sz w:val="21"/>
                <w:szCs w:val="21"/>
              </w:rPr>
              <w:t> </w:t>
            </w:r>
            <w:r>
              <w:rPr>
                <w:rFonts w:ascii="宋体" w:hAnsi="宋体" w:cs="宋体" w:eastAsia="宋体" w:hint="default"/>
                <w:sz w:val="21"/>
                <w:szCs w:val="21"/>
              </w:rPr>
              <w:t>个月。</w:t>
            </w:r>
            <w:r>
              <w:rPr>
                <w:rFonts w:ascii="宋体" w:hAnsi="宋体" w:cs="宋体" w:eastAsia="宋体" w:hint="default"/>
                <w:sz w:val="21"/>
                <w:szCs w:val="21"/>
              </w:rPr>
              <w:t>2</w:t>
            </w:r>
            <w:r>
              <w:rPr>
                <w:rFonts w:ascii="宋体" w:hAnsi="宋体" w:cs="宋体" w:eastAsia="宋体" w:hint="default"/>
                <w:sz w:val="21"/>
                <w:szCs w:val="21"/>
              </w:rPr>
              <w:t>、若本人</w:t>
            </w:r>
            <w:r>
              <w:rPr>
                <w:rFonts w:ascii="宋体" w:hAnsi="宋体" w:cs="宋体" w:eastAsia="宋体" w:hint="default"/>
                <w:w w:val="100"/>
                <w:sz w:val="21"/>
                <w:szCs w:val="21"/>
              </w:rPr>
              <w:t> </w:t>
            </w:r>
            <w:r>
              <w:rPr>
                <w:rFonts w:ascii="宋体" w:hAnsi="宋体" w:cs="宋体" w:eastAsia="宋体" w:hint="default"/>
                <w:spacing w:val="-5"/>
                <w:w w:val="100"/>
                <w:sz w:val="21"/>
                <w:szCs w:val="21"/>
              </w:rPr>
              <w:t>所认购的锁定期与证券监管机构的最新监管意见不相符，本人将</w:t>
            </w:r>
            <w:r>
              <w:rPr>
                <w:rFonts w:ascii="宋体" w:hAnsi="宋体" w:cs="宋体" w:eastAsia="宋体" w:hint="default"/>
                <w:spacing w:val="-91"/>
                <w:w w:val="100"/>
                <w:sz w:val="21"/>
                <w:szCs w:val="21"/>
              </w:rPr>
              <w:t> </w:t>
            </w:r>
            <w:r>
              <w:rPr>
                <w:rFonts w:ascii="宋体" w:hAnsi="宋体" w:cs="宋体" w:eastAsia="宋体" w:hint="default"/>
                <w:spacing w:val="-91"/>
                <w:w w:val="100"/>
                <w:sz w:val="21"/>
                <w:szCs w:val="21"/>
              </w:rPr>
            </w:r>
            <w:r>
              <w:rPr>
                <w:rFonts w:ascii="宋体" w:hAnsi="宋体" w:cs="宋体" w:eastAsia="宋体" w:hint="default"/>
                <w:sz w:val="21"/>
                <w:szCs w:val="21"/>
              </w:rPr>
              <w:t>根据证券监管机构的监管意见进行相应调整。</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承诺时间：</w:t>
            </w: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37" w:lineRule="auto"/>
              <w:ind w:left="103" w:right="226"/>
              <w:jc w:val="both"/>
              <w:rPr>
                <w:rFonts w:ascii="宋体" w:hAnsi="宋体" w:cs="宋体" w:eastAsia="宋体" w:hint="default"/>
                <w:sz w:val="21"/>
                <w:szCs w:val="21"/>
              </w:rPr>
            </w:pPr>
            <w:r>
              <w:rPr>
                <w:rFonts w:ascii="宋体" w:hAnsi="宋体" w:cs="宋体" w:eastAsia="宋体" w:hint="default"/>
                <w:sz w:val="21"/>
                <w:szCs w:val="21"/>
              </w:rPr>
              <w:t>公司重大资产重组</w:t>
            </w:r>
            <w:r>
              <w:rPr>
                <w:rFonts w:ascii="宋体" w:hAnsi="宋体" w:cs="宋体" w:eastAsia="宋体" w:hint="default"/>
                <w:w w:val="100"/>
                <w:sz w:val="21"/>
                <w:szCs w:val="21"/>
              </w:rPr>
              <w:t> </w:t>
            </w:r>
            <w:r>
              <w:rPr>
                <w:rFonts w:ascii="宋体" w:hAnsi="宋体" w:cs="宋体" w:eastAsia="宋体" w:hint="default"/>
                <w:sz w:val="21"/>
                <w:szCs w:val="21"/>
              </w:rPr>
              <w:t>期间；承诺期限：</w:t>
            </w:r>
            <w:r>
              <w:rPr>
                <w:rFonts w:ascii="宋体" w:hAnsi="宋体" w:cs="宋体" w:eastAsia="宋体" w:hint="default"/>
                <w:w w:val="100"/>
                <w:sz w:val="21"/>
                <w:szCs w:val="21"/>
              </w:rPr>
              <w:t> </w:t>
            </w: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z w:val="21"/>
                <w:szCs w:val="21"/>
              </w:rPr>
              <w:t>日</w:t>
            </w:r>
          </w:p>
          <w:p>
            <w:pPr>
              <w:pStyle w:val="TableParagraph"/>
              <w:spacing w:line="274" w:lineRule="exact"/>
              <w:ind w:left="103" w:right="0"/>
              <w:jc w:val="both"/>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07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1004" w:type="dxa"/>
            <w:vMerge/>
            <w:tcBorders>
              <w:left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股</w:t>
            </w:r>
          </w:p>
          <w:p>
            <w:pPr>
              <w:pStyle w:val="TableParagraph"/>
              <w:spacing w:line="237" w:lineRule="auto" w:before="1"/>
              <w:ind w:left="103" w:right="305"/>
              <w:jc w:val="both"/>
              <w:rPr>
                <w:rFonts w:ascii="宋体" w:hAnsi="宋体" w:cs="宋体" w:eastAsia="宋体" w:hint="default"/>
                <w:sz w:val="21"/>
                <w:szCs w:val="21"/>
              </w:rPr>
            </w:pPr>
            <w:r>
              <w:rPr>
                <w:rFonts w:ascii="宋体" w:hAnsi="宋体" w:cs="宋体" w:eastAsia="宋体" w:hint="default"/>
                <w:sz w:val="21"/>
                <w:szCs w:val="21"/>
              </w:rPr>
              <w:t>份</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售</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郭东</w:t>
            </w:r>
            <w:r>
              <w:rPr>
                <w:rFonts w:ascii="宋体" w:hAnsi="宋体" w:cs="宋体" w:eastAsia="宋体" w:hint="default"/>
                <w:spacing w:val="-3"/>
                <w:w w:val="100"/>
                <w:sz w:val="21"/>
                <w:szCs w:val="21"/>
              </w:rPr>
              <w:t>泽</w:t>
            </w:r>
            <w:r>
              <w:rPr>
                <w:rFonts w:ascii="宋体" w:hAnsi="宋体" w:cs="宋体" w:eastAsia="宋体" w:hint="default"/>
                <w:spacing w:val="-89"/>
                <w:w w:val="100"/>
                <w:sz w:val="21"/>
                <w:szCs w:val="21"/>
              </w:rPr>
              <w:t>、</w:t>
            </w:r>
            <w:r>
              <w:rPr>
                <w:rFonts w:ascii="宋体" w:hAnsi="宋体" w:cs="宋体" w:eastAsia="宋体" w:hint="default"/>
                <w:w w:val="100"/>
                <w:sz w:val="21"/>
                <w:szCs w:val="21"/>
              </w:rPr>
              <w:t>长</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城国融</w:t>
            </w:r>
          </w:p>
        </w:tc>
        <w:tc>
          <w:tcPr>
            <w:tcW w:w="600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本公</w:t>
            </w:r>
            <w:r>
              <w:rPr>
                <w:rFonts w:ascii="宋体" w:hAnsi="宋体" w:cs="宋体" w:eastAsia="宋体" w:hint="default"/>
                <w:spacing w:val="-3"/>
                <w:w w:val="100"/>
                <w:sz w:val="21"/>
                <w:szCs w:val="21"/>
              </w:rPr>
              <w:t>司</w:t>
            </w:r>
            <w:r>
              <w:rPr>
                <w:rFonts w:ascii="宋体" w:hAnsi="宋体" w:cs="宋体" w:eastAsia="宋体" w:hint="default"/>
                <w:w w:val="100"/>
                <w:sz w:val="21"/>
                <w:szCs w:val="21"/>
              </w:rPr>
              <w:t>通</w:t>
            </w:r>
            <w:r>
              <w:rPr>
                <w:rFonts w:ascii="宋体" w:hAnsi="宋体" w:cs="宋体" w:eastAsia="宋体" w:hint="default"/>
                <w:spacing w:val="-3"/>
                <w:w w:val="100"/>
                <w:sz w:val="21"/>
                <w:szCs w:val="21"/>
              </w:rPr>
              <w:t>过</w:t>
            </w:r>
            <w:r>
              <w:rPr>
                <w:rFonts w:ascii="宋体" w:hAnsi="宋体" w:cs="宋体" w:eastAsia="宋体" w:hint="default"/>
                <w:w w:val="100"/>
                <w:sz w:val="21"/>
                <w:szCs w:val="21"/>
              </w:rPr>
              <w:t>本</w:t>
            </w:r>
            <w:r>
              <w:rPr>
                <w:rFonts w:ascii="宋体" w:hAnsi="宋体" w:cs="宋体" w:eastAsia="宋体" w:hint="default"/>
                <w:spacing w:val="-3"/>
                <w:w w:val="100"/>
                <w:sz w:val="21"/>
                <w:szCs w:val="21"/>
              </w:rPr>
              <w:t>次</w:t>
            </w:r>
            <w:r>
              <w:rPr>
                <w:rFonts w:ascii="宋体" w:hAnsi="宋体" w:cs="宋体" w:eastAsia="宋体" w:hint="default"/>
                <w:w w:val="100"/>
                <w:sz w:val="21"/>
                <w:szCs w:val="21"/>
              </w:rPr>
              <w:t>交</w:t>
            </w:r>
            <w:r>
              <w:rPr>
                <w:rFonts w:ascii="宋体" w:hAnsi="宋体" w:cs="宋体" w:eastAsia="宋体" w:hint="default"/>
                <w:spacing w:val="-3"/>
                <w:w w:val="100"/>
                <w:sz w:val="21"/>
                <w:szCs w:val="21"/>
              </w:rPr>
              <w:t>易</w:t>
            </w:r>
            <w:r>
              <w:rPr>
                <w:rFonts w:ascii="宋体" w:hAnsi="宋体" w:cs="宋体" w:eastAsia="宋体" w:hint="default"/>
                <w:w w:val="100"/>
                <w:sz w:val="21"/>
                <w:szCs w:val="21"/>
              </w:rPr>
              <w:t>取</w:t>
            </w:r>
            <w:r>
              <w:rPr>
                <w:rFonts w:ascii="宋体" w:hAnsi="宋体" w:cs="宋体" w:eastAsia="宋体" w:hint="default"/>
                <w:spacing w:val="-3"/>
                <w:w w:val="100"/>
                <w:sz w:val="21"/>
                <w:szCs w:val="21"/>
              </w:rPr>
              <w:t>得</w:t>
            </w:r>
            <w:r>
              <w:rPr>
                <w:rFonts w:ascii="宋体" w:hAnsi="宋体" w:cs="宋体" w:eastAsia="宋体" w:hint="default"/>
                <w:w w:val="100"/>
                <w:sz w:val="21"/>
                <w:szCs w:val="21"/>
              </w:rPr>
              <w:t>的黑</w:t>
            </w:r>
            <w:r>
              <w:rPr>
                <w:rFonts w:ascii="宋体" w:hAnsi="宋体" w:cs="宋体" w:eastAsia="宋体" w:hint="default"/>
                <w:spacing w:val="-3"/>
                <w:w w:val="100"/>
                <w:sz w:val="21"/>
                <w:szCs w:val="21"/>
              </w:rPr>
              <w:t>化</w:t>
            </w:r>
            <w:r>
              <w:rPr>
                <w:rFonts w:ascii="宋体" w:hAnsi="宋体" w:cs="宋体" w:eastAsia="宋体" w:hint="default"/>
                <w:w w:val="100"/>
                <w:sz w:val="21"/>
                <w:szCs w:val="21"/>
              </w:rPr>
              <w:t>股</w:t>
            </w:r>
            <w:r>
              <w:rPr>
                <w:rFonts w:ascii="宋体" w:hAnsi="宋体" w:cs="宋体" w:eastAsia="宋体" w:hint="default"/>
                <w:spacing w:val="-3"/>
                <w:w w:val="100"/>
                <w:sz w:val="21"/>
                <w:szCs w:val="21"/>
              </w:rPr>
              <w:t>份</w:t>
            </w:r>
            <w:r>
              <w:rPr>
                <w:rFonts w:ascii="宋体" w:hAnsi="宋体" w:cs="宋体" w:eastAsia="宋体" w:hint="default"/>
                <w:w w:val="100"/>
                <w:sz w:val="21"/>
                <w:szCs w:val="21"/>
              </w:rPr>
              <w:t>的</w:t>
            </w:r>
            <w:r>
              <w:rPr>
                <w:rFonts w:ascii="宋体" w:hAnsi="宋体" w:cs="宋体" w:eastAsia="宋体" w:hint="default"/>
                <w:spacing w:val="-3"/>
                <w:w w:val="100"/>
                <w:sz w:val="21"/>
                <w:szCs w:val="21"/>
              </w:rPr>
              <w:t>新</w:t>
            </w:r>
            <w:r>
              <w:rPr>
                <w:rFonts w:ascii="宋体" w:hAnsi="宋体" w:cs="宋体" w:eastAsia="宋体" w:hint="default"/>
                <w:w w:val="100"/>
                <w:sz w:val="21"/>
                <w:szCs w:val="21"/>
              </w:rPr>
              <w:t>增</w:t>
            </w:r>
            <w:r>
              <w:rPr>
                <w:rFonts w:ascii="宋体" w:hAnsi="宋体" w:cs="宋体" w:eastAsia="宋体" w:hint="default"/>
                <w:spacing w:val="-3"/>
                <w:w w:val="100"/>
                <w:sz w:val="21"/>
                <w:szCs w:val="21"/>
              </w:rPr>
              <w:t>股份</w:t>
            </w:r>
            <w:r>
              <w:rPr>
                <w:rFonts w:ascii="宋体" w:hAnsi="宋体" w:cs="宋体" w:eastAsia="宋体" w:hint="default"/>
                <w:spacing w:val="-89"/>
                <w:w w:val="100"/>
                <w:sz w:val="21"/>
                <w:szCs w:val="21"/>
              </w:rPr>
              <w:t>，</w:t>
            </w:r>
            <w:r>
              <w:rPr>
                <w:rFonts w:ascii="宋体" w:hAnsi="宋体" w:cs="宋体" w:eastAsia="宋体" w:hint="default"/>
                <w:spacing w:val="-3"/>
                <w:w w:val="100"/>
                <w:sz w:val="21"/>
                <w:szCs w:val="21"/>
              </w:rPr>
              <w:t>自</w:t>
            </w:r>
            <w:r>
              <w:rPr>
                <w:rFonts w:ascii="宋体" w:hAnsi="宋体" w:cs="宋体" w:eastAsia="宋体" w:hint="default"/>
                <w:w w:val="100"/>
                <w:sz w:val="21"/>
                <w:szCs w:val="21"/>
              </w:rPr>
              <w:t>该等</w:t>
            </w:r>
            <w:r>
              <w:rPr>
                <w:rFonts w:ascii="宋体" w:hAnsi="宋体" w:cs="宋体" w:eastAsia="宋体" w:hint="default"/>
                <w:spacing w:val="-3"/>
                <w:w w:val="100"/>
                <w:sz w:val="21"/>
                <w:szCs w:val="21"/>
              </w:rPr>
              <w:t>股</w:t>
            </w:r>
            <w:r>
              <w:rPr>
                <w:rFonts w:ascii="宋体" w:hAnsi="宋体" w:cs="宋体" w:eastAsia="宋体" w:hint="default"/>
                <w:w w:val="100"/>
                <w:sz w:val="21"/>
                <w:szCs w:val="21"/>
              </w:rPr>
              <w:t>份登</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记在本人名下之日起</w:t>
            </w:r>
            <w:r>
              <w:rPr>
                <w:rFonts w:ascii="宋体" w:hAnsi="宋体" w:cs="宋体" w:eastAsia="宋体" w:hint="default"/>
                <w:spacing w:val="-48"/>
                <w:sz w:val="21"/>
                <w:szCs w:val="21"/>
              </w:rPr>
              <w:t> </w:t>
            </w:r>
            <w:r>
              <w:rPr>
                <w:rFonts w:ascii="宋体" w:hAnsi="宋体" w:cs="宋体" w:eastAsia="宋体" w:hint="default"/>
                <w:sz w:val="21"/>
                <w:szCs w:val="21"/>
              </w:rPr>
              <w:t>36</w:t>
            </w:r>
            <w:r>
              <w:rPr>
                <w:rFonts w:ascii="宋体" w:hAnsi="宋体" w:cs="宋体" w:eastAsia="宋体" w:hint="default"/>
                <w:spacing w:val="-51"/>
                <w:sz w:val="21"/>
                <w:szCs w:val="21"/>
              </w:rPr>
              <w:t> </w:t>
            </w:r>
            <w:r>
              <w:rPr>
                <w:rFonts w:ascii="宋体" w:hAnsi="宋体" w:cs="宋体" w:eastAsia="宋体" w:hint="default"/>
                <w:spacing w:val="-5"/>
                <w:sz w:val="21"/>
                <w:szCs w:val="21"/>
              </w:rPr>
              <w:t>个月内不进行转让，</w:t>
            </w:r>
            <w:r>
              <w:rPr>
                <w:rFonts w:ascii="宋体" w:hAnsi="宋体" w:cs="宋体" w:eastAsia="宋体" w:hint="default"/>
                <w:spacing w:val="-5"/>
                <w:sz w:val="21"/>
                <w:szCs w:val="21"/>
              </w:rPr>
              <w:t>36</w:t>
            </w:r>
            <w:r>
              <w:rPr>
                <w:rFonts w:ascii="宋体" w:hAnsi="宋体" w:cs="宋体" w:eastAsia="宋体" w:hint="default"/>
                <w:spacing w:val="-49"/>
                <w:sz w:val="21"/>
                <w:szCs w:val="21"/>
              </w:rPr>
              <w:t> </w:t>
            </w:r>
            <w:r>
              <w:rPr>
                <w:rFonts w:ascii="宋体" w:hAnsi="宋体" w:cs="宋体" w:eastAsia="宋体" w:hint="default"/>
                <w:sz w:val="21"/>
                <w:szCs w:val="21"/>
              </w:rPr>
              <w:t>个月之后按照中</w:t>
            </w:r>
            <w:r>
              <w:rPr>
                <w:rFonts w:ascii="宋体" w:hAnsi="宋体" w:cs="宋体" w:eastAsia="宋体" w:hint="default"/>
                <w:w w:val="100"/>
                <w:sz w:val="21"/>
                <w:szCs w:val="21"/>
              </w:rPr>
              <w:t> </w:t>
            </w:r>
            <w:r>
              <w:rPr>
                <w:rFonts w:ascii="宋体" w:hAnsi="宋体" w:cs="宋体" w:eastAsia="宋体" w:hint="default"/>
                <w:sz w:val="21"/>
                <w:szCs w:val="21"/>
              </w:rPr>
              <w:t>国证监会及上海证券交易所的有关规定执行。</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z w:val="21"/>
                <w:szCs w:val="21"/>
              </w:rPr>
              <w:t>承诺时间：</w:t>
            </w: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37" w:lineRule="auto" w:before="1"/>
              <w:ind w:left="103" w:right="226"/>
              <w:jc w:val="both"/>
              <w:rPr>
                <w:rFonts w:ascii="宋体" w:hAnsi="宋体" w:cs="宋体" w:eastAsia="宋体" w:hint="default"/>
                <w:sz w:val="21"/>
                <w:szCs w:val="21"/>
              </w:rPr>
            </w:pPr>
            <w:r>
              <w:rPr>
                <w:rFonts w:ascii="宋体" w:hAnsi="宋体" w:cs="宋体" w:eastAsia="宋体" w:hint="default"/>
                <w:sz w:val="21"/>
                <w:szCs w:val="21"/>
              </w:rPr>
              <w:t>公司重大资产重组</w:t>
            </w:r>
            <w:r>
              <w:rPr>
                <w:rFonts w:ascii="宋体" w:hAnsi="宋体" w:cs="宋体" w:eastAsia="宋体" w:hint="default"/>
                <w:w w:val="100"/>
                <w:sz w:val="21"/>
                <w:szCs w:val="21"/>
              </w:rPr>
              <w:t> </w:t>
            </w:r>
            <w:r>
              <w:rPr>
                <w:rFonts w:ascii="宋体" w:hAnsi="宋体" w:cs="宋体" w:eastAsia="宋体" w:hint="default"/>
                <w:sz w:val="21"/>
                <w:szCs w:val="21"/>
              </w:rPr>
              <w:t>期间；承诺期限：</w:t>
            </w:r>
            <w:r>
              <w:rPr>
                <w:rFonts w:ascii="宋体" w:hAnsi="宋体" w:cs="宋体" w:eastAsia="宋体" w:hint="default"/>
                <w:w w:val="100"/>
                <w:sz w:val="21"/>
                <w:szCs w:val="21"/>
              </w:rPr>
              <w:t> </w:t>
            </w: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日</w:t>
            </w:r>
          </w:p>
          <w:p>
            <w:pPr>
              <w:pStyle w:val="TableParagraph"/>
              <w:spacing w:line="271" w:lineRule="exact"/>
              <w:ind w:left="103" w:right="0"/>
              <w:jc w:val="both"/>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07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3008" w:hRule="exact"/>
        </w:trPr>
        <w:tc>
          <w:tcPr>
            <w:tcW w:w="1004" w:type="dxa"/>
            <w:vMerge/>
            <w:tcBorders>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解</w:t>
            </w:r>
          </w:p>
          <w:p>
            <w:pPr>
              <w:pStyle w:val="TableParagraph"/>
              <w:spacing w:line="237" w:lineRule="auto" w:before="2"/>
              <w:ind w:left="103" w:right="305"/>
              <w:jc w:val="both"/>
              <w:rPr>
                <w:rFonts w:ascii="宋体" w:hAnsi="宋体" w:cs="宋体" w:eastAsia="宋体" w:hint="default"/>
                <w:sz w:val="21"/>
                <w:szCs w:val="21"/>
              </w:rPr>
            </w:pPr>
            <w:r>
              <w:rPr>
                <w:rFonts w:ascii="宋体" w:hAnsi="宋体" w:cs="宋体" w:eastAsia="宋体" w:hint="default"/>
                <w:sz w:val="21"/>
                <w:szCs w:val="21"/>
              </w:rPr>
              <w:t>决</w:t>
            </w:r>
            <w:r>
              <w:rPr>
                <w:rFonts w:ascii="宋体" w:hAnsi="宋体" w:cs="宋体" w:eastAsia="宋体" w:hint="default"/>
                <w:w w:val="100"/>
                <w:sz w:val="21"/>
                <w:szCs w:val="21"/>
              </w:rPr>
              <w:t> </w:t>
            </w:r>
            <w:r>
              <w:rPr>
                <w:rFonts w:ascii="宋体" w:hAnsi="宋体" w:cs="宋体" w:eastAsia="宋体" w:hint="default"/>
                <w:sz w:val="21"/>
                <w:szCs w:val="21"/>
              </w:rPr>
              <w:t>同</w:t>
            </w:r>
            <w:r>
              <w:rPr>
                <w:rFonts w:ascii="宋体" w:hAnsi="宋体" w:cs="宋体" w:eastAsia="宋体" w:hint="default"/>
                <w:w w:val="100"/>
                <w:sz w:val="21"/>
                <w:szCs w:val="21"/>
              </w:rPr>
              <w:t> </w:t>
            </w:r>
            <w:r>
              <w:rPr>
                <w:rFonts w:ascii="宋体" w:hAnsi="宋体" w:cs="宋体" w:eastAsia="宋体" w:hint="default"/>
                <w:sz w:val="21"/>
                <w:szCs w:val="21"/>
              </w:rPr>
              <w:t>业</w:t>
            </w:r>
            <w:r>
              <w:rPr>
                <w:rFonts w:ascii="宋体" w:hAnsi="宋体" w:cs="宋体" w:eastAsia="宋体" w:hint="default"/>
                <w:w w:val="100"/>
                <w:sz w:val="21"/>
                <w:szCs w:val="21"/>
              </w:rPr>
              <w:t> </w:t>
            </w:r>
            <w:r>
              <w:rPr>
                <w:rFonts w:ascii="宋体" w:hAnsi="宋体" w:cs="宋体" w:eastAsia="宋体" w:hint="default"/>
                <w:sz w:val="21"/>
                <w:szCs w:val="21"/>
              </w:rPr>
              <w:t>竞</w:t>
            </w:r>
            <w:r>
              <w:rPr>
                <w:rFonts w:ascii="宋体" w:hAnsi="宋体" w:cs="宋体" w:eastAsia="宋体" w:hint="default"/>
                <w:w w:val="100"/>
                <w:sz w:val="21"/>
                <w:szCs w:val="21"/>
              </w:rPr>
              <w:t> </w:t>
            </w:r>
            <w:r>
              <w:rPr>
                <w:rFonts w:ascii="宋体" w:hAnsi="宋体" w:cs="宋体" w:eastAsia="宋体" w:hint="default"/>
                <w:sz w:val="21"/>
                <w:szCs w:val="21"/>
              </w:rPr>
              <w:t>争</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郭东</w:t>
            </w:r>
            <w:r>
              <w:rPr>
                <w:rFonts w:ascii="宋体" w:hAnsi="宋体" w:cs="宋体" w:eastAsia="宋体" w:hint="default"/>
                <w:spacing w:val="-3"/>
                <w:w w:val="100"/>
                <w:sz w:val="21"/>
                <w:szCs w:val="21"/>
              </w:rPr>
              <w:t>泽</w:t>
            </w:r>
            <w:r>
              <w:rPr>
                <w:rFonts w:ascii="宋体" w:hAnsi="宋体" w:cs="宋体" w:eastAsia="宋体" w:hint="default"/>
                <w:spacing w:val="-89"/>
                <w:w w:val="100"/>
                <w:sz w:val="21"/>
                <w:szCs w:val="21"/>
              </w:rPr>
              <w:t>、</w:t>
            </w:r>
            <w:r>
              <w:rPr>
                <w:rFonts w:ascii="宋体" w:hAnsi="宋体" w:cs="宋体" w:eastAsia="宋体" w:hint="default"/>
                <w:w w:val="100"/>
                <w:sz w:val="21"/>
                <w:szCs w:val="21"/>
              </w:rPr>
              <w:t>郭</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东圣</w:t>
            </w:r>
          </w:p>
        </w:tc>
        <w:tc>
          <w:tcPr>
            <w:tcW w:w="60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、本人及本人所控制的其他子公司、分公司、合营或联营公司</w:t>
            </w:r>
          </w:p>
          <w:p>
            <w:pPr>
              <w:pStyle w:val="TableParagraph"/>
              <w:spacing w:line="237" w:lineRule="auto" w:before="2"/>
              <w:ind w:left="103" w:right="7"/>
              <w:jc w:val="left"/>
              <w:rPr>
                <w:rFonts w:ascii="宋体" w:hAnsi="宋体" w:cs="宋体" w:eastAsia="宋体" w:hint="default"/>
                <w:sz w:val="21"/>
                <w:szCs w:val="21"/>
              </w:rPr>
            </w:pPr>
            <w:r>
              <w:rPr>
                <w:rFonts w:ascii="宋体" w:hAnsi="宋体" w:cs="宋体" w:eastAsia="宋体" w:hint="default"/>
                <w:spacing w:val="-5"/>
                <w:sz w:val="21"/>
                <w:szCs w:val="21"/>
              </w:rPr>
              <w:t>及其他任何类型企业（以下简称“相关企业”）未从事任何对黑</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pacing w:val="-2"/>
                <w:sz w:val="21"/>
                <w:szCs w:val="21"/>
              </w:rPr>
              <w:t>化股份及其子公司构成直接或间接竞争的生产经营业务或活动；</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并保证将来亦不从事任何对黑化股份及其子公司构成直接或间</w:t>
            </w:r>
            <w:r>
              <w:rPr>
                <w:rFonts w:ascii="宋体" w:hAnsi="宋体" w:cs="宋体" w:eastAsia="宋体" w:hint="default"/>
                <w:w w:val="100"/>
                <w:sz w:val="21"/>
                <w:szCs w:val="21"/>
              </w:rPr>
              <w:t> </w:t>
            </w:r>
            <w:r>
              <w:rPr>
                <w:rFonts w:ascii="宋体" w:hAnsi="宋体" w:cs="宋体" w:eastAsia="宋体" w:hint="default"/>
                <w:sz w:val="21"/>
                <w:szCs w:val="21"/>
              </w:rPr>
              <w:t>接竞争的生产经营业务或活动。</w:t>
            </w:r>
            <w:r>
              <w:rPr>
                <w:rFonts w:ascii="宋体" w:hAnsi="宋体" w:cs="宋体" w:eastAsia="宋体" w:hint="default"/>
                <w:sz w:val="21"/>
                <w:szCs w:val="21"/>
              </w:rPr>
              <w:t>2</w:t>
            </w:r>
            <w:r>
              <w:rPr>
                <w:rFonts w:ascii="宋体" w:hAnsi="宋体" w:cs="宋体" w:eastAsia="宋体" w:hint="default"/>
                <w:sz w:val="21"/>
                <w:szCs w:val="21"/>
              </w:rPr>
              <w:t>、本人将对自身及相关企业的</w:t>
            </w:r>
            <w:r>
              <w:rPr>
                <w:rFonts w:ascii="宋体" w:hAnsi="宋体" w:cs="宋体" w:eastAsia="宋体" w:hint="default"/>
                <w:w w:val="100"/>
                <w:sz w:val="21"/>
                <w:szCs w:val="21"/>
              </w:rPr>
              <w:t> </w:t>
            </w:r>
            <w:r>
              <w:rPr>
                <w:rFonts w:ascii="宋体" w:hAnsi="宋体" w:cs="宋体" w:eastAsia="宋体" w:hint="default"/>
                <w:spacing w:val="-5"/>
                <w:w w:val="100"/>
                <w:sz w:val="21"/>
                <w:szCs w:val="21"/>
              </w:rPr>
              <w:t>生产经营活动进行监督和约束，如果将来本人及相关企业的产品</w:t>
            </w:r>
            <w:r>
              <w:rPr>
                <w:rFonts w:ascii="宋体" w:hAnsi="宋体" w:cs="宋体" w:eastAsia="宋体" w:hint="default"/>
                <w:spacing w:val="-91"/>
                <w:w w:val="100"/>
                <w:sz w:val="21"/>
                <w:szCs w:val="21"/>
              </w:rPr>
              <w:t> </w:t>
            </w:r>
            <w:r>
              <w:rPr>
                <w:rFonts w:ascii="宋体" w:hAnsi="宋体" w:cs="宋体" w:eastAsia="宋体" w:hint="default"/>
                <w:spacing w:val="-91"/>
                <w:w w:val="100"/>
                <w:sz w:val="21"/>
                <w:szCs w:val="21"/>
              </w:rPr>
            </w:r>
            <w:r>
              <w:rPr>
                <w:rFonts w:ascii="宋体" w:hAnsi="宋体" w:cs="宋体" w:eastAsia="宋体" w:hint="default"/>
                <w:sz w:val="21"/>
                <w:szCs w:val="21"/>
              </w:rPr>
              <w:t>或业务与黑化股份及其子公司的产品或业务出现相同或类似的</w:t>
            </w:r>
            <w:r>
              <w:rPr>
                <w:rFonts w:ascii="宋体" w:hAnsi="宋体" w:cs="宋体" w:eastAsia="宋体" w:hint="default"/>
                <w:w w:val="100"/>
                <w:sz w:val="21"/>
                <w:szCs w:val="21"/>
              </w:rPr>
              <w:t> </w:t>
            </w:r>
            <w:r>
              <w:rPr>
                <w:rFonts w:ascii="宋体" w:hAnsi="宋体" w:cs="宋体" w:eastAsia="宋体" w:hint="default"/>
                <w:sz w:val="21"/>
                <w:szCs w:val="21"/>
              </w:rPr>
              <w:t>情况，本人承诺将采取以下措施解决：（</w:t>
            </w:r>
            <w:r>
              <w:rPr>
                <w:rFonts w:ascii="宋体" w:hAnsi="宋体" w:cs="宋体" w:eastAsia="宋体" w:hint="default"/>
                <w:sz w:val="21"/>
                <w:szCs w:val="21"/>
              </w:rPr>
              <w:t>1</w:t>
            </w:r>
            <w:r>
              <w:rPr>
                <w:rFonts w:ascii="宋体" w:hAnsi="宋体" w:cs="宋体" w:eastAsia="宋体" w:hint="default"/>
                <w:sz w:val="21"/>
                <w:szCs w:val="21"/>
              </w:rPr>
              <w:t>）黑化股份认为必要</w:t>
            </w:r>
            <w:r>
              <w:rPr>
                <w:rFonts w:ascii="宋体" w:hAnsi="宋体" w:cs="宋体" w:eastAsia="宋体" w:hint="default"/>
                <w:w w:val="100"/>
                <w:sz w:val="21"/>
                <w:szCs w:val="21"/>
              </w:rPr>
              <w:t> </w:t>
            </w:r>
            <w:r>
              <w:rPr>
                <w:rFonts w:ascii="宋体" w:hAnsi="宋体" w:cs="宋体" w:eastAsia="宋体" w:hint="default"/>
                <w:spacing w:val="-5"/>
                <w:w w:val="100"/>
                <w:sz w:val="21"/>
                <w:szCs w:val="21"/>
              </w:rPr>
              <w:t>时，本人及相关企业将进行减持直至全部转让相关企业持有的有</w:t>
            </w:r>
            <w:r>
              <w:rPr>
                <w:rFonts w:ascii="宋体" w:hAnsi="宋体" w:cs="宋体" w:eastAsia="宋体" w:hint="default"/>
                <w:spacing w:val="-91"/>
                <w:w w:val="100"/>
                <w:sz w:val="21"/>
                <w:szCs w:val="21"/>
              </w:rPr>
              <w:t> </w:t>
            </w:r>
            <w:r>
              <w:rPr>
                <w:rFonts w:ascii="宋体" w:hAnsi="宋体" w:cs="宋体" w:eastAsia="宋体" w:hint="default"/>
                <w:spacing w:val="-91"/>
                <w:w w:val="100"/>
                <w:sz w:val="21"/>
                <w:szCs w:val="21"/>
              </w:rPr>
            </w:r>
            <w:r>
              <w:rPr>
                <w:rFonts w:ascii="宋体" w:hAnsi="宋体" w:cs="宋体" w:eastAsia="宋体" w:hint="default"/>
                <w:sz w:val="21"/>
                <w:szCs w:val="21"/>
              </w:rPr>
              <w:t>关资产和业务；（</w:t>
            </w:r>
            <w:r>
              <w:rPr>
                <w:rFonts w:ascii="宋体" w:hAnsi="宋体" w:cs="宋体" w:eastAsia="宋体" w:hint="default"/>
                <w:sz w:val="21"/>
                <w:szCs w:val="21"/>
              </w:rPr>
              <w:t>2</w:t>
            </w:r>
            <w:r>
              <w:rPr>
                <w:rFonts w:ascii="宋体" w:hAnsi="宋体" w:cs="宋体" w:eastAsia="宋体" w:hint="default"/>
                <w:sz w:val="21"/>
                <w:szCs w:val="21"/>
              </w:rPr>
              <w:t>）黑化股份在认为必要时，可以通过适当方</w:t>
            </w:r>
            <w:r>
              <w:rPr>
                <w:rFonts w:ascii="宋体" w:hAnsi="宋体" w:cs="宋体" w:eastAsia="宋体" w:hint="default"/>
                <w:w w:val="100"/>
                <w:sz w:val="21"/>
                <w:szCs w:val="21"/>
              </w:rPr>
              <w:t> </w:t>
            </w:r>
            <w:r>
              <w:rPr>
                <w:rFonts w:ascii="宋体" w:hAnsi="宋体" w:cs="宋体" w:eastAsia="宋体" w:hint="default"/>
                <w:sz w:val="21"/>
                <w:szCs w:val="21"/>
              </w:rPr>
              <w:t>式优先收购相关企业持有的有关资产和业务；（</w:t>
            </w:r>
            <w:r>
              <w:rPr>
                <w:rFonts w:ascii="宋体" w:hAnsi="宋体" w:cs="宋体" w:eastAsia="宋体" w:hint="default"/>
                <w:sz w:val="21"/>
                <w:szCs w:val="21"/>
              </w:rPr>
              <w:t>3</w:t>
            </w:r>
            <w:r>
              <w:rPr>
                <w:rFonts w:ascii="宋体" w:hAnsi="宋体" w:cs="宋体" w:eastAsia="宋体" w:hint="default"/>
                <w:sz w:val="21"/>
                <w:szCs w:val="21"/>
              </w:rPr>
              <w:t>）如本人及相</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承诺时间：</w:t>
            </w: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37" w:lineRule="auto" w:before="2"/>
              <w:ind w:left="103" w:right="99"/>
              <w:jc w:val="left"/>
              <w:rPr>
                <w:rFonts w:ascii="宋体" w:hAnsi="宋体" w:cs="宋体" w:eastAsia="宋体" w:hint="default"/>
                <w:sz w:val="21"/>
                <w:szCs w:val="21"/>
              </w:rPr>
            </w:pPr>
            <w:r>
              <w:rPr>
                <w:rFonts w:ascii="宋体" w:hAnsi="宋体" w:cs="宋体" w:eastAsia="宋体" w:hint="default"/>
                <w:sz w:val="21"/>
                <w:szCs w:val="21"/>
              </w:rPr>
              <w:t>公司重大资产重组</w:t>
            </w:r>
            <w:r>
              <w:rPr>
                <w:rFonts w:ascii="宋体" w:hAnsi="宋体" w:cs="宋体" w:eastAsia="宋体" w:hint="default"/>
                <w:w w:val="100"/>
                <w:sz w:val="21"/>
                <w:szCs w:val="21"/>
              </w:rPr>
              <w:t> </w:t>
            </w:r>
            <w:r>
              <w:rPr>
                <w:rFonts w:ascii="宋体" w:hAnsi="宋体" w:cs="宋体" w:eastAsia="宋体" w:hint="default"/>
                <w:spacing w:val="-11"/>
                <w:sz w:val="21"/>
                <w:szCs w:val="21"/>
              </w:rPr>
              <w:t>期间，承诺期限：长</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期有效。</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07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5" w:top="1120" w:bottom="1380" w:left="12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1004"/>
        <w:gridCol w:w="631"/>
        <w:gridCol w:w="1178"/>
        <w:gridCol w:w="6008"/>
        <w:gridCol w:w="2024"/>
        <w:gridCol w:w="629"/>
        <w:gridCol w:w="665"/>
        <w:gridCol w:w="1070"/>
        <w:gridCol w:w="900"/>
      </w:tblGrid>
      <w:tr>
        <w:trPr>
          <w:trHeight w:val="826" w:hRule="exact"/>
        </w:trPr>
        <w:tc>
          <w:tcPr>
            <w:tcW w:w="1004" w:type="dxa"/>
            <w:vMerge w:val="restart"/>
            <w:tcBorders>
              <w:top w:val="single" w:sz="4" w:space="0" w:color="000000"/>
              <w:left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60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关企</w:t>
            </w:r>
            <w:r>
              <w:rPr>
                <w:rFonts w:ascii="宋体" w:hAnsi="宋体" w:cs="宋体" w:eastAsia="宋体" w:hint="default"/>
                <w:spacing w:val="-3"/>
                <w:w w:val="100"/>
                <w:sz w:val="21"/>
                <w:szCs w:val="21"/>
              </w:rPr>
              <w:t>业</w:t>
            </w:r>
            <w:r>
              <w:rPr>
                <w:rFonts w:ascii="宋体" w:hAnsi="宋体" w:cs="宋体" w:eastAsia="宋体" w:hint="default"/>
                <w:w w:val="100"/>
                <w:sz w:val="21"/>
                <w:szCs w:val="21"/>
              </w:rPr>
              <w:t>与</w:t>
            </w:r>
            <w:r>
              <w:rPr>
                <w:rFonts w:ascii="宋体" w:hAnsi="宋体" w:cs="宋体" w:eastAsia="宋体" w:hint="default"/>
                <w:spacing w:val="-3"/>
                <w:w w:val="100"/>
                <w:sz w:val="21"/>
                <w:szCs w:val="21"/>
              </w:rPr>
              <w:t>黑</w:t>
            </w:r>
            <w:r>
              <w:rPr>
                <w:rFonts w:ascii="宋体" w:hAnsi="宋体" w:cs="宋体" w:eastAsia="宋体" w:hint="default"/>
                <w:w w:val="100"/>
                <w:sz w:val="21"/>
                <w:szCs w:val="21"/>
              </w:rPr>
              <w:t>化</w:t>
            </w:r>
            <w:r>
              <w:rPr>
                <w:rFonts w:ascii="宋体" w:hAnsi="宋体" w:cs="宋体" w:eastAsia="宋体" w:hint="default"/>
                <w:spacing w:val="-3"/>
                <w:w w:val="100"/>
                <w:sz w:val="21"/>
                <w:szCs w:val="21"/>
              </w:rPr>
              <w:t>股</w:t>
            </w:r>
            <w:r>
              <w:rPr>
                <w:rFonts w:ascii="宋体" w:hAnsi="宋体" w:cs="宋体" w:eastAsia="宋体" w:hint="default"/>
                <w:w w:val="100"/>
                <w:sz w:val="21"/>
                <w:szCs w:val="21"/>
              </w:rPr>
              <w:t>份</w:t>
            </w:r>
            <w:r>
              <w:rPr>
                <w:rFonts w:ascii="宋体" w:hAnsi="宋体" w:cs="宋体" w:eastAsia="宋体" w:hint="default"/>
                <w:spacing w:val="-3"/>
                <w:w w:val="100"/>
                <w:sz w:val="21"/>
                <w:szCs w:val="21"/>
              </w:rPr>
              <w:t>及</w:t>
            </w:r>
            <w:r>
              <w:rPr>
                <w:rFonts w:ascii="宋体" w:hAnsi="宋体" w:cs="宋体" w:eastAsia="宋体" w:hint="default"/>
                <w:w w:val="100"/>
                <w:sz w:val="21"/>
                <w:szCs w:val="21"/>
              </w:rPr>
              <w:t>其</w:t>
            </w:r>
            <w:r>
              <w:rPr>
                <w:rFonts w:ascii="宋体" w:hAnsi="宋体" w:cs="宋体" w:eastAsia="宋体" w:hint="default"/>
                <w:spacing w:val="-3"/>
                <w:w w:val="100"/>
                <w:sz w:val="21"/>
                <w:szCs w:val="21"/>
              </w:rPr>
              <w:t>子</w:t>
            </w:r>
            <w:r>
              <w:rPr>
                <w:rFonts w:ascii="宋体" w:hAnsi="宋体" w:cs="宋体" w:eastAsia="宋体" w:hint="default"/>
                <w:w w:val="100"/>
                <w:sz w:val="21"/>
                <w:szCs w:val="21"/>
              </w:rPr>
              <w:t>公司</w:t>
            </w:r>
            <w:r>
              <w:rPr>
                <w:rFonts w:ascii="宋体" w:hAnsi="宋体" w:cs="宋体" w:eastAsia="宋体" w:hint="default"/>
                <w:spacing w:val="-3"/>
                <w:w w:val="100"/>
                <w:sz w:val="21"/>
                <w:szCs w:val="21"/>
              </w:rPr>
              <w:t>因</w:t>
            </w:r>
            <w:r>
              <w:rPr>
                <w:rFonts w:ascii="宋体" w:hAnsi="宋体" w:cs="宋体" w:eastAsia="宋体" w:hint="default"/>
                <w:w w:val="100"/>
                <w:sz w:val="21"/>
                <w:szCs w:val="21"/>
              </w:rPr>
              <w:t>同</w:t>
            </w:r>
            <w:r>
              <w:rPr>
                <w:rFonts w:ascii="宋体" w:hAnsi="宋体" w:cs="宋体" w:eastAsia="宋体" w:hint="default"/>
                <w:spacing w:val="-3"/>
                <w:w w:val="100"/>
                <w:sz w:val="21"/>
                <w:szCs w:val="21"/>
              </w:rPr>
              <w:t>业</w:t>
            </w:r>
            <w:r>
              <w:rPr>
                <w:rFonts w:ascii="宋体" w:hAnsi="宋体" w:cs="宋体" w:eastAsia="宋体" w:hint="default"/>
                <w:w w:val="100"/>
                <w:sz w:val="21"/>
                <w:szCs w:val="21"/>
              </w:rPr>
              <w:t>竞</w:t>
            </w:r>
            <w:r>
              <w:rPr>
                <w:rFonts w:ascii="宋体" w:hAnsi="宋体" w:cs="宋体" w:eastAsia="宋体" w:hint="default"/>
                <w:spacing w:val="-3"/>
                <w:w w:val="100"/>
                <w:sz w:val="21"/>
                <w:szCs w:val="21"/>
              </w:rPr>
              <w:t>争</w:t>
            </w:r>
            <w:r>
              <w:rPr>
                <w:rFonts w:ascii="宋体" w:hAnsi="宋体" w:cs="宋体" w:eastAsia="宋体" w:hint="default"/>
                <w:w w:val="100"/>
                <w:sz w:val="21"/>
                <w:szCs w:val="21"/>
              </w:rPr>
              <w:t>产</w:t>
            </w:r>
            <w:r>
              <w:rPr>
                <w:rFonts w:ascii="宋体" w:hAnsi="宋体" w:cs="宋体" w:eastAsia="宋体" w:hint="default"/>
                <w:spacing w:val="-3"/>
                <w:w w:val="100"/>
                <w:sz w:val="21"/>
                <w:szCs w:val="21"/>
              </w:rPr>
              <w:t>生</w:t>
            </w:r>
            <w:r>
              <w:rPr>
                <w:rFonts w:ascii="宋体" w:hAnsi="宋体" w:cs="宋体" w:eastAsia="宋体" w:hint="default"/>
                <w:w w:val="100"/>
                <w:sz w:val="21"/>
                <w:szCs w:val="21"/>
              </w:rPr>
              <w:t>利</w:t>
            </w:r>
            <w:r>
              <w:rPr>
                <w:rFonts w:ascii="宋体" w:hAnsi="宋体" w:cs="宋体" w:eastAsia="宋体" w:hint="default"/>
                <w:spacing w:val="-3"/>
                <w:w w:val="100"/>
                <w:sz w:val="21"/>
                <w:szCs w:val="21"/>
              </w:rPr>
              <w:t>益</w:t>
            </w:r>
            <w:r>
              <w:rPr>
                <w:rFonts w:ascii="宋体" w:hAnsi="宋体" w:cs="宋体" w:eastAsia="宋体" w:hint="default"/>
                <w:w w:val="100"/>
                <w:sz w:val="21"/>
                <w:szCs w:val="21"/>
              </w:rPr>
              <w:t>冲</w:t>
            </w:r>
            <w:r>
              <w:rPr>
                <w:rFonts w:ascii="宋体" w:hAnsi="宋体" w:cs="宋体" w:eastAsia="宋体" w:hint="default"/>
                <w:spacing w:val="-3"/>
                <w:w w:val="100"/>
                <w:sz w:val="21"/>
                <w:szCs w:val="21"/>
              </w:rPr>
              <w:t>突</w:t>
            </w:r>
            <w:r>
              <w:rPr>
                <w:rFonts w:ascii="宋体" w:hAnsi="宋体" w:cs="宋体" w:eastAsia="宋体" w:hint="default"/>
                <w:spacing w:val="-89"/>
                <w:w w:val="100"/>
                <w:sz w:val="21"/>
                <w:szCs w:val="21"/>
              </w:rPr>
              <w:t>，</w:t>
            </w:r>
            <w:r>
              <w:rPr>
                <w:rFonts w:ascii="宋体" w:hAnsi="宋体" w:cs="宋体" w:eastAsia="宋体" w:hint="default"/>
                <w:spacing w:val="-3"/>
                <w:w w:val="100"/>
                <w:sz w:val="21"/>
                <w:szCs w:val="21"/>
              </w:rPr>
              <w:t>则</w:t>
            </w:r>
            <w:r>
              <w:rPr>
                <w:rFonts w:ascii="宋体" w:hAnsi="宋体" w:cs="宋体" w:eastAsia="宋体" w:hint="default"/>
                <w:w w:val="100"/>
                <w:sz w:val="21"/>
                <w:szCs w:val="21"/>
              </w:rPr>
              <w:t>优先</w:t>
            </w:r>
          </w:p>
          <w:p>
            <w:pPr>
              <w:pStyle w:val="TableParagraph"/>
              <w:spacing w:line="240" w:lineRule="auto"/>
              <w:ind w:left="103" w:right="113"/>
              <w:jc w:val="left"/>
              <w:rPr>
                <w:rFonts w:ascii="宋体" w:hAnsi="宋体" w:cs="宋体" w:eastAsia="宋体" w:hint="default"/>
                <w:sz w:val="21"/>
                <w:szCs w:val="21"/>
              </w:rPr>
            </w:pPr>
            <w:r>
              <w:rPr>
                <w:rFonts w:ascii="宋体" w:hAnsi="宋体" w:cs="宋体" w:eastAsia="宋体" w:hint="default"/>
                <w:spacing w:val="-2"/>
                <w:sz w:val="21"/>
                <w:szCs w:val="21"/>
              </w:rPr>
              <w:t>考虑黑化股份及其子公司的利益；（</w:t>
            </w:r>
            <w:r>
              <w:rPr>
                <w:rFonts w:ascii="宋体" w:hAnsi="宋体" w:cs="宋体" w:eastAsia="宋体" w:hint="default"/>
                <w:spacing w:val="-2"/>
                <w:sz w:val="21"/>
                <w:szCs w:val="21"/>
              </w:rPr>
              <w:t>4</w:t>
            </w:r>
            <w:r>
              <w:rPr>
                <w:rFonts w:ascii="宋体" w:hAnsi="宋体" w:cs="宋体" w:eastAsia="宋体" w:hint="default"/>
                <w:spacing w:val="-2"/>
                <w:sz w:val="21"/>
                <w:szCs w:val="21"/>
              </w:rPr>
              <w:t>）有利于避免同业竞争的</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其他措施。</w:t>
            </w:r>
          </w:p>
        </w:tc>
        <w:tc>
          <w:tcPr>
            <w:tcW w:w="2024"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5187" w:hRule="exact"/>
        </w:trPr>
        <w:tc>
          <w:tcPr>
            <w:tcW w:w="1004" w:type="dxa"/>
            <w:vMerge/>
            <w:tcBorders>
              <w:left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解</w:t>
            </w:r>
          </w:p>
          <w:p>
            <w:pPr>
              <w:pStyle w:val="TableParagraph"/>
              <w:spacing w:line="237" w:lineRule="auto"/>
              <w:ind w:left="103" w:right="305"/>
              <w:jc w:val="both"/>
              <w:rPr>
                <w:rFonts w:ascii="宋体" w:hAnsi="宋体" w:cs="宋体" w:eastAsia="宋体" w:hint="default"/>
                <w:sz w:val="21"/>
                <w:szCs w:val="21"/>
              </w:rPr>
            </w:pPr>
            <w:r>
              <w:rPr>
                <w:rFonts w:ascii="宋体" w:hAnsi="宋体" w:cs="宋体" w:eastAsia="宋体" w:hint="default"/>
                <w:sz w:val="21"/>
                <w:szCs w:val="21"/>
              </w:rPr>
              <w:t>决</w:t>
            </w:r>
            <w:r>
              <w:rPr>
                <w:rFonts w:ascii="宋体" w:hAnsi="宋体" w:cs="宋体" w:eastAsia="宋体" w:hint="default"/>
                <w:w w:val="100"/>
                <w:sz w:val="21"/>
                <w:szCs w:val="21"/>
              </w:rPr>
              <w:t> </w:t>
            </w:r>
            <w:r>
              <w:rPr>
                <w:rFonts w:ascii="宋体" w:hAnsi="宋体" w:cs="宋体" w:eastAsia="宋体" w:hint="default"/>
                <w:sz w:val="21"/>
                <w:szCs w:val="21"/>
              </w:rPr>
              <w:t>关</w:t>
            </w:r>
            <w:r>
              <w:rPr>
                <w:rFonts w:ascii="宋体" w:hAnsi="宋体" w:cs="宋体" w:eastAsia="宋体" w:hint="default"/>
                <w:w w:val="100"/>
                <w:sz w:val="21"/>
                <w:szCs w:val="21"/>
              </w:rPr>
              <w:t> </w:t>
            </w:r>
            <w:r>
              <w:rPr>
                <w:rFonts w:ascii="宋体" w:hAnsi="宋体" w:cs="宋体" w:eastAsia="宋体" w:hint="default"/>
                <w:sz w:val="21"/>
                <w:szCs w:val="21"/>
              </w:rPr>
              <w:t>联</w:t>
            </w:r>
            <w:r>
              <w:rPr>
                <w:rFonts w:ascii="宋体" w:hAnsi="宋体" w:cs="宋体" w:eastAsia="宋体" w:hint="default"/>
                <w:w w:val="100"/>
                <w:sz w:val="21"/>
                <w:szCs w:val="21"/>
              </w:rPr>
              <w:t> </w:t>
            </w:r>
            <w:r>
              <w:rPr>
                <w:rFonts w:ascii="宋体" w:hAnsi="宋体" w:cs="宋体" w:eastAsia="宋体" w:hint="default"/>
                <w:sz w:val="21"/>
                <w:szCs w:val="21"/>
              </w:rPr>
              <w:t>交</w:t>
            </w:r>
            <w:r>
              <w:rPr>
                <w:rFonts w:ascii="宋体" w:hAnsi="宋体" w:cs="宋体" w:eastAsia="宋体" w:hint="default"/>
                <w:w w:val="100"/>
                <w:sz w:val="21"/>
                <w:szCs w:val="21"/>
              </w:rPr>
              <w:t> </w:t>
            </w:r>
            <w:r>
              <w:rPr>
                <w:rFonts w:ascii="宋体" w:hAnsi="宋体" w:cs="宋体" w:eastAsia="宋体" w:hint="default"/>
                <w:sz w:val="21"/>
                <w:szCs w:val="21"/>
              </w:rPr>
              <w:t>易</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郭东</w:t>
            </w:r>
            <w:r>
              <w:rPr>
                <w:rFonts w:ascii="宋体" w:hAnsi="宋体" w:cs="宋体" w:eastAsia="宋体" w:hint="default"/>
                <w:spacing w:val="-3"/>
                <w:w w:val="100"/>
                <w:sz w:val="21"/>
                <w:szCs w:val="21"/>
              </w:rPr>
              <w:t>泽</w:t>
            </w:r>
            <w:r>
              <w:rPr>
                <w:rFonts w:ascii="宋体" w:hAnsi="宋体" w:cs="宋体" w:eastAsia="宋体" w:hint="default"/>
                <w:spacing w:val="-89"/>
                <w:w w:val="100"/>
                <w:sz w:val="21"/>
                <w:szCs w:val="21"/>
              </w:rPr>
              <w:t>、</w:t>
            </w:r>
            <w:r>
              <w:rPr>
                <w:rFonts w:ascii="宋体" w:hAnsi="宋体" w:cs="宋体" w:eastAsia="宋体" w:hint="default"/>
                <w:w w:val="100"/>
                <w:sz w:val="21"/>
                <w:szCs w:val="21"/>
              </w:rPr>
              <w:t>郭</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东圣</w:t>
            </w:r>
          </w:p>
        </w:tc>
        <w:tc>
          <w:tcPr>
            <w:tcW w:w="6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、不利用自身对黑化股份的实际控制人地位及控制性影响谋求</w:t>
            </w:r>
          </w:p>
          <w:p>
            <w:pPr>
              <w:pStyle w:val="TableParagraph"/>
              <w:spacing w:line="237" w:lineRule="auto"/>
              <w:ind w:left="103" w:right="7"/>
              <w:jc w:val="left"/>
              <w:rPr>
                <w:rFonts w:ascii="宋体" w:hAnsi="宋体" w:cs="宋体" w:eastAsia="宋体" w:hint="default"/>
                <w:sz w:val="21"/>
                <w:szCs w:val="21"/>
              </w:rPr>
            </w:pPr>
            <w:r>
              <w:rPr>
                <w:rFonts w:ascii="宋体" w:hAnsi="宋体" w:cs="宋体" w:eastAsia="宋体" w:hint="default"/>
                <w:sz w:val="21"/>
                <w:szCs w:val="21"/>
              </w:rPr>
              <w:t>黑化股份及其子公司在业务合作等方面给予优于市场第三方的</w:t>
            </w:r>
            <w:r>
              <w:rPr>
                <w:rFonts w:ascii="宋体" w:hAnsi="宋体" w:cs="宋体" w:eastAsia="宋体" w:hint="default"/>
                <w:w w:val="100"/>
                <w:sz w:val="21"/>
                <w:szCs w:val="21"/>
              </w:rPr>
              <w:t> </w:t>
            </w:r>
            <w:r>
              <w:rPr>
                <w:rFonts w:ascii="宋体" w:hAnsi="宋体" w:cs="宋体" w:eastAsia="宋体" w:hint="default"/>
                <w:sz w:val="21"/>
                <w:szCs w:val="21"/>
              </w:rPr>
              <w:t>权利；</w:t>
            </w:r>
            <w:r>
              <w:rPr>
                <w:rFonts w:ascii="宋体" w:hAnsi="宋体" w:cs="宋体" w:eastAsia="宋体" w:hint="default"/>
                <w:sz w:val="21"/>
                <w:szCs w:val="21"/>
              </w:rPr>
              <w:t>2</w:t>
            </w:r>
            <w:r>
              <w:rPr>
                <w:rFonts w:ascii="宋体" w:hAnsi="宋体" w:cs="宋体" w:eastAsia="宋体" w:hint="default"/>
                <w:sz w:val="21"/>
                <w:szCs w:val="21"/>
              </w:rPr>
              <w:t>、不利用自身对黑化股份的实际控制人地位及控制性影</w:t>
            </w:r>
            <w:r>
              <w:rPr>
                <w:rFonts w:ascii="宋体" w:hAnsi="宋体" w:cs="宋体" w:eastAsia="宋体" w:hint="default"/>
                <w:w w:val="100"/>
                <w:sz w:val="21"/>
                <w:szCs w:val="21"/>
              </w:rPr>
              <w:t> </w:t>
            </w:r>
            <w:r>
              <w:rPr>
                <w:rFonts w:ascii="宋体" w:hAnsi="宋体" w:cs="宋体" w:eastAsia="宋体" w:hint="default"/>
                <w:sz w:val="21"/>
                <w:szCs w:val="21"/>
              </w:rPr>
              <w:t>响谋求与黑化股份及其子公司达成交易的优先权利；</w:t>
            </w:r>
            <w:r>
              <w:rPr>
                <w:rFonts w:ascii="宋体" w:hAnsi="宋体" w:cs="宋体" w:eastAsia="宋体" w:hint="default"/>
                <w:sz w:val="21"/>
                <w:szCs w:val="21"/>
              </w:rPr>
              <w:t>3</w:t>
            </w:r>
            <w:r>
              <w:rPr>
                <w:rFonts w:ascii="宋体" w:hAnsi="宋体" w:cs="宋体" w:eastAsia="宋体" w:hint="default"/>
                <w:sz w:val="21"/>
                <w:szCs w:val="21"/>
              </w:rPr>
              <w:t>、不以低</w:t>
            </w:r>
            <w:r>
              <w:rPr>
                <w:rFonts w:ascii="宋体" w:hAnsi="宋体" w:cs="宋体" w:eastAsia="宋体" w:hint="default"/>
                <w:w w:val="100"/>
                <w:sz w:val="21"/>
                <w:szCs w:val="21"/>
              </w:rPr>
              <w:t> </w:t>
            </w:r>
            <w:r>
              <w:rPr>
                <w:rFonts w:ascii="宋体" w:hAnsi="宋体" w:cs="宋体" w:eastAsia="宋体" w:hint="default"/>
                <w:spacing w:val="-5"/>
                <w:sz w:val="21"/>
                <w:szCs w:val="21"/>
              </w:rPr>
              <w:t>于（如黑化股份为买方则“不以高于”）市场价格的条件与黑化</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pacing w:val="-5"/>
                <w:w w:val="100"/>
                <w:sz w:val="21"/>
                <w:szCs w:val="21"/>
              </w:rPr>
              <w:t>股份及其子公司进行交易，亦不利用该类交易从事任何损害黑化</w:t>
            </w:r>
            <w:r>
              <w:rPr>
                <w:rFonts w:ascii="宋体" w:hAnsi="宋体" w:cs="宋体" w:eastAsia="宋体" w:hint="default"/>
                <w:spacing w:val="-91"/>
                <w:w w:val="100"/>
                <w:sz w:val="21"/>
                <w:szCs w:val="21"/>
              </w:rPr>
              <w:t> </w:t>
            </w:r>
            <w:r>
              <w:rPr>
                <w:rFonts w:ascii="宋体" w:hAnsi="宋体" w:cs="宋体" w:eastAsia="宋体" w:hint="default"/>
                <w:spacing w:val="-91"/>
                <w:w w:val="100"/>
                <w:sz w:val="21"/>
                <w:szCs w:val="21"/>
              </w:rPr>
            </w:r>
            <w:r>
              <w:rPr>
                <w:rFonts w:ascii="宋体" w:hAnsi="宋体" w:cs="宋体" w:eastAsia="宋体" w:hint="default"/>
                <w:spacing w:val="-5"/>
                <w:sz w:val="21"/>
                <w:szCs w:val="21"/>
              </w:rPr>
              <w:t>股份及其子公司利益的行为。同时，本人将保证黑化股份及其子</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pacing w:val="-2"/>
                <w:sz w:val="21"/>
                <w:szCs w:val="21"/>
              </w:rPr>
              <w:t>公司在对待将来可能产生的与本人及相关企业的关联交易方面，</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将采取如下措施规范可能发生的关联交易：</w:t>
            </w:r>
            <w:r>
              <w:rPr>
                <w:rFonts w:ascii="宋体" w:hAnsi="宋体" w:cs="宋体" w:eastAsia="宋体" w:hint="default"/>
                <w:sz w:val="21"/>
                <w:szCs w:val="21"/>
              </w:rPr>
              <w:t>1</w:t>
            </w:r>
            <w:r>
              <w:rPr>
                <w:rFonts w:ascii="宋体" w:hAnsi="宋体" w:cs="宋体" w:eastAsia="宋体" w:hint="default"/>
                <w:sz w:val="21"/>
                <w:szCs w:val="21"/>
              </w:rPr>
              <w:t>、本人将严格遵守</w:t>
            </w:r>
            <w:r>
              <w:rPr>
                <w:rFonts w:ascii="宋体" w:hAnsi="宋体" w:cs="宋体" w:eastAsia="宋体" w:hint="default"/>
                <w:w w:val="100"/>
                <w:sz w:val="21"/>
                <w:szCs w:val="21"/>
              </w:rPr>
              <w:t> </w:t>
            </w:r>
            <w:r>
              <w:rPr>
                <w:rFonts w:ascii="宋体" w:hAnsi="宋体" w:cs="宋体" w:eastAsia="宋体" w:hint="default"/>
                <w:spacing w:val="-5"/>
                <w:sz w:val="21"/>
                <w:szCs w:val="21"/>
              </w:rPr>
              <w:t>相关法律、法规、规范性文件及黑化股份《公司章程》的有关规</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定行使股东权利；在股东大会对涉及本人的关联交易进行表决</w:t>
            </w:r>
            <w:r>
              <w:rPr>
                <w:rFonts w:ascii="宋体" w:hAnsi="宋体" w:cs="宋体" w:eastAsia="宋体" w:hint="default"/>
                <w:w w:val="100"/>
                <w:sz w:val="21"/>
                <w:szCs w:val="21"/>
              </w:rPr>
              <w:t> </w:t>
            </w:r>
            <w:r>
              <w:rPr>
                <w:rFonts w:ascii="宋体" w:hAnsi="宋体" w:cs="宋体" w:eastAsia="宋体" w:hint="default"/>
                <w:sz w:val="21"/>
                <w:szCs w:val="21"/>
              </w:rPr>
              <w:t>时，履行回避表决的义务。</w:t>
            </w:r>
            <w:r>
              <w:rPr>
                <w:rFonts w:ascii="宋体" w:hAnsi="宋体" w:cs="宋体" w:eastAsia="宋体" w:hint="default"/>
                <w:sz w:val="21"/>
                <w:szCs w:val="21"/>
              </w:rPr>
              <w:t>2</w:t>
            </w:r>
            <w:r>
              <w:rPr>
                <w:rFonts w:ascii="宋体" w:hAnsi="宋体" w:cs="宋体" w:eastAsia="宋体" w:hint="default"/>
                <w:sz w:val="21"/>
                <w:szCs w:val="21"/>
              </w:rPr>
              <w:t>、本人将尽可能地避免与黑化股份</w:t>
            </w:r>
            <w:r>
              <w:rPr>
                <w:rFonts w:ascii="宋体" w:hAnsi="宋体" w:cs="宋体" w:eastAsia="宋体" w:hint="default"/>
                <w:w w:val="100"/>
                <w:sz w:val="21"/>
                <w:szCs w:val="21"/>
              </w:rPr>
              <w:t> </w:t>
            </w:r>
            <w:r>
              <w:rPr>
                <w:rFonts w:ascii="宋体" w:hAnsi="宋体" w:cs="宋体" w:eastAsia="宋体" w:hint="default"/>
                <w:spacing w:val="-5"/>
                <w:sz w:val="21"/>
                <w:szCs w:val="21"/>
              </w:rPr>
              <w:t>的关联交易；对无法避免或者有合理原因而发生的关联交易，将</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pacing w:val="-5"/>
                <w:sz w:val="21"/>
                <w:szCs w:val="21"/>
              </w:rPr>
              <w:t>遵循市场公正、公平、公开的原则，并依法签署协议，履行合法</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5"/>
                <w:sz w:val="21"/>
                <w:szCs w:val="21"/>
              </w:rPr>
              <w:t>程序，按照公司章程、有关法律法规和《上市规则》等有关规定</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5"/>
                <w:w w:val="100"/>
                <w:sz w:val="21"/>
                <w:szCs w:val="21"/>
              </w:rPr>
              <w:t>履行信息披露义务和办理有关报批程序，保证不通过关联交易损</w:t>
            </w:r>
            <w:r>
              <w:rPr>
                <w:rFonts w:ascii="宋体" w:hAnsi="宋体" w:cs="宋体" w:eastAsia="宋体" w:hint="default"/>
                <w:spacing w:val="-91"/>
                <w:w w:val="100"/>
                <w:sz w:val="21"/>
                <w:szCs w:val="21"/>
              </w:rPr>
              <w:t> </w:t>
            </w:r>
            <w:r>
              <w:rPr>
                <w:rFonts w:ascii="宋体" w:hAnsi="宋体" w:cs="宋体" w:eastAsia="宋体" w:hint="default"/>
                <w:spacing w:val="-91"/>
                <w:w w:val="100"/>
                <w:sz w:val="21"/>
                <w:szCs w:val="21"/>
              </w:rPr>
            </w:r>
            <w:r>
              <w:rPr>
                <w:rFonts w:ascii="宋体" w:hAnsi="宋体" w:cs="宋体" w:eastAsia="宋体" w:hint="default"/>
                <w:spacing w:val="-5"/>
                <w:w w:val="100"/>
                <w:sz w:val="21"/>
                <w:szCs w:val="21"/>
              </w:rPr>
              <w:t>害黑化股份及其他股东的合法权益。如违反上述承诺与黑化股份</w:t>
            </w:r>
            <w:r>
              <w:rPr>
                <w:rFonts w:ascii="宋体" w:hAnsi="宋体" w:cs="宋体" w:eastAsia="宋体" w:hint="default"/>
                <w:spacing w:val="-91"/>
                <w:w w:val="100"/>
                <w:sz w:val="21"/>
                <w:szCs w:val="21"/>
              </w:rPr>
              <w:t> </w:t>
            </w:r>
            <w:r>
              <w:rPr>
                <w:rFonts w:ascii="宋体" w:hAnsi="宋体" w:cs="宋体" w:eastAsia="宋体" w:hint="default"/>
                <w:spacing w:val="-91"/>
                <w:w w:val="100"/>
                <w:sz w:val="21"/>
                <w:szCs w:val="21"/>
              </w:rPr>
            </w:r>
            <w:r>
              <w:rPr>
                <w:rFonts w:ascii="宋体" w:hAnsi="宋体" w:cs="宋体" w:eastAsia="宋体" w:hint="default"/>
                <w:spacing w:val="-5"/>
                <w:w w:val="100"/>
                <w:sz w:val="21"/>
                <w:szCs w:val="21"/>
              </w:rPr>
              <w:t>及其控股子公司进行交易，而给黑化股份及其控股子公司造成损</w:t>
            </w:r>
            <w:r>
              <w:rPr>
                <w:rFonts w:ascii="宋体" w:hAnsi="宋体" w:cs="宋体" w:eastAsia="宋体" w:hint="default"/>
                <w:spacing w:val="-91"/>
                <w:w w:val="100"/>
                <w:sz w:val="21"/>
                <w:szCs w:val="21"/>
              </w:rPr>
              <w:t> </w:t>
            </w:r>
            <w:r>
              <w:rPr>
                <w:rFonts w:ascii="宋体" w:hAnsi="宋体" w:cs="宋体" w:eastAsia="宋体" w:hint="default"/>
                <w:spacing w:val="-91"/>
                <w:w w:val="100"/>
                <w:sz w:val="21"/>
                <w:szCs w:val="21"/>
              </w:rPr>
            </w:r>
            <w:r>
              <w:rPr>
                <w:rFonts w:ascii="宋体" w:hAnsi="宋体" w:cs="宋体" w:eastAsia="宋体" w:hint="default"/>
                <w:sz w:val="21"/>
                <w:szCs w:val="21"/>
              </w:rPr>
              <w:t>失，由本人承担赔偿责任。</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承诺时间：</w:t>
            </w: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37" w:lineRule="auto"/>
              <w:ind w:left="103" w:right="99"/>
              <w:jc w:val="left"/>
              <w:rPr>
                <w:rFonts w:ascii="宋体" w:hAnsi="宋体" w:cs="宋体" w:eastAsia="宋体" w:hint="default"/>
                <w:sz w:val="21"/>
                <w:szCs w:val="21"/>
              </w:rPr>
            </w:pPr>
            <w:r>
              <w:rPr>
                <w:rFonts w:ascii="宋体" w:hAnsi="宋体" w:cs="宋体" w:eastAsia="宋体" w:hint="default"/>
                <w:sz w:val="21"/>
                <w:szCs w:val="21"/>
              </w:rPr>
              <w:t>公司重大资产重组</w:t>
            </w:r>
            <w:r>
              <w:rPr>
                <w:rFonts w:ascii="宋体" w:hAnsi="宋体" w:cs="宋体" w:eastAsia="宋体" w:hint="default"/>
                <w:w w:val="100"/>
                <w:sz w:val="21"/>
                <w:szCs w:val="21"/>
              </w:rPr>
              <w:t> </w:t>
            </w:r>
            <w:r>
              <w:rPr>
                <w:rFonts w:ascii="宋体" w:hAnsi="宋体" w:cs="宋体" w:eastAsia="宋体" w:hint="default"/>
                <w:spacing w:val="-11"/>
                <w:sz w:val="21"/>
                <w:szCs w:val="21"/>
              </w:rPr>
              <w:t>期间，承诺期限：长</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期有效。</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07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2461" w:hRule="exact"/>
        </w:trPr>
        <w:tc>
          <w:tcPr>
            <w:tcW w:w="1004" w:type="dxa"/>
            <w:vMerge/>
            <w:tcBorders>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盈</w:t>
            </w:r>
          </w:p>
          <w:p>
            <w:pPr>
              <w:pStyle w:val="TableParagraph"/>
              <w:spacing w:line="237" w:lineRule="auto"/>
              <w:ind w:left="103" w:right="305"/>
              <w:jc w:val="both"/>
              <w:rPr>
                <w:rFonts w:ascii="宋体" w:hAnsi="宋体" w:cs="宋体" w:eastAsia="宋体" w:hint="default"/>
                <w:sz w:val="21"/>
                <w:szCs w:val="21"/>
              </w:rPr>
            </w:pPr>
            <w:r>
              <w:rPr>
                <w:rFonts w:ascii="宋体" w:hAnsi="宋体" w:cs="宋体" w:eastAsia="宋体" w:hint="default"/>
                <w:sz w:val="21"/>
                <w:szCs w:val="21"/>
              </w:rPr>
              <w:t>利</w:t>
            </w:r>
            <w:r>
              <w:rPr>
                <w:rFonts w:ascii="宋体" w:hAnsi="宋体" w:cs="宋体" w:eastAsia="宋体" w:hint="default"/>
                <w:w w:val="100"/>
                <w:sz w:val="21"/>
                <w:szCs w:val="21"/>
              </w:rPr>
              <w:t> </w:t>
            </w:r>
            <w:r>
              <w:rPr>
                <w:rFonts w:ascii="宋体" w:hAnsi="宋体" w:cs="宋体" w:eastAsia="宋体" w:hint="default"/>
                <w:sz w:val="21"/>
                <w:szCs w:val="21"/>
              </w:rPr>
              <w:t>预</w:t>
            </w:r>
            <w:r>
              <w:rPr>
                <w:rFonts w:ascii="宋体" w:hAnsi="宋体" w:cs="宋体" w:eastAsia="宋体" w:hint="default"/>
                <w:w w:val="100"/>
                <w:sz w:val="21"/>
                <w:szCs w:val="21"/>
              </w:rPr>
              <w:t> </w:t>
            </w:r>
            <w:r>
              <w:rPr>
                <w:rFonts w:ascii="宋体" w:hAnsi="宋体" w:cs="宋体" w:eastAsia="宋体" w:hint="default"/>
                <w:sz w:val="21"/>
                <w:szCs w:val="21"/>
              </w:rPr>
              <w:t>测</w:t>
            </w:r>
            <w:r>
              <w:rPr>
                <w:rFonts w:ascii="宋体" w:hAnsi="宋体" w:cs="宋体" w:eastAsia="宋体" w:hint="default"/>
                <w:w w:val="100"/>
                <w:sz w:val="21"/>
                <w:szCs w:val="21"/>
              </w:rPr>
              <w:t> </w:t>
            </w:r>
            <w:r>
              <w:rPr>
                <w:rFonts w:ascii="宋体" w:hAnsi="宋体" w:cs="宋体" w:eastAsia="宋体" w:hint="default"/>
                <w:sz w:val="21"/>
                <w:szCs w:val="21"/>
              </w:rPr>
              <w:t>及</w:t>
            </w:r>
            <w:r>
              <w:rPr>
                <w:rFonts w:ascii="宋体" w:hAnsi="宋体" w:cs="宋体" w:eastAsia="宋体" w:hint="default"/>
                <w:w w:val="100"/>
                <w:sz w:val="21"/>
                <w:szCs w:val="21"/>
              </w:rPr>
              <w:t> </w:t>
            </w:r>
            <w:r>
              <w:rPr>
                <w:rFonts w:ascii="宋体" w:hAnsi="宋体" w:cs="宋体" w:eastAsia="宋体" w:hint="default"/>
                <w:sz w:val="21"/>
                <w:szCs w:val="21"/>
              </w:rPr>
              <w:t>补</w:t>
            </w:r>
            <w:r>
              <w:rPr>
                <w:rFonts w:ascii="宋体" w:hAnsi="宋体" w:cs="宋体" w:eastAsia="宋体" w:hint="default"/>
                <w:w w:val="100"/>
                <w:sz w:val="21"/>
                <w:szCs w:val="21"/>
              </w:rPr>
              <w:t> </w:t>
            </w:r>
            <w:r>
              <w:rPr>
                <w:rFonts w:ascii="宋体" w:hAnsi="宋体" w:cs="宋体" w:eastAsia="宋体" w:hint="default"/>
                <w:sz w:val="21"/>
                <w:szCs w:val="21"/>
              </w:rPr>
              <w:t>偿</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郭东</w:t>
            </w:r>
            <w:r>
              <w:rPr>
                <w:rFonts w:ascii="宋体" w:hAnsi="宋体" w:cs="宋体" w:eastAsia="宋体" w:hint="default"/>
                <w:spacing w:val="-3"/>
                <w:w w:val="100"/>
                <w:sz w:val="21"/>
                <w:szCs w:val="21"/>
              </w:rPr>
              <w:t>泽</w:t>
            </w:r>
            <w:r>
              <w:rPr>
                <w:rFonts w:ascii="宋体" w:hAnsi="宋体" w:cs="宋体" w:eastAsia="宋体" w:hint="default"/>
                <w:spacing w:val="-89"/>
                <w:w w:val="100"/>
                <w:sz w:val="21"/>
                <w:szCs w:val="21"/>
              </w:rPr>
              <w:t>、</w:t>
            </w:r>
            <w:r>
              <w:rPr>
                <w:rFonts w:ascii="宋体" w:hAnsi="宋体" w:cs="宋体" w:eastAsia="宋体" w:hint="default"/>
                <w:w w:val="100"/>
                <w:sz w:val="21"/>
                <w:szCs w:val="21"/>
              </w:rPr>
              <w:t>郭</w:t>
            </w:r>
          </w:p>
          <w:p>
            <w:pPr>
              <w:pStyle w:val="TableParagraph"/>
              <w:spacing w:line="237" w:lineRule="auto"/>
              <w:ind w:left="100" w:right="101"/>
              <w:jc w:val="both"/>
              <w:rPr>
                <w:rFonts w:ascii="宋体" w:hAnsi="宋体" w:cs="宋体" w:eastAsia="宋体" w:hint="default"/>
                <w:sz w:val="21"/>
                <w:szCs w:val="21"/>
              </w:rPr>
            </w:pPr>
            <w:r>
              <w:rPr>
                <w:rFonts w:ascii="宋体" w:hAnsi="宋体" w:cs="宋体" w:eastAsia="宋体" w:hint="default"/>
                <w:sz w:val="21"/>
                <w:szCs w:val="21"/>
              </w:rPr>
              <w:t>东圣、王</w:t>
            </w:r>
            <w:r>
              <w:rPr>
                <w:rFonts w:ascii="宋体" w:hAnsi="宋体" w:cs="宋体" w:eastAsia="宋体" w:hint="default"/>
                <w:w w:val="100"/>
                <w:sz w:val="21"/>
                <w:szCs w:val="21"/>
              </w:rPr>
              <w:t> </w:t>
            </w:r>
            <w:r>
              <w:rPr>
                <w:rFonts w:ascii="宋体" w:hAnsi="宋体" w:cs="宋体" w:eastAsia="宋体" w:hint="default"/>
                <w:sz w:val="21"/>
                <w:szCs w:val="21"/>
              </w:rPr>
              <w:t>强、纪世</w:t>
            </w:r>
            <w:r>
              <w:rPr>
                <w:rFonts w:ascii="宋体" w:hAnsi="宋体" w:cs="宋体" w:eastAsia="宋体" w:hint="default"/>
                <w:w w:val="100"/>
                <w:sz w:val="21"/>
                <w:szCs w:val="21"/>
              </w:rPr>
              <w:t> </w:t>
            </w:r>
            <w:r>
              <w:rPr>
                <w:rFonts w:ascii="宋体" w:hAnsi="宋体" w:cs="宋体" w:eastAsia="宋体" w:hint="default"/>
                <w:spacing w:val="-19"/>
                <w:w w:val="100"/>
                <w:sz w:val="21"/>
                <w:szCs w:val="21"/>
              </w:rPr>
              <w:t>贤、卢天赠</w:t>
            </w:r>
          </w:p>
        </w:tc>
        <w:tc>
          <w:tcPr>
            <w:tcW w:w="60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、业绩承诺郭东泽、郭东圣、王强、纪世贤和卢天赠承诺，标</w:t>
            </w:r>
          </w:p>
          <w:p>
            <w:pPr>
              <w:pStyle w:val="TableParagraph"/>
              <w:spacing w:line="237" w:lineRule="auto"/>
              <w:ind w:left="103" w:right="-5"/>
              <w:jc w:val="left"/>
              <w:rPr>
                <w:rFonts w:ascii="宋体" w:hAnsi="宋体" w:cs="宋体" w:eastAsia="宋体" w:hint="default"/>
                <w:sz w:val="21"/>
                <w:szCs w:val="21"/>
              </w:rPr>
            </w:pPr>
            <w:r>
              <w:rPr>
                <w:rFonts w:ascii="宋体" w:hAnsi="宋体" w:cs="宋体" w:eastAsia="宋体" w:hint="default"/>
                <w:sz w:val="21"/>
                <w:szCs w:val="21"/>
              </w:rPr>
              <w:t>的公司</w:t>
            </w:r>
            <w:r>
              <w:rPr>
                <w:rFonts w:ascii="宋体" w:hAnsi="宋体" w:cs="宋体" w:eastAsia="宋体" w:hint="default"/>
                <w:spacing w:val="-53"/>
                <w:sz w:val="21"/>
                <w:szCs w:val="21"/>
              </w:rPr>
              <w:t> </w:t>
            </w: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年和</w:t>
            </w:r>
            <w:r>
              <w:rPr>
                <w:rFonts w:ascii="宋体" w:hAnsi="宋体" w:cs="宋体" w:eastAsia="宋体" w:hint="default"/>
                <w:spacing w:val="-54"/>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年实现的标的公司备考合并净</w:t>
            </w:r>
            <w:r>
              <w:rPr>
                <w:rFonts w:ascii="宋体" w:hAnsi="宋体" w:cs="宋体" w:eastAsia="宋体" w:hint="default"/>
                <w:w w:val="100"/>
                <w:sz w:val="21"/>
                <w:szCs w:val="21"/>
              </w:rPr>
              <w:t> </w:t>
            </w:r>
            <w:r>
              <w:rPr>
                <w:rFonts w:ascii="宋体" w:hAnsi="宋体" w:cs="宋体" w:eastAsia="宋体" w:hint="default"/>
                <w:spacing w:val="-5"/>
                <w:w w:val="100"/>
                <w:sz w:val="21"/>
                <w:szCs w:val="21"/>
              </w:rPr>
              <w:t>利润（标的公司备考合并净利润中扣除非经常性损益后归属于标</w:t>
            </w:r>
            <w:r>
              <w:rPr>
                <w:rFonts w:ascii="宋体" w:hAnsi="宋体" w:cs="宋体" w:eastAsia="宋体" w:hint="default"/>
                <w:spacing w:val="-91"/>
                <w:w w:val="100"/>
                <w:sz w:val="21"/>
                <w:szCs w:val="21"/>
              </w:rPr>
              <w:t> </w:t>
            </w:r>
            <w:r>
              <w:rPr>
                <w:rFonts w:ascii="宋体" w:hAnsi="宋体" w:cs="宋体" w:eastAsia="宋体" w:hint="default"/>
                <w:spacing w:val="-91"/>
                <w:w w:val="100"/>
                <w:sz w:val="21"/>
                <w:szCs w:val="21"/>
              </w:rPr>
            </w:r>
            <w:r>
              <w:rPr>
                <w:rFonts w:ascii="宋体" w:hAnsi="宋体" w:cs="宋体" w:eastAsia="宋体" w:hint="default"/>
                <w:spacing w:val="-6"/>
                <w:w w:val="100"/>
                <w:sz w:val="21"/>
                <w:szCs w:val="21"/>
              </w:rPr>
              <w:t>的公司备考合并母公司股东的净利润）分别不低于</w:t>
            </w:r>
            <w:r>
              <w:rPr>
                <w:rFonts w:ascii="宋体" w:hAnsi="宋体" w:cs="宋体" w:eastAsia="宋体" w:hint="default"/>
                <w:spacing w:val="-45"/>
                <w:w w:val="100"/>
                <w:sz w:val="21"/>
                <w:szCs w:val="21"/>
              </w:rPr>
              <w:t> </w:t>
            </w:r>
            <w:r>
              <w:rPr>
                <w:rFonts w:ascii="宋体" w:hAnsi="宋体" w:cs="宋体" w:eastAsia="宋体" w:hint="default"/>
                <w:spacing w:val="-1"/>
                <w:w w:val="100"/>
                <w:sz w:val="21"/>
                <w:szCs w:val="21"/>
              </w:rPr>
              <w:t>32,820</w:t>
            </w:r>
            <w:r>
              <w:rPr>
                <w:rFonts w:ascii="宋体" w:hAnsi="宋体" w:cs="宋体" w:eastAsia="宋体" w:hint="default"/>
                <w:spacing w:val="-48"/>
                <w:w w:val="100"/>
                <w:sz w:val="21"/>
                <w:szCs w:val="21"/>
              </w:rPr>
              <w:t> </w:t>
            </w:r>
            <w:r>
              <w:rPr>
                <w:rFonts w:ascii="宋体" w:hAnsi="宋体" w:cs="宋体" w:eastAsia="宋体" w:hint="default"/>
                <w:spacing w:val="-1"/>
                <w:w w:val="100"/>
                <w:sz w:val="21"/>
                <w:szCs w:val="21"/>
              </w:rPr>
              <w:t>万元、</w:t>
            </w:r>
          </w:p>
          <w:p>
            <w:pPr>
              <w:pStyle w:val="TableParagraph"/>
              <w:spacing w:line="237" w:lineRule="auto" w:before="2"/>
              <w:ind w:left="103" w:right="96"/>
              <w:jc w:val="left"/>
              <w:rPr>
                <w:rFonts w:ascii="宋体" w:hAnsi="宋体" w:cs="宋体" w:eastAsia="宋体" w:hint="default"/>
                <w:sz w:val="21"/>
                <w:szCs w:val="21"/>
              </w:rPr>
            </w:pPr>
            <w:r>
              <w:rPr>
                <w:rFonts w:ascii="宋体" w:hAnsi="宋体" w:cs="宋体" w:eastAsia="宋体" w:hint="default"/>
                <w:sz w:val="21"/>
                <w:szCs w:val="21"/>
              </w:rPr>
              <w:t>40,690</w:t>
            </w:r>
            <w:r>
              <w:rPr>
                <w:rFonts w:ascii="宋体" w:hAnsi="宋体" w:cs="宋体" w:eastAsia="宋体" w:hint="default"/>
                <w:spacing w:val="-54"/>
                <w:sz w:val="21"/>
                <w:szCs w:val="21"/>
              </w:rPr>
              <w:t> </w:t>
            </w:r>
            <w:r>
              <w:rPr>
                <w:rFonts w:ascii="宋体" w:hAnsi="宋体" w:cs="宋体" w:eastAsia="宋体" w:hint="default"/>
                <w:sz w:val="21"/>
                <w:szCs w:val="21"/>
              </w:rPr>
              <w:t>万元、</w:t>
            </w:r>
            <w:r>
              <w:rPr>
                <w:rFonts w:ascii="宋体" w:hAnsi="宋体" w:cs="宋体" w:eastAsia="宋体" w:hint="default"/>
                <w:sz w:val="21"/>
                <w:szCs w:val="21"/>
              </w:rPr>
              <w:t>47,370</w:t>
            </w:r>
            <w:r>
              <w:rPr>
                <w:rFonts w:ascii="宋体" w:hAnsi="宋体" w:cs="宋体" w:eastAsia="宋体" w:hint="default"/>
                <w:spacing w:val="-55"/>
                <w:sz w:val="21"/>
                <w:szCs w:val="21"/>
              </w:rPr>
              <w:t> </w:t>
            </w:r>
            <w:r>
              <w:rPr>
                <w:rFonts w:ascii="宋体" w:hAnsi="宋体" w:cs="宋体" w:eastAsia="宋体" w:hint="default"/>
                <w:sz w:val="21"/>
                <w:szCs w:val="21"/>
              </w:rPr>
              <w:t>万元。</w:t>
            </w:r>
            <w:r>
              <w:rPr>
                <w:rFonts w:ascii="宋体" w:hAnsi="宋体" w:cs="宋体" w:eastAsia="宋体" w:hint="default"/>
                <w:sz w:val="21"/>
                <w:szCs w:val="21"/>
              </w:rPr>
              <w:t>2</w:t>
            </w:r>
            <w:r>
              <w:rPr>
                <w:rFonts w:ascii="宋体" w:hAnsi="宋体" w:cs="宋体" w:eastAsia="宋体" w:hint="default"/>
                <w:sz w:val="21"/>
                <w:szCs w:val="21"/>
              </w:rPr>
              <w:t>、补偿安排（</w:t>
            </w:r>
            <w:r>
              <w:rPr>
                <w:rFonts w:ascii="宋体" w:hAnsi="宋体" w:cs="宋体" w:eastAsia="宋体" w:hint="default"/>
                <w:sz w:val="21"/>
                <w:szCs w:val="21"/>
              </w:rPr>
              <w:t>1</w:t>
            </w:r>
            <w:r>
              <w:rPr>
                <w:rFonts w:ascii="宋体" w:hAnsi="宋体" w:cs="宋体" w:eastAsia="宋体" w:hint="default"/>
                <w:sz w:val="21"/>
                <w:szCs w:val="21"/>
              </w:rPr>
              <w:t>）补偿原则若拟购</w:t>
            </w:r>
            <w:r>
              <w:rPr>
                <w:rFonts w:ascii="宋体" w:hAnsi="宋体" w:cs="宋体" w:eastAsia="宋体" w:hint="default"/>
                <w:w w:val="100"/>
                <w:sz w:val="21"/>
                <w:szCs w:val="21"/>
              </w:rPr>
              <w:t> </w:t>
            </w:r>
            <w:r>
              <w:rPr>
                <w:rFonts w:ascii="宋体" w:hAnsi="宋体" w:cs="宋体" w:eastAsia="宋体" w:hint="default"/>
                <w:sz w:val="21"/>
                <w:szCs w:val="21"/>
              </w:rPr>
              <w:t>买资产于利润承诺期内各年度累计实际实现净利润未达到相应</w:t>
            </w:r>
            <w:r>
              <w:rPr>
                <w:rFonts w:ascii="宋体" w:hAnsi="宋体" w:cs="宋体" w:eastAsia="宋体" w:hint="default"/>
                <w:w w:val="100"/>
                <w:sz w:val="21"/>
                <w:szCs w:val="21"/>
              </w:rPr>
              <w:t> </w:t>
            </w:r>
            <w:r>
              <w:rPr>
                <w:rFonts w:ascii="宋体" w:hAnsi="宋体" w:cs="宋体" w:eastAsia="宋体" w:hint="default"/>
                <w:spacing w:val="-5"/>
                <w:w w:val="100"/>
                <w:sz w:val="21"/>
                <w:szCs w:val="21"/>
              </w:rPr>
              <w:t>年度累计承诺净利润数额下限，则业绩承诺方应就未达到承诺净</w:t>
            </w:r>
            <w:r>
              <w:rPr>
                <w:rFonts w:ascii="宋体" w:hAnsi="宋体" w:cs="宋体" w:eastAsia="宋体" w:hint="default"/>
                <w:spacing w:val="-91"/>
                <w:w w:val="100"/>
                <w:sz w:val="21"/>
                <w:szCs w:val="21"/>
              </w:rPr>
              <w:t> </w:t>
            </w:r>
            <w:r>
              <w:rPr>
                <w:rFonts w:ascii="宋体" w:hAnsi="宋体" w:cs="宋体" w:eastAsia="宋体" w:hint="default"/>
                <w:spacing w:val="-91"/>
                <w:w w:val="100"/>
                <w:sz w:val="21"/>
                <w:szCs w:val="21"/>
              </w:rPr>
            </w:r>
            <w:r>
              <w:rPr>
                <w:rFonts w:ascii="宋体" w:hAnsi="宋体" w:cs="宋体" w:eastAsia="宋体" w:hint="default"/>
                <w:sz w:val="21"/>
                <w:szCs w:val="21"/>
              </w:rPr>
              <w:t>利润的差额部分按照业绩承诺方各自持有的拟购买资产的权益</w:t>
            </w:r>
            <w:r>
              <w:rPr>
                <w:rFonts w:ascii="宋体" w:hAnsi="宋体" w:cs="宋体" w:eastAsia="宋体" w:hint="default"/>
                <w:w w:val="100"/>
                <w:sz w:val="21"/>
                <w:szCs w:val="21"/>
              </w:rPr>
              <w:t> </w:t>
            </w:r>
            <w:r>
              <w:rPr>
                <w:rFonts w:ascii="宋体" w:hAnsi="宋体" w:cs="宋体" w:eastAsia="宋体" w:hint="default"/>
                <w:spacing w:val="-5"/>
                <w:w w:val="100"/>
                <w:sz w:val="21"/>
                <w:szCs w:val="21"/>
              </w:rPr>
              <w:t>比例向上市公司承担补偿责任。业绩承诺方各自持有的拟购买资</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承诺时间：</w:t>
            </w: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37" w:lineRule="auto"/>
              <w:ind w:left="103" w:right="226"/>
              <w:jc w:val="both"/>
              <w:rPr>
                <w:rFonts w:ascii="宋体" w:hAnsi="宋体" w:cs="宋体" w:eastAsia="宋体" w:hint="default"/>
                <w:sz w:val="21"/>
                <w:szCs w:val="21"/>
              </w:rPr>
            </w:pPr>
            <w:r>
              <w:rPr>
                <w:rFonts w:ascii="宋体" w:hAnsi="宋体" w:cs="宋体" w:eastAsia="宋体" w:hint="default"/>
                <w:sz w:val="21"/>
                <w:szCs w:val="21"/>
              </w:rPr>
              <w:t>公司重大资产重组</w:t>
            </w:r>
            <w:r>
              <w:rPr>
                <w:rFonts w:ascii="宋体" w:hAnsi="宋体" w:cs="宋体" w:eastAsia="宋体" w:hint="default"/>
                <w:w w:val="100"/>
                <w:sz w:val="21"/>
                <w:szCs w:val="21"/>
              </w:rPr>
              <w:t> </w:t>
            </w:r>
            <w:r>
              <w:rPr>
                <w:rFonts w:ascii="宋体" w:hAnsi="宋体" w:cs="宋体" w:eastAsia="宋体" w:hint="default"/>
                <w:sz w:val="21"/>
                <w:szCs w:val="21"/>
              </w:rPr>
              <w:t>期间；承诺期限：</w:t>
            </w:r>
            <w:r>
              <w:rPr>
                <w:rFonts w:ascii="宋体" w:hAnsi="宋体" w:cs="宋体" w:eastAsia="宋体" w:hint="default"/>
                <w:w w:val="100"/>
                <w:sz w:val="21"/>
                <w:szCs w:val="21"/>
              </w:rPr>
              <w:t> </w:t>
            </w: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p>
            <w:pPr>
              <w:pStyle w:val="TableParagraph"/>
              <w:spacing w:line="274" w:lineRule="exact"/>
              <w:ind w:left="103" w:right="0"/>
              <w:jc w:val="both"/>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12</w:t>
            </w:r>
            <w:r>
              <w:rPr>
                <w:rFonts w:ascii="宋体" w:hAnsi="宋体" w:cs="宋体" w:eastAsia="宋体" w:hint="default"/>
                <w:spacing w:val="-59"/>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31</w:t>
            </w:r>
            <w:r>
              <w:rPr>
                <w:rFonts w:ascii="宋体" w:hAnsi="宋体" w:cs="宋体" w:eastAsia="宋体" w:hint="default"/>
                <w:spacing w:val="-59"/>
                <w:sz w:val="21"/>
                <w:szCs w:val="21"/>
              </w:rPr>
              <w:t> </w:t>
            </w:r>
            <w:r>
              <w:rPr>
                <w:rFonts w:ascii="宋体" w:hAnsi="宋体" w:cs="宋体" w:eastAsia="宋体" w:hint="default"/>
                <w:sz w:val="21"/>
                <w:szCs w:val="21"/>
              </w:rPr>
              <w:t>日</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07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5" w:top="1120" w:bottom="1380" w:left="12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1004"/>
        <w:gridCol w:w="631"/>
        <w:gridCol w:w="1178"/>
        <w:gridCol w:w="6008"/>
        <w:gridCol w:w="2024"/>
        <w:gridCol w:w="629"/>
        <w:gridCol w:w="665"/>
        <w:gridCol w:w="1070"/>
        <w:gridCol w:w="900"/>
      </w:tblGrid>
      <w:tr>
        <w:trPr>
          <w:trHeight w:val="276" w:hRule="exact"/>
        </w:trPr>
        <w:tc>
          <w:tcPr>
            <w:tcW w:w="1004" w:type="dxa"/>
            <w:vMerge w:val="restart"/>
            <w:tcBorders>
              <w:top w:val="single" w:sz="4" w:space="0" w:color="000000"/>
              <w:left w:val="single" w:sz="4" w:space="0" w:color="000000"/>
              <w:right w:val="single" w:sz="4" w:space="0" w:color="000000"/>
            </w:tcBorders>
          </w:tcPr>
          <w:p>
            <w:pPr/>
          </w:p>
        </w:tc>
        <w:tc>
          <w:tcPr>
            <w:tcW w:w="631" w:type="dxa"/>
            <w:vMerge w:val="restart"/>
            <w:tcBorders>
              <w:top w:val="single" w:sz="4" w:space="0" w:color="000000"/>
              <w:left w:val="single" w:sz="4" w:space="0" w:color="000000"/>
              <w:right w:val="single" w:sz="4" w:space="0" w:color="000000"/>
            </w:tcBorders>
          </w:tcPr>
          <w:p>
            <w:pPr/>
          </w:p>
        </w:tc>
        <w:tc>
          <w:tcPr>
            <w:tcW w:w="1178" w:type="dxa"/>
            <w:vMerge w:val="restart"/>
            <w:tcBorders>
              <w:top w:val="single" w:sz="4" w:space="0" w:color="000000"/>
              <w:left w:val="single" w:sz="4" w:space="0" w:color="000000"/>
              <w:right w:val="single" w:sz="4" w:space="0" w:color="000000"/>
            </w:tcBorders>
          </w:tcPr>
          <w:p>
            <w:pPr/>
          </w:p>
        </w:tc>
        <w:tc>
          <w:tcPr>
            <w:tcW w:w="6008"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产的权益比例的计算方式为：</w:t>
            </w:r>
            <w:r>
              <w:rPr>
                <w:rFonts w:ascii="宋体" w:hAnsi="宋体" w:cs="宋体" w:eastAsia="宋体" w:hint="default"/>
                <w:spacing w:val="-3"/>
                <w:sz w:val="21"/>
                <w:szCs w:val="21"/>
              </w:rPr>
              <w:t>[(</w:t>
            </w:r>
            <w:r>
              <w:rPr>
                <w:rFonts w:ascii="宋体" w:hAnsi="宋体" w:cs="宋体" w:eastAsia="宋体" w:hint="default"/>
                <w:spacing w:val="-3"/>
                <w:sz w:val="21"/>
                <w:szCs w:val="21"/>
              </w:rPr>
              <w:t>该方持有安通物流的股权比例</w:t>
            </w:r>
            <w:r>
              <w:rPr>
                <w:rFonts w:ascii="宋体" w:hAnsi="宋体" w:cs="宋体" w:eastAsia="宋体" w:hint="default"/>
                <w:spacing w:val="-11"/>
                <w:sz w:val="21"/>
                <w:szCs w:val="21"/>
              </w:rPr>
              <w:t> </w:t>
            </w:r>
            <w:r>
              <w:rPr>
                <w:rFonts w:ascii="宋体" w:hAnsi="宋体" w:cs="宋体" w:eastAsia="宋体" w:hint="default"/>
                <w:sz w:val="21"/>
                <w:szCs w:val="21"/>
              </w:rPr>
              <w:t>x</w:t>
            </w:r>
          </w:p>
        </w:tc>
        <w:tc>
          <w:tcPr>
            <w:tcW w:w="2024" w:type="dxa"/>
            <w:vMerge w:val="restart"/>
            <w:tcBorders>
              <w:top w:val="single" w:sz="4" w:space="0" w:color="000000"/>
              <w:left w:val="single" w:sz="4" w:space="0" w:color="000000"/>
              <w:right w:val="single" w:sz="4" w:space="0" w:color="000000"/>
            </w:tcBorders>
          </w:tcPr>
          <w:p>
            <w:pPr/>
          </w:p>
        </w:tc>
        <w:tc>
          <w:tcPr>
            <w:tcW w:w="629"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1070" w:type="dxa"/>
            <w:vMerge w:val="restart"/>
            <w:tcBorders>
              <w:top w:val="single" w:sz="4" w:space="0" w:color="000000"/>
              <w:left w:val="single" w:sz="4" w:space="0" w:color="000000"/>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
        </w:tc>
      </w:tr>
      <w:tr>
        <w:trPr>
          <w:trHeight w:val="272" w:hRule="exact"/>
        </w:trPr>
        <w:tc>
          <w:tcPr>
            <w:tcW w:w="1004" w:type="dxa"/>
            <w:vMerge/>
            <w:tcBorders>
              <w:left w:val="single" w:sz="4" w:space="0" w:color="000000"/>
              <w:right w:val="single" w:sz="4" w:space="0" w:color="000000"/>
            </w:tcBorders>
          </w:tcPr>
          <w:p>
            <w:pPr/>
          </w:p>
        </w:tc>
        <w:tc>
          <w:tcPr>
            <w:tcW w:w="631" w:type="dxa"/>
            <w:vMerge/>
            <w:tcBorders>
              <w:left w:val="single" w:sz="4" w:space="0" w:color="000000"/>
              <w:right w:val="single" w:sz="4" w:space="0" w:color="000000"/>
            </w:tcBorders>
          </w:tcPr>
          <w:p>
            <w:pPr/>
          </w:p>
        </w:tc>
        <w:tc>
          <w:tcPr>
            <w:tcW w:w="1178" w:type="dxa"/>
            <w:vMerge/>
            <w:tcBorders>
              <w:left w:val="single" w:sz="4" w:space="0" w:color="000000"/>
              <w:right w:val="single" w:sz="4" w:space="0" w:color="000000"/>
            </w:tcBorders>
          </w:tcPr>
          <w:p>
            <w:pPr/>
          </w:p>
        </w:tc>
        <w:tc>
          <w:tcPr>
            <w:tcW w:w="600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经评估的安通物流全部股权的交易价格</w:t>
            </w:r>
            <w:r>
              <w:rPr>
                <w:rFonts w:ascii="宋体" w:hAnsi="宋体" w:cs="宋体" w:eastAsia="宋体" w:hint="default"/>
                <w:sz w:val="21"/>
                <w:szCs w:val="21"/>
              </w:rPr>
              <w:t>)+(</w:t>
            </w:r>
            <w:r>
              <w:rPr>
                <w:rFonts w:ascii="宋体" w:hAnsi="宋体" w:cs="宋体" w:eastAsia="宋体" w:hint="default"/>
                <w:sz w:val="21"/>
                <w:szCs w:val="21"/>
              </w:rPr>
              <w:t>该方持有安盛船务的</w:t>
            </w:r>
          </w:p>
        </w:tc>
        <w:tc>
          <w:tcPr>
            <w:tcW w:w="2024" w:type="dxa"/>
            <w:vMerge/>
            <w:tcBorders>
              <w:left w:val="single" w:sz="4" w:space="0" w:color="000000"/>
              <w:right w:val="single" w:sz="4" w:space="0" w:color="000000"/>
            </w:tcBorders>
          </w:tcPr>
          <w:p>
            <w:pPr/>
          </w:p>
        </w:tc>
        <w:tc>
          <w:tcPr>
            <w:tcW w:w="629"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r>
      <w:tr>
        <w:trPr>
          <w:trHeight w:val="272" w:hRule="exact"/>
        </w:trPr>
        <w:tc>
          <w:tcPr>
            <w:tcW w:w="1004" w:type="dxa"/>
            <w:vMerge/>
            <w:tcBorders>
              <w:left w:val="single" w:sz="4" w:space="0" w:color="000000"/>
              <w:right w:val="single" w:sz="4" w:space="0" w:color="000000"/>
            </w:tcBorders>
          </w:tcPr>
          <w:p>
            <w:pPr/>
          </w:p>
        </w:tc>
        <w:tc>
          <w:tcPr>
            <w:tcW w:w="631" w:type="dxa"/>
            <w:vMerge/>
            <w:tcBorders>
              <w:left w:val="single" w:sz="4" w:space="0" w:color="000000"/>
              <w:right w:val="single" w:sz="4" w:space="0" w:color="000000"/>
            </w:tcBorders>
          </w:tcPr>
          <w:p>
            <w:pPr/>
          </w:p>
        </w:tc>
        <w:tc>
          <w:tcPr>
            <w:tcW w:w="1178" w:type="dxa"/>
            <w:vMerge/>
            <w:tcBorders>
              <w:left w:val="single" w:sz="4" w:space="0" w:color="000000"/>
              <w:right w:val="single" w:sz="4" w:space="0" w:color="000000"/>
            </w:tcBorders>
          </w:tcPr>
          <w:p>
            <w:pPr/>
          </w:p>
        </w:tc>
        <w:tc>
          <w:tcPr>
            <w:tcW w:w="6008"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股权</w:t>
            </w:r>
            <w:r>
              <w:rPr>
                <w:rFonts w:ascii="宋体" w:hAnsi="宋体" w:cs="宋体" w:eastAsia="宋体" w:hint="default"/>
                <w:spacing w:val="-3"/>
                <w:w w:val="100"/>
                <w:sz w:val="21"/>
                <w:szCs w:val="21"/>
              </w:rPr>
              <w:t>比</w:t>
            </w:r>
            <w:r>
              <w:rPr>
                <w:rFonts w:ascii="宋体" w:hAnsi="宋体" w:cs="宋体" w:eastAsia="宋体" w:hint="default"/>
                <w:w w:val="100"/>
                <w:sz w:val="21"/>
                <w:szCs w:val="21"/>
              </w:rPr>
              <w:t>例</w:t>
            </w:r>
            <w:r>
              <w:rPr>
                <w:rFonts w:ascii="宋体" w:hAnsi="宋体" w:cs="宋体" w:eastAsia="宋体" w:hint="default"/>
                <w:spacing w:val="-52"/>
                <w:sz w:val="21"/>
                <w:szCs w:val="21"/>
              </w:rPr>
              <w:t> </w:t>
            </w:r>
            <w:r>
              <w:rPr>
                <w:rFonts w:ascii="宋体" w:hAnsi="宋体" w:cs="宋体" w:eastAsia="宋体" w:hint="default"/>
                <w:w w:val="100"/>
                <w:sz w:val="21"/>
                <w:szCs w:val="21"/>
              </w:rPr>
              <w:t>x</w:t>
            </w:r>
            <w:r>
              <w:rPr>
                <w:rFonts w:ascii="宋体" w:hAnsi="宋体" w:cs="宋体" w:eastAsia="宋体" w:hint="default"/>
                <w:spacing w:val="-55"/>
                <w:sz w:val="21"/>
                <w:szCs w:val="21"/>
              </w:rPr>
              <w:t> </w:t>
            </w:r>
            <w:r>
              <w:rPr>
                <w:rFonts w:ascii="宋体" w:hAnsi="宋体" w:cs="宋体" w:eastAsia="宋体" w:hint="default"/>
                <w:w w:val="100"/>
                <w:sz w:val="21"/>
                <w:szCs w:val="21"/>
              </w:rPr>
              <w:t>经</w:t>
            </w:r>
            <w:r>
              <w:rPr>
                <w:rFonts w:ascii="宋体" w:hAnsi="宋体" w:cs="宋体" w:eastAsia="宋体" w:hint="default"/>
                <w:spacing w:val="-3"/>
                <w:w w:val="100"/>
                <w:sz w:val="21"/>
                <w:szCs w:val="21"/>
              </w:rPr>
              <w:t>评</w:t>
            </w:r>
            <w:r>
              <w:rPr>
                <w:rFonts w:ascii="宋体" w:hAnsi="宋体" w:cs="宋体" w:eastAsia="宋体" w:hint="default"/>
                <w:w w:val="100"/>
                <w:sz w:val="21"/>
                <w:szCs w:val="21"/>
              </w:rPr>
              <w:t>估</w:t>
            </w:r>
            <w:r>
              <w:rPr>
                <w:rFonts w:ascii="宋体" w:hAnsi="宋体" w:cs="宋体" w:eastAsia="宋体" w:hint="default"/>
                <w:spacing w:val="-3"/>
                <w:w w:val="100"/>
                <w:sz w:val="21"/>
                <w:szCs w:val="21"/>
              </w:rPr>
              <w:t>的</w:t>
            </w:r>
            <w:r>
              <w:rPr>
                <w:rFonts w:ascii="宋体" w:hAnsi="宋体" w:cs="宋体" w:eastAsia="宋体" w:hint="default"/>
                <w:w w:val="100"/>
                <w:sz w:val="21"/>
                <w:szCs w:val="21"/>
              </w:rPr>
              <w:t>安</w:t>
            </w:r>
            <w:r>
              <w:rPr>
                <w:rFonts w:ascii="宋体" w:hAnsi="宋体" w:cs="宋体" w:eastAsia="宋体" w:hint="default"/>
                <w:spacing w:val="-3"/>
                <w:w w:val="100"/>
                <w:sz w:val="21"/>
                <w:szCs w:val="21"/>
              </w:rPr>
              <w:t>盛</w:t>
            </w:r>
            <w:r>
              <w:rPr>
                <w:rFonts w:ascii="宋体" w:hAnsi="宋体" w:cs="宋体" w:eastAsia="宋体" w:hint="default"/>
                <w:w w:val="100"/>
                <w:sz w:val="21"/>
                <w:szCs w:val="21"/>
              </w:rPr>
              <w:t>船务</w:t>
            </w:r>
            <w:r>
              <w:rPr>
                <w:rFonts w:ascii="宋体" w:hAnsi="宋体" w:cs="宋体" w:eastAsia="宋体" w:hint="default"/>
                <w:spacing w:val="-3"/>
                <w:w w:val="100"/>
                <w:sz w:val="21"/>
                <w:szCs w:val="21"/>
              </w:rPr>
              <w:t>全</w:t>
            </w:r>
            <w:r>
              <w:rPr>
                <w:rFonts w:ascii="宋体" w:hAnsi="宋体" w:cs="宋体" w:eastAsia="宋体" w:hint="default"/>
                <w:w w:val="100"/>
                <w:sz w:val="21"/>
                <w:szCs w:val="21"/>
              </w:rPr>
              <w:t>部</w:t>
            </w:r>
            <w:r>
              <w:rPr>
                <w:rFonts w:ascii="宋体" w:hAnsi="宋体" w:cs="宋体" w:eastAsia="宋体" w:hint="default"/>
                <w:spacing w:val="-3"/>
                <w:w w:val="100"/>
                <w:sz w:val="21"/>
                <w:szCs w:val="21"/>
              </w:rPr>
              <w:t>股</w:t>
            </w:r>
            <w:r>
              <w:rPr>
                <w:rFonts w:ascii="宋体" w:hAnsi="宋体" w:cs="宋体" w:eastAsia="宋体" w:hint="default"/>
                <w:w w:val="100"/>
                <w:sz w:val="21"/>
                <w:szCs w:val="21"/>
              </w:rPr>
              <w:t>权</w:t>
            </w:r>
            <w:r>
              <w:rPr>
                <w:rFonts w:ascii="宋体" w:hAnsi="宋体" w:cs="宋体" w:eastAsia="宋体" w:hint="default"/>
                <w:spacing w:val="-3"/>
                <w:w w:val="100"/>
                <w:sz w:val="21"/>
                <w:szCs w:val="21"/>
              </w:rPr>
              <w:t>的</w:t>
            </w:r>
            <w:r>
              <w:rPr>
                <w:rFonts w:ascii="宋体" w:hAnsi="宋体" w:cs="宋体" w:eastAsia="宋体" w:hint="default"/>
                <w:w w:val="100"/>
                <w:sz w:val="21"/>
                <w:szCs w:val="21"/>
              </w:rPr>
              <w:t>交</w:t>
            </w:r>
            <w:r>
              <w:rPr>
                <w:rFonts w:ascii="宋体" w:hAnsi="宋体" w:cs="宋体" w:eastAsia="宋体" w:hint="default"/>
                <w:spacing w:val="-3"/>
                <w:w w:val="100"/>
                <w:sz w:val="21"/>
                <w:szCs w:val="21"/>
              </w:rPr>
              <w:t>易</w:t>
            </w:r>
            <w:r>
              <w:rPr>
                <w:rFonts w:ascii="宋体" w:hAnsi="宋体" w:cs="宋体" w:eastAsia="宋体" w:hint="default"/>
                <w:w w:val="100"/>
                <w:sz w:val="21"/>
                <w:szCs w:val="21"/>
              </w:rPr>
              <w:t>价</w:t>
            </w:r>
            <w:r>
              <w:rPr>
                <w:rFonts w:ascii="宋体" w:hAnsi="宋体" w:cs="宋体" w:eastAsia="宋体" w:hint="default"/>
                <w:spacing w:val="-3"/>
                <w:w w:val="100"/>
                <w:sz w:val="21"/>
                <w:szCs w:val="21"/>
              </w:rPr>
              <w:t>格)</w:t>
            </w:r>
            <w:r>
              <w:rPr>
                <w:rFonts w:ascii="宋体" w:hAnsi="宋体" w:cs="宋体" w:eastAsia="宋体" w:hint="default"/>
                <w:w w:val="100"/>
                <w:sz w:val="21"/>
                <w:szCs w:val="21"/>
              </w:rPr>
              <w:t>]</w:t>
            </w:r>
            <w:r>
              <w:rPr>
                <w:rFonts w:ascii="宋体" w:hAnsi="宋体" w:cs="宋体" w:eastAsia="宋体" w:hint="default"/>
                <w:spacing w:val="-89"/>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经</w:t>
            </w:r>
            <w:r>
              <w:rPr>
                <w:rFonts w:ascii="宋体" w:hAnsi="宋体" w:cs="宋体" w:eastAsia="宋体" w:hint="default"/>
                <w:spacing w:val="-3"/>
                <w:w w:val="100"/>
                <w:sz w:val="21"/>
                <w:szCs w:val="21"/>
              </w:rPr>
              <w:t>评</w:t>
            </w:r>
            <w:r>
              <w:rPr>
                <w:rFonts w:ascii="宋体" w:hAnsi="宋体" w:cs="宋体" w:eastAsia="宋体" w:hint="default"/>
                <w:w w:val="100"/>
                <w:sz w:val="21"/>
                <w:szCs w:val="21"/>
              </w:rPr>
              <w:t>估</w:t>
            </w:r>
          </w:p>
        </w:tc>
        <w:tc>
          <w:tcPr>
            <w:tcW w:w="2024" w:type="dxa"/>
            <w:vMerge/>
            <w:tcBorders>
              <w:left w:val="single" w:sz="4" w:space="0" w:color="000000"/>
              <w:right w:val="single" w:sz="4" w:space="0" w:color="000000"/>
            </w:tcBorders>
          </w:tcPr>
          <w:p>
            <w:pPr/>
          </w:p>
        </w:tc>
        <w:tc>
          <w:tcPr>
            <w:tcW w:w="629"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r>
      <w:tr>
        <w:trPr>
          <w:trHeight w:val="272" w:hRule="exact"/>
        </w:trPr>
        <w:tc>
          <w:tcPr>
            <w:tcW w:w="1004" w:type="dxa"/>
            <w:vMerge/>
            <w:tcBorders>
              <w:left w:val="single" w:sz="4" w:space="0" w:color="000000"/>
              <w:right w:val="single" w:sz="4" w:space="0" w:color="000000"/>
            </w:tcBorders>
          </w:tcPr>
          <w:p>
            <w:pPr/>
          </w:p>
        </w:tc>
        <w:tc>
          <w:tcPr>
            <w:tcW w:w="631" w:type="dxa"/>
            <w:vMerge/>
            <w:tcBorders>
              <w:left w:val="single" w:sz="4" w:space="0" w:color="000000"/>
              <w:right w:val="single" w:sz="4" w:space="0" w:color="000000"/>
            </w:tcBorders>
          </w:tcPr>
          <w:p>
            <w:pPr/>
          </w:p>
        </w:tc>
        <w:tc>
          <w:tcPr>
            <w:tcW w:w="1178" w:type="dxa"/>
            <w:vMerge/>
            <w:tcBorders>
              <w:left w:val="single" w:sz="4" w:space="0" w:color="000000"/>
              <w:right w:val="single" w:sz="4" w:space="0" w:color="000000"/>
            </w:tcBorders>
          </w:tcPr>
          <w:p>
            <w:pPr/>
          </w:p>
        </w:tc>
        <w:tc>
          <w:tcPr>
            <w:tcW w:w="600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的安通物流全部股权的交易价格</w:t>
            </w:r>
            <w:r>
              <w:rPr>
                <w:rFonts w:ascii="宋体" w:hAnsi="宋体" w:cs="宋体" w:eastAsia="宋体" w:hint="default"/>
                <w:sz w:val="21"/>
                <w:szCs w:val="21"/>
              </w:rPr>
              <w:t>+</w:t>
            </w:r>
            <w:r>
              <w:rPr>
                <w:rFonts w:ascii="宋体" w:hAnsi="宋体" w:cs="宋体" w:eastAsia="宋体" w:hint="default"/>
                <w:sz w:val="21"/>
                <w:szCs w:val="21"/>
              </w:rPr>
              <w:t>经评估的安盛船务全部股权的</w:t>
            </w:r>
          </w:p>
        </w:tc>
        <w:tc>
          <w:tcPr>
            <w:tcW w:w="2024" w:type="dxa"/>
            <w:vMerge/>
            <w:tcBorders>
              <w:left w:val="single" w:sz="4" w:space="0" w:color="000000"/>
              <w:right w:val="single" w:sz="4" w:space="0" w:color="000000"/>
            </w:tcBorders>
          </w:tcPr>
          <w:p>
            <w:pPr/>
          </w:p>
        </w:tc>
        <w:tc>
          <w:tcPr>
            <w:tcW w:w="629"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r>
      <w:tr>
        <w:trPr>
          <w:trHeight w:val="272" w:hRule="exact"/>
        </w:trPr>
        <w:tc>
          <w:tcPr>
            <w:tcW w:w="1004" w:type="dxa"/>
            <w:vMerge/>
            <w:tcBorders>
              <w:left w:val="single" w:sz="4" w:space="0" w:color="000000"/>
              <w:right w:val="single" w:sz="4" w:space="0" w:color="000000"/>
            </w:tcBorders>
          </w:tcPr>
          <w:p>
            <w:pPr/>
          </w:p>
        </w:tc>
        <w:tc>
          <w:tcPr>
            <w:tcW w:w="631" w:type="dxa"/>
            <w:vMerge/>
            <w:tcBorders>
              <w:left w:val="single" w:sz="4" w:space="0" w:color="000000"/>
              <w:right w:val="single" w:sz="4" w:space="0" w:color="000000"/>
            </w:tcBorders>
          </w:tcPr>
          <w:p>
            <w:pPr/>
          </w:p>
        </w:tc>
        <w:tc>
          <w:tcPr>
            <w:tcW w:w="1178" w:type="dxa"/>
            <w:vMerge/>
            <w:tcBorders>
              <w:left w:val="single" w:sz="4" w:space="0" w:color="000000"/>
              <w:right w:val="single" w:sz="4" w:space="0" w:color="000000"/>
            </w:tcBorders>
          </w:tcPr>
          <w:p>
            <w:pPr/>
          </w:p>
        </w:tc>
        <w:tc>
          <w:tcPr>
            <w:tcW w:w="6008"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交易价格）。若标的公司于利润承诺期内各年度实际实现净利润</w:t>
            </w:r>
          </w:p>
        </w:tc>
        <w:tc>
          <w:tcPr>
            <w:tcW w:w="2024" w:type="dxa"/>
            <w:vMerge/>
            <w:tcBorders>
              <w:left w:val="single" w:sz="4" w:space="0" w:color="000000"/>
              <w:right w:val="single" w:sz="4" w:space="0" w:color="000000"/>
            </w:tcBorders>
          </w:tcPr>
          <w:p>
            <w:pPr/>
          </w:p>
        </w:tc>
        <w:tc>
          <w:tcPr>
            <w:tcW w:w="629"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r>
      <w:tr>
        <w:trPr>
          <w:trHeight w:val="272" w:hRule="exact"/>
        </w:trPr>
        <w:tc>
          <w:tcPr>
            <w:tcW w:w="1004" w:type="dxa"/>
            <w:vMerge/>
            <w:tcBorders>
              <w:left w:val="single" w:sz="4" w:space="0" w:color="000000"/>
              <w:right w:val="single" w:sz="4" w:space="0" w:color="000000"/>
            </w:tcBorders>
          </w:tcPr>
          <w:p>
            <w:pPr/>
          </w:p>
        </w:tc>
        <w:tc>
          <w:tcPr>
            <w:tcW w:w="631" w:type="dxa"/>
            <w:vMerge/>
            <w:tcBorders>
              <w:left w:val="single" w:sz="4" w:space="0" w:color="000000"/>
              <w:right w:val="single" w:sz="4" w:space="0" w:color="000000"/>
            </w:tcBorders>
          </w:tcPr>
          <w:p>
            <w:pPr/>
          </w:p>
        </w:tc>
        <w:tc>
          <w:tcPr>
            <w:tcW w:w="1178" w:type="dxa"/>
            <w:vMerge/>
            <w:tcBorders>
              <w:left w:val="single" w:sz="4" w:space="0" w:color="000000"/>
              <w:right w:val="single" w:sz="4" w:space="0" w:color="000000"/>
            </w:tcBorders>
          </w:tcPr>
          <w:p>
            <w:pPr/>
          </w:p>
        </w:tc>
        <w:tc>
          <w:tcPr>
            <w:tcW w:w="600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数超</w:t>
            </w:r>
            <w:r>
              <w:rPr>
                <w:rFonts w:ascii="宋体" w:hAnsi="宋体" w:cs="宋体" w:eastAsia="宋体" w:hint="default"/>
                <w:spacing w:val="-3"/>
                <w:w w:val="100"/>
                <w:sz w:val="21"/>
                <w:szCs w:val="21"/>
              </w:rPr>
              <w:t>出</w:t>
            </w:r>
            <w:r>
              <w:rPr>
                <w:rFonts w:ascii="宋体" w:hAnsi="宋体" w:cs="宋体" w:eastAsia="宋体" w:hint="default"/>
                <w:w w:val="100"/>
                <w:sz w:val="21"/>
                <w:szCs w:val="21"/>
              </w:rPr>
              <w:t>该</w:t>
            </w:r>
            <w:r>
              <w:rPr>
                <w:rFonts w:ascii="宋体" w:hAnsi="宋体" w:cs="宋体" w:eastAsia="宋体" w:hint="default"/>
                <w:spacing w:val="-3"/>
                <w:w w:val="100"/>
                <w:sz w:val="21"/>
                <w:szCs w:val="21"/>
              </w:rPr>
              <w:t>年</w:t>
            </w:r>
            <w:r>
              <w:rPr>
                <w:rFonts w:ascii="宋体" w:hAnsi="宋体" w:cs="宋体" w:eastAsia="宋体" w:hint="default"/>
                <w:w w:val="100"/>
                <w:sz w:val="21"/>
                <w:szCs w:val="21"/>
              </w:rPr>
              <w:t>度</w:t>
            </w:r>
            <w:r>
              <w:rPr>
                <w:rFonts w:ascii="宋体" w:hAnsi="宋体" w:cs="宋体" w:eastAsia="宋体" w:hint="default"/>
                <w:spacing w:val="-3"/>
                <w:w w:val="100"/>
                <w:sz w:val="21"/>
                <w:szCs w:val="21"/>
              </w:rPr>
              <w:t>的</w:t>
            </w:r>
            <w:r>
              <w:rPr>
                <w:rFonts w:ascii="宋体" w:hAnsi="宋体" w:cs="宋体" w:eastAsia="宋体" w:hint="default"/>
                <w:w w:val="100"/>
                <w:sz w:val="21"/>
                <w:szCs w:val="21"/>
              </w:rPr>
              <w:t>承</w:t>
            </w:r>
            <w:r>
              <w:rPr>
                <w:rFonts w:ascii="宋体" w:hAnsi="宋体" w:cs="宋体" w:eastAsia="宋体" w:hint="default"/>
                <w:spacing w:val="-3"/>
                <w:w w:val="100"/>
                <w:sz w:val="21"/>
                <w:szCs w:val="21"/>
              </w:rPr>
              <w:t>诺</w:t>
            </w:r>
            <w:r>
              <w:rPr>
                <w:rFonts w:ascii="宋体" w:hAnsi="宋体" w:cs="宋体" w:eastAsia="宋体" w:hint="default"/>
                <w:w w:val="100"/>
                <w:sz w:val="21"/>
                <w:szCs w:val="21"/>
              </w:rPr>
              <w:t>净</w:t>
            </w:r>
            <w:r>
              <w:rPr>
                <w:rFonts w:ascii="宋体" w:hAnsi="宋体" w:cs="宋体" w:eastAsia="宋体" w:hint="default"/>
                <w:spacing w:val="-3"/>
                <w:w w:val="100"/>
                <w:sz w:val="21"/>
                <w:szCs w:val="21"/>
              </w:rPr>
              <w:t>利</w:t>
            </w:r>
            <w:r>
              <w:rPr>
                <w:rFonts w:ascii="宋体" w:hAnsi="宋体" w:cs="宋体" w:eastAsia="宋体" w:hint="default"/>
                <w:w w:val="100"/>
                <w:sz w:val="21"/>
                <w:szCs w:val="21"/>
              </w:rPr>
              <w:t>润</w:t>
            </w:r>
            <w:r>
              <w:rPr>
                <w:rFonts w:ascii="宋体" w:hAnsi="宋体" w:cs="宋体" w:eastAsia="宋体" w:hint="default"/>
                <w:spacing w:val="-3"/>
                <w:w w:val="100"/>
                <w:sz w:val="21"/>
                <w:szCs w:val="21"/>
              </w:rPr>
              <w:t>数</w:t>
            </w:r>
            <w:r>
              <w:rPr>
                <w:rFonts w:ascii="宋体" w:hAnsi="宋体" w:cs="宋体" w:eastAsia="宋体" w:hint="default"/>
                <w:spacing w:val="-89"/>
                <w:w w:val="100"/>
                <w:sz w:val="21"/>
                <w:szCs w:val="21"/>
              </w:rPr>
              <w:t>，</w:t>
            </w:r>
            <w:r>
              <w:rPr>
                <w:rFonts w:ascii="宋体" w:hAnsi="宋体" w:cs="宋体" w:eastAsia="宋体" w:hint="default"/>
                <w:spacing w:val="-3"/>
                <w:w w:val="100"/>
                <w:sz w:val="21"/>
                <w:szCs w:val="21"/>
              </w:rPr>
              <w:t>该</w:t>
            </w:r>
            <w:r>
              <w:rPr>
                <w:rFonts w:ascii="宋体" w:hAnsi="宋体" w:cs="宋体" w:eastAsia="宋体" w:hint="default"/>
                <w:w w:val="100"/>
                <w:sz w:val="21"/>
                <w:szCs w:val="21"/>
              </w:rPr>
              <w:t>部</w:t>
            </w:r>
            <w:r>
              <w:rPr>
                <w:rFonts w:ascii="宋体" w:hAnsi="宋体" w:cs="宋体" w:eastAsia="宋体" w:hint="default"/>
                <w:spacing w:val="-3"/>
                <w:w w:val="100"/>
                <w:sz w:val="21"/>
                <w:szCs w:val="21"/>
              </w:rPr>
              <w:t>分</w:t>
            </w:r>
            <w:r>
              <w:rPr>
                <w:rFonts w:ascii="宋体" w:hAnsi="宋体" w:cs="宋体" w:eastAsia="宋体" w:hint="default"/>
                <w:w w:val="100"/>
                <w:sz w:val="21"/>
                <w:szCs w:val="21"/>
              </w:rPr>
              <w:t>超</w:t>
            </w:r>
            <w:r>
              <w:rPr>
                <w:rFonts w:ascii="宋体" w:hAnsi="宋体" w:cs="宋体" w:eastAsia="宋体" w:hint="default"/>
                <w:spacing w:val="-3"/>
                <w:w w:val="100"/>
                <w:sz w:val="21"/>
                <w:szCs w:val="21"/>
              </w:rPr>
              <w:t>出</w:t>
            </w:r>
            <w:r>
              <w:rPr>
                <w:rFonts w:ascii="宋体" w:hAnsi="宋体" w:cs="宋体" w:eastAsia="宋体" w:hint="default"/>
                <w:w w:val="100"/>
                <w:sz w:val="21"/>
                <w:szCs w:val="21"/>
              </w:rPr>
              <w:t>利</w:t>
            </w:r>
            <w:r>
              <w:rPr>
                <w:rFonts w:ascii="宋体" w:hAnsi="宋体" w:cs="宋体" w:eastAsia="宋体" w:hint="default"/>
                <w:spacing w:val="-3"/>
                <w:w w:val="100"/>
                <w:sz w:val="21"/>
                <w:szCs w:val="21"/>
              </w:rPr>
              <w:t>润</w:t>
            </w:r>
            <w:r>
              <w:rPr>
                <w:rFonts w:ascii="宋体" w:hAnsi="宋体" w:cs="宋体" w:eastAsia="宋体" w:hint="default"/>
                <w:w w:val="100"/>
                <w:sz w:val="21"/>
                <w:szCs w:val="21"/>
              </w:rPr>
              <w:t>可</w:t>
            </w:r>
            <w:r>
              <w:rPr>
                <w:rFonts w:ascii="宋体" w:hAnsi="宋体" w:cs="宋体" w:eastAsia="宋体" w:hint="default"/>
                <w:spacing w:val="-3"/>
                <w:w w:val="100"/>
                <w:sz w:val="21"/>
                <w:szCs w:val="21"/>
              </w:rPr>
              <w:t>用</w:t>
            </w:r>
            <w:r>
              <w:rPr>
                <w:rFonts w:ascii="宋体" w:hAnsi="宋体" w:cs="宋体" w:eastAsia="宋体" w:hint="default"/>
                <w:w w:val="100"/>
                <w:sz w:val="21"/>
                <w:szCs w:val="21"/>
              </w:rPr>
              <w:t>于弥</w:t>
            </w:r>
            <w:r>
              <w:rPr>
                <w:rFonts w:ascii="宋体" w:hAnsi="宋体" w:cs="宋体" w:eastAsia="宋体" w:hint="default"/>
                <w:spacing w:val="-3"/>
                <w:w w:val="100"/>
                <w:sz w:val="21"/>
                <w:szCs w:val="21"/>
              </w:rPr>
              <w:t>补</w:t>
            </w:r>
            <w:r>
              <w:rPr>
                <w:rFonts w:ascii="宋体" w:hAnsi="宋体" w:cs="宋体" w:eastAsia="宋体" w:hint="default"/>
                <w:w w:val="100"/>
                <w:sz w:val="21"/>
                <w:szCs w:val="21"/>
              </w:rPr>
              <w:t>利润</w:t>
            </w:r>
          </w:p>
        </w:tc>
        <w:tc>
          <w:tcPr>
            <w:tcW w:w="2024" w:type="dxa"/>
            <w:vMerge/>
            <w:tcBorders>
              <w:left w:val="single" w:sz="4" w:space="0" w:color="000000"/>
              <w:right w:val="single" w:sz="4" w:space="0" w:color="000000"/>
            </w:tcBorders>
          </w:tcPr>
          <w:p>
            <w:pPr/>
          </w:p>
        </w:tc>
        <w:tc>
          <w:tcPr>
            <w:tcW w:w="629"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r>
      <w:tr>
        <w:trPr>
          <w:trHeight w:val="273" w:hRule="exact"/>
        </w:trPr>
        <w:tc>
          <w:tcPr>
            <w:tcW w:w="1004" w:type="dxa"/>
            <w:vMerge/>
            <w:tcBorders>
              <w:left w:val="single" w:sz="4" w:space="0" w:color="000000"/>
              <w:right w:val="single" w:sz="4" w:space="0" w:color="000000"/>
            </w:tcBorders>
          </w:tcPr>
          <w:p>
            <w:pPr/>
          </w:p>
        </w:tc>
        <w:tc>
          <w:tcPr>
            <w:tcW w:w="631" w:type="dxa"/>
            <w:vMerge/>
            <w:tcBorders>
              <w:left w:val="single" w:sz="4" w:space="0" w:color="000000"/>
              <w:right w:val="single" w:sz="4" w:space="0" w:color="000000"/>
            </w:tcBorders>
          </w:tcPr>
          <w:p>
            <w:pPr/>
          </w:p>
        </w:tc>
        <w:tc>
          <w:tcPr>
            <w:tcW w:w="1178" w:type="dxa"/>
            <w:vMerge/>
            <w:tcBorders>
              <w:left w:val="single" w:sz="4" w:space="0" w:color="000000"/>
              <w:right w:val="single" w:sz="4" w:space="0" w:color="000000"/>
            </w:tcBorders>
          </w:tcPr>
          <w:p>
            <w:pPr/>
          </w:p>
        </w:tc>
        <w:tc>
          <w:tcPr>
            <w:tcW w:w="6008"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承诺期内此后年度标的公司实际实现净利润数额未达到承诺净</w:t>
            </w:r>
          </w:p>
        </w:tc>
        <w:tc>
          <w:tcPr>
            <w:tcW w:w="2024" w:type="dxa"/>
            <w:vMerge/>
            <w:tcBorders>
              <w:left w:val="single" w:sz="4" w:space="0" w:color="000000"/>
              <w:right w:val="single" w:sz="4" w:space="0" w:color="000000"/>
            </w:tcBorders>
          </w:tcPr>
          <w:p>
            <w:pPr/>
          </w:p>
        </w:tc>
        <w:tc>
          <w:tcPr>
            <w:tcW w:w="629"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r>
      <w:tr>
        <w:trPr>
          <w:trHeight w:val="273" w:hRule="exact"/>
        </w:trPr>
        <w:tc>
          <w:tcPr>
            <w:tcW w:w="1004" w:type="dxa"/>
            <w:vMerge/>
            <w:tcBorders>
              <w:left w:val="single" w:sz="4" w:space="0" w:color="000000"/>
              <w:right w:val="single" w:sz="4" w:space="0" w:color="000000"/>
            </w:tcBorders>
          </w:tcPr>
          <w:p>
            <w:pPr/>
          </w:p>
        </w:tc>
        <w:tc>
          <w:tcPr>
            <w:tcW w:w="631" w:type="dxa"/>
            <w:vMerge/>
            <w:tcBorders>
              <w:left w:val="single" w:sz="4" w:space="0" w:color="000000"/>
              <w:right w:val="single" w:sz="4" w:space="0" w:color="000000"/>
            </w:tcBorders>
          </w:tcPr>
          <w:p>
            <w:pPr/>
          </w:p>
        </w:tc>
        <w:tc>
          <w:tcPr>
            <w:tcW w:w="1178" w:type="dxa"/>
            <w:vMerge/>
            <w:tcBorders>
              <w:left w:val="single" w:sz="4" w:space="0" w:color="000000"/>
              <w:right w:val="single" w:sz="4" w:space="0" w:color="000000"/>
            </w:tcBorders>
          </w:tcPr>
          <w:p>
            <w:pPr/>
          </w:p>
        </w:tc>
        <w:tc>
          <w:tcPr>
            <w:tcW w:w="600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利润数额时的差额。各方一致同意：《盈利补偿协议》约定的业</w:t>
            </w:r>
          </w:p>
        </w:tc>
        <w:tc>
          <w:tcPr>
            <w:tcW w:w="2024" w:type="dxa"/>
            <w:vMerge/>
            <w:tcBorders>
              <w:left w:val="single" w:sz="4" w:space="0" w:color="000000"/>
              <w:right w:val="single" w:sz="4" w:space="0" w:color="000000"/>
            </w:tcBorders>
          </w:tcPr>
          <w:p>
            <w:pPr/>
          </w:p>
        </w:tc>
        <w:tc>
          <w:tcPr>
            <w:tcW w:w="629"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r>
      <w:tr>
        <w:trPr>
          <w:trHeight w:val="272" w:hRule="exact"/>
        </w:trPr>
        <w:tc>
          <w:tcPr>
            <w:tcW w:w="1004" w:type="dxa"/>
            <w:vMerge/>
            <w:tcBorders>
              <w:left w:val="single" w:sz="4" w:space="0" w:color="000000"/>
              <w:right w:val="single" w:sz="4" w:space="0" w:color="000000"/>
            </w:tcBorders>
          </w:tcPr>
          <w:p>
            <w:pPr/>
          </w:p>
        </w:tc>
        <w:tc>
          <w:tcPr>
            <w:tcW w:w="631" w:type="dxa"/>
            <w:vMerge/>
            <w:tcBorders>
              <w:left w:val="single" w:sz="4" w:space="0" w:color="000000"/>
              <w:right w:val="single" w:sz="4" w:space="0" w:color="000000"/>
            </w:tcBorders>
          </w:tcPr>
          <w:p>
            <w:pPr/>
          </w:p>
        </w:tc>
        <w:tc>
          <w:tcPr>
            <w:tcW w:w="1178" w:type="dxa"/>
            <w:vMerge/>
            <w:tcBorders>
              <w:left w:val="single" w:sz="4" w:space="0" w:color="000000"/>
              <w:right w:val="single" w:sz="4" w:space="0" w:color="000000"/>
            </w:tcBorders>
          </w:tcPr>
          <w:p>
            <w:pPr/>
          </w:p>
        </w:tc>
        <w:tc>
          <w:tcPr>
            <w:tcW w:w="6008"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绩补</w:t>
            </w:r>
            <w:r>
              <w:rPr>
                <w:rFonts w:ascii="宋体" w:hAnsi="宋体" w:cs="宋体" w:eastAsia="宋体" w:hint="default"/>
                <w:spacing w:val="-3"/>
                <w:w w:val="100"/>
                <w:sz w:val="21"/>
                <w:szCs w:val="21"/>
              </w:rPr>
              <w:t>偿</w:t>
            </w:r>
            <w:r>
              <w:rPr>
                <w:rFonts w:ascii="宋体" w:hAnsi="宋体" w:cs="宋体" w:eastAsia="宋体" w:hint="default"/>
                <w:w w:val="100"/>
                <w:sz w:val="21"/>
                <w:szCs w:val="21"/>
              </w:rPr>
              <w:t>和</w:t>
            </w:r>
            <w:r>
              <w:rPr>
                <w:rFonts w:ascii="宋体" w:hAnsi="宋体" w:cs="宋体" w:eastAsia="宋体" w:hint="default"/>
                <w:spacing w:val="-3"/>
                <w:w w:val="100"/>
                <w:sz w:val="21"/>
                <w:szCs w:val="21"/>
              </w:rPr>
              <w:t>减</w:t>
            </w:r>
            <w:r>
              <w:rPr>
                <w:rFonts w:ascii="宋体" w:hAnsi="宋体" w:cs="宋体" w:eastAsia="宋体" w:hint="default"/>
                <w:w w:val="100"/>
                <w:sz w:val="21"/>
                <w:szCs w:val="21"/>
              </w:rPr>
              <w:t>值</w:t>
            </w:r>
            <w:r>
              <w:rPr>
                <w:rFonts w:ascii="宋体" w:hAnsi="宋体" w:cs="宋体" w:eastAsia="宋体" w:hint="default"/>
                <w:spacing w:val="-3"/>
                <w:w w:val="100"/>
                <w:sz w:val="21"/>
                <w:szCs w:val="21"/>
              </w:rPr>
              <w:t>测</w:t>
            </w:r>
            <w:r>
              <w:rPr>
                <w:rFonts w:ascii="宋体" w:hAnsi="宋体" w:cs="宋体" w:eastAsia="宋体" w:hint="default"/>
                <w:w w:val="100"/>
                <w:sz w:val="21"/>
                <w:szCs w:val="21"/>
              </w:rPr>
              <w:t>试</w:t>
            </w:r>
            <w:r>
              <w:rPr>
                <w:rFonts w:ascii="宋体" w:hAnsi="宋体" w:cs="宋体" w:eastAsia="宋体" w:hint="default"/>
                <w:spacing w:val="-3"/>
                <w:w w:val="100"/>
                <w:sz w:val="21"/>
                <w:szCs w:val="21"/>
              </w:rPr>
              <w:t>补</w:t>
            </w:r>
            <w:r>
              <w:rPr>
                <w:rFonts w:ascii="宋体" w:hAnsi="宋体" w:cs="宋体" w:eastAsia="宋体" w:hint="default"/>
                <w:w w:val="100"/>
                <w:sz w:val="21"/>
                <w:szCs w:val="21"/>
              </w:rPr>
              <w:t>偿</w:t>
            </w:r>
            <w:r>
              <w:rPr>
                <w:rFonts w:ascii="宋体" w:hAnsi="宋体" w:cs="宋体" w:eastAsia="宋体" w:hint="default"/>
                <w:spacing w:val="-3"/>
                <w:w w:val="100"/>
                <w:sz w:val="21"/>
                <w:szCs w:val="21"/>
              </w:rPr>
              <w:t>项</w:t>
            </w:r>
            <w:r>
              <w:rPr>
                <w:rFonts w:ascii="宋体" w:hAnsi="宋体" w:cs="宋体" w:eastAsia="宋体" w:hint="default"/>
                <w:w w:val="100"/>
                <w:sz w:val="21"/>
                <w:szCs w:val="21"/>
              </w:rPr>
              <w:t>下业</w:t>
            </w:r>
            <w:r>
              <w:rPr>
                <w:rFonts w:ascii="宋体" w:hAnsi="宋体" w:cs="宋体" w:eastAsia="宋体" w:hint="default"/>
                <w:spacing w:val="-3"/>
                <w:w w:val="100"/>
                <w:sz w:val="21"/>
                <w:szCs w:val="21"/>
              </w:rPr>
              <w:t>绩</w:t>
            </w:r>
            <w:r>
              <w:rPr>
                <w:rFonts w:ascii="宋体" w:hAnsi="宋体" w:cs="宋体" w:eastAsia="宋体" w:hint="default"/>
                <w:w w:val="100"/>
                <w:sz w:val="21"/>
                <w:szCs w:val="21"/>
              </w:rPr>
              <w:t>承</w:t>
            </w:r>
            <w:r>
              <w:rPr>
                <w:rFonts w:ascii="宋体" w:hAnsi="宋体" w:cs="宋体" w:eastAsia="宋体" w:hint="default"/>
                <w:spacing w:val="-3"/>
                <w:w w:val="100"/>
                <w:sz w:val="21"/>
                <w:szCs w:val="21"/>
              </w:rPr>
              <w:t>诺</w:t>
            </w:r>
            <w:r>
              <w:rPr>
                <w:rFonts w:ascii="宋体" w:hAnsi="宋体" w:cs="宋体" w:eastAsia="宋体" w:hint="default"/>
                <w:w w:val="100"/>
                <w:sz w:val="21"/>
                <w:szCs w:val="21"/>
              </w:rPr>
              <w:t>方</w:t>
            </w:r>
            <w:r>
              <w:rPr>
                <w:rFonts w:ascii="宋体" w:hAnsi="宋体" w:cs="宋体" w:eastAsia="宋体" w:hint="default"/>
                <w:spacing w:val="-3"/>
                <w:w w:val="100"/>
                <w:sz w:val="21"/>
                <w:szCs w:val="21"/>
              </w:rPr>
              <w:t>的</w:t>
            </w:r>
            <w:r>
              <w:rPr>
                <w:rFonts w:ascii="宋体" w:hAnsi="宋体" w:cs="宋体" w:eastAsia="宋体" w:hint="default"/>
                <w:w w:val="100"/>
                <w:sz w:val="21"/>
                <w:szCs w:val="21"/>
              </w:rPr>
              <w:t>累</w:t>
            </w:r>
            <w:r>
              <w:rPr>
                <w:rFonts w:ascii="宋体" w:hAnsi="宋体" w:cs="宋体" w:eastAsia="宋体" w:hint="default"/>
                <w:spacing w:val="-3"/>
                <w:w w:val="100"/>
                <w:sz w:val="21"/>
                <w:szCs w:val="21"/>
              </w:rPr>
              <w:t>计</w:t>
            </w:r>
            <w:r>
              <w:rPr>
                <w:rFonts w:ascii="宋体" w:hAnsi="宋体" w:cs="宋体" w:eastAsia="宋体" w:hint="default"/>
                <w:w w:val="100"/>
                <w:sz w:val="21"/>
                <w:szCs w:val="21"/>
              </w:rPr>
              <w:t>补</w:t>
            </w:r>
            <w:r>
              <w:rPr>
                <w:rFonts w:ascii="宋体" w:hAnsi="宋体" w:cs="宋体" w:eastAsia="宋体" w:hint="default"/>
                <w:spacing w:val="-3"/>
                <w:w w:val="100"/>
                <w:sz w:val="21"/>
                <w:szCs w:val="21"/>
              </w:rPr>
              <w:t>偿</w:t>
            </w:r>
            <w:r>
              <w:rPr>
                <w:rFonts w:ascii="宋体" w:hAnsi="宋体" w:cs="宋体" w:eastAsia="宋体" w:hint="default"/>
                <w:w w:val="100"/>
                <w:sz w:val="21"/>
                <w:szCs w:val="21"/>
              </w:rPr>
              <w:t>股份</w:t>
            </w:r>
            <w:r>
              <w:rPr>
                <w:rFonts w:ascii="宋体" w:hAnsi="宋体" w:cs="宋体" w:eastAsia="宋体" w:hint="default"/>
                <w:spacing w:val="-3"/>
                <w:w w:val="100"/>
                <w:sz w:val="21"/>
                <w:szCs w:val="21"/>
              </w:rPr>
              <w:t>总数</w:t>
            </w:r>
            <w:r>
              <w:rPr>
                <w:rFonts w:ascii="宋体" w:hAnsi="宋体" w:cs="宋体" w:eastAsia="宋体" w:hint="default"/>
                <w:spacing w:val="-89"/>
                <w:w w:val="100"/>
                <w:sz w:val="21"/>
                <w:szCs w:val="21"/>
              </w:rPr>
              <w:t>，</w:t>
            </w:r>
            <w:r>
              <w:rPr>
                <w:rFonts w:ascii="宋体" w:hAnsi="宋体" w:cs="宋体" w:eastAsia="宋体" w:hint="default"/>
                <w:w w:val="100"/>
                <w:sz w:val="21"/>
                <w:szCs w:val="21"/>
              </w:rPr>
              <w:t>应</w:t>
            </w:r>
          </w:p>
        </w:tc>
        <w:tc>
          <w:tcPr>
            <w:tcW w:w="2024" w:type="dxa"/>
            <w:vMerge/>
            <w:tcBorders>
              <w:left w:val="single" w:sz="4" w:space="0" w:color="000000"/>
              <w:right w:val="single" w:sz="4" w:space="0" w:color="000000"/>
            </w:tcBorders>
          </w:tcPr>
          <w:p>
            <w:pPr/>
          </w:p>
        </w:tc>
        <w:tc>
          <w:tcPr>
            <w:tcW w:w="629"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r>
      <w:tr>
        <w:trPr>
          <w:trHeight w:val="272" w:hRule="exact"/>
        </w:trPr>
        <w:tc>
          <w:tcPr>
            <w:tcW w:w="1004" w:type="dxa"/>
            <w:vMerge/>
            <w:tcBorders>
              <w:left w:val="single" w:sz="4" w:space="0" w:color="000000"/>
              <w:right w:val="single" w:sz="4" w:space="0" w:color="000000"/>
            </w:tcBorders>
          </w:tcPr>
          <w:p>
            <w:pPr/>
          </w:p>
        </w:tc>
        <w:tc>
          <w:tcPr>
            <w:tcW w:w="631" w:type="dxa"/>
            <w:vMerge/>
            <w:tcBorders>
              <w:left w:val="single" w:sz="4" w:space="0" w:color="000000"/>
              <w:right w:val="single" w:sz="4" w:space="0" w:color="000000"/>
            </w:tcBorders>
          </w:tcPr>
          <w:p>
            <w:pPr/>
          </w:p>
        </w:tc>
        <w:tc>
          <w:tcPr>
            <w:tcW w:w="1178" w:type="dxa"/>
            <w:vMerge/>
            <w:tcBorders>
              <w:left w:val="single" w:sz="4" w:space="0" w:color="000000"/>
              <w:right w:val="single" w:sz="4" w:space="0" w:color="000000"/>
            </w:tcBorders>
          </w:tcPr>
          <w:p>
            <w:pPr/>
          </w:p>
        </w:tc>
        <w:tc>
          <w:tcPr>
            <w:tcW w:w="600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以业绩承诺方通过本次发行股份购买资产而取得的新增股份总</w:t>
            </w:r>
          </w:p>
        </w:tc>
        <w:tc>
          <w:tcPr>
            <w:tcW w:w="2024" w:type="dxa"/>
            <w:vMerge/>
            <w:tcBorders>
              <w:left w:val="single" w:sz="4" w:space="0" w:color="000000"/>
              <w:right w:val="single" w:sz="4" w:space="0" w:color="000000"/>
            </w:tcBorders>
          </w:tcPr>
          <w:p>
            <w:pPr/>
          </w:p>
        </w:tc>
        <w:tc>
          <w:tcPr>
            <w:tcW w:w="629"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r>
      <w:tr>
        <w:trPr>
          <w:trHeight w:val="272" w:hRule="exact"/>
        </w:trPr>
        <w:tc>
          <w:tcPr>
            <w:tcW w:w="1004" w:type="dxa"/>
            <w:vMerge/>
            <w:tcBorders>
              <w:left w:val="single" w:sz="4" w:space="0" w:color="000000"/>
              <w:right w:val="single" w:sz="4" w:space="0" w:color="000000"/>
            </w:tcBorders>
          </w:tcPr>
          <w:p>
            <w:pPr/>
          </w:p>
        </w:tc>
        <w:tc>
          <w:tcPr>
            <w:tcW w:w="631" w:type="dxa"/>
            <w:vMerge/>
            <w:tcBorders>
              <w:left w:val="single" w:sz="4" w:space="0" w:color="000000"/>
              <w:right w:val="single" w:sz="4" w:space="0" w:color="000000"/>
            </w:tcBorders>
          </w:tcPr>
          <w:p>
            <w:pPr/>
          </w:p>
        </w:tc>
        <w:tc>
          <w:tcPr>
            <w:tcW w:w="1178" w:type="dxa"/>
            <w:vMerge/>
            <w:tcBorders>
              <w:left w:val="single" w:sz="4" w:space="0" w:color="000000"/>
              <w:right w:val="single" w:sz="4" w:space="0" w:color="000000"/>
            </w:tcBorders>
          </w:tcPr>
          <w:p>
            <w:pPr/>
          </w:p>
        </w:tc>
        <w:tc>
          <w:tcPr>
            <w:tcW w:w="6008"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数为上限。业绩承诺方在对上市公司进行上述补偿时，当期应补</w:t>
            </w:r>
          </w:p>
        </w:tc>
        <w:tc>
          <w:tcPr>
            <w:tcW w:w="2024" w:type="dxa"/>
            <w:vMerge/>
            <w:tcBorders>
              <w:left w:val="single" w:sz="4" w:space="0" w:color="000000"/>
              <w:right w:val="single" w:sz="4" w:space="0" w:color="000000"/>
            </w:tcBorders>
          </w:tcPr>
          <w:p>
            <w:pPr/>
          </w:p>
        </w:tc>
        <w:tc>
          <w:tcPr>
            <w:tcW w:w="629"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r>
      <w:tr>
        <w:trPr>
          <w:trHeight w:val="272" w:hRule="exact"/>
        </w:trPr>
        <w:tc>
          <w:tcPr>
            <w:tcW w:w="1004" w:type="dxa"/>
            <w:vMerge/>
            <w:tcBorders>
              <w:left w:val="single" w:sz="4" w:space="0" w:color="000000"/>
              <w:right w:val="single" w:sz="4" w:space="0" w:color="000000"/>
            </w:tcBorders>
          </w:tcPr>
          <w:p>
            <w:pPr/>
          </w:p>
        </w:tc>
        <w:tc>
          <w:tcPr>
            <w:tcW w:w="631" w:type="dxa"/>
            <w:vMerge/>
            <w:tcBorders>
              <w:left w:val="single" w:sz="4" w:space="0" w:color="000000"/>
              <w:right w:val="single" w:sz="4" w:space="0" w:color="000000"/>
            </w:tcBorders>
          </w:tcPr>
          <w:p>
            <w:pPr/>
          </w:p>
        </w:tc>
        <w:tc>
          <w:tcPr>
            <w:tcW w:w="1178" w:type="dxa"/>
            <w:vMerge/>
            <w:tcBorders>
              <w:left w:val="single" w:sz="4" w:space="0" w:color="000000"/>
              <w:right w:val="single" w:sz="4" w:space="0" w:color="000000"/>
            </w:tcBorders>
          </w:tcPr>
          <w:p>
            <w:pPr/>
          </w:p>
        </w:tc>
        <w:tc>
          <w:tcPr>
            <w:tcW w:w="600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偿金额小于或等于</w:t>
            </w:r>
            <w:r>
              <w:rPr>
                <w:rFonts w:ascii="宋体" w:hAnsi="宋体" w:cs="宋体" w:eastAsia="宋体" w:hint="default"/>
                <w:spacing w:val="-53"/>
                <w:sz w:val="21"/>
                <w:szCs w:val="21"/>
              </w:rPr>
              <w:t> </w:t>
            </w:r>
            <w:r>
              <w:rPr>
                <w:rFonts w:ascii="宋体" w:hAnsi="宋体" w:cs="宋体" w:eastAsia="宋体" w:hint="default"/>
                <w:sz w:val="21"/>
                <w:szCs w:val="21"/>
              </w:rPr>
              <w:t>0</w:t>
            </w:r>
            <w:r>
              <w:rPr>
                <w:rFonts w:ascii="宋体" w:hAnsi="宋体" w:cs="宋体" w:eastAsia="宋体" w:hint="default"/>
                <w:spacing w:val="-56"/>
                <w:sz w:val="21"/>
                <w:szCs w:val="21"/>
              </w:rPr>
              <w:t> </w:t>
            </w:r>
            <w:r>
              <w:rPr>
                <w:rFonts w:ascii="宋体" w:hAnsi="宋体" w:cs="宋体" w:eastAsia="宋体" w:hint="default"/>
                <w:sz w:val="21"/>
                <w:szCs w:val="21"/>
              </w:rPr>
              <w:t>时，按</w:t>
            </w:r>
            <w:r>
              <w:rPr>
                <w:rFonts w:ascii="宋体" w:hAnsi="宋体" w:cs="宋体" w:eastAsia="宋体" w:hint="default"/>
                <w:spacing w:val="-54"/>
                <w:sz w:val="21"/>
                <w:szCs w:val="21"/>
              </w:rPr>
              <w:t> </w:t>
            </w:r>
            <w:r>
              <w:rPr>
                <w:rFonts w:ascii="宋体" w:hAnsi="宋体" w:cs="宋体" w:eastAsia="宋体" w:hint="default"/>
                <w:sz w:val="21"/>
                <w:szCs w:val="21"/>
              </w:rPr>
              <w:t>0</w:t>
            </w:r>
            <w:r>
              <w:rPr>
                <w:rFonts w:ascii="宋体" w:hAnsi="宋体" w:cs="宋体" w:eastAsia="宋体" w:hint="default"/>
                <w:spacing w:val="-54"/>
                <w:sz w:val="21"/>
                <w:szCs w:val="21"/>
              </w:rPr>
              <w:t> </w:t>
            </w:r>
            <w:r>
              <w:rPr>
                <w:rFonts w:ascii="宋体" w:hAnsi="宋体" w:cs="宋体" w:eastAsia="宋体" w:hint="default"/>
                <w:sz w:val="21"/>
                <w:szCs w:val="21"/>
              </w:rPr>
              <w:t>计算，即已经补偿的金额不冲回。</w:t>
            </w:r>
          </w:p>
        </w:tc>
        <w:tc>
          <w:tcPr>
            <w:tcW w:w="2024" w:type="dxa"/>
            <w:vMerge/>
            <w:tcBorders>
              <w:left w:val="single" w:sz="4" w:space="0" w:color="000000"/>
              <w:right w:val="single" w:sz="4" w:space="0" w:color="000000"/>
            </w:tcBorders>
          </w:tcPr>
          <w:p>
            <w:pPr/>
          </w:p>
        </w:tc>
        <w:tc>
          <w:tcPr>
            <w:tcW w:w="629"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r>
      <w:tr>
        <w:trPr>
          <w:trHeight w:val="272" w:hRule="exact"/>
        </w:trPr>
        <w:tc>
          <w:tcPr>
            <w:tcW w:w="1004" w:type="dxa"/>
            <w:vMerge/>
            <w:tcBorders>
              <w:left w:val="single" w:sz="4" w:space="0" w:color="000000"/>
              <w:right w:val="single" w:sz="4" w:space="0" w:color="000000"/>
            </w:tcBorders>
          </w:tcPr>
          <w:p>
            <w:pPr/>
          </w:p>
        </w:tc>
        <w:tc>
          <w:tcPr>
            <w:tcW w:w="631" w:type="dxa"/>
            <w:vMerge/>
            <w:tcBorders>
              <w:left w:val="single" w:sz="4" w:space="0" w:color="000000"/>
              <w:right w:val="single" w:sz="4" w:space="0" w:color="000000"/>
            </w:tcBorders>
          </w:tcPr>
          <w:p>
            <w:pPr/>
          </w:p>
        </w:tc>
        <w:tc>
          <w:tcPr>
            <w:tcW w:w="1178" w:type="dxa"/>
            <w:vMerge/>
            <w:tcBorders>
              <w:left w:val="single" w:sz="4" w:space="0" w:color="000000"/>
              <w:right w:val="single" w:sz="4" w:space="0" w:color="000000"/>
            </w:tcBorders>
          </w:tcPr>
          <w:p>
            <w:pPr/>
          </w:p>
        </w:tc>
        <w:tc>
          <w:tcPr>
            <w:tcW w:w="6008"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）专项审计本次重大资产重组完成后，上市公司应在利润承</w:t>
            </w:r>
          </w:p>
        </w:tc>
        <w:tc>
          <w:tcPr>
            <w:tcW w:w="2024" w:type="dxa"/>
            <w:vMerge/>
            <w:tcBorders>
              <w:left w:val="single" w:sz="4" w:space="0" w:color="000000"/>
              <w:right w:val="single" w:sz="4" w:space="0" w:color="000000"/>
            </w:tcBorders>
          </w:tcPr>
          <w:p>
            <w:pPr/>
          </w:p>
        </w:tc>
        <w:tc>
          <w:tcPr>
            <w:tcW w:w="629"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r>
      <w:tr>
        <w:trPr>
          <w:trHeight w:val="272" w:hRule="exact"/>
        </w:trPr>
        <w:tc>
          <w:tcPr>
            <w:tcW w:w="1004" w:type="dxa"/>
            <w:vMerge/>
            <w:tcBorders>
              <w:left w:val="single" w:sz="4" w:space="0" w:color="000000"/>
              <w:right w:val="single" w:sz="4" w:space="0" w:color="000000"/>
            </w:tcBorders>
          </w:tcPr>
          <w:p>
            <w:pPr/>
          </w:p>
        </w:tc>
        <w:tc>
          <w:tcPr>
            <w:tcW w:w="631" w:type="dxa"/>
            <w:vMerge/>
            <w:tcBorders>
              <w:left w:val="single" w:sz="4" w:space="0" w:color="000000"/>
              <w:right w:val="single" w:sz="4" w:space="0" w:color="000000"/>
            </w:tcBorders>
          </w:tcPr>
          <w:p>
            <w:pPr/>
          </w:p>
        </w:tc>
        <w:tc>
          <w:tcPr>
            <w:tcW w:w="1178" w:type="dxa"/>
            <w:vMerge/>
            <w:tcBorders>
              <w:left w:val="single" w:sz="4" w:space="0" w:color="000000"/>
              <w:right w:val="single" w:sz="4" w:space="0" w:color="000000"/>
            </w:tcBorders>
          </w:tcPr>
          <w:p>
            <w:pPr/>
          </w:p>
        </w:tc>
        <w:tc>
          <w:tcPr>
            <w:tcW w:w="600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诺期内各个会计年度结束后聘请具有证券期货从业资格的会计</w:t>
            </w:r>
          </w:p>
        </w:tc>
        <w:tc>
          <w:tcPr>
            <w:tcW w:w="2024" w:type="dxa"/>
            <w:vMerge/>
            <w:tcBorders>
              <w:left w:val="single" w:sz="4" w:space="0" w:color="000000"/>
              <w:right w:val="single" w:sz="4" w:space="0" w:color="000000"/>
            </w:tcBorders>
          </w:tcPr>
          <w:p>
            <w:pPr/>
          </w:p>
        </w:tc>
        <w:tc>
          <w:tcPr>
            <w:tcW w:w="629"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r>
      <w:tr>
        <w:trPr>
          <w:trHeight w:val="272" w:hRule="exact"/>
        </w:trPr>
        <w:tc>
          <w:tcPr>
            <w:tcW w:w="1004" w:type="dxa"/>
            <w:vMerge/>
            <w:tcBorders>
              <w:left w:val="single" w:sz="4" w:space="0" w:color="000000"/>
              <w:right w:val="single" w:sz="4" w:space="0" w:color="000000"/>
            </w:tcBorders>
          </w:tcPr>
          <w:p>
            <w:pPr/>
          </w:p>
        </w:tc>
        <w:tc>
          <w:tcPr>
            <w:tcW w:w="631" w:type="dxa"/>
            <w:vMerge/>
            <w:tcBorders>
              <w:left w:val="single" w:sz="4" w:space="0" w:color="000000"/>
              <w:right w:val="single" w:sz="4" w:space="0" w:color="000000"/>
            </w:tcBorders>
          </w:tcPr>
          <w:p>
            <w:pPr/>
          </w:p>
        </w:tc>
        <w:tc>
          <w:tcPr>
            <w:tcW w:w="1178" w:type="dxa"/>
            <w:vMerge/>
            <w:tcBorders>
              <w:left w:val="single" w:sz="4" w:space="0" w:color="000000"/>
              <w:right w:val="single" w:sz="4" w:space="0" w:color="000000"/>
            </w:tcBorders>
          </w:tcPr>
          <w:p>
            <w:pPr/>
          </w:p>
        </w:tc>
        <w:tc>
          <w:tcPr>
            <w:tcW w:w="6008"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师事务所对拟购买资产实现的业绩指标情况出具《专项审核报</w:t>
            </w:r>
          </w:p>
        </w:tc>
        <w:tc>
          <w:tcPr>
            <w:tcW w:w="2024" w:type="dxa"/>
            <w:vMerge/>
            <w:tcBorders>
              <w:left w:val="single" w:sz="4" w:space="0" w:color="000000"/>
              <w:right w:val="single" w:sz="4" w:space="0" w:color="000000"/>
            </w:tcBorders>
          </w:tcPr>
          <w:p>
            <w:pPr/>
          </w:p>
        </w:tc>
        <w:tc>
          <w:tcPr>
            <w:tcW w:w="629"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r>
      <w:tr>
        <w:trPr>
          <w:trHeight w:val="273" w:hRule="exact"/>
        </w:trPr>
        <w:tc>
          <w:tcPr>
            <w:tcW w:w="1004" w:type="dxa"/>
            <w:vMerge/>
            <w:tcBorders>
              <w:left w:val="single" w:sz="4" w:space="0" w:color="000000"/>
              <w:right w:val="single" w:sz="4" w:space="0" w:color="000000"/>
            </w:tcBorders>
          </w:tcPr>
          <w:p>
            <w:pPr/>
          </w:p>
        </w:tc>
        <w:tc>
          <w:tcPr>
            <w:tcW w:w="631" w:type="dxa"/>
            <w:vMerge/>
            <w:tcBorders>
              <w:left w:val="single" w:sz="4" w:space="0" w:color="000000"/>
              <w:right w:val="single" w:sz="4" w:space="0" w:color="000000"/>
            </w:tcBorders>
          </w:tcPr>
          <w:p>
            <w:pPr/>
          </w:p>
        </w:tc>
        <w:tc>
          <w:tcPr>
            <w:tcW w:w="1178" w:type="dxa"/>
            <w:vMerge/>
            <w:tcBorders>
              <w:left w:val="single" w:sz="4" w:space="0" w:color="000000"/>
              <w:right w:val="single" w:sz="4" w:space="0" w:color="000000"/>
            </w:tcBorders>
          </w:tcPr>
          <w:p>
            <w:pPr/>
          </w:p>
        </w:tc>
        <w:tc>
          <w:tcPr>
            <w:tcW w:w="600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告》，根据《专项审核报告》确定业绩承诺方承诺净利润数与拟</w:t>
            </w:r>
          </w:p>
        </w:tc>
        <w:tc>
          <w:tcPr>
            <w:tcW w:w="2024" w:type="dxa"/>
            <w:vMerge/>
            <w:tcBorders>
              <w:left w:val="single" w:sz="4" w:space="0" w:color="000000"/>
              <w:right w:val="single" w:sz="4" w:space="0" w:color="000000"/>
            </w:tcBorders>
          </w:tcPr>
          <w:p>
            <w:pPr/>
          </w:p>
        </w:tc>
        <w:tc>
          <w:tcPr>
            <w:tcW w:w="629"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r>
      <w:tr>
        <w:trPr>
          <w:trHeight w:val="273" w:hRule="exact"/>
        </w:trPr>
        <w:tc>
          <w:tcPr>
            <w:tcW w:w="1004" w:type="dxa"/>
            <w:vMerge/>
            <w:tcBorders>
              <w:left w:val="single" w:sz="4" w:space="0" w:color="000000"/>
              <w:right w:val="single" w:sz="4" w:space="0" w:color="000000"/>
            </w:tcBorders>
          </w:tcPr>
          <w:p>
            <w:pPr/>
          </w:p>
        </w:tc>
        <w:tc>
          <w:tcPr>
            <w:tcW w:w="631" w:type="dxa"/>
            <w:vMerge/>
            <w:tcBorders>
              <w:left w:val="single" w:sz="4" w:space="0" w:color="000000"/>
              <w:right w:val="single" w:sz="4" w:space="0" w:color="000000"/>
            </w:tcBorders>
          </w:tcPr>
          <w:p>
            <w:pPr/>
          </w:p>
        </w:tc>
        <w:tc>
          <w:tcPr>
            <w:tcW w:w="1178" w:type="dxa"/>
            <w:vMerge/>
            <w:tcBorders>
              <w:left w:val="single" w:sz="4" w:space="0" w:color="000000"/>
              <w:right w:val="single" w:sz="4" w:space="0" w:color="000000"/>
            </w:tcBorders>
          </w:tcPr>
          <w:p>
            <w:pPr/>
          </w:p>
        </w:tc>
        <w:tc>
          <w:tcPr>
            <w:tcW w:w="6008"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购买</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3"/>
                <w:w w:val="100"/>
                <w:sz w:val="21"/>
                <w:szCs w:val="21"/>
              </w:rPr>
              <w:t>实</w:t>
            </w:r>
            <w:r>
              <w:rPr>
                <w:rFonts w:ascii="宋体" w:hAnsi="宋体" w:cs="宋体" w:eastAsia="宋体" w:hint="default"/>
                <w:w w:val="100"/>
                <w:sz w:val="21"/>
                <w:szCs w:val="21"/>
              </w:rPr>
              <w:t>际</w:t>
            </w:r>
            <w:r>
              <w:rPr>
                <w:rFonts w:ascii="宋体" w:hAnsi="宋体" w:cs="宋体" w:eastAsia="宋体" w:hint="default"/>
                <w:spacing w:val="-3"/>
                <w:w w:val="100"/>
                <w:sz w:val="21"/>
                <w:szCs w:val="21"/>
              </w:rPr>
              <w:t>实</w:t>
            </w:r>
            <w:r>
              <w:rPr>
                <w:rFonts w:ascii="宋体" w:hAnsi="宋体" w:cs="宋体" w:eastAsia="宋体" w:hint="default"/>
                <w:w w:val="100"/>
                <w:sz w:val="21"/>
                <w:szCs w:val="21"/>
              </w:rPr>
              <w:t>现</w:t>
            </w:r>
            <w:r>
              <w:rPr>
                <w:rFonts w:ascii="宋体" w:hAnsi="宋体" w:cs="宋体" w:eastAsia="宋体" w:hint="default"/>
                <w:spacing w:val="-3"/>
                <w:w w:val="100"/>
                <w:sz w:val="21"/>
                <w:szCs w:val="21"/>
              </w:rPr>
              <w:t>净</w:t>
            </w:r>
            <w:r>
              <w:rPr>
                <w:rFonts w:ascii="宋体" w:hAnsi="宋体" w:cs="宋体" w:eastAsia="宋体" w:hint="default"/>
                <w:w w:val="100"/>
                <w:sz w:val="21"/>
                <w:szCs w:val="21"/>
              </w:rPr>
              <w:t>利</w:t>
            </w:r>
            <w:r>
              <w:rPr>
                <w:rFonts w:ascii="宋体" w:hAnsi="宋体" w:cs="宋体" w:eastAsia="宋体" w:hint="default"/>
                <w:spacing w:val="-3"/>
                <w:w w:val="100"/>
                <w:sz w:val="21"/>
                <w:szCs w:val="21"/>
              </w:rPr>
              <w:t>润</w:t>
            </w:r>
            <w:r>
              <w:rPr>
                <w:rFonts w:ascii="宋体" w:hAnsi="宋体" w:cs="宋体" w:eastAsia="宋体" w:hint="default"/>
                <w:w w:val="100"/>
                <w:sz w:val="21"/>
                <w:szCs w:val="21"/>
              </w:rPr>
              <w:t>数的</w:t>
            </w:r>
            <w:r>
              <w:rPr>
                <w:rFonts w:ascii="宋体" w:hAnsi="宋体" w:cs="宋体" w:eastAsia="宋体" w:hint="default"/>
                <w:spacing w:val="-3"/>
                <w:w w:val="100"/>
                <w:sz w:val="21"/>
                <w:szCs w:val="21"/>
              </w:rPr>
              <w:t>差额</w:t>
            </w:r>
            <w:r>
              <w:rPr>
                <w:rFonts w:ascii="宋体" w:hAnsi="宋体" w:cs="宋体" w:eastAsia="宋体" w:hint="default"/>
                <w:spacing w:val="-89"/>
                <w:w w:val="100"/>
                <w:sz w:val="21"/>
                <w:szCs w:val="21"/>
              </w:rPr>
              <w:t>，</w:t>
            </w:r>
            <w:r>
              <w:rPr>
                <w:rFonts w:ascii="宋体" w:hAnsi="宋体" w:cs="宋体" w:eastAsia="宋体" w:hint="default"/>
                <w:spacing w:val="-3"/>
                <w:w w:val="100"/>
                <w:sz w:val="21"/>
                <w:szCs w:val="21"/>
              </w:rPr>
              <w:t>并</w:t>
            </w:r>
            <w:r>
              <w:rPr>
                <w:rFonts w:ascii="宋体" w:hAnsi="宋体" w:cs="宋体" w:eastAsia="宋体" w:hint="default"/>
                <w:w w:val="100"/>
                <w:sz w:val="21"/>
                <w:szCs w:val="21"/>
              </w:rPr>
              <w:t>在</w:t>
            </w:r>
            <w:r>
              <w:rPr>
                <w:rFonts w:ascii="宋体" w:hAnsi="宋体" w:cs="宋体" w:eastAsia="宋体" w:hint="default"/>
                <w:spacing w:val="-3"/>
                <w:w w:val="100"/>
                <w:sz w:val="21"/>
                <w:szCs w:val="21"/>
              </w:rPr>
              <w:t>上</w:t>
            </w:r>
            <w:r>
              <w:rPr>
                <w:rFonts w:ascii="宋体" w:hAnsi="宋体" w:cs="宋体" w:eastAsia="宋体" w:hint="default"/>
                <w:w w:val="100"/>
                <w:sz w:val="21"/>
                <w:szCs w:val="21"/>
              </w:rPr>
              <w:t>市</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年</w:t>
            </w:r>
            <w:r>
              <w:rPr>
                <w:rFonts w:ascii="宋体" w:hAnsi="宋体" w:cs="宋体" w:eastAsia="宋体" w:hint="default"/>
                <w:w w:val="100"/>
                <w:sz w:val="21"/>
                <w:szCs w:val="21"/>
              </w:rPr>
              <w:t>度报</w:t>
            </w:r>
            <w:r>
              <w:rPr>
                <w:rFonts w:ascii="宋体" w:hAnsi="宋体" w:cs="宋体" w:eastAsia="宋体" w:hint="default"/>
                <w:spacing w:val="-3"/>
                <w:w w:val="100"/>
                <w:sz w:val="21"/>
                <w:szCs w:val="21"/>
              </w:rPr>
              <w:t>告</w:t>
            </w:r>
            <w:r>
              <w:rPr>
                <w:rFonts w:ascii="宋体" w:hAnsi="宋体" w:cs="宋体" w:eastAsia="宋体" w:hint="default"/>
                <w:w w:val="100"/>
                <w:sz w:val="21"/>
                <w:szCs w:val="21"/>
              </w:rPr>
              <w:t>中单</w:t>
            </w:r>
          </w:p>
        </w:tc>
        <w:tc>
          <w:tcPr>
            <w:tcW w:w="2024" w:type="dxa"/>
            <w:vMerge/>
            <w:tcBorders>
              <w:left w:val="single" w:sz="4" w:space="0" w:color="000000"/>
              <w:right w:val="single" w:sz="4" w:space="0" w:color="000000"/>
            </w:tcBorders>
          </w:tcPr>
          <w:p>
            <w:pPr/>
          </w:p>
        </w:tc>
        <w:tc>
          <w:tcPr>
            <w:tcW w:w="629"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r>
      <w:tr>
        <w:trPr>
          <w:trHeight w:val="271" w:hRule="exact"/>
        </w:trPr>
        <w:tc>
          <w:tcPr>
            <w:tcW w:w="1004" w:type="dxa"/>
            <w:vMerge/>
            <w:tcBorders>
              <w:left w:val="single" w:sz="4" w:space="0" w:color="000000"/>
              <w:right w:val="single" w:sz="4" w:space="0" w:color="000000"/>
            </w:tcBorders>
          </w:tcPr>
          <w:p>
            <w:pPr/>
          </w:p>
        </w:tc>
        <w:tc>
          <w:tcPr>
            <w:tcW w:w="631" w:type="dxa"/>
            <w:vMerge/>
            <w:tcBorders>
              <w:left w:val="single" w:sz="4" w:space="0" w:color="000000"/>
              <w:right w:val="single" w:sz="4" w:space="0" w:color="000000"/>
            </w:tcBorders>
          </w:tcPr>
          <w:p>
            <w:pPr/>
          </w:p>
        </w:tc>
        <w:tc>
          <w:tcPr>
            <w:tcW w:w="1178" w:type="dxa"/>
            <w:vMerge/>
            <w:tcBorders>
              <w:left w:val="single" w:sz="4" w:space="0" w:color="000000"/>
              <w:right w:val="single" w:sz="4" w:space="0" w:color="000000"/>
            </w:tcBorders>
          </w:tcPr>
          <w:p>
            <w:pPr/>
          </w:p>
        </w:tc>
        <w:tc>
          <w:tcPr>
            <w:tcW w:w="600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独披露该差额。（</w:t>
            </w:r>
            <w:r>
              <w:rPr>
                <w:rFonts w:ascii="宋体" w:hAnsi="宋体" w:cs="宋体" w:eastAsia="宋体" w:hint="default"/>
                <w:sz w:val="21"/>
                <w:szCs w:val="21"/>
              </w:rPr>
              <w:t>3</w:t>
            </w:r>
            <w:r>
              <w:rPr>
                <w:rFonts w:ascii="宋体" w:hAnsi="宋体" w:cs="宋体" w:eastAsia="宋体" w:hint="default"/>
                <w:sz w:val="21"/>
                <w:szCs w:val="21"/>
              </w:rPr>
              <w:t>）业绩补偿于</w:t>
            </w:r>
            <w:r>
              <w:rPr>
                <w:rFonts w:ascii="宋体" w:hAnsi="宋体" w:cs="宋体" w:eastAsia="宋体" w:hint="default"/>
                <w:spacing w:val="-54"/>
                <w:sz w:val="21"/>
                <w:szCs w:val="21"/>
              </w:rPr>
              <w:t> </w:t>
            </w: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年度、</w:t>
            </w: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年度、</w:t>
            </w:r>
            <w:r>
              <w:rPr>
                <w:rFonts w:ascii="宋体" w:hAnsi="宋体" w:cs="宋体" w:eastAsia="宋体" w:hint="default"/>
                <w:sz w:val="21"/>
                <w:szCs w:val="21"/>
              </w:rPr>
              <w:t>2018</w:t>
            </w:r>
          </w:p>
        </w:tc>
        <w:tc>
          <w:tcPr>
            <w:tcW w:w="2024" w:type="dxa"/>
            <w:vMerge/>
            <w:tcBorders>
              <w:left w:val="single" w:sz="4" w:space="0" w:color="000000"/>
              <w:right w:val="single" w:sz="4" w:space="0" w:color="000000"/>
            </w:tcBorders>
          </w:tcPr>
          <w:p>
            <w:pPr/>
          </w:p>
        </w:tc>
        <w:tc>
          <w:tcPr>
            <w:tcW w:w="629"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r>
      <w:tr>
        <w:trPr>
          <w:trHeight w:val="272" w:hRule="exact"/>
        </w:trPr>
        <w:tc>
          <w:tcPr>
            <w:tcW w:w="1004" w:type="dxa"/>
            <w:vMerge/>
            <w:tcBorders>
              <w:left w:val="single" w:sz="4" w:space="0" w:color="000000"/>
              <w:right w:val="single" w:sz="4" w:space="0" w:color="000000"/>
            </w:tcBorders>
          </w:tcPr>
          <w:p>
            <w:pPr/>
          </w:p>
        </w:tc>
        <w:tc>
          <w:tcPr>
            <w:tcW w:w="631" w:type="dxa"/>
            <w:vMerge/>
            <w:tcBorders>
              <w:left w:val="single" w:sz="4" w:space="0" w:color="000000"/>
              <w:right w:val="single" w:sz="4" w:space="0" w:color="000000"/>
            </w:tcBorders>
          </w:tcPr>
          <w:p>
            <w:pPr/>
          </w:p>
        </w:tc>
        <w:tc>
          <w:tcPr>
            <w:tcW w:w="1178" w:type="dxa"/>
            <w:vMerge/>
            <w:tcBorders>
              <w:left w:val="single" w:sz="4" w:space="0" w:color="000000"/>
              <w:right w:val="single" w:sz="4" w:space="0" w:color="000000"/>
            </w:tcBorders>
          </w:tcPr>
          <w:p>
            <w:pPr/>
          </w:p>
        </w:tc>
        <w:tc>
          <w:tcPr>
            <w:tcW w:w="600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年度</w:t>
            </w:r>
            <w:r>
              <w:rPr>
                <w:rFonts w:ascii="宋体" w:hAnsi="宋体" w:cs="宋体" w:eastAsia="宋体" w:hint="default"/>
                <w:spacing w:val="-3"/>
                <w:w w:val="100"/>
                <w:sz w:val="21"/>
                <w:szCs w:val="21"/>
              </w:rPr>
              <w:t>任</w:t>
            </w:r>
            <w:r>
              <w:rPr>
                <w:rFonts w:ascii="宋体" w:hAnsi="宋体" w:cs="宋体" w:eastAsia="宋体" w:hint="default"/>
                <w:w w:val="100"/>
                <w:sz w:val="21"/>
                <w:szCs w:val="21"/>
              </w:rPr>
              <w:t>一</w:t>
            </w:r>
            <w:r>
              <w:rPr>
                <w:rFonts w:ascii="宋体" w:hAnsi="宋体" w:cs="宋体" w:eastAsia="宋体" w:hint="default"/>
                <w:spacing w:val="-3"/>
                <w:w w:val="100"/>
                <w:sz w:val="21"/>
                <w:szCs w:val="21"/>
              </w:rPr>
              <w:t>年</w:t>
            </w:r>
            <w:r>
              <w:rPr>
                <w:rFonts w:ascii="宋体" w:hAnsi="宋体" w:cs="宋体" w:eastAsia="宋体" w:hint="default"/>
                <w:w w:val="100"/>
                <w:sz w:val="21"/>
                <w:szCs w:val="21"/>
              </w:rPr>
              <w:t>度</w:t>
            </w:r>
            <w:r>
              <w:rPr>
                <w:rFonts w:ascii="宋体" w:hAnsi="宋体" w:cs="宋体" w:eastAsia="宋体" w:hint="default"/>
                <w:spacing w:val="-3"/>
                <w:w w:val="100"/>
                <w:sz w:val="21"/>
                <w:szCs w:val="21"/>
              </w:rPr>
              <w:t>内</w:t>
            </w:r>
            <w:r>
              <w:rPr>
                <w:rFonts w:ascii="宋体" w:hAnsi="宋体" w:cs="宋体" w:eastAsia="宋体" w:hint="default"/>
                <w:spacing w:val="-92"/>
                <w:w w:val="100"/>
                <w:sz w:val="21"/>
                <w:szCs w:val="21"/>
              </w:rPr>
              <w:t>，</w:t>
            </w:r>
            <w:r>
              <w:rPr>
                <w:rFonts w:ascii="宋体" w:hAnsi="宋体" w:cs="宋体" w:eastAsia="宋体" w:hint="default"/>
                <w:w w:val="100"/>
                <w:sz w:val="21"/>
                <w:szCs w:val="21"/>
              </w:rPr>
              <w:t>若</w:t>
            </w:r>
            <w:r>
              <w:rPr>
                <w:rFonts w:ascii="宋体" w:hAnsi="宋体" w:cs="宋体" w:eastAsia="宋体" w:hint="default"/>
                <w:spacing w:val="-3"/>
                <w:w w:val="100"/>
                <w:sz w:val="21"/>
                <w:szCs w:val="21"/>
              </w:rPr>
              <w:t>拟</w:t>
            </w:r>
            <w:r>
              <w:rPr>
                <w:rFonts w:ascii="宋体" w:hAnsi="宋体" w:cs="宋体" w:eastAsia="宋体" w:hint="default"/>
                <w:w w:val="100"/>
                <w:sz w:val="21"/>
                <w:szCs w:val="21"/>
              </w:rPr>
              <w:t>购</w:t>
            </w:r>
            <w:r>
              <w:rPr>
                <w:rFonts w:ascii="宋体" w:hAnsi="宋体" w:cs="宋体" w:eastAsia="宋体" w:hint="default"/>
                <w:spacing w:val="-3"/>
                <w:w w:val="100"/>
                <w:sz w:val="21"/>
                <w:szCs w:val="21"/>
              </w:rPr>
              <w:t>买</w:t>
            </w:r>
            <w:r>
              <w:rPr>
                <w:rFonts w:ascii="宋体" w:hAnsi="宋体" w:cs="宋体" w:eastAsia="宋体" w:hint="default"/>
                <w:w w:val="100"/>
                <w:sz w:val="21"/>
                <w:szCs w:val="21"/>
              </w:rPr>
              <w:t>资产</w:t>
            </w:r>
            <w:r>
              <w:rPr>
                <w:rFonts w:ascii="宋体" w:hAnsi="宋体" w:cs="宋体" w:eastAsia="宋体" w:hint="default"/>
                <w:spacing w:val="-3"/>
                <w:w w:val="100"/>
                <w:sz w:val="21"/>
                <w:szCs w:val="21"/>
              </w:rPr>
              <w:t>截</w:t>
            </w:r>
            <w:r>
              <w:rPr>
                <w:rFonts w:ascii="宋体" w:hAnsi="宋体" w:cs="宋体" w:eastAsia="宋体" w:hint="default"/>
                <w:w w:val="100"/>
                <w:sz w:val="21"/>
                <w:szCs w:val="21"/>
              </w:rPr>
              <w:t>至</w:t>
            </w:r>
            <w:r>
              <w:rPr>
                <w:rFonts w:ascii="宋体" w:hAnsi="宋体" w:cs="宋体" w:eastAsia="宋体" w:hint="default"/>
                <w:spacing w:val="-3"/>
                <w:w w:val="100"/>
                <w:sz w:val="21"/>
                <w:szCs w:val="21"/>
              </w:rPr>
              <w:t>当</w:t>
            </w:r>
            <w:r>
              <w:rPr>
                <w:rFonts w:ascii="宋体" w:hAnsi="宋体" w:cs="宋体" w:eastAsia="宋体" w:hint="default"/>
                <w:w w:val="100"/>
                <w:sz w:val="21"/>
                <w:szCs w:val="21"/>
              </w:rPr>
              <w:t>年</w:t>
            </w:r>
            <w:r>
              <w:rPr>
                <w:rFonts w:ascii="宋体" w:hAnsi="宋体" w:cs="宋体" w:eastAsia="宋体" w:hint="default"/>
                <w:spacing w:val="-3"/>
                <w:w w:val="100"/>
                <w:sz w:val="21"/>
                <w:szCs w:val="21"/>
              </w:rPr>
              <w:t>年</w:t>
            </w:r>
            <w:r>
              <w:rPr>
                <w:rFonts w:ascii="宋体" w:hAnsi="宋体" w:cs="宋体" w:eastAsia="宋体" w:hint="default"/>
                <w:w w:val="100"/>
                <w:sz w:val="21"/>
                <w:szCs w:val="21"/>
              </w:rPr>
              <w:t>末</w:t>
            </w:r>
            <w:r>
              <w:rPr>
                <w:rFonts w:ascii="宋体" w:hAnsi="宋体" w:cs="宋体" w:eastAsia="宋体" w:hint="default"/>
                <w:spacing w:val="-3"/>
                <w:w w:val="100"/>
                <w:sz w:val="21"/>
                <w:szCs w:val="21"/>
              </w:rPr>
              <w:t>累</w:t>
            </w:r>
            <w:r>
              <w:rPr>
                <w:rFonts w:ascii="宋体" w:hAnsi="宋体" w:cs="宋体" w:eastAsia="宋体" w:hint="default"/>
                <w:w w:val="100"/>
                <w:sz w:val="21"/>
                <w:szCs w:val="21"/>
              </w:rPr>
              <w:t>计</w:t>
            </w:r>
            <w:r>
              <w:rPr>
                <w:rFonts w:ascii="宋体" w:hAnsi="宋体" w:cs="宋体" w:eastAsia="宋体" w:hint="default"/>
                <w:spacing w:val="-3"/>
                <w:w w:val="100"/>
                <w:sz w:val="21"/>
                <w:szCs w:val="21"/>
              </w:rPr>
              <w:t>实</w:t>
            </w:r>
            <w:r>
              <w:rPr>
                <w:rFonts w:ascii="宋体" w:hAnsi="宋体" w:cs="宋体" w:eastAsia="宋体" w:hint="default"/>
                <w:w w:val="100"/>
                <w:sz w:val="21"/>
                <w:szCs w:val="21"/>
              </w:rPr>
              <w:t>际实</w:t>
            </w:r>
            <w:r>
              <w:rPr>
                <w:rFonts w:ascii="宋体" w:hAnsi="宋体" w:cs="宋体" w:eastAsia="宋体" w:hint="default"/>
                <w:spacing w:val="-3"/>
                <w:w w:val="100"/>
                <w:sz w:val="21"/>
                <w:szCs w:val="21"/>
              </w:rPr>
              <w:t>现</w:t>
            </w:r>
            <w:r>
              <w:rPr>
                <w:rFonts w:ascii="宋体" w:hAnsi="宋体" w:cs="宋体" w:eastAsia="宋体" w:hint="default"/>
                <w:w w:val="100"/>
                <w:sz w:val="21"/>
                <w:szCs w:val="21"/>
              </w:rPr>
              <w:t>净利</w:t>
            </w:r>
          </w:p>
        </w:tc>
        <w:tc>
          <w:tcPr>
            <w:tcW w:w="2024" w:type="dxa"/>
            <w:vMerge/>
            <w:tcBorders>
              <w:left w:val="single" w:sz="4" w:space="0" w:color="000000"/>
              <w:right w:val="single" w:sz="4" w:space="0" w:color="000000"/>
            </w:tcBorders>
          </w:tcPr>
          <w:p>
            <w:pPr/>
          </w:p>
        </w:tc>
        <w:tc>
          <w:tcPr>
            <w:tcW w:w="629"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r>
      <w:tr>
        <w:trPr>
          <w:trHeight w:val="272" w:hRule="exact"/>
        </w:trPr>
        <w:tc>
          <w:tcPr>
            <w:tcW w:w="1004" w:type="dxa"/>
            <w:vMerge/>
            <w:tcBorders>
              <w:left w:val="single" w:sz="4" w:space="0" w:color="000000"/>
              <w:right w:val="single" w:sz="4" w:space="0" w:color="000000"/>
            </w:tcBorders>
          </w:tcPr>
          <w:p>
            <w:pPr/>
          </w:p>
        </w:tc>
        <w:tc>
          <w:tcPr>
            <w:tcW w:w="631" w:type="dxa"/>
            <w:vMerge/>
            <w:tcBorders>
              <w:left w:val="single" w:sz="4" w:space="0" w:color="000000"/>
              <w:right w:val="single" w:sz="4" w:space="0" w:color="000000"/>
            </w:tcBorders>
          </w:tcPr>
          <w:p>
            <w:pPr/>
          </w:p>
        </w:tc>
        <w:tc>
          <w:tcPr>
            <w:tcW w:w="1178" w:type="dxa"/>
            <w:vMerge/>
            <w:tcBorders>
              <w:left w:val="single" w:sz="4" w:space="0" w:color="000000"/>
              <w:right w:val="single" w:sz="4" w:space="0" w:color="000000"/>
            </w:tcBorders>
          </w:tcPr>
          <w:p>
            <w:pPr/>
          </w:p>
        </w:tc>
        <w:tc>
          <w:tcPr>
            <w:tcW w:w="6008"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润数</w:t>
            </w:r>
            <w:r>
              <w:rPr>
                <w:rFonts w:ascii="宋体" w:hAnsi="宋体" w:cs="宋体" w:eastAsia="宋体" w:hint="default"/>
                <w:spacing w:val="-3"/>
                <w:w w:val="100"/>
                <w:sz w:val="21"/>
                <w:szCs w:val="21"/>
              </w:rPr>
              <w:t>低</w:t>
            </w:r>
            <w:r>
              <w:rPr>
                <w:rFonts w:ascii="宋体" w:hAnsi="宋体" w:cs="宋体" w:eastAsia="宋体" w:hint="default"/>
                <w:w w:val="100"/>
                <w:sz w:val="21"/>
                <w:szCs w:val="21"/>
              </w:rPr>
              <w:t>于</w:t>
            </w:r>
            <w:r>
              <w:rPr>
                <w:rFonts w:ascii="宋体" w:hAnsi="宋体" w:cs="宋体" w:eastAsia="宋体" w:hint="default"/>
                <w:spacing w:val="-3"/>
                <w:w w:val="100"/>
                <w:sz w:val="21"/>
                <w:szCs w:val="21"/>
              </w:rPr>
              <w:t>截</w:t>
            </w:r>
            <w:r>
              <w:rPr>
                <w:rFonts w:ascii="宋体" w:hAnsi="宋体" w:cs="宋体" w:eastAsia="宋体" w:hint="default"/>
                <w:w w:val="100"/>
                <w:sz w:val="21"/>
                <w:szCs w:val="21"/>
              </w:rPr>
              <w:t>至</w:t>
            </w:r>
            <w:r>
              <w:rPr>
                <w:rFonts w:ascii="宋体" w:hAnsi="宋体" w:cs="宋体" w:eastAsia="宋体" w:hint="default"/>
                <w:spacing w:val="-3"/>
                <w:w w:val="100"/>
                <w:sz w:val="21"/>
                <w:szCs w:val="21"/>
              </w:rPr>
              <w:t>当</w:t>
            </w:r>
            <w:r>
              <w:rPr>
                <w:rFonts w:ascii="宋体" w:hAnsi="宋体" w:cs="宋体" w:eastAsia="宋体" w:hint="default"/>
                <w:w w:val="100"/>
                <w:sz w:val="21"/>
                <w:szCs w:val="21"/>
              </w:rPr>
              <w:t>年</w:t>
            </w:r>
            <w:r>
              <w:rPr>
                <w:rFonts w:ascii="宋体" w:hAnsi="宋体" w:cs="宋体" w:eastAsia="宋体" w:hint="default"/>
                <w:spacing w:val="-3"/>
                <w:w w:val="100"/>
                <w:sz w:val="21"/>
                <w:szCs w:val="21"/>
              </w:rPr>
              <w:t>年</w:t>
            </w:r>
            <w:r>
              <w:rPr>
                <w:rFonts w:ascii="宋体" w:hAnsi="宋体" w:cs="宋体" w:eastAsia="宋体" w:hint="default"/>
                <w:w w:val="100"/>
                <w:sz w:val="21"/>
                <w:szCs w:val="21"/>
              </w:rPr>
              <w:t>末</w:t>
            </w:r>
            <w:r>
              <w:rPr>
                <w:rFonts w:ascii="宋体" w:hAnsi="宋体" w:cs="宋体" w:eastAsia="宋体" w:hint="default"/>
                <w:spacing w:val="-3"/>
                <w:w w:val="100"/>
                <w:sz w:val="21"/>
                <w:szCs w:val="21"/>
              </w:rPr>
              <w:t>累</w:t>
            </w:r>
            <w:r>
              <w:rPr>
                <w:rFonts w:ascii="宋体" w:hAnsi="宋体" w:cs="宋体" w:eastAsia="宋体" w:hint="default"/>
                <w:w w:val="100"/>
                <w:sz w:val="21"/>
                <w:szCs w:val="21"/>
              </w:rPr>
              <w:t>计承</w:t>
            </w:r>
            <w:r>
              <w:rPr>
                <w:rFonts w:ascii="宋体" w:hAnsi="宋体" w:cs="宋体" w:eastAsia="宋体" w:hint="default"/>
                <w:spacing w:val="-3"/>
                <w:w w:val="100"/>
                <w:sz w:val="21"/>
                <w:szCs w:val="21"/>
              </w:rPr>
              <w:t>诺</w:t>
            </w:r>
            <w:r>
              <w:rPr>
                <w:rFonts w:ascii="宋体" w:hAnsi="宋体" w:cs="宋体" w:eastAsia="宋体" w:hint="default"/>
                <w:w w:val="100"/>
                <w:sz w:val="21"/>
                <w:szCs w:val="21"/>
              </w:rPr>
              <w:t>净</w:t>
            </w:r>
            <w:r>
              <w:rPr>
                <w:rFonts w:ascii="宋体" w:hAnsi="宋体" w:cs="宋体" w:eastAsia="宋体" w:hint="default"/>
                <w:spacing w:val="-3"/>
                <w:w w:val="100"/>
                <w:sz w:val="21"/>
                <w:szCs w:val="21"/>
              </w:rPr>
              <w:t>利</w:t>
            </w:r>
            <w:r>
              <w:rPr>
                <w:rFonts w:ascii="宋体" w:hAnsi="宋体" w:cs="宋体" w:eastAsia="宋体" w:hint="default"/>
                <w:w w:val="100"/>
                <w:sz w:val="21"/>
                <w:szCs w:val="21"/>
              </w:rPr>
              <w:t>润</w:t>
            </w:r>
            <w:r>
              <w:rPr>
                <w:rFonts w:ascii="宋体" w:hAnsi="宋体" w:cs="宋体" w:eastAsia="宋体" w:hint="default"/>
                <w:spacing w:val="-3"/>
                <w:w w:val="100"/>
                <w:sz w:val="21"/>
                <w:szCs w:val="21"/>
              </w:rPr>
              <w:t>数</w:t>
            </w:r>
            <w:r>
              <w:rPr>
                <w:rFonts w:ascii="宋体" w:hAnsi="宋体" w:cs="宋体" w:eastAsia="宋体" w:hint="default"/>
                <w:spacing w:val="-92"/>
                <w:w w:val="100"/>
                <w:sz w:val="21"/>
                <w:szCs w:val="21"/>
              </w:rPr>
              <w:t>，</w:t>
            </w:r>
            <w:r>
              <w:rPr>
                <w:rFonts w:ascii="宋体" w:hAnsi="宋体" w:cs="宋体" w:eastAsia="宋体" w:hint="default"/>
                <w:w w:val="100"/>
                <w:sz w:val="21"/>
                <w:szCs w:val="21"/>
              </w:rPr>
              <w:t>业</w:t>
            </w:r>
            <w:r>
              <w:rPr>
                <w:rFonts w:ascii="宋体" w:hAnsi="宋体" w:cs="宋体" w:eastAsia="宋体" w:hint="default"/>
                <w:spacing w:val="-3"/>
                <w:w w:val="100"/>
                <w:sz w:val="21"/>
                <w:szCs w:val="21"/>
              </w:rPr>
              <w:t>绩</w:t>
            </w:r>
            <w:r>
              <w:rPr>
                <w:rFonts w:ascii="宋体" w:hAnsi="宋体" w:cs="宋体" w:eastAsia="宋体" w:hint="default"/>
                <w:w w:val="100"/>
                <w:sz w:val="21"/>
                <w:szCs w:val="21"/>
              </w:rPr>
              <w:t>承</w:t>
            </w:r>
            <w:r>
              <w:rPr>
                <w:rFonts w:ascii="宋体" w:hAnsi="宋体" w:cs="宋体" w:eastAsia="宋体" w:hint="default"/>
                <w:spacing w:val="-3"/>
                <w:w w:val="100"/>
                <w:sz w:val="21"/>
                <w:szCs w:val="21"/>
              </w:rPr>
              <w:t>诺</w:t>
            </w:r>
            <w:r>
              <w:rPr>
                <w:rFonts w:ascii="宋体" w:hAnsi="宋体" w:cs="宋体" w:eastAsia="宋体" w:hint="default"/>
                <w:w w:val="100"/>
                <w:sz w:val="21"/>
                <w:szCs w:val="21"/>
              </w:rPr>
              <w:t>方应</w:t>
            </w:r>
            <w:r>
              <w:rPr>
                <w:rFonts w:ascii="宋体" w:hAnsi="宋体" w:cs="宋体" w:eastAsia="宋体" w:hint="default"/>
                <w:spacing w:val="-3"/>
                <w:w w:val="100"/>
                <w:sz w:val="21"/>
                <w:szCs w:val="21"/>
              </w:rPr>
              <w:t>向</w:t>
            </w:r>
            <w:r>
              <w:rPr>
                <w:rFonts w:ascii="宋体" w:hAnsi="宋体" w:cs="宋体" w:eastAsia="宋体" w:hint="default"/>
                <w:w w:val="100"/>
                <w:sz w:val="21"/>
                <w:szCs w:val="21"/>
              </w:rPr>
              <w:t>上市</w:t>
            </w:r>
          </w:p>
        </w:tc>
        <w:tc>
          <w:tcPr>
            <w:tcW w:w="2024" w:type="dxa"/>
            <w:vMerge/>
            <w:tcBorders>
              <w:left w:val="single" w:sz="4" w:space="0" w:color="000000"/>
              <w:right w:val="single" w:sz="4" w:space="0" w:color="000000"/>
            </w:tcBorders>
          </w:tcPr>
          <w:p>
            <w:pPr/>
          </w:p>
        </w:tc>
        <w:tc>
          <w:tcPr>
            <w:tcW w:w="629"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r>
      <w:tr>
        <w:trPr>
          <w:trHeight w:val="272" w:hRule="exact"/>
        </w:trPr>
        <w:tc>
          <w:tcPr>
            <w:tcW w:w="1004" w:type="dxa"/>
            <w:vMerge/>
            <w:tcBorders>
              <w:left w:val="single" w:sz="4" w:space="0" w:color="000000"/>
              <w:right w:val="single" w:sz="4" w:space="0" w:color="000000"/>
            </w:tcBorders>
          </w:tcPr>
          <w:p>
            <w:pPr/>
          </w:p>
        </w:tc>
        <w:tc>
          <w:tcPr>
            <w:tcW w:w="631" w:type="dxa"/>
            <w:vMerge/>
            <w:tcBorders>
              <w:left w:val="single" w:sz="4" w:space="0" w:color="000000"/>
              <w:right w:val="single" w:sz="4" w:space="0" w:color="000000"/>
            </w:tcBorders>
          </w:tcPr>
          <w:p>
            <w:pPr/>
          </w:p>
        </w:tc>
        <w:tc>
          <w:tcPr>
            <w:tcW w:w="1178" w:type="dxa"/>
            <w:vMerge/>
            <w:tcBorders>
              <w:left w:val="single" w:sz="4" w:space="0" w:color="000000"/>
              <w:right w:val="single" w:sz="4" w:space="0" w:color="000000"/>
            </w:tcBorders>
          </w:tcPr>
          <w:p>
            <w:pPr/>
          </w:p>
        </w:tc>
        <w:tc>
          <w:tcPr>
            <w:tcW w:w="600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公司</w:t>
            </w:r>
            <w:r>
              <w:rPr>
                <w:rFonts w:ascii="宋体" w:hAnsi="宋体" w:cs="宋体" w:eastAsia="宋体" w:hint="default"/>
                <w:spacing w:val="-3"/>
                <w:w w:val="100"/>
                <w:sz w:val="21"/>
                <w:szCs w:val="21"/>
              </w:rPr>
              <w:t>进</w:t>
            </w:r>
            <w:r>
              <w:rPr>
                <w:rFonts w:ascii="宋体" w:hAnsi="宋体" w:cs="宋体" w:eastAsia="宋体" w:hint="default"/>
                <w:w w:val="100"/>
                <w:sz w:val="21"/>
                <w:szCs w:val="21"/>
              </w:rPr>
              <w:t>行</w:t>
            </w:r>
            <w:r>
              <w:rPr>
                <w:rFonts w:ascii="宋体" w:hAnsi="宋体" w:cs="宋体" w:eastAsia="宋体" w:hint="default"/>
                <w:spacing w:val="-3"/>
                <w:w w:val="100"/>
                <w:sz w:val="21"/>
                <w:szCs w:val="21"/>
              </w:rPr>
              <w:t>补偿</w:t>
            </w:r>
            <w:r>
              <w:rPr>
                <w:rFonts w:ascii="宋体" w:hAnsi="宋体" w:cs="宋体" w:eastAsia="宋体" w:hint="default"/>
                <w:spacing w:val="-89"/>
                <w:w w:val="100"/>
                <w:sz w:val="21"/>
                <w:szCs w:val="21"/>
              </w:rPr>
              <w:t>。</w:t>
            </w:r>
            <w:r>
              <w:rPr>
                <w:rFonts w:ascii="宋体" w:hAnsi="宋体" w:cs="宋体" w:eastAsia="宋体" w:hint="default"/>
                <w:spacing w:val="-3"/>
                <w:w w:val="100"/>
                <w:sz w:val="21"/>
                <w:szCs w:val="21"/>
              </w:rPr>
              <w:t>由</w:t>
            </w:r>
            <w:r>
              <w:rPr>
                <w:rFonts w:ascii="宋体" w:hAnsi="宋体" w:cs="宋体" w:eastAsia="宋体" w:hint="default"/>
                <w:w w:val="100"/>
                <w:sz w:val="21"/>
                <w:szCs w:val="21"/>
              </w:rPr>
              <w:t>业</w:t>
            </w:r>
            <w:r>
              <w:rPr>
                <w:rFonts w:ascii="宋体" w:hAnsi="宋体" w:cs="宋体" w:eastAsia="宋体" w:hint="default"/>
                <w:spacing w:val="-3"/>
                <w:w w:val="100"/>
                <w:sz w:val="21"/>
                <w:szCs w:val="21"/>
              </w:rPr>
              <w:t>绩</w:t>
            </w:r>
            <w:r>
              <w:rPr>
                <w:rFonts w:ascii="宋体" w:hAnsi="宋体" w:cs="宋体" w:eastAsia="宋体" w:hint="default"/>
                <w:w w:val="100"/>
                <w:sz w:val="21"/>
                <w:szCs w:val="21"/>
              </w:rPr>
              <w:t>承</w:t>
            </w:r>
            <w:r>
              <w:rPr>
                <w:rFonts w:ascii="宋体" w:hAnsi="宋体" w:cs="宋体" w:eastAsia="宋体" w:hint="default"/>
                <w:spacing w:val="-3"/>
                <w:w w:val="100"/>
                <w:sz w:val="21"/>
                <w:szCs w:val="21"/>
              </w:rPr>
              <w:t>诺</w:t>
            </w:r>
            <w:r>
              <w:rPr>
                <w:rFonts w:ascii="宋体" w:hAnsi="宋体" w:cs="宋体" w:eastAsia="宋体" w:hint="default"/>
                <w:w w:val="100"/>
                <w:sz w:val="21"/>
                <w:szCs w:val="21"/>
              </w:rPr>
              <w:t>方优</w:t>
            </w:r>
            <w:r>
              <w:rPr>
                <w:rFonts w:ascii="宋体" w:hAnsi="宋体" w:cs="宋体" w:eastAsia="宋体" w:hint="default"/>
                <w:spacing w:val="-3"/>
                <w:w w:val="100"/>
                <w:sz w:val="21"/>
                <w:szCs w:val="21"/>
              </w:rPr>
              <w:t>先</w:t>
            </w:r>
            <w:r>
              <w:rPr>
                <w:rFonts w:ascii="宋体" w:hAnsi="宋体" w:cs="宋体" w:eastAsia="宋体" w:hint="default"/>
                <w:w w:val="100"/>
                <w:sz w:val="21"/>
                <w:szCs w:val="21"/>
              </w:rPr>
              <w:t>以</w:t>
            </w:r>
            <w:r>
              <w:rPr>
                <w:rFonts w:ascii="宋体" w:hAnsi="宋体" w:cs="宋体" w:eastAsia="宋体" w:hint="default"/>
                <w:spacing w:val="-3"/>
                <w:w w:val="100"/>
                <w:sz w:val="21"/>
                <w:szCs w:val="21"/>
              </w:rPr>
              <w:t>其</w:t>
            </w:r>
            <w:r>
              <w:rPr>
                <w:rFonts w:ascii="宋体" w:hAnsi="宋体" w:cs="宋体" w:eastAsia="宋体" w:hint="default"/>
                <w:w w:val="100"/>
                <w:sz w:val="21"/>
                <w:szCs w:val="21"/>
              </w:rPr>
              <w:t>持</w:t>
            </w:r>
            <w:r>
              <w:rPr>
                <w:rFonts w:ascii="宋体" w:hAnsi="宋体" w:cs="宋体" w:eastAsia="宋体" w:hint="default"/>
                <w:spacing w:val="-3"/>
                <w:w w:val="100"/>
                <w:sz w:val="21"/>
                <w:szCs w:val="21"/>
              </w:rPr>
              <w:t>有</w:t>
            </w:r>
            <w:r>
              <w:rPr>
                <w:rFonts w:ascii="宋体" w:hAnsi="宋体" w:cs="宋体" w:eastAsia="宋体" w:hint="default"/>
                <w:w w:val="100"/>
                <w:sz w:val="21"/>
                <w:szCs w:val="21"/>
              </w:rPr>
              <w:t>的</w:t>
            </w:r>
            <w:r>
              <w:rPr>
                <w:rFonts w:ascii="宋体" w:hAnsi="宋体" w:cs="宋体" w:eastAsia="宋体" w:hint="default"/>
                <w:spacing w:val="-3"/>
                <w:w w:val="100"/>
                <w:sz w:val="21"/>
                <w:szCs w:val="21"/>
              </w:rPr>
              <w:t>上</w:t>
            </w:r>
            <w:r>
              <w:rPr>
                <w:rFonts w:ascii="宋体" w:hAnsi="宋体" w:cs="宋体" w:eastAsia="宋体" w:hint="default"/>
                <w:w w:val="100"/>
                <w:sz w:val="21"/>
                <w:szCs w:val="21"/>
              </w:rPr>
              <w:t>市</w:t>
            </w:r>
            <w:r>
              <w:rPr>
                <w:rFonts w:ascii="宋体" w:hAnsi="宋体" w:cs="宋体" w:eastAsia="宋体" w:hint="default"/>
                <w:spacing w:val="-3"/>
                <w:w w:val="100"/>
                <w:sz w:val="21"/>
                <w:szCs w:val="21"/>
              </w:rPr>
              <w:t>公</w:t>
            </w:r>
            <w:r>
              <w:rPr>
                <w:rFonts w:ascii="宋体" w:hAnsi="宋体" w:cs="宋体" w:eastAsia="宋体" w:hint="default"/>
                <w:w w:val="100"/>
                <w:sz w:val="21"/>
                <w:szCs w:val="21"/>
              </w:rPr>
              <w:t>司股</w:t>
            </w:r>
            <w:r>
              <w:rPr>
                <w:rFonts w:ascii="宋体" w:hAnsi="宋体" w:cs="宋体" w:eastAsia="宋体" w:hint="default"/>
                <w:spacing w:val="-3"/>
                <w:w w:val="100"/>
                <w:sz w:val="21"/>
                <w:szCs w:val="21"/>
              </w:rPr>
              <w:t>份</w:t>
            </w:r>
            <w:r>
              <w:rPr>
                <w:rFonts w:ascii="宋体" w:hAnsi="宋体" w:cs="宋体" w:eastAsia="宋体" w:hint="default"/>
                <w:w w:val="100"/>
                <w:sz w:val="21"/>
                <w:szCs w:val="21"/>
              </w:rPr>
              <w:t>向上</w:t>
            </w:r>
          </w:p>
        </w:tc>
        <w:tc>
          <w:tcPr>
            <w:tcW w:w="2024" w:type="dxa"/>
            <w:vMerge/>
            <w:tcBorders>
              <w:left w:val="single" w:sz="4" w:space="0" w:color="000000"/>
              <w:right w:val="single" w:sz="4" w:space="0" w:color="000000"/>
            </w:tcBorders>
          </w:tcPr>
          <w:p>
            <w:pPr/>
          </w:p>
        </w:tc>
        <w:tc>
          <w:tcPr>
            <w:tcW w:w="629"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r>
      <w:tr>
        <w:trPr>
          <w:trHeight w:val="272" w:hRule="exact"/>
        </w:trPr>
        <w:tc>
          <w:tcPr>
            <w:tcW w:w="1004" w:type="dxa"/>
            <w:vMerge/>
            <w:tcBorders>
              <w:left w:val="single" w:sz="4" w:space="0" w:color="000000"/>
              <w:right w:val="single" w:sz="4" w:space="0" w:color="000000"/>
            </w:tcBorders>
          </w:tcPr>
          <w:p>
            <w:pPr/>
          </w:p>
        </w:tc>
        <w:tc>
          <w:tcPr>
            <w:tcW w:w="631" w:type="dxa"/>
            <w:vMerge/>
            <w:tcBorders>
              <w:left w:val="single" w:sz="4" w:space="0" w:color="000000"/>
              <w:right w:val="single" w:sz="4" w:space="0" w:color="000000"/>
            </w:tcBorders>
          </w:tcPr>
          <w:p>
            <w:pPr/>
          </w:p>
        </w:tc>
        <w:tc>
          <w:tcPr>
            <w:tcW w:w="1178" w:type="dxa"/>
            <w:vMerge/>
            <w:tcBorders>
              <w:left w:val="single" w:sz="4" w:space="0" w:color="000000"/>
              <w:right w:val="single" w:sz="4" w:space="0" w:color="000000"/>
            </w:tcBorders>
          </w:tcPr>
          <w:p>
            <w:pPr/>
          </w:p>
        </w:tc>
        <w:tc>
          <w:tcPr>
            <w:tcW w:w="6008"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市公司进行补偿，不足的部分可由业绩承诺方以现金方式补足。</w:t>
            </w:r>
          </w:p>
        </w:tc>
        <w:tc>
          <w:tcPr>
            <w:tcW w:w="2024" w:type="dxa"/>
            <w:vMerge/>
            <w:tcBorders>
              <w:left w:val="single" w:sz="4" w:space="0" w:color="000000"/>
              <w:right w:val="single" w:sz="4" w:space="0" w:color="000000"/>
            </w:tcBorders>
          </w:tcPr>
          <w:p>
            <w:pPr/>
          </w:p>
        </w:tc>
        <w:tc>
          <w:tcPr>
            <w:tcW w:w="629"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r>
      <w:tr>
        <w:trPr>
          <w:trHeight w:val="272" w:hRule="exact"/>
        </w:trPr>
        <w:tc>
          <w:tcPr>
            <w:tcW w:w="1004" w:type="dxa"/>
            <w:vMerge/>
            <w:tcBorders>
              <w:left w:val="single" w:sz="4" w:space="0" w:color="000000"/>
              <w:right w:val="single" w:sz="4" w:space="0" w:color="000000"/>
            </w:tcBorders>
          </w:tcPr>
          <w:p>
            <w:pPr/>
          </w:p>
        </w:tc>
        <w:tc>
          <w:tcPr>
            <w:tcW w:w="631" w:type="dxa"/>
            <w:vMerge/>
            <w:tcBorders>
              <w:left w:val="single" w:sz="4" w:space="0" w:color="000000"/>
              <w:right w:val="single" w:sz="4" w:space="0" w:color="000000"/>
            </w:tcBorders>
          </w:tcPr>
          <w:p>
            <w:pPr/>
          </w:p>
        </w:tc>
        <w:tc>
          <w:tcPr>
            <w:tcW w:w="1178" w:type="dxa"/>
            <w:vMerge/>
            <w:tcBorders>
              <w:left w:val="single" w:sz="4" w:space="0" w:color="000000"/>
              <w:right w:val="single" w:sz="4" w:space="0" w:color="000000"/>
            </w:tcBorders>
          </w:tcPr>
          <w:p>
            <w:pPr/>
          </w:p>
        </w:tc>
        <w:tc>
          <w:tcPr>
            <w:tcW w:w="600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w:t>
            </w:r>
            <w:r>
              <w:rPr>
                <w:rFonts w:ascii="宋体" w:hAnsi="宋体" w:cs="宋体" w:eastAsia="宋体" w:hint="default"/>
                <w:spacing w:val="-5"/>
                <w:sz w:val="21"/>
                <w:szCs w:val="21"/>
              </w:rPr>
              <w:t>a</w:t>
            </w:r>
            <w:r>
              <w:rPr>
                <w:rFonts w:ascii="宋体" w:hAnsi="宋体" w:cs="宋体" w:eastAsia="宋体" w:hint="default"/>
                <w:spacing w:val="-5"/>
                <w:sz w:val="21"/>
                <w:szCs w:val="21"/>
              </w:rPr>
              <w:t>）业绩承诺方当年应补偿的股份数的计算公式为：</w:t>
            </w:r>
            <w:r>
              <w:rPr>
                <w:rFonts w:ascii="宋体" w:hAnsi="宋体" w:cs="宋体" w:eastAsia="宋体" w:hint="default"/>
                <w:spacing w:val="-5"/>
                <w:sz w:val="21"/>
                <w:szCs w:val="21"/>
              </w:rPr>
              <w:t>[</w:t>
            </w:r>
            <w:r>
              <w:rPr>
                <w:rFonts w:ascii="宋体" w:hAnsi="宋体" w:cs="宋体" w:eastAsia="宋体" w:hint="default"/>
                <w:spacing w:val="-5"/>
                <w:sz w:val="21"/>
                <w:szCs w:val="21"/>
              </w:rPr>
              <w:t>（截至当</w:t>
            </w:r>
          </w:p>
        </w:tc>
        <w:tc>
          <w:tcPr>
            <w:tcW w:w="2024" w:type="dxa"/>
            <w:vMerge/>
            <w:tcBorders>
              <w:left w:val="single" w:sz="4" w:space="0" w:color="000000"/>
              <w:right w:val="single" w:sz="4" w:space="0" w:color="000000"/>
            </w:tcBorders>
          </w:tcPr>
          <w:p>
            <w:pPr/>
          </w:p>
        </w:tc>
        <w:tc>
          <w:tcPr>
            <w:tcW w:w="629"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r>
      <w:tr>
        <w:trPr>
          <w:trHeight w:val="272" w:hRule="exact"/>
        </w:trPr>
        <w:tc>
          <w:tcPr>
            <w:tcW w:w="1004" w:type="dxa"/>
            <w:vMerge/>
            <w:tcBorders>
              <w:left w:val="single" w:sz="4" w:space="0" w:color="000000"/>
              <w:right w:val="single" w:sz="4" w:space="0" w:color="000000"/>
            </w:tcBorders>
          </w:tcPr>
          <w:p>
            <w:pPr/>
          </w:p>
        </w:tc>
        <w:tc>
          <w:tcPr>
            <w:tcW w:w="631" w:type="dxa"/>
            <w:vMerge/>
            <w:tcBorders>
              <w:left w:val="single" w:sz="4" w:space="0" w:color="000000"/>
              <w:right w:val="single" w:sz="4" w:space="0" w:color="000000"/>
            </w:tcBorders>
          </w:tcPr>
          <w:p>
            <w:pPr/>
          </w:p>
        </w:tc>
        <w:tc>
          <w:tcPr>
            <w:tcW w:w="1178" w:type="dxa"/>
            <w:vMerge/>
            <w:tcBorders>
              <w:left w:val="single" w:sz="4" w:space="0" w:color="000000"/>
              <w:right w:val="single" w:sz="4" w:space="0" w:color="000000"/>
            </w:tcBorders>
          </w:tcPr>
          <w:p>
            <w:pPr/>
          </w:p>
        </w:tc>
        <w:tc>
          <w:tcPr>
            <w:tcW w:w="6008"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年年</w:t>
            </w:r>
            <w:r>
              <w:rPr>
                <w:rFonts w:ascii="宋体" w:hAnsi="宋体" w:cs="宋体" w:eastAsia="宋体" w:hint="default"/>
                <w:spacing w:val="-3"/>
                <w:w w:val="100"/>
                <w:sz w:val="21"/>
                <w:szCs w:val="21"/>
              </w:rPr>
              <w:t>末</w:t>
            </w:r>
            <w:r>
              <w:rPr>
                <w:rFonts w:ascii="宋体" w:hAnsi="宋体" w:cs="宋体" w:eastAsia="宋体" w:hint="default"/>
                <w:w w:val="100"/>
                <w:sz w:val="21"/>
                <w:szCs w:val="21"/>
              </w:rPr>
              <w:t>累</w:t>
            </w:r>
            <w:r>
              <w:rPr>
                <w:rFonts w:ascii="宋体" w:hAnsi="宋体" w:cs="宋体" w:eastAsia="宋体" w:hint="default"/>
                <w:spacing w:val="-3"/>
                <w:w w:val="100"/>
                <w:sz w:val="21"/>
                <w:szCs w:val="21"/>
              </w:rPr>
              <w:t>计</w:t>
            </w:r>
            <w:r>
              <w:rPr>
                <w:rFonts w:ascii="宋体" w:hAnsi="宋体" w:cs="宋体" w:eastAsia="宋体" w:hint="default"/>
                <w:w w:val="100"/>
                <w:sz w:val="21"/>
                <w:szCs w:val="21"/>
              </w:rPr>
              <w:t>承</w:t>
            </w:r>
            <w:r>
              <w:rPr>
                <w:rFonts w:ascii="宋体" w:hAnsi="宋体" w:cs="宋体" w:eastAsia="宋体" w:hint="default"/>
                <w:spacing w:val="-3"/>
                <w:w w:val="100"/>
                <w:sz w:val="21"/>
                <w:szCs w:val="21"/>
              </w:rPr>
              <w:t>诺</w:t>
            </w:r>
            <w:r>
              <w:rPr>
                <w:rFonts w:ascii="宋体" w:hAnsi="宋体" w:cs="宋体" w:eastAsia="宋体" w:hint="default"/>
                <w:w w:val="100"/>
                <w:sz w:val="21"/>
                <w:szCs w:val="21"/>
              </w:rPr>
              <w:t>净</w:t>
            </w:r>
            <w:r>
              <w:rPr>
                <w:rFonts w:ascii="宋体" w:hAnsi="宋体" w:cs="宋体" w:eastAsia="宋体" w:hint="default"/>
                <w:spacing w:val="-3"/>
                <w:w w:val="100"/>
                <w:sz w:val="21"/>
                <w:szCs w:val="21"/>
              </w:rPr>
              <w:t>利</w:t>
            </w:r>
            <w:r>
              <w:rPr>
                <w:rFonts w:ascii="宋体" w:hAnsi="宋体" w:cs="宋体" w:eastAsia="宋体" w:hint="default"/>
                <w:w w:val="100"/>
                <w:sz w:val="21"/>
                <w:szCs w:val="21"/>
              </w:rPr>
              <w:t>润</w:t>
            </w:r>
            <w:r>
              <w:rPr>
                <w:rFonts w:ascii="宋体" w:hAnsi="宋体" w:cs="宋体" w:eastAsia="宋体" w:hint="default"/>
                <w:spacing w:val="-3"/>
                <w:w w:val="100"/>
                <w:sz w:val="21"/>
                <w:szCs w:val="21"/>
              </w:rPr>
              <w:t>－</w:t>
            </w:r>
            <w:r>
              <w:rPr>
                <w:rFonts w:ascii="宋体" w:hAnsi="宋体" w:cs="宋体" w:eastAsia="宋体" w:hint="default"/>
                <w:w w:val="100"/>
                <w:sz w:val="21"/>
                <w:szCs w:val="21"/>
              </w:rPr>
              <w:t>截至</w:t>
            </w:r>
            <w:r>
              <w:rPr>
                <w:rFonts w:ascii="宋体" w:hAnsi="宋体" w:cs="宋体" w:eastAsia="宋体" w:hint="default"/>
                <w:spacing w:val="-3"/>
                <w:w w:val="100"/>
                <w:sz w:val="21"/>
                <w:szCs w:val="21"/>
              </w:rPr>
              <w:t>当</w:t>
            </w:r>
            <w:r>
              <w:rPr>
                <w:rFonts w:ascii="宋体" w:hAnsi="宋体" w:cs="宋体" w:eastAsia="宋体" w:hint="default"/>
                <w:w w:val="100"/>
                <w:sz w:val="21"/>
                <w:szCs w:val="21"/>
              </w:rPr>
              <w:t>年</w:t>
            </w:r>
            <w:r>
              <w:rPr>
                <w:rFonts w:ascii="宋体" w:hAnsi="宋体" w:cs="宋体" w:eastAsia="宋体" w:hint="default"/>
                <w:spacing w:val="-3"/>
                <w:w w:val="100"/>
                <w:sz w:val="21"/>
                <w:szCs w:val="21"/>
              </w:rPr>
              <w:t>年</w:t>
            </w:r>
            <w:r>
              <w:rPr>
                <w:rFonts w:ascii="宋体" w:hAnsi="宋体" w:cs="宋体" w:eastAsia="宋体" w:hint="default"/>
                <w:w w:val="100"/>
                <w:sz w:val="21"/>
                <w:szCs w:val="21"/>
              </w:rPr>
              <w:t>末</w:t>
            </w:r>
            <w:r>
              <w:rPr>
                <w:rFonts w:ascii="宋体" w:hAnsi="宋体" w:cs="宋体" w:eastAsia="宋体" w:hint="default"/>
                <w:spacing w:val="-3"/>
                <w:w w:val="100"/>
                <w:sz w:val="21"/>
                <w:szCs w:val="21"/>
              </w:rPr>
              <w:t>累</w:t>
            </w:r>
            <w:r>
              <w:rPr>
                <w:rFonts w:ascii="宋体" w:hAnsi="宋体" w:cs="宋体" w:eastAsia="宋体" w:hint="default"/>
                <w:w w:val="100"/>
                <w:sz w:val="21"/>
                <w:szCs w:val="21"/>
              </w:rPr>
              <w:t>计</w:t>
            </w:r>
            <w:r>
              <w:rPr>
                <w:rFonts w:ascii="宋体" w:hAnsi="宋体" w:cs="宋体" w:eastAsia="宋体" w:hint="default"/>
                <w:spacing w:val="-3"/>
                <w:w w:val="100"/>
                <w:sz w:val="21"/>
                <w:szCs w:val="21"/>
              </w:rPr>
              <w:t>实</w:t>
            </w:r>
            <w:r>
              <w:rPr>
                <w:rFonts w:ascii="宋体" w:hAnsi="宋体" w:cs="宋体" w:eastAsia="宋体" w:hint="default"/>
                <w:w w:val="100"/>
                <w:sz w:val="21"/>
                <w:szCs w:val="21"/>
              </w:rPr>
              <w:t>际</w:t>
            </w:r>
            <w:r>
              <w:rPr>
                <w:rFonts w:ascii="宋体" w:hAnsi="宋体" w:cs="宋体" w:eastAsia="宋体" w:hint="default"/>
                <w:spacing w:val="-3"/>
                <w:w w:val="100"/>
                <w:sz w:val="21"/>
                <w:szCs w:val="21"/>
              </w:rPr>
              <w:t>实</w:t>
            </w:r>
            <w:r>
              <w:rPr>
                <w:rFonts w:ascii="宋体" w:hAnsi="宋体" w:cs="宋体" w:eastAsia="宋体" w:hint="default"/>
                <w:w w:val="100"/>
                <w:sz w:val="21"/>
                <w:szCs w:val="21"/>
              </w:rPr>
              <w:t>现净</w:t>
            </w:r>
            <w:r>
              <w:rPr>
                <w:rFonts w:ascii="宋体" w:hAnsi="宋体" w:cs="宋体" w:eastAsia="宋体" w:hint="default"/>
                <w:spacing w:val="-3"/>
                <w:w w:val="100"/>
                <w:sz w:val="21"/>
                <w:szCs w:val="21"/>
              </w:rPr>
              <w:t>利润</w:t>
            </w:r>
            <w:r>
              <w:rPr>
                <w:rFonts w:ascii="宋体" w:hAnsi="宋体" w:cs="宋体" w:eastAsia="宋体" w:hint="default"/>
                <w:spacing w:val="-89"/>
                <w:w w:val="100"/>
                <w:sz w:val="21"/>
                <w:szCs w:val="21"/>
              </w:rPr>
              <w:t>）</w:t>
            </w:r>
            <w:r>
              <w:rPr>
                <w:rFonts w:ascii="宋体" w:hAnsi="宋体" w:cs="宋体" w:eastAsia="宋体" w:hint="default"/>
                <w:w w:val="100"/>
                <w:sz w:val="21"/>
                <w:szCs w:val="21"/>
              </w:rPr>
              <w:t>÷</w:t>
            </w:r>
          </w:p>
        </w:tc>
        <w:tc>
          <w:tcPr>
            <w:tcW w:w="2024" w:type="dxa"/>
            <w:vMerge/>
            <w:tcBorders>
              <w:left w:val="single" w:sz="4" w:space="0" w:color="000000"/>
              <w:right w:val="single" w:sz="4" w:space="0" w:color="000000"/>
            </w:tcBorders>
          </w:tcPr>
          <w:p>
            <w:pPr/>
          </w:p>
        </w:tc>
        <w:tc>
          <w:tcPr>
            <w:tcW w:w="629"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r>
      <w:tr>
        <w:trPr>
          <w:trHeight w:val="272" w:hRule="exact"/>
        </w:trPr>
        <w:tc>
          <w:tcPr>
            <w:tcW w:w="1004" w:type="dxa"/>
            <w:vMerge/>
            <w:tcBorders>
              <w:left w:val="single" w:sz="4" w:space="0" w:color="000000"/>
              <w:right w:val="single" w:sz="4" w:space="0" w:color="000000"/>
            </w:tcBorders>
          </w:tcPr>
          <w:p>
            <w:pPr/>
          </w:p>
        </w:tc>
        <w:tc>
          <w:tcPr>
            <w:tcW w:w="631" w:type="dxa"/>
            <w:vMerge/>
            <w:tcBorders>
              <w:left w:val="single" w:sz="4" w:space="0" w:color="000000"/>
              <w:right w:val="single" w:sz="4" w:space="0" w:color="000000"/>
            </w:tcBorders>
          </w:tcPr>
          <w:p>
            <w:pPr/>
          </w:p>
        </w:tc>
        <w:tc>
          <w:tcPr>
            <w:tcW w:w="1178" w:type="dxa"/>
            <w:vMerge/>
            <w:tcBorders>
              <w:left w:val="single" w:sz="4" w:space="0" w:color="000000"/>
              <w:right w:val="single" w:sz="4" w:space="0" w:color="000000"/>
            </w:tcBorders>
          </w:tcPr>
          <w:p>
            <w:pPr/>
          </w:p>
        </w:tc>
        <w:tc>
          <w:tcPr>
            <w:tcW w:w="600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承诺净利润数总和]×发行股份购买资产新增股份总数–截至当</w:t>
            </w:r>
          </w:p>
        </w:tc>
        <w:tc>
          <w:tcPr>
            <w:tcW w:w="2024" w:type="dxa"/>
            <w:vMerge/>
            <w:tcBorders>
              <w:left w:val="single" w:sz="4" w:space="0" w:color="000000"/>
              <w:right w:val="single" w:sz="4" w:space="0" w:color="000000"/>
            </w:tcBorders>
          </w:tcPr>
          <w:p>
            <w:pPr/>
          </w:p>
        </w:tc>
        <w:tc>
          <w:tcPr>
            <w:tcW w:w="629"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r>
      <w:tr>
        <w:trPr>
          <w:trHeight w:val="273" w:hRule="exact"/>
        </w:trPr>
        <w:tc>
          <w:tcPr>
            <w:tcW w:w="1004" w:type="dxa"/>
            <w:vMerge/>
            <w:tcBorders>
              <w:left w:val="single" w:sz="4" w:space="0" w:color="000000"/>
              <w:right w:val="single" w:sz="4" w:space="0" w:color="000000"/>
            </w:tcBorders>
          </w:tcPr>
          <w:p>
            <w:pPr/>
          </w:p>
        </w:tc>
        <w:tc>
          <w:tcPr>
            <w:tcW w:w="631" w:type="dxa"/>
            <w:vMerge/>
            <w:tcBorders>
              <w:left w:val="single" w:sz="4" w:space="0" w:color="000000"/>
              <w:right w:val="single" w:sz="4" w:space="0" w:color="000000"/>
            </w:tcBorders>
          </w:tcPr>
          <w:p>
            <w:pPr/>
          </w:p>
        </w:tc>
        <w:tc>
          <w:tcPr>
            <w:tcW w:w="1178" w:type="dxa"/>
            <w:vMerge/>
            <w:tcBorders>
              <w:left w:val="single" w:sz="4" w:space="0" w:color="000000"/>
              <w:right w:val="single" w:sz="4" w:space="0" w:color="000000"/>
            </w:tcBorders>
          </w:tcPr>
          <w:p>
            <w:pPr/>
          </w:p>
        </w:tc>
        <w:tc>
          <w:tcPr>
            <w:tcW w:w="6008"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年年末已补偿的股份数“截至当年年末”系指自</w:t>
            </w:r>
            <w:r>
              <w:rPr>
                <w:rFonts w:ascii="宋体" w:hAnsi="宋体" w:cs="宋体" w:eastAsia="宋体" w:hint="default"/>
                <w:spacing w:val="-53"/>
                <w:sz w:val="21"/>
                <w:szCs w:val="21"/>
              </w:rPr>
              <w:t> </w:t>
            </w: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p>
        </w:tc>
        <w:tc>
          <w:tcPr>
            <w:tcW w:w="2024" w:type="dxa"/>
            <w:vMerge/>
            <w:tcBorders>
              <w:left w:val="single" w:sz="4" w:space="0" w:color="000000"/>
              <w:right w:val="single" w:sz="4" w:space="0" w:color="000000"/>
            </w:tcBorders>
          </w:tcPr>
          <w:p>
            <w:pPr/>
          </w:p>
        </w:tc>
        <w:tc>
          <w:tcPr>
            <w:tcW w:w="629"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r>
      <w:tr>
        <w:trPr>
          <w:trHeight w:val="273" w:hRule="exact"/>
        </w:trPr>
        <w:tc>
          <w:tcPr>
            <w:tcW w:w="1004" w:type="dxa"/>
            <w:vMerge/>
            <w:tcBorders>
              <w:left w:val="single" w:sz="4" w:space="0" w:color="000000"/>
              <w:right w:val="single" w:sz="4" w:space="0" w:color="000000"/>
            </w:tcBorders>
          </w:tcPr>
          <w:p>
            <w:pPr/>
          </w:p>
        </w:tc>
        <w:tc>
          <w:tcPr>
            <w:tcW w:w="631" w:type="dxa"/>
            <w:vMerge/>
            <w:tcBorders>
              <w:left w:val="single" w:sz="4" w:space="0" w:color="000000"/>
              <w:right w:val="single" w:sz="4" w:space="0" w:color="000000"/>
            </w:tcBorders>
          </w:tcPr>
          <w:p>
            <w:pPr/>
          </w:p>
        </w:tc>
        <w:tc>
          <w:tcPr>
            <w:tcW w:w="1178" w:type="dxa"/>
            <w:vMerge/>
            <w:tcBorders>
              <w:left w:val="single" w:sz="4" w:space="0" w:color="000000"/>
              <w:right w:val="single" w:sz="4" w:space="0" w:color="000000"/>
            </w:tcBorders>
          </w:tcPr>
          <w:p>
            <w:pPr/>
          </w:p>
        </w:tc>
        <w:tc>
          <w:tcPr>
            <w:tcW w:w="600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日起算，截至</w:t>
            </w:r>
            <w:r>
              <w:rPr>
                <w:rFonts w:ascii="宋体" w:hAnsi="宋体" w:cs="宋体" w:eastAsia="宋体" w:hint="default"/>
                <w:spacing w:val="-52"/>
                <w:sz w:val="21"/>
                <w:szCs w:val="21"/>
              </w:rPr>
              <w:t> </w:t>
            </w:r>
            <w:r>
              <w:rPr>
                <w:rFonts w:ascii="宋体" w:hAnsi="宋体" w:cs="宋体" w:eastAsia="宋体" w:hint="default"/>
                <w:sz w:val="21"/>
                <w:szCs w:val="21"/>
              </w:rPr>
              <w:t>2016</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5"/>
                <w:sz w:val="21"/>
                <w:szCs w:val="21"/>
              </w:rPr>
              <w:t> </w:t>
            </w:r>
            <w:r>
              <w:rPr>
                <w:rFonts w:ascii="宋体" w:hAnsi="宋体" w:cs="宋体" w:eastAsia="宋体" w:hint="default"/>
                <w:sz w:val="21"/>
                <w:szCs w:val="21"/>
              </w:rPr>
              <w:t>日、</w:t>
            </w: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日或</w:t>
            </w:r>
            <w:r>
              <w:rPr>
                <w:rFonts w:ascii="宋体" w:hAnsi="宋体" w:cs="宋体" w:eastAsia="宋体" w:hint="default"/>
                <w:spacing w:val="-55"/>
                <w:sz w:val="21"/>
                <w:szCs w:val="21"/>
              </w:rPr>
              <w:t> </w:t>
            </w:r>
            <w:r>
              <w:rPr>
                <w:rFonts w:ascii="宋体" w:hAnsi="宋体" w:cs="宋体" w:eastAsia="宋体" w:hint="default"/>
                <w:sz w:val="21"/>
                <w:szCs w:val="21"/>
              </w:rPr>
              <w:t>2018</w:t>
            </w:r>
          </w:p>
        </w:tc>
        <w:tc>
          <w:tcPr>
            <w:tcW w:w="2024" w:type="dxa"/>
            <w:vMerge/>
            <w:tcBorders>
              <w:left w:val="single" w:sz="4" w:space="0" w:color="000000"/>
              <w:right w:val="single" w:sz="4" w:space="0" w:color="000000"/>
            </w:tcBorders>
          </w:tcPr>
          <w:p>
            <w:pPr/>
          </w:p>
        </w:tc>
        <w:tc>
          <w:tcPr>
            <w:tcW w:w="629"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r>
      <w:tr>
        <w:trPr>
          <w:trHeight w:val="272" w:hRule="exact"/>
        </w:trPr>
        <w:tc>
          <w:tcPr>
            <w:tcW w:w="1004" w:type="dxa"/>
            <w:vMerge/>
            <w:tcBorders>
              <w:left w:val="single" w:sz="4" w:space="0" w:color="000000"/>
              <w:right w:val="single" w:sz="4" w:space="0" w:color="000000"/>
            </w:tcBorders>
          </w:tcPr>
          <w:p>
            <w:pPr/>
          </w:p>
        </w:tc>
        <w:tc>
          <w:tcPr>
            <w:tcW w:w="631" w:type="dxa"/>
            <w:vMerge/>
            <w:tcBorders>
              <w:left w:val="single" w:sz="4" w:space="0" w:color="000000"/>
              <w:right w:val="single" w:sz="4" w:space="0" w:color="000000"/>
            </w:tcBorders>
          </w:tcPr>
          <w:p>
            <w:pPr/>
          </w:p>
        </w:tc>
        <w:tc>
          <w:tcPr>
            <w:tcW w:w="1178" w:type="dxa"/>
            <w:vMerge/>
            <w:tcBorders>
              <w:left w:val="single" w:sz="4" w:space="0" w:color="000000"/>
              <w:right w:val="single" w:sz="4" w:space="0" w:color="000000"/>
            </w:tcBorders>
          </w:tcPr>
          <w:p>
            <w:pPr/>
          </w:p>
        </w:tc>
        <w:tc>
          <w:tcPr>
            <w:tcW w:w="6008"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12</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宋体" w:hAnsi="宋体" w:cs="宋体" w:eastAsia="宋体" w:hint="default"/>
                <w:sz w:val="21"/>
                <w:szCs w:val="21"/>
              </w:rPr>
              <w:t>31</w:t>
            </w:r>
            <w:r>
              <w:rPr>
                <w:rFonts w:ascii="宋体" w:hAnsi="宋体" w:cs="宋体" w:eastAsia="宋体" w:hint="default"/>
                <w:spacing w:val="-51"/>
                <w:sz w:val="21"/>
                <w:szCs w:val="21"/>
              </w:rPr>
              <w:t> </w:t>
            </w:r>
            <w:r>
              <w:rPr>
                <w:rFonts w:ascii="宋体" w:hAnsi="宋体" w:cs="宋体" w:eastAsia="宋体" w:hint="default"/>
                <w:spacing w:val="-3"/>
                <w:sz w:val="21"/>
                <w:szCs w:val="21"/>
              </w:rPr>
              <w:t>日；“承诺净利润数总和”系指</w:t>
            </w:r>
            <w:r>
              <w:rPr>
                <w:rFonts w:ascii="宋体" w:hAnsi="宋体" w:cs="宋体" w:eastAsia="宋体" w:hint="default"/>
                <w:spacing w:val="-47"/>
                <w:sz w:val="21"/>
                <w:szCs w:val="21"/>
              </w:rPr>
              <w:t> </w:t>
            </w:r>
            <w:r>
              <w:rPr>
                <w:rFonts w:ascii="宋体" w:hAnsi="宋体" w:cs="宋体" w:eastAsia="宋体" w:hint="default"/>
                <w:sz w:val="21"/>
                <w:szCs w:val="21"/>
              </w:rPr>
              <w:t>2016</w:t>
            </w:r>
            <w:r>
              <w:rPr>
                <w:rFonts w:ascii="宋体" w:hAnsi="宋体" w:cs="宋体" w:eastAsia="宋体" w:hint="default"/>
                <w:spacing w:val="-51"/>
                <w:sz w:val="21"/>
                <w:szCs w:val="21"/>
              </w:rPr>
              <w:t> </w:t>
            </w:r>
            <w:r>
              <w:rPr>
                <w:rFonts w:ascii="宋体" w:hAnsi="宋体" w:cs="宋体" w:eastAsia="宋体" w:hint="default"/>
                <w:spacing w:val="-4"/>
                <w:sz w:val="21"/>
                <w:szCs w:val="21"/>
              </w:rPr>
              <w:t>年度、</w:t>
            </w:r>
            <w:r>
              <w:rPr>
                <w:rFonts w:ascii="宋体" w:hAnsi="宋体" w:cs="宋体" w:eastAsia="宋体" w:hint="default"/>
                <w:spacing w:val="-4"/>
                <w:sz w:val="21"/>
                <w:szCs w:val="21"/>
              </w:rPr>
              <w:t>2017</w:t>
            </w:r>
            <w:r>
              <w:rPr>
                <w:rFonts w:ascii="宋体" w:hAnsi="宋体" w:cs="宋体" w:eastAsia="宋体" w:hint="default"/>
                <w:spacing w:val="-48"/>
                <w:sz w:val="21"/>
                <w:szCs w:val="21"/>
              </w:rPr>
              <w:t> </w:t>
            </w:r>
            <w:r>
              <w:rPr>
                <w:rFonts w:ascii="宋体" w:hAnsi="宋体" w:cs="宋体" w:eastAsia="宋体" w:hint="default"/>
                <w:sz w:val="21"/>
                <w:szCs w:val="21"/>
              </w:rPr>
              <w:t>年</w:t>
            </w:r>
          </w:p>
        </w:tc>
        <w:tc>
          <w:tcPr>
            <w:tcW w:w="2024" w:type="dxa"/>
            <w:vMerge/>
            <w:tcBorders>
              <w:left w:val="single" w:sz="4" w:space="0" w:color="000000"/>
              <w:right w:val="single" w:sz="4" w:space="0" w:color="000000"/>
            </w:tcBorders>
          </w:tcPr>
          <w:p>
            <w:pPr/>
          </w:p>
        </w:tc>
        <w:tc>
          <w:tcPr>
            <w:tcW w:w="629"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r>
      <w:tr>
        <w:trPr>
          <w:trHeight w:val="272" w:hRule="exact"/>
        </w:trPr>
        <w:tc>
          <w:tcPr>
            <w:tcW w:w="1004" w:type="dxa"/>
            <w:vMerge/>
            <w:tcBorders>
              <w:left w:val="single" w:sz="4" w:space="0" w:color="000000"/>
              <w:right w:val="single" w:sz="4" w:space="0" w:color="000000"/>
            </w:tcBorders>
          </w:tcPr>
          <w:p>
            <w:pPr/>
          </w:p>
        </w:tc>
        <w:tc>
          <w:tcPr>
            <w:tcW w:w="631" w:type="dxa"/>
            <w:vMerge/>
            <w:tcBorders>
              <w:left w:val="single" w:sz="4" w:space="0" w:color="000000"/>
              <w:right w:val="single" w:sz="4" w:space="0" w:color="000000"/>
            </w:tcBorders>
          </w:tcPr>
          <w:p>
            <w:pPr/>
          </w:p>
        </w:tc>
        <w:tc>
          <w:tcPr>
            <w:tcW w:w="1178" w:type="dxa"/>
            <w:vMerge/>
            <w:tcBorders>
              <w:left w:val="single" w:sz="4" w:space="0" w:color="000000"/>
              <w:right w:val="single" w:sz="4" w:space="0" w:color="000000"/>
            </w:tcBorders>
          </w:tcPr>
          <w:p>
            <w:pPr/>
          </w:p>
        </w:tc>
        <w:tc>
          <w:tcPr>
            <w:tcW w:w="600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度、</w:t>
            </w:r>
            <w:r>
              <w:rPr>
                <w:rFonts w:ascii="宋体" w:hAnsi="宋体" w:cs="宋体" w:eastAsia="宋体" w:hint="default"/>
                <w:sz w:val="21"/>
                <w:szCs w:val="21"/>
              </w:rPr>
              <w:t>2018</w:t>
            </w:r>
            <w:r>
              <w:rPr>
                <w:rFonts w:ascii="宋体" w:hAnsi="宋体" w:cs="宋体" w:eastAsia="宋体" w:hint="default"/>
                <w:spacing w:val="-56"/>
                <w:sz w:val="21"/>
                <w:szCs w:val="21"/>
              </w:rPr>
              <w:t> </w:t>
            </w:r>
            <w:r>
              <w:rPr>
                <w:rFonts w:ascii="宋体" w:hAnsi="宋体" w:cs="宋体" w:eastAsia="宋体" w:hint="default"/>
                <w:sz w:val="21"/>
                <w:szCs w:val="21"/>
              </w:rPr>
              <w:t>年度承诺净利润下限之和。如果上市公司在本次重组</w:t>
            </w:r>
          </w:p>
        </w:tc>
        <w:tc>
          <w:tcPr>
            <w:tcW w:w="2024" w:type="dxa"/>
            <w:vMerge/>
            <w:tcBorders>
              <w:left w:val="single" w:sz="4" w:space="0" w:color="000000"/>
              <w:right w:val="single" w:sz="4" w:space="0" w:color="000000"/>
            </w:tcBorders>
          </w:tcPr>
          <w:p>
            <w:pPr/>
          </w:p>
        </w:tc>
        <w:tc>
          <w:tcPr>
            <w:tcW w:w="629"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r>
      <w:tr>
        <w:trPr>
          <w:trHeight w:val="272" w:hRule="exact"/>
        </w:trPr>
        <w:tc>
          <w:tcPr>
            <w:tcW w:w="1004" w:type="dxa"/>
            <w:vMerge/>
            <w:tcBorders>
              <w:left w:val="single" w:sz="4" w:space="0" w:color="000000"/>
              <w:right w:val="single" w:sz="4" w:space="0" w:color="000000"/>
            </w:tcBorders>
          </w:tcPr>
          <w:p>
            <w:pPr/>
          </w:p>
        </w:tc>
        <w:tc>
          <w:tcPr>
            <w:tcW w:w="631" w:type="dxa"/>
            <w:vMerge/>
            <w:tcBorders>
              <w:left w:val="single" w:sz="4" w:space="0" w:color="000000"/>
              <w:right w:val="single" w:sz="4" w:space="0" w:color="000000"/>
            </w:tcBorders>
          </w:tcPr>
          <w:p>
            <w:pPr/>
          </w:p>
        </w:tc>
        <w:tc>
          <w:tcPr>
            <w:tcW w:w="1178" w:type="dxa"/>
            <w:vMerge/>
            <w:tcBorders>
              <w:left w:val="single" w:sz="4" w:space="0" w:color="000000"/>
              <w:right w:val="single" w:sz="4" w:space="0" w:color="000000"/>
            </w:tcBorders>
          </w:tcPr>
          <w:p>
            <w:pPr/>
          </w:p>
        </w:tc>
        <w:tc>
          <w:tcPr>
            <w:tcW w:w="6008"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中新</w:t>
            </w:r>
            <w:r>
              <w:rPr>
                <w:rFonts w:ascii="宋体" w:hAnsi="宋体" w:cs="宋体" w:eastAsia="宋体" w:hint="default"/>
                <w:spacing w:val="-3"/>
                <w:w w:val="100"/>
                <w:sz w:val="21"/>
                <w:szCs w:val="21"/>
              </w:rPr>
              <w:t>增</w:t>
            </w:r>
            <w:r>
              <w:rPr>
                <w:rFonts w:ascii="宋体" w:hAnsi="宋体" w:cs="宋体" w:eastAsia="宋体" w:hint="default"/>
                <w:w w:val="100"/>
                <w:sz w:val="21"/>
                <w:szCs w:val="21"/>
              </w:rPr>
              <w:t>股</w:t>
            </w:r>
            <w:r>
              <w:rPr>
                <w:rFonts w:ascii="宋体" w:hAnsi="宋体" w:cs="宋体" w:eastAsia="宋体" w:hint="default"/>
                <w:spacing w:val="-3"/>
                <w:w w:val="100"/>
                <w:sz w:val="21"/>
                <w:szCs w:val="21"/>
              </w:rPr>
              <w:t>份</w:t>
            </w:r>
            <w:r>
              <w:rPr>
                <w:rFonts w:ascii="宋体" w:hAnsi="宋体" w:cs="宋体" w:eastAsia="宋体" w:hint="default"/>
                <w:w w:val="100"/>
                <w:sz w:val="21"/>
                <w:szCs w:val="21"/>
              </w:rPr>
              <w:t>登</w:t>
            </w:r>
            <w:r>
              <w:rPr>
                <w:rFonts w:ascii="宋体" w:hAnsi="宋体" w:cs="宋体" w:eastAsia="宋体" w:hint="default"/>
                <w:spacing w:val="-3"/>
                <w:w w:val="100"/>
                <w:sz w:val="21"/>
                <w:szCs w:val="21"/>
              </w:rPr>
              <w:t>记</w:t>
            </w:r>
            <w:r>
              <w:rPr>
                <w:rFonts w:ascii="宋体" w:hAnsi="宋体" w:cs="宋体" w:eastAsia="宋体" w:hint="default"/>
                <w:w w:val="100"/>
                <w:sz w:val="21"/>
                <w:szCs w:val="21"/>
              </w:rPr>
              <w:t>完</w:t>
            </w:r>
            <w:r>
              <w:rPr>
                <w:rFonts w:ascii="宋体" w:hAnsi="宋体" w:cs="宋体" w:eastAsia="宋体" w:hint="default"/>
                <w:spacing w:val="-3"/>
                <w:w w:val="100"/>
                <w:sz w:val="21"/>
                <w:szCs w:val="21"/>
              </w:rPr>
              <w:t>成</w:t>
            </w:r>
            <w:r>
              <w:rPr>
                <w:rFonts w:ascii="宋体" w:hAnsi="宋体" w:cs="宋体" w:eastAsia="宋体" w:hint="default"/>
                <w:w w:val="100"/>
                <w:sz w:val="21"/>
                <w:szCs w:val="21"/>
              </w:rPr>
              <w:t>后</w:t>
            </w:r>
            <w:r>
              <w:rPr>
                <w:rFonts w:ascii="宋体" w:hAnsi="宋体" w:cs="宋体" w:eastAsia="宋体" w:hint="default"/>
                <w:spacing w:val="-3"/>
                <w:w w:val="100"/>
                <w:sz w:val="21"/>
                <w:szCs w:val="21"/>
              </w:rPr>
              <w:t>至</w:t>
            </w:r>
            <w:r>
              <w:rPr>
                <w:rFonts w:ascii="宋体" w:hAnsi="宋体" w:cs="宋体" w:eastAsia="宋体" w:hint="default"/>
                <w:w w:val="100"/>
                <w:sz w:val="21"/>
                <w:szCs w:val="21"/>
              </w:rPr>
              <w:t>补偿</w:t>
            </w:r>
            <w:r>
              <w:rPr>
                <w:rFonts w:ascii="宋体" w:hAnsi="宋体" w:cs="宋体" w:eastAsia="宋体" w:hint="default"/>
                <w:spacing w:val="-3"/>
                <w:w w:val="100"/>
                <w:sz w:val="21"/>
                <w:szCs w:val="21"/>
              </w:rPr>
              <w:t>完</w:t>
            </w:r>
            <w:r>
              <w:rPr>
                <w:rFonts w:ascii="宋体" w:hAnsi="宋体" w:cs="宋体" w:eastAsia="宋体" w:hint="default"/>
                <w:w w:val="100"/>
                <w:sz w:val="21"/>
                <w:szCs w:val="21"/>
              </w:rPr>
              <w:t>成</w:t>
            </w:r>
            <w:r>
              <w:rPr>
                <w:rFonts w:ascii="宋体" w:hAnsi="宋体" w:cs="宋体" w:eastAsia="宋体" w:hint="default"/>
                <w:spacing w:val="-3"/>
                <w:w w:val="100"/>
                <w:sz w:val="21"/>
                <w:szCs w:val="21"/>
              </w:rPr>
              <w:t>日</w:t>
            </w:r>
            <w:r>
              <w:rPr>
                <w:rFonts w:ascii="宋体" w:hAnsi="宋体" w:cs="宋体" w:eastAsia="宋体" w:hint="default"/>
                <w:w w:val="100"/>
                <w:sz w:val="21"/>
                <w:szCs w:val="21"/>
              </w:rPr>
              <w:t>期</w:t>
            </w:r>
            <w:r>
              <w:rPr>
                <w:rFonts w:ascii="宋体" w:hAnsi="宋体" w:cs="宋体" w:eastAsia="宋体" w:hint="default"/>
                <w:spacing w:val="-3"/>
                <w:w w:val="100"/>
                <w:sz w:val="21"/>
                <w:szCs w:val="21"/>
              </w:rPr>
              <w:t>间</w:t>
            </w:r>
            <w:r>
              <w:rPr>
                <w:rFonts w:ascii="宋体" w:hAnsi="宋体" w:cs="宋体" w:eastAsia="宋体" w:hint="default"/>
                <w:w w:val="100"/>
                <w:sz w:val="21"/>
                <w:szCs w:val="21"/>
              </w:rPr>
              <w:t>实</w:t>
            </w:r>
            <w:r>
              <w:rPr>
                <w:rFonts w:ascii="宋体" w:hAnsi="宋体" w:cs="宋体" w:eastAsia="宋体" w:hint="default"/>
                <w:spacing w:val="-3"/>
                <w:w w:val="100"/>
                <w:sz w:val="21"/>
                <w:szCs w:val="21"/>
              </w:rPr>
              <w:t>施</w:t>
            </w:r>
            <w:r>
              <w:rPr>
                <w:rFonts w:ascii="宋体" w:hAnsi="宋体" w:cs="宋体" w:eastAsia="宋体" w:hint="default"/>
                <w:w w:val="100"/>
                <w:sz w:val="21"/>
                <w:szCs w:val="21"/>
              </w:rPr>
              <w:t>现</w:t>
            </w:r>
            <w:r>
              <w:rPr>
                <w:rFonts w:ascii="宋体" w:hAnsi="宋体" w:cs="宋体" w:eastAsia="宋体" w:hint="default"/>
                <w:spacing w:val="-3"/>
                <w:w w:val="100"/>
                <w:sz w:val="21"/>
                <w:szCs w:val="21"/>
              </w:rPr>
              <w:t>金</w:t>
            </w:r>
            <w:r>
              <w:rPr>
                <w:rFonts w:ascii="宋体" w:hAnsi="宋体" w:cs="宋体" w:eastAsia="宋体" w:hint="default"/>
                <w:w w:val="100"/>
                <w:sz w:val="21"/>
                <w:szCs w:val="21"/>
              </w:rPr>
              <w:t>分</w:t>
            </w:r>
            <w:r>
              <w:rPr>
                <w:rFonts w:ascii="宋体" w:hAnsi="宋体" w:cs="宋体" w:eastAsia="宋体" w:hint="default"/>
                <w:spacing w:val="-3"/>
                <w:w w:val="100"/>
                <w:sz w:val="21"/>
                <w:szCs w:val="21"/>
              </w:rPr>
              <w:t>红</w:t>
            </w:r>
            <w:r>
              <w:rPr>
                <w:rFonts w:ascii="宋体" w:hAnsi="宋体" w:cs="宋体" w:eastAsia="宋体" w:hint="default"/>
                <w:spacing w:val="-89"/>
                <w:w w:val="100"/>
                <w:sz w:val="21"/>
                <w:szCs w:val="21"/>
              </w:rPr>
              <w:t>，</w:t>
            </w:r>
            <w:r>
              <w:rPr>
                <w:rFonts w:ascii="宋体" w:hAnsi="宋体" w:cs="宋体" w:eastAsia="宋体" w:hint="default"/>
                <w:spacing w:val="-3"/>
                <w:w w:val="100"/>
                <w:sz w:val="21"/>
                <w:szCs w:val="21"/>
              </w:rPr>
              <w:t>业</w:t>
            </w:r>
            <w:r>
              <w:rPr>
                <w:rFonts w:ascii="宋体" w:hAnsi="宋体" w:cs="宋体" w:eastAsia="宋体" w:hint="default"/>
                <w:w w:val="100"/>
                <w:sz w:val="21"/>
                <w:szCs w:val="21"/>
              </w:rPr>
              <w:t>绩承</w:t>
            </w:r>
          </w:p>
        </w:tc>
        <w:tc>
          <w:tcPr>
            <w:tcW w:w="2024" w:type="dxa"/>
            <w:vMerge/>
            <w:tcBorders>
              <w:left w:val="single" w:sz="4" w:space="0" w:color="000000"/>
              <w:right w:val="single" w:sz="4" w:space="0" w:color="000000"/>
            </w:tcBorders>
          </w:tcPr>
          <w:p>
            <w:pPr/>
          </w:p>
        </w:tc>
        <w:tc>
          <w:tcPr>
            <w:tcW w:w="629"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r>
      <w:tr>
        <w:trPr>
          <w:trHeight w:val="279" w:hRule="exact"/>
        </w:trPr>
        <w:tc>
          <w:tcPr>
            <w:tcW w:w="1004" w:type="dxa"/>
            <w:vMerge/>
            <w:tcBorders>
              <w:left w:val="single" w:sz="4" w:space="0" w:color="000000"/>
              <w:bottom w:val="single" w:sz="4" w:space="0" w:color="000000"/>
              <w:right w:val="single" w:sz="4" w:space="0" w:color="000000"/>
            </w:tcBorders>
          </w:tcPr>
          <w:p>
            <w:pPr/>
          </w:p>
        </w:tc>
        <w:tc>
          <w:tcPr>
            <w:tcW w:w="631" w:type="dxa"/>
            <w:vMerge/>
            <w:tcBorders>
              <w:left w:val="single" w:sz="4" w:space="0" w:color="000000"/>
              <w:bottom w:val="single" w:sz="4" w:space="0" w:color="000000"/>
              <w:right w:val="single" w:sz="4" w:space="0" w:color="000000"/>
            </w:tcBorders>
          </w:tcPr>
          <w:p>
            <w:pPr/>
          </w:p>
        </w:tc>
        <w:tc>
          <w:tcPr>
            <w:tcW w:w="1178" w:type="dxa"/>
            <w:vMerge/>
            <w:tcBorders>
              <w:left w:val="single" w:sz="4" w:space="0" w:color="000000"/>
              <w:bottom w:val="single" w:sz="4" w:space="0" w:color="000000"/>
              <w:right w:val="single" w:sz="4" w:space="0" w:color="000000"/>
            </w:tcBorders>
          </w:tcPr>
          <w:p>
            <w:pPr/>
          </w:p>
        </w:tc>
        <w:tc>
          <w:tcPr>
            <w:tcW w:w="6008"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诺方应将其于股份补偿前累计获得的现金分红收益返还予上市</w:t>
            </w:r>
          </w:p>
        </w:tc>
        <w:tc>
          <w:tcPr>
            <w:tcW w:w="2024" w:type="dxa"/>
            <w:vMerge/>
            <w:tcBorders>
              <w:left w:val="single" w:sz="4" w:space="0" w:color="000000"/>
              <w:bottom w:val="single" w:sz="4" w:space="0" w:color="000000"/>
              <w:right w:val="single" w:sz="4" w:space="0" w:color="000000"/>
            </w:tcBorders>
          </w:tcPr>
          <w:p>
            <w:pPr/>
          </w:p>
        </w:tc>
        <w:tc>
          <w:tcPr>
            <w:tcW w:w="629"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1070"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r>
    </w:tbl>
    <w:p>
      <w:pPr>
        <w:spacing w:after="0"/>
        <w:sectPr>
          <w:footerReference w:type="default" r:id="rId16"/>
          <w:pgSz w:w="16840" w:h="11910" w:orient="landscape"/>
          <w:pgMar w:footer="1195" w:header="882" w:top="1120" w:bottom="1380" w:left="12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1004"/>
        <w:gridCol w:w="631"/>
        <w:gridCol w:w="1178"/>
        <w:gridCol w:w="6008"/>
        <w:gridCol w:w="2024"/>
        <w:gridCol w:w="629"/>
        <w:gridCol w:w="665"/>
        <w:gridCol w:w="1070"/>
        <w:gridCol w:w="900"/>
      </w:tblGrid>
      <w:tr>
        <w:trPr>
          <w:trHeight w:val="276" w:hRule="exact"/>
        </w:trPr>
        <w:tc>
          <w:tcPr>
            <w:tcW w:w="1004" w:type="dxa"/>
            <w:vMerge w:val="restart"/>
            <w:tcBorders>
              <w:top w:val="single" w:sz="4" w:space="0" w:color="000000"/>
              <w:left w:val="single" w:sz="4" w:space="0" w:color="000000"/>
              <w:right w:val="single" w:sz="4" w:space="0" w:color="000000"/>
            </w:tcBorders>
          </w:tcPr>
          <w:p>
            <w:pPr/>
          </w:p>
        </w:tc>
        <w:tc>
          <w:tcPr>
            <w:tcW w:w="631" w:type="dxa"/>
            <w:vMerge w:val="restart"/>
            <w:tcBorders>
              <w:top w:val="single" w:sz="4" w:space="0" w:color="000000"/>
              <w:left w:val="single" w:sz="4" w:space="0" w:color="000000"/>
              <w:right w:val="single" w:sz="4" w:space="0" w:color="000000"/>
            </w:tcBorders>
          </w:tcPr>
          <w:p>
            <w:pPr/>
          </w:p>
        </w:tc>
        <w:tc>
          <w:tcPr>
            <w:tcW w:w="1178" w:type="dxa"/>
            <w:vMerge w:val="restart"/>
            <w:tcBorders>
              <w:top w:val="single" w:sz="4" w:space="0" w:color="000000"/>
              <w:left w:val="single" w:sz="4" w:space="0" w:color="000000"/>
              <w:right w:val="single" w:sz="4" w:space="0" w:color="000000"/>
            </w:tcBorders>
          </w:tcPr>
          <w:p>
            <w:pPr/>
          </w:p>
        </w:tc>
        <w:tc>
          <w:tcPr>
            <w:tcW w:w="6008"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公司；返还金额不作为已补偿金额，不计入各年应补偿金额的计</w:t>
            </w:r>
          </w:p>
        </w:tc>
        <w:tc>
          <w:tcPr>
            <w:tcW w:w="2024" w:type="dxa"/>
            <w:vMerge w:val="restart"/>
            <w:tcBorders>
              <w:top w:val="single" w:sz="4" w:space="0" w:color="000000"/>
              <w:left w:val="single" w:sz="4" w:space="0" w:color="000000"/>
              <w:right w:val="single" w:sz="4" w:space="0" w:color="000000"/>
            </w:tcBorders>
          </w:tcPr>
          <w:p>
            <w:pPr/>
          </w:p>
        </w:tc>
        <w:tc>
          <w:tcPr>
            <w:tcW w:w="629"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1070" w:type="dxa"/>
            <w:vMerge w:val="restart"/>
            <w:tcBorders>
              <w:top w:val="single" w:sz="4" w:space="0" w:color="000000"/>
              <w:left w:val="single" w:sz="4" w:space="0" w:color="000000"/>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
        </w:tc>
      </w:tr>
      <w:tr>
        <w:trPr>
          <w:trHeight w:val="272" w:hRule="exact"/>
        </w:trPr>
        <w:tc>
          <w:tcPr>
            <w:tcW w:w="1004" w:type="dxa"/>
            <w:vMerge/>
            <w:tcBorders>
              <w:left w:val="single" w:sz="4" w:space="0" w:color="000000"/>
              <w:right w:val="single" w:sz="4" w:space="0" w:color="000000"/>
            </w:tcBorders>
          </w:tcPr>
          <w:p>
            <w:pPr/>
          </w:p>
        </w:tc>
        <w:tc>
          <w:tcPr>
            <w:tcW w:w="631" w:type="dxa"/>
            <w:vMerge/>
            <w:tcBorders>
              <w:left w:val="single" w:sz="4" w:space="0" w:color="000000"/>
              <w:right w:val="single" w:sz="4" w:space="0" w:color="000000"/>
            </w:tcBorders>
          </w:tcPr>
          <w:p>
            <w:pPr/>
          </w:p>
        </w:tc>
        <w:tc>
          <w:tcPr>
            <w:tcW w:w="1178" w:type="dxa"/>
            <w:vMerge/>
            <w:tcBorders>
              <w:left w:val="single" w:sz="4" w:space="0" w:color="000000"/>
              <w:right w:val="single" w:sz="4" w:space="0" w:color="000000"/>
            </w:tcBorders>
          </w:tcPr>
          <w:p>
            <w:pPr/>
          </w:p>
        </w:tc>
        <w:tc>
          <w:tcPr>
            <w:tcW w:w="600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算公式；返还期限为当年关于标的公司的《专项审核报告》出具</w:t>
            </w:r>
          </w:p>
        </w:tc>
        <w:tc>
          <w:tcPr>
            <w:tcW w:w="2024" w:type="dxa"/>
            <w:vMerge/>
            <w:tcBorders>
              <w:left w:val="single" w:sz="4" w:space="0" w:color="000000"/>
              <w:right w:val="single" w:sz="4" w:space="0" w:color="000000"/>
            </w:tcBorders>
          </w:tcPr>
          <w:p>
            <w:pPr/>
          </w:p>
        </w:tc>
        <w:tc>
          <w:tcPr>
            <w:tcW w:w="629"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r>
      <w:tr>
        <w:trPr>
          <w:trHeight w:val="272" w:hRule="exact"/>
        </w:trPr>
        <w:tc>
          <w:tcPr>
            <w:tcW w:w="1004" w:type="dxa"/>
            <w:vMerge/>
            <w:tcBorders>
              <w:left w:val="single" w:sz="4" w:space="0" w:color="000000"/>
              <w:right w:val="single" w:sz="4" w:space="0" w:color="000000"/>
            </w:tcBorders>
          </w:tcPr>
          <w:p>
            <w:pPr/>
          </w:p>
        </w:tc>
        <w:tc>
          <w:tcPr>
            <w:tcW w:w="631" w:type="dxa"/>
            <w:vMerge/>
            <w:tcBorders>
              <w:left w:val="single" w:sz="4" w:space="0" w:color="000000"/>
              <w:right w:val="single" w:sz="4" w:space="0" w:color="000000"/>
            </w:tcBorders>
          </w:tcPr>
          <w:p>
            <w:pPr/>
          </w:p>
        </w:tc>
        <w:tc>
          <w:tcPr>
            <w:tcW w:w="1178" w:type="dxa"/>
            <w:vMerge/>
            <w:tcBorders>
              <w:left w:val="single" w:sz="4" w:space="0" w:color="000000"/>
              <w:right w:val="single" w:sz="4" w:space="0" w:color="000000"/>
            </w:tcBorders>
          </w:tcPr>
          <w:p>
            <w:pPr/>
          </w:p>
        </w:tc>
        <w:tc>
          <w:tcPr>
            <w:tcW w:w="6008"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后的</w:t>
            </w:r>
            <w:r>
              <w:rPr>
                <w:rFonts w:ascii="宋体" w:hAnsi="宋体" w:cs="宋体" w:eastAsia="宋体" w:hint="default"/>
                <w:spacing w:val="-55"/>
                <w:sz w:val="21"/>
                <w:szCs w:val="21"/>
              </w:rPr>
              <w:t> </w:t>
            </w:r>
            <w:r>
              <w:rPr>
                <w:rFonts w:ascii="宋体" w:hAnsi="宋体" w:cs="宋体" w:eastAsia="宋体" w:hint="default"/>
                <w:sz w:val="21"/>
                <w:szCs w:val="21"/>
              </w:rPr>
              <w:t>60</w:t>
            </w:r>
            <w:r>
              <w:rPr>
                <w:rFonts w:ascii="宋体" w:hAnsi="宋体" w:cs="宋体" w:eastAsia="宋体" w:hint="default"/>
                <w:spacing w:val="-54"/>
                <w:sz w:val="21"/>
                <w:szCs w:val="21"/>
              </w:rPr>
              <w:t> </w:t>
            </w:r>
            <w:r>
              <w:rPr>
                <w:rFonts w:ascii="宋体" w:hAnsi="宋体" w:cs="宋体" w:eastAsia="宋体" w:hint="default"/>
                <w:sz w:val="21"/>
                <w:szCs w:val="21"/>
              </w:rPr>
              <w:t>日内。返还金额计算公式为：返还金额＝截至补偿前每</w:t>
            </w:r>
          </w:p>
        </w:tc>
        <w:tc>
          <w:tcPr>
            <w:tcW w:w="2024" w:type="dxa"/>
            <w:vMerge/>
            <w:tcBorders>
              <w:left w:val="single" w:sz="4" w:space="0" w:color="000000"/>
              <w:right w:val="single" w:sz="4" w:space="0" w:color="000000"/>
            </w:tcBorders>
          </w:tcPr>
          <w:p>
            <w:pPr/>
          </w:p>
        </w:tc>
        <w:tc>
          <w:tcPr>
            <w:tcW w:w="629"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r>
      <w:tr>
        <w:trPr>
          <w:trHeight w:val="272" w:hRule="exact"/>
        </w:trPr>
        <w:tc>
          <w:tcPr>
            <w:tcW w:w="1004" w:type="dxa"/>
            <w:vMerge/>
            <w:tcBorders>
              <w:left w:val="single" w:sz="4" w:space="0" w:color="000000"/>
              <w:right w:val="single" w:sz="4" w:space="0" w:color="000000"/>
            </w:tcBorders>
          </w:tcPr>
          <w:p>
            <w:pPr/>
          </w:p>
        </w:tc>
        <w:tc>
          <w:tcPr>
            <w:tcW w:w="631" w:type="dxa"/>
            <w:vMerge/>
            <w:tcBorders>
              <w:left w:val="single" w:sz="4" w:space="0" w:color="000000"/>
              <w:right w:val="single" w:sz="4" w:space="0" w:color="000000"/>
            </w:tcBorders>
          </w:tcPr>
          <w:p>
            <w:pPr/>
          </w:p>
        </w:tc>
        <w:tc>
          <w:tcPr>
            <w:tcW w:w="1178" w:type="dxa"/>
            <w:vMerge/>
            <w:tcBorders>
              <w:left w:val="single" w:sz="4" w:space="0" w:color="000000"/>
              <w:right w:val="single" w:sz="4" w:space="0" w:color="000000"/>
            </w:tcBorders>
          </w:tcPr>
          <w:p>
            <w:pPr/>
          </w:p>
        </w:tc>
        <w:tc>
          <w:tcPr>
            <w:tcW w:w="600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股已获得的现金分红收益×业绩承诺方当年应补偿股份数量若</w:t>
            </w:r>
          </w:p>
        </w:tc>
        <w:tc>
          <w:tcPr>
            <w:tcW w:w="2024" w:type="dxa"/>
            <w:vMerge/>
            <w:tcBorders>
              <w:left w:val="single" w:sz="4" w:space="0" w:color="000000"/>
              <w:right w:val="single" w:sz="4" w:space="0" w:color="000000"/>
            </w:tcBorders>
          </w:tcPr>
          <w:p>
            <w:pPr/>
          </w:p>
        </w:tc>
        <w:tc>
          <w:tcPr>
            <w:tcW w:w="629"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r>
      <w:tr>
        <w:trPr>
          <w:trHeight w:val="272" w:hRule="exact"/>
        </w:trPr>
        <w:tc>
          <w:tcPr>
            <w:tcW w:w="1004" w:type="dxa"/>
            <w:vMerge/>
            <w:tcBorders>
              <w:left w:val="single" w:sz="4" w:space="0" w:color="000000"/>
              <w:right w:val="single" w:sz="4" w:space="0" w:color="000000"/>
            </w:tcBorders>
          </w:tcPr>
          <w:p>
            <w:pPr/>
          </w:p>
        </w:tc>
        <w:tc>
          <w:tcPr>
            <w:tcW w:w="631" w:type="dxa"/>
            <w:vMerge/>
            <w:tcBorders>
              <w:left w:val="single" w:sz="4" w:space="0" w:color="000000"/>
              <w:right w:val="single" w:sz="4" w:space="0" w:color="000000"/>
            </w:tcBorders>
          </w:tcPr>
          <w:p>
            <w:pPr/>
          </w:p>
        </w:tc>
        <w:tc>
          <w:tcPr>
            <w:tcW w:w="1178" w:type="dxa"/>
            <w:vMerge/>
            <w:tcBorders>
              <w:left w:val="single" w:sz="4" w:space="0" w:color="000000"/>
              <w:right w:val="single" w:sz="4" w:space="0" w:color="000000"/>
            </w:tcBorders>
          </w:tcPr>
          <w:p>
            <w:pPr/>
          </w:p>
        </w:tc>
        <w:tc>
          <w:tcPr>
            <w:tcW w:w="6008"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根据上述公式（</w:t>
            </w:r>
            <w:r>
              <w:rPr>
                <w:rFonts w:ascii="宋体" w:hAnsi="宋体" w:cs="宋体" w:eastAsia="宋体" w:hint="default"/>
                <w:sz w:val="21"/>
                <w:szCs w:val="21"/>
              </w:rPr>
              <w:t>a</w:t>
            </w:r>
            <w:r>
              <w:rPr>
                <w:rFonts w:ascii="宋体" w:hAnsi="宋体" w:cs="宋体" w:eastAsia="宋体" w:hint="default"/>
                <w:sz w:val="21"/>
                <w:szCs w:val="21"/>
              </w:rPr>
              <w:t>）计算得出的业绩承诺方当年应补偿股份数量</w:t>
            </w:r>
          </w:p>
        </w:tc>
        <w:tc>
          <w:tcPr>
            <w:tcW w:w="2024" w:type="dxa"/>
            <w:vMerge/>
            <w:tcBorders>
              <w:left w:val="single" w:sz="4" w:space="0" w:color="000000"/>
              <w:right w:val="single" w:sz="4" w:space="0" w:color="000000"/>
            </w:tcBorders>
          </w:tcPr>
          <w:p>
            <w:pPr/>
          </w:p>
        </w:tc>
        <w:tc>
          <w:tcPr>
            <w:tcW w:w="629"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r>
      <w:tr>
        <w:trPr>
          <w:trHeight w:val="272" w:hRule="exact"/>
        </w:trPr>
        <w:tc>
          <w:tcPr>
            <w:tcW w:w="1004" w:type="dxa"/>
            <w:vMerge/>
            <w:tcBorders>
              <w:left w:val="single" w:sz="4" w:space="0" w:color="000000"/>
              <w:right w:val="single" w:sz="4" w:space="0" w:color="000000"/>
            </w:tcBorders>
          </w:tcPr>
          <w:p>
            <w:pPr/>
          </w:p>
        </w:tc>
        <w:tc>
          <w:tcPr>
            <w:tcW w:w="631" w:type="dxa"/>
            <w:vMerge/>
            <w:tcBorders>
              <w:left w:val="single" w:sz="4" w:space="0" w:color="000000"/>
              <w:right w:val="single" w:sz="4" w:space="0" w:color="000000"/>
            </w:tcBorders>
          </w:tcPr>
          <w:p>
            <w:pPr/>
          </w:p>
        </w:tc>
        <w:tc>
          <w:tcPr>
            <w:tcW w:w="1178" w:type="dxa"/>
            <w:vMerge/>
            <w:tcBorders>
              <w:left w:val="single" w:sz="4" w:space="0" w:color="000000"/>
              <w:right w:val="single" w:sz="4" w:space="0" w:color="000000"/>
            </w:tcBorders>
          </w:tcPr>
          <w:p>
            <w:pPr/>
          </w:p>
        </w:tc>
        <w:tc>
          <w:tcPr>
            <w:tcW w:w="600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中存在不足</w:t>
            </w:r>
            <w:r>
              <w:rPr>
                <w:rFonts w:ascii="宋体" w:hAnsi="宋体" w:cs="宋体" w:eastAsia="宋体" w:hint="default"/>
                <w:spacing w:val="-45"/>
                <w:sz w:val="21"/>
                <w:szCs w:val="21"/>
              </w:rPr>
              <w:t> </w:t>
            </w:r>
            <w:r>
              <w:rPr>
                <w:rFonts w:ascii="宋体" w:hAnsi="宋体" w:cs="宋体" w:eastAsia="宋体" w:hint="default"/>
                <w:sz w:val="21"/>
                <w:szCs w:val="21"/>
              </w:rPr>
              <w:t>1</w:t>
            </w:r>
            <w:r>
              <w:rPr>
                <w:rFonts w:ascii="宋体" w:hAnsi="宋体" w:cs="宋体" w:eastAsia="宋体" w:hint="default"/>
                <w:spacing w:val="-46"/>
                <w:sz w:val="21"/>
                <w:szCs w:val="21"/>
              </w:rPr>
              <w:t> </w:t>
            </w:r>
            <w:r>
              <w:rPr>
                <w:rFonts w:ascii="宋体" w:hAnsi="宋体" w:cs="宋体" w:eastAsia="宋体" w:hint="default"/>
                <w:spacing w:val="-3"/>
                <w:sz w:val="21"/>
                <w:szCs w:val="21"/>
              </w:rPr>
              <w:t>股的情形，不足一股的部分若大于</w:t>
            </w:r>
            <w:r>
              <w:rPr>
                <w:rFonts w:ascii="宋体" w:hAnsi="宋体" w:cs="宋体" w:eastAsia="宋体" w:hint="default"/>
                <w:spacing w:val="-46"/>
                <w:sz w:val="21"/>
                <w:szCs w:val="21"/>
              </w:rPr>
              <w:t> </w:t>
            </w:r>
            <w:r>
              <w:rPr>
                <w:rFonts w:ascii="宋体" w:hAnsi="宋体" w:cs="宋体" w:eastAsia="宋体" w:hint="default"/>
                <w:spacing w:val="-5"/>
                <w:sz w:val="21"/>
                <w:szCs w:val="21"/>
              </w:rPr>
              <w:t>0.5</w:t>
            </w:r>
            <w:r>
              <w:rPr>
                <w:rFonts w:ascii="宋体" w:hAnsi="宋体" w:cs="宋体" w:eastAsia="宋体" w:hint="default"/>
                <w:spacing w:val="-5"/>
                <w:sz w:val="21"/>
                <w:szCs w:val="21"/>
              </w:rPr>
              <w:t>，则按</w:t>
            </w:r>
            <w:r>
              <w:rPr>
                <w:rFonts w:ascii="宋体" w:hAnsi="宋体" w:cs="宋体" w:eastAsia="宋体" w:hint="default"/>
                <w:spacing w:val="-49"/>
                <w:sz w:val="21"/>
                <w:szCs w:val="21"/>
              </w:rPr>
              <w:t> </w:t>
            </w:r>
            <w:r>
              <w:rPr>
                <w:rFonts w:ascii="宋体" w:hAnsi="宋体" w:cs="宋体" w:eastAsia="宋体" w:hint="default"/>
                <w:sz w:val="21"/>
                <w:szCs w:val="21"/>
              </w:rPr>
              <w:t>1</w:t>
            </w:r>
            <w:r>
              <w:rPr>
                <w:rFonts w:ascii="宋体" w:hAnsi="宋体" w:cs="宋体" w:eastAsia="宋体" w:hint="default"/>
                <w:spacing w:val="-46"/>
                <w:sz w:val="21"/>
                <w:szCs w:val="21"/>
              </w:rPr>
              <w:t> </w:t>
            </w:r>
            <w:r>
              <w:rPr>
                <w:rFonts w:ascii="宋体" w:hAnsi="宋体" w:cs="宋体" w:eastAsia="宋体" w:hint="default"/>
                <w:sz w:val="21"/>
                <w:szCs w:val="21"/>
              </w:rPr>
              <w:t>股</w:t>
            </w:r>
          </w:p>
        </w:tc>
        <w:tc>
          <w:tcPr>
            <w:tcW w:w="2024" w:type="dxa"/>
            <w:vMerge/>
            <w:tcBorders>
              <w:left w:val="single" w:sz="4" w:space="0" w:color="000000"/>
              <w:right w:val="single" w:sz="4" w:space="0" w:color="000000"/>
            </w:tcBorders>
          </w:tcPr>
          <w:p>
            <w:pPr/>
          </w:p>
        </w:tc>
        <w:tc>
          <w:tcPr>
            <w:tcW w:w="629"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r>
      <w:tr>
        <w:trPr>
          <w:trHeight w:val="273" w:hRule="exact"/>
        </w:trPr>
        <w:tc>
          <w:tcPr>
            <w:tcW w:w="1004" w:type="dxa"/>
            <w:vMerge/>
            <w:tcBorders>
              <w:left w:val="single" w:sz="4" w:space="0" w:color="000000"/>
              <w:right w:val="single" w:sz="4" w:space="0" w:color="000000"/>
            </w:tcBorders>
          </w:tcPr>
          <w:p>
            <w:pPr/>
          </w:p>
        </w:tc>
        <w:tc>
          <w:tcPr>
            <w:tcW w:w="631" w:type="dxa"/>
            <w:vMerge/>
            <w:tcBorders>
              <w:left w:val="single" w:sz="4" w:space="0" w:color="000000"/>
              <w:right w:val="single" w:sz="4" w:space="0" w:color="000000"/>
            </w:tcBorders>
          </w:tcPr>
          <w:p>
            <w:pPr/>
          </w:p>
        </w:tc>
        <w:tc>
          <w:tcPr>
            <w:tcW w:w="1178" w:type="dxa"/>
            <w:vMerge/>
            <w:tcBorders>
              <w:left w:val="single" w:sz="4" w:space="0" w:color="000000"/>
              <w:right w:val="single" w:sz="4" w:space="0" w:color="000000"/>
            </w:tcBorders>
          </w:tcPr>
          <w:p>
            <w:pPr/>
          </w:p>
        </w:tc>
        <w:tc>
          <w:tcPr>
            <w:tcW w:w="6008"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计算；若小于或等于</w:t>
            </w:r>
            <w:r>
              <w:rPr>
                <w:rFonts w:ascii="宋体" w:hAnsi="宋体" w:cs="宋体" w:eastAsia="宋体" w:hint="default"/>
                <w:spacing w:val="-5"/>
                <w:sz w:val="21"/>
                <w:szCs w:val="21"/>
              </w:rPr>
              <w:t> </w:t>
            </w:r>
            <w:r>
              <w:rPr>
                <w:rFonts w:ascii="宋体" w:hAnsi="宋体" w:cs="宋体" w:eastAsia="宋体" w:hint="default"/>
                <w:spacing w:val="-3"/>
                <w:sz w:val="21"/>
                <w:szCs w:val="21"/>
              </w:rPr>
              <w:t>0.5</w:t>
            </w:r>
            <w:r>
              <w:rPr>
                <w:rFonts w:ascii="宋体" w:hAnsi="宋体" w:cs="宋体" w:eastAsia="宋体" w:hint="default"/>
                <w:spacing w:val="-3"/>
                <w:sz w:val="21"/>
                <w:szCs w:val="21"/>
              </w:rPr>
              <w:t>，则忽略不计。在本次发行股份购买资</w:t>
            </w:r>
          </w:p>
        </w:tc>
        <w:tc>
          <w:tcPr>
            <w:tcW w:w="2024" w:type="dxa"/>
            <w:vMerge/>
            <w:tcBorders>
              <w:left w:val="single" w:sz="4" w:space="0" w:color="000000"/>
              <w:right w:val="single" w:sz="4" w:space="0" w:color="000000"/>
            </w:tcBorders>
          </w:tcPr>
          <w:p>
            <w:pPr/>
          </w:p>
        </w:tc>
        <w:tc>
          <w:tcPr>
            <w:tcW w:w="629"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r>
      <w:tr>
        <w:trPr>
          <w:trHeight w:val="273" w:hRule="exact"/>
        </w:trPr>
        <w:tc>
          <w:tcPr>
            <w:tcW w:w="1004" w:type="dxa"/>
            <w:vMerge/>
            <w:tcBorders>
              <w:left w:val="single" w:sz="4" w:space="0" w:color="000000"/>
              <w:right w:val="single" w:sz="4" w:space="0" w:color="000000"/>
            </w:tcBorders>
          </w:tcPr>
          <w:p>
            <w:pPr/>
          </w:p>
        </w:tc>
        <w:tc>
          <w:tcPr>
            <w:tcW w:w="631" w:type="dxa"/>
            <w:vMerge/>
            <w:tcBorders>
              <w:left w:val="single" w:sz="4" w:space="0" w:color="000000"/>
              <w:right w:val="single" w:sz="4" w:space="0" w:color="000000"/>
            </w:tcBorders>
          </w:tcPr>
          <w:p>
            <w:pPr/>
          </w:p>
        </w:tc>
        <w:tc>
          <w:tcPr>
            <w:tcW w:w="1178" w:type="dxa"/>
            <w:vMerge/>
            <w:tcBorders>
              <w:left w:val="single" w:sz="4" w:space="0" w:color="000000"/>
              <w:right w:val="single" w:sz="4" w:space="0" w:color="000000"/>
            </w:tcBorders>
          </w:tcPr>
          <w:p>
            <w:pPr/>
          </w:p>
        </w:tc>
        <w:tc>
          <w:tcPr>
            <w:tcW w:w="600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产的定价基准日至补偿完成日的期间内，若上市公司发生送股、</w:t>
            </w:r>
          </w:p>
        </w:tc>
        <w:tc>
          <w:tcPr>
            <w:tcW w:w="2024" w:type="dxa"/>
            <w:vMerge/>
            <w:tcBorders>
              <w:left w:val="single" w:sz="4" w:space="0" w:color="000000"/>
              <w:right w:val="single" w:sz="4" w:space="0" w:color="000000"/>
            </w:tcBorders>
          </w:tcPr>
          <w:p>
            <w:pPr/>
          </w:p>
        </w:tc>
        <w:tc>
          <w:tcPr>
            <w:tcW w:w="629"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r>
      <w:tr>
        <w:trPr>
          <w:trHeight w:val="272" w:hRule="exact"/>
        </w:trPr>
        <w:tc>
          <w:tcPr>
            <w:tcW w:w="1004" w:type="dxa"/>
            <w:vMerge/>
            <w:tcBorders>
              <w:left w:val="single" w:sz="4" w:space="0" w:color="000000"/>
              <w:right w:val="single" w:sz="4" w:space="0" w:color="000000"/>
            </w:tcBorders>
          </w:tcPr>
          <w:p>
            <w:pPr/>
          </w:p>
        </w:tc>
        <w:tc>
          <w:tcPr>
            <w:tcW w:w="631" w:type="dxa"/>
            <w:vMerge/>
            <w:tcBorders>
              <w:left w:val="single" w:sz="4" w:space="0" w:color="000000"/>
              <w:right w:val="single" w:sz="4" w:space="0" w:color="000000"/>
            </w:tcBorders>
          </w:tcPr>
          <w:p>
            <w:pPr/>
          </w:p>
        </w:tc>
        <w:tc>
          <w:tcPr>
            <w:tcW w:w="1178" w:type="dxa"/>
            <w:vMerge/>
            <w:tcBorders>
              <w:left w:val="single" w:sz="4" w:space="0" w:color="000000"/>
              <w:right w:val="single" w:sz="4" w:space="0" w:color="000000"/>
            </w:tcBorders>
          </w:tcPr>
          <w:p>
            <w:pPr/>
          </w:p>
        </w:tc>
        <w:tc>
          <w:tcPr>
            <w:tcW w:w="6008"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资本公积金转增股本或配股等除权、除息事项，则补偿股份数量</w:t>
            </w:r>
          </w:p>
        </w:tc>
        <w:tc>
          <w:tcPr>
            <w:tcW w:w="2024" w:type="dxa"/>
            <w:vMerge/>
            <w:tcBorders>
              <w:left w:val="single" w:sz="4" w:space="0" w:color="000000"/>
              <w:right w:val="single" w:sz="4" w:space="0" w:color="000000"/>
            </w:tcBorders>
          </w:tcPr>
          <w:p>
            <w:pPr/>
          </w:p>
        </w:tc>
        <w:tc>
          <w:tcPr>
            <w:tcW w:w="629"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r>
      <w:tr>
        <w:trPr>
          <w:trHeight w:val="272" w:hRule="exact"/>
        </w:trPr>
        <w:tc>
          <w:tcPr>
            <w:tcW w:w="1004" w:type="dxa"/>
            <w:vMerge/>
            <w:tcBorders>
              <w:left w:val="single" w:sz="4" w:space="0" w:color="000000"/>
              <w:right w:val="single" w:sz="4" w:space="0" w:color="000000"/>
            </w:tcBorders>
          </w:tcPr>
          <w:p>
            <w:pPr/>
          </w:p>
        </w:tc>
        <w:tc>
          <w:tcPr>
            <w:tcW w:w="631" w:type="dxa"/>
            <w:vMerge/>
            <w:tcBorders>
              <w:left w:val="single" w:sz="4" w:space="0" w:color="000000"/>
              <w:right w:val="single" w:sz="4" w:space="0" w:color="000000"/>
            </w:tcBorders>
          </w:tcPr>
          <w:p>
            <w:pPr/>
          </w:p>
        </w:tc>
        <w:tc>
          <w:tcPr>
            <w:tcW w:w="1178" w:type="dxa"/>
            <w:vMerge/>
            <w:tcBorders>
              <w:left w:val="single" w:sz="4" w:space="0" w:color="000000"/>
              <w:right w:val="single" w:sz="4" w:space="0" w:color="000000"/>
            </w:tcBorders>
          </w:tcPr>
          <w:p>
            <w:pPr/>
          </w:p>
        </w:tc>
        <w:tc>
          <w:tcPr>
            <w:tcW w:w="600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亦应据此作相应调整，具体计算公式为：业绩承诺方当年应补偿</w:t>
            </w:r>
          </w:p>
        </w:tc>
        <w:tc>
          <w:tcPr>
            <w:tcW w:w="2024" w:type="dxa"/>
            <w:vMerge/>
            <w:tcBorders>
              <w:left w:val="single" w:sz="4" w:space="0" w:color="000000"/>
              <w:right w:val="single" w:sz="4" w:space="0" w:color="000000"/>
            </w:tcBorders>
          </w:tcPr>
          <w:p>
            <w:pPr/>
          </w:p>
        </w:tc>
        <w:tc>
          <w:tcPr>
            <w:tcW w:w="629"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r>
      <w:tr>
        <w:trPr>
          <w:trHeight w:val="272" w:hRule="exact"/>
        </w:trPr>
        <w:tc>
          <w:tcPr>
            <w:tcW w:w="1004" w:type="dxa"/>
            <w:vMerge/>
            <w:tcBorders>
              <w:left w:val="single" w:sz="4" w:space="0" w:color="000000"/>
              <w:right w:val="single" w:sz="4" w:space="0" w:color="000000"/>
            </w:tcBorders>
          </w:tcPr>
          <w:p>
            <w:pPr/>
          </w:p>
        </w:tc>
        <w:tc>
          <w:tcPr>
            <w:tcW w:w="631" w:type="dxa"/>
            <w:vMerge/>
            <w:tcBorders>
              <w:left w:val="single" w:sz="4" w:space="0" w:color="000000"/>
              <w:right w:val="single" w:sz="4" w:space="0" w:color="000000"/>
            </w:tcBorders>
          </w:tcPr>
          <w:p>
            <w:pPr/>
          </w:p>
        </w:tc>
        <w:tc>
          <w:tcPr>
            <w:tcW w:w="1178" w:type="dxa"/>
            <w:vMerge/>
            <w:tcBorders>
              <w:left w:val="single" w:sz="4" w:space="0" w:color="000000"/>
              <w:right w:val="single" w:sz="4" w:space="0" w:color="000000"/>
            </w:tcBorders>
          </w:tcPr>
          <w:p>
            <w:pPr/>
          </w:p>
        </w:tc>
        <w:tc>
          <w:tcPr>
            <w:tcW w:w="6008"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股份数量（调整后）＝业绩承诺方当年应补偿股份数量×（</w:t>
            </w:r>
            <w:r>
              <w:rPr>
                <w:rFonts w:ascii="宋体" w:hAnsi="宋体" w:cs="宋体" w:eastAsia="宋体" w:hint="default"/>
                <w:sz w:val="21"/>
                <w:szCs w:val="21"/>
              </w:rPr>
              <w:t>1</w:t>
            </w:r>
            <w:r>
              <w:rPr>
                <w:rFonts w:ascii="宋体" w:hAnsi="宋体" w:cs="宋体" w:eastAsia="宋体" w:hint="default"/>
                <w:sz w:val="21"/>
                <w:szCs w:val="21"/>
              </w:rPr>
              <w:t>＋</w:t>
            </w:r>
          </w:p>
        </w:tc>
        <w:tc>
          <w:tcPr>
            <w:tcW w:w="2024" w:type="dxa"/>
            <w:vMerge/>
            <w:tcBorders>
              <w:left w:val="single" w:sz="4" w:space="0" w:color="000000"/>
              <w:right w:val="single" w:sz="4" w:space="0" w:color="000000"/>
            </w:tcBorders>
          </w:tcPr>
          <w:p>
            <w:pPr/>
          </w:p>
        </w:tc>
        <w:tc>
          <w:tcPr>
            <w:tcW w:w="629"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r>
      <w:tr>
        <w:trPr>
          <w:trHeight w:val="272" w:hRule="exact"/>
        </w:trPr>
        <w:tc>
          <w:tcPr>
            <w:tcW w:w="1004" w:type="dxa"/>
            <w:vMerge/>
            <w:tcBorders>
              <w:left w:val="single" w:sz="4" w:space="0" w:color="000000"/>
              <w:right w:val="single" w:sz="4" w:space="0" w:color="000000"/>
            </w:tcBorders>
          </w:tcPr>
          <w:p>
            <w:pPr/>
          </w:p>
        </w:tc>
        <w:tc>
          <w:tcPr>
            <w:tcW w:w="631" w:type="dxa"/>
            <w:vMerge/>
            <w:tcBorders>
              <w:left w:val="single" w:sz="4" w:space="0" w:color="000000"/>
              <w:right w:val="single" w:sz="4" w:space="0" w:color="000000"/>
            </w:tcBorders>
          </w:tcPr>
          <w:p>
            <w:pPr/>
          </w:p>
        </w:tc>
        <w:tc>
          <w:tcPr>
            <w:tcW w:w="1178" w:type="dxa"/>
            <w:vMerge/>
            <w:tcBorders>
              <w:left w:val="single" w:sz="4" w:space="0" w:color="000000"/>
              <w:right w:val="single" w:sz="4" w:space="0" w:color="000000"/>
            </w:tcBorders>
          </w:tcPr>
          <w:p>
            <w:pPr/>
          </w:p>
        </w:tc>
        <w:tc>
          <w:tcPr>
            <w:tcW w:w="600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转增或送股比例）。在</w:t>
            </w:r>
            <w:r>
              <w:rPr>
                <w:rFonts w:ascii="宋体" w:hAnsi="宋体" w:cs="宋体" w:eastAsia="宋体" w:hint="default"/>
                <w:spacing w:val="-45"/>
                <w:sz w:val="21"/>
                <w:szCs w:val="21"/>
              </w:rPr>
              <w:t> </w:t>
            </w:r>
            <w:r>
              <w:rPr>
                <w:rFonts w:ascii="宋体" w:hAnsi="宋体" w:cs="宋体" w:eastAsia="宋体" w:hint="default"/>
                <w:sz w:val="21"/>
                <w:szCs w:val="21"/>
              </w:rPr>
              <w:t>2016</w:t>
            </w:r>
            <w:r>
              <w:rPr>
                <w:rFonts w:ascii="宋体" w:hAnsi="宋体" w:cs="宋体" w:eastAsia="宋体" w:hint="default"/>
                <w:spacing w:val="-46"/>
                <w:sz w:val="21"/>
                <w:szCs w:val="21"/>
              </w:rPr>
              <w:t> </w:t>
            </w:r>
            <w:r>
              <w:rPr>
                <w:rFonts w:ascii="宋体" w:hAnsi="宋体" w:cs="宋体" w:eastAsia="宋体" w:hint="default"/>
                <w:spacing w:val="-4"/>
                <w:sz w:val="21"/>
                <w:szCs w:val="21"/>
              </w:rPr>
              <w:t>年度、</w:t>
            </w:r>
            <w:r>
              <w:rPr>
                <w:rFonts w:ascii="宋体" w:hAnsi="宋体" w:cs="宋体" w:eastAsia="宋体" w:hint="default"/>
                <w:spacing w:val="-4"/>
                <w:sz w:val="21"/>
                <w:szCs w:val="21"/>
              </w:rPr>
              <w:t>2017</w:t>
            </w:r>
            <w:r>
              <w:rPr>
                <w:rFonts w:ascii="宋体" w:hAnsi="宋体" w:cs="宋体" w:eastAsia="宋体" w:hint="default"/>
                <w:spacing w:val="-49"/>
                <w:sz w:val="21"/>
                <w:szCs w:val="21"/>
              </w:rPr>
              <w:t> </w:t>
            </w:r>
            <w:r>
              <w:rPr>
                <w:rFonts w:ascii="宋体" w:hAnsi="宋体" w:cs="宋体" w:eastAsia="宋体" w:hint="default"/>
                <w:spacing w:val="-4"/>
                <w:sz w:val="21"/>
                <w:szCs w:val="21"/>
              </w:rPr>
              <w:t>年度、</w:t>
            </w:r>
            <w:r>
              <w:rPr>
                <w:rFonts w:ascii="宋体" w:hAnsi="宋体" w:cs="宋体" w:eastAsia="宋体" w:hint="default"/>
                <w:spacing w:val="-4"/>
                <w:sz w:val="21"/>
                <w:szCs w:val="21"/>
              </w:rPr>
              <w:t>2018</w:t>
            </w:r>
            <w:r>
              <w:rPr>
                <w:rFonts w:ascii="宋体" w:hAnsi="宋体" w:cs="宋体" w:eastAsia="宋体" w:hint="default"/>
                <w:spacing w:val="-49"/>
                <w:sz w:val="21"/>
                <w:szCs w:val="21"/>
              </w:rPr>
              <w:t> </w:t>
            </w:r>
            <w:r>
              <w:rPr>
                <w:rFonts w:ascii="宋体" w:hAnsi="宋体" w:cs="宋体" w:eastAsia="宋体" w:hint="default"/>
                <w:sz w:val="21"/>
                <w:szCs w:val="21"/>
              </w:rPr>
              <w:t>年度中的任</w:t>
            </w:r>
          </w:p>
        </w:tc>
        <w:tc>
          <w:tcPr>
            <w:tcW w:w="2024" w:type="dxa"/>
            <w:vMerge/>
            <w:tcBorders>
              <w:left w:val="single" w:sz="4" w:space="0" w:color="000000"/>
              <w:right w:val="single" w:sz="4" w:space="0" w:color="000000"/>
            </w:tcBorders>
          </w:tcPr>
          <w:p>
            <w:pPr/>
          </w:p>
        </w:tc>
        <w:tc>
          <w:tcPr>
            <w:tcW w:w="629"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r>
      <w:tr>
        <w:trPr>
          <w:trHeight w:val="272" w:hRule="exact"/>
        </w:trPr>
        <w:tc>
          <w:tcPr>
            <w:tcW w:w="1004" w:type="dxa"/>
            <w:vMerge/>
            <w:tcBorders>
              <w:left w:val="single" w:sz="4" w:space="0" w:color="000000"/>
              <w:right w:val="single" w:sz="4" w:space="0" w:color="000000"/>
            </w:tcBorders>
          </w:tcPr>
          <w:p>
            <w:pPr/>
          </w:p>
        </w:tc>
        <w:tc>
          <w:tcPr>
            <w:tcW w:w="631" w:type="dxa"/>
            <w:vMerge/>
            <w:tcBorders>
              <w:left w:val="single" w:sz="4" w:space="0" w:color="000000"/>
              <w:right w:val="single" w:sz="4" w:space="0" w:color="000000"/>
            </w:tcBorders>
          </w:tcPr>
          <w:p>
            <w:pPr/>
          </w:p>
        </w:tc>
        <w:tc>
          <w:tcPr>
            <w:tcW w:w="1178" w:type="dxa"/>
            <w:vMerge/>
            <w:tcBorders>
              <w:left w:val="single" w:sz="4" w:space="0" w:color="000000"/>
              <w:right w:val="single" w:sz="4" w:space="0" w:color="000000"/>
            </w:tcBorders>
          </w:tcPr>
          <w:p>
            <w:pPr/>
          </w:p>
        </w:tc>
        <w:tc>
          <w:tcPr>
            <w:tcW w:w="6008"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一年度，若依据上述公式（</w:t>
            </w:r>
            <w:r>
              <w:rPr>
                <w:rFonts w:ascii="宋体" w:hAnsi="宋体" w:cs="宋体" w:eastAsia="宋体" w:hint="default"/>
                <w:sz w:val="21"/>
                <w:szCs w:val="21"/>
              </w:rPr>
              <w:t>a</w:t>
            </w:r>
            <w:r>
              <w:rPr>
                <w:rFonts w:ascii="宋体" w:hAnsi="宋体" w:cs="宋体" w:eastAsia="宋体" w:hint="default"/>
                <w:sz w:val="21"/>
                <w:szCs w:val="21"/>
              </w:rPr>
              <w:t>）确定的业绩承诺方当年应补偿的</w:t>
            </w:r>
          </w:p>
        </w:tc>
        <w:tc>
          <w:tcPr>
            <w:tcW w:w="2024" w:type="dxa"/>
            <w:vMerge/>
            <w:tcBorders>
              <w:left w:val="single" w:sz="4" w:space="0" w:color="000000"/>
              <w:right w:val="single" w:sz="4" w:space="0" w:color="000000"/>
            </w:tcBorders>
          </w:tcPr>
          <w:p>
            <w:pPr/>
          </w:p>
        </w:tc>
        <w:tc>
          <w:tcPr>
            <w:tcW w:w="629"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r>
      <w:tr>
        <w:trPr>
          <w:trHeight w:val="272" w:hRule="exact"/>
        </w:trPr>
        <w:tc>
          <w:tcPr>
            <w:tcW w:w="1004" w:type="dxa"/>
            <w:vMerge/>
            <w:tcBorders>
              <w:left w:val="single" w:sz="4" w:space="0" w:color="000000"/>
              <w:right w:val="single" w:sz="4" w:space="0" w:color="000000"/>
            </w:tcBorders>
          </w:tcPr>
          <w:p>
            <w:pPr/>
          </w:p>
        </w:tc>
        <w:tc>
          <w:tcPr>
            <w:tcW w:w="631" w:type="dxa"/>
            <w:vMerge/>
            <w:tcBorders>
              <w:left w:val="single" w:sz="4" w:space="0" w:color="000000"/>
              <w:right w:val="single" w:sz="4" w:space="0" w:color="000000"/>
            </w:tcBorders>
          </w:tcPr>
          <w:p>
            <w:pPr/>
          </w:p>
        </w:tc>
        <w:tc>
          <w:tcPr>
            <w:tcW w:w="1178" w:type="dxa"/>
            <w:vMerge/>
            <w:tcBorders>
              <w:left w:val="single" w:sz="4" w:space="0" w:color="000000"/>
              <w:right w:val="single" w:sz="4" w:space="0" w:color="000000"/>
            </w:tcBorders>
          </w:tcPr>
          <w:p>
            <w:pPr/>
          </w:p>
        </w:tc>
        <w:tc>
          <w:tcPr>
            <w:tcW w:w="600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股份数为正数，则业绩承诺方应以该等股份对上市公司进行补</w:t>
            </w:r>
          </w:p>
        </w:tc>
        <w:tc>
          <w:tcPr>
            <w:tcW w:w="2024" w:type="dxa"/>
            <w:vMerge/>
            <w:tcBorders>
              <w:left w:val="single" w:sz="4" w:space="0" w:color="000000"/>
              <w:right w:val="single" w:sz="4" w:space="0" w:color="000000"/>
            </w:tcBorders>
          </w:tcPr>
          <w:p>
            <w:pPr/>
          </w:p>
        </w:tc>
        <w:tc>
          <w:tcPr>
            <w:tcW w:w="629"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r>
      <w:tr>
        <w:trPr>
          <w:trHeight w:val="272" w:hRule="exact"/>
        </w:trPr>
        <w:tc>
          <w:tcPr>
            <w:tcW w:w="1004" w:type="dxa"/>
            <w:vMerge/>
            <w:tcBorders>
              <w:left w:val="single" w:sz="4" w:space="0" w:color="000000"/>
              <w:right w:val="single" w:sz="4" w:space="0" w:color="000000"/>
            </w:tcBorders>
          </w:tcPr>
          <w:p>
            <w:pPr/>
          </w:p>
        </w:tc>
        <w:tc>
          <w:tcPr>
            <w:tcW w:w="631" w:type="dxa"/>
            <w:vMerge/>
            <w:tcBorders>
              <w:left w:val="single" w:sz="4" w:space="0" w:color="000000"/>
              <w:right w:val="single" w:sz="4" w:space="0" w:color="000000"/>
            </w:tcBorders>
          </w:tcPr>
          <w:p>
            <w:pPr/>
          </w:p>
        </w:tc>
        <w:tc>
          <w:tcPr>
            <w:tcW w:w="1178" w:type="dxa"/>
            <w:vMerge/>
            <w:tcBorders>
              <w:left w:val="single" w:sz="4" w:space="0" w:color="000000"/>
              <w:right w:val="single" w:sz="4" w:space="0" w:color="000000"/>
            </w:tcBorders>
          </w:tcPr>
          <w:p>
            <w:pPr/>
          </w:p>
        </w:tc>
        <w:tc>
          <w:tcPr>
            <w:tcW w:w="6008"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偿。上市公司在《专项审核报告》披露后的</w:t>
            </w:r>
            <w:r>
              <w:rPr>
                <w:rFonts w:ascii="宋体" w:hAnsi="宋体" w:cs="宋体" w:eastAsia="宋体" w:hint="default"/>
                <w:spacing w:val="-54"/>
                <w:sz w:val="21"/>
                <w:szCs w:val="21"/>
              </w:rPr>
              <w:t> </w:t>
            </w:r>
            <w:r>
              <w:rPr>
                <w:rFonts w:ascii="宋体" w:hAnsi="宋体" w:cs="宋体" w:eastAsia="宋体" w:hint="default"/>
                <w:sz w:val="21"/>
                <w:szCs w:val="21"/>
              </w:rPr>
              <w:t>20</w:t>
            </w:r>
            <w:r>
              <w:rPr>
                <w:rFonts w:ascii="宋体" w:hAnsi="宋体" w:cs="宋体" w:eastAsia="宋体" w:hint="default"/>
                <w:spacing w:val="-55"/>
                <w:sz w:val="21"/>
                <w:szCs w:val="21"/>
              </w:rPr>
              <w:t> </w:t>
            </w:r>
            <w:r>
              <w:rPr>
                <w:rFonts w:ascii="宋体" w:hAnsi="宋体" w:cs="宋体" w:eastAsia="宋体" w:hint="default"/>
                <w:sz w:val="21"/>
                <w:szCs w:val="21"/>
              </w:rPr>
              <w:t>个工作日内协助</w:t>
            </w:r>
          </w:p>
        </w:tc>
        <w:tc>
          <w:tcPr>
            <w:tcW w:w="2024" w:type="dxa"/>
            <w:vMerge/>
            <w:tcBorders>
              <w:left w:val="single" w:sz="4" w:space="0" w:color="000000"/>
              <w:right w:val="single" w:sz="4" w:space="0" w:color="000000"/>
            </w:tcBorders>
          </w:tcPr>
          <w:p>
            <w:pPr/>
          </w:p>
        </w:tc>
        <w:tc>
          <w:tcPr>
            <w:tcW w:w="629"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r>
      <w:tr>
        <w:trPr>
          <w:trHeight w:val="273" w:hRule="exact"/>
        </w:trPr>
        <w:tc>
          <w:tcPr>
            <w:tcW w:w="1004" w:type="dxa"/>
            <w:vMerge/>
            <w:tcBorders>
              <w:left w:val="single" w:sz="4" w:space="0" w:color="000000"/>
              <w:right w:val="single" w:sz="4" w:space="0" w:color="000000"/>
            </w:tcBorders>
          </w:tcPr>
          <w:p>
            <w:pPr/>
          </w:p>
        </w:tc>
        <w:tc>
          <w:tcPr>
            <w:tcW w:w="631" w:type="dxa"/>
            <w:vMerge/>
            <w:tcBorders>
              <w:left w:val="single" w:sz="4" w:space="0" w:color="000000"/>
              <w:right w:val="single" w:sz="4" w:space="0" w:color="000000"/>
            </w:tcBorders>
          </w:tcPr>
          <w:p>
            <w:pPr/>
          </w:p>
        </w:tc>
        <w:tc>
          <w:tcPr>
            <w:tcW w:w="1178" w:type="dxa"/>
            <w:vMerge/>
            <w:tcBorders>
              <w:left w:val="single" w:sz="4" w:space="0" w:color="000000"/>
              <w:right w:val="single" w:sz="4" w:space="0" w:color="000000"/>
            </w:tcBorders>
          </w:tcPr>
          <w:p>
            <w:pPr/>
          </w:p>
        </w:tc>
        <w:tc>
          <w:tcPr>
            <w:tcW w:w="600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业绩承诺方通知证券登记机构将业绩承诺方持有的等额数量的</w:t>
            </w:r>
          </w:p>
        </w:tc>
        <w:tc>
          <w:tcPr>
            <w:tcW w:w="2024" w:type="dxa"/>
            <w:vMerge/>
            <w:tcBorders>
              <w:left w:val="single" w:sz="4" w:space="0" w:color="000000"/>
              <w:right w:val="single" w:sz="4" w:space="0" w:color="000000"/>
            </w:tcBorders>
          </w:tcPr>
          <w:p>
            <w:pPr/>
          </w:p>
        </w:tc>
        <w:tc>
          <w:tcPr>
            <w:tcW w:w="629"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r>
      <w:tr>
        <w:trPr>
          <w:trHeight w:val="273" w:hRule="exact"/>
        </w:trPr>
        <w:tc>
          <w:tcPr>
            <w:tcW w:w="1004" w:type="dxa"/>
            <w:vMerge/>
            <w:tcBorders>
              <w:left w:val="single" w:sz="4" w:space="0" w:color="000000"/>
              <w:right w:val="single" w:sz="4" w:space="0" w:color="000000"/>
            </w:tcBorders>
          </w:tcPr>
          <w:p>
            <w:pPr/>
          </w:p>
        </w:tc>
        <w:tc>
          <w:tcPr>
            <w:tcW w:w="631" w:type="dxa"/>
            <w:vMerge/>
            <w:tcBorders>
              <w:left w:val="single" w:sz="4" w:space="0" w:color="000000"/>
              <w:right w:val="single" w:sz="4" w:space="0" w:color="000000"/>
            </w:tcBorders>
          </w:tcPr>
          <w:p>
            <w:pPr/>
          </w:p>
        </w:tc>
        <w:tc>
          <w:tcPr>
            <w:tcW w:w="1178" w:type="dxa"/>
            <w:vMerge/>
            <w:tcBorders>
              <w:left w:val="single" w:sz="4" w:space="0" w:color="000000"/>
              <w:right w:val="single" w:sz="4" w:space="0" w:color="000000"/>
            </w:tcBorders>
          </w:tcPr>
          <w:p>
            <w:pPr/>
          </w:p>
        </w:tc>
        <w:tc>
          <w:tcPr>
            <w:tcW w:w="6008"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上市公司股份进行单独锁定，并应在随后</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6"/>
                <w:sz w:val="21"/>
                <w:szCs w:val="21"/>
              </w:rPr>
              <w:t> </w:t>
            </w:r>
            <w:r>
              <w:rPr>
                <w:rFonts w:ascii="宋体" w:hAnsi="宋体" w:cs="宋体" w:eastAsia="宋体" w:hint="default"/>
                <w:sz w:val="21"/>
                <w:szCs w:val="21"/>
              </w:rPr>
              <w:t>日内召开股东大会</w:t>
            </w:r>
          </w:p>
        </w:tc>
        <w:tc>
          <w:tcPr>
            <w:tcW w:w="2024" w:type="dxa"/>
            <w:vMerge/>
            <w:tcBorders>
              <w:left w:val="single" w:sz="4" w:space="0" w:color="000000"/>
              <w:right w:val="single" w:sz="4" w:space="0" w:color="000000"/>
            </w:tcBorders>
          </w:tcPr>
          <w:p>
            <w:pPr/>
          </w:p>
        </w:tc>
        <w:tc>
          <w:tcPr>
            <w:tcW w:w="629"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r>
      <w:tr>
        <w:trPr>
          <w:trHeight w:val="271" w:hRule="exact"/>
        </w:trPr>
        <w:tc>
          <w:tcPr>
            <w:tcW w:w="1004" w:type="dxa"/>
            <w:vMerge/>
            <w:tcBorders>
              <w:left w:val="single" w:sz="4" w:space="0" w:color="000000"/>
              <w:right w:val="single" w:sz="4" w:space="0" w:color="000000"/>
            </w:tcBorders>
          </w:tcPr>
          <w:p>
            <w:pPr/>
          </w:p>
        </w:tc>
        <w:tc>
          <w:tcPr>
            <w:tcW w:w="631" w:type="dxa"/>
            <w:vMerge/>
            <w:tcBorders>
              <w:left w:val="single" w:sz="4" w:space="0" w:color="000000"/>
              <w:right w:val="single" w:sz="4" w:space="0" w:color="000000"/>
            </w:tcBorders>
          </w:tcPr>
          <w:p>
            <w:pPr/>
          </w:p>
        </w:tc>
        <w:tc>
          <w:tcPr>
            <w:tcW w:w="1178" w:type="dxa"/>
            <w:vMerge/>
            <w:tcBorders>
              <w:left w:val="single" w:sz="4" w:space="0" w:color="000000"/>
              <w:right w:val="single" w:sz="4" w:space="0" w:color="000000"/>
            </w:tcBorders>
          </w:tcPr>
          <w:p>
            <w:pPr/>
          </w:p>
        </w:tc>
        <w:tc>
          <w:tcPr>
            <w:tcW w:w="600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审议股份回购事宜。上市公司股东大会审议通过股份回购事宜</w:t>
            </w:r>
          </w:p>
        </w:tc>
        <w:tc>
          <w:tcPr>
            <w:tcW w:w="2024" w:type="dxa"/>
            <w:vMerge/>
            <w:tcBorders>
              <w:left w:val="single" w:sz="4" w:space="0" w:color="000000"/>
              <w:right w:val="single" w:sz="4" w:space="0" w:color="000000"/>
            </w:tcBorders>
          </w:tcPr>
          <w:p>
            <w:pPr/>
          </w:p>
        </w:tc>
        <w:tc>
          <w:tcPr>
            <w:tcW w:w="629"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r>
      <w:tr>
        <w:trPr>
          <w:trHeight w:val="272" w:hRule="exact"/>
        </w:trPr>
        <w:tc>
          <w:tcPr>
            <w:tcW w:w="1004" w:type="dxa"/>
            <w:vMerge/>
            <w:tcBorders>
              <w:left w:val="single" w:sz="4" w:space="0" w:color="000000"/>
              <w:right w:val="single" w:sz="4" w:space="0" w:color="000000"/>
            </w:tcBorders>
          </w:tcPr>
          <w:p>
            <w:pPr/>
          </w:p>
        </w:tc>
        <w:tc>
          <w:tcPr>
            <w:tcW w:w="631" w:type="dxa"/>
            <w:vMerge/>
            <w:tcBorders>
              <w:left w:val="single" w:sz="4" w:space="0" w:color="000000"/>
              <w:right w:val="single" w:sz="4" w:space="0" w:color="000000"/>
            </w:tcBorders>
          </w:tcPr>
          <w:p>
            <w:pPr/>
          </w:p>
        </w:tc>
        <w:tc>
          <w:tcPr>
            <w:tcW w:w="1178" w:type="dxa"/>
            <w:vMerge/>
            <w:tcBorders>
              <w:left w:val="single" w:sz="4" w:space="0" w:color="000000"/>
              <w:right w:val="single" w:sz="4" w:space="0" w:color="000000"/>
            </w:tcBorders>
          </w:tcPr>
          <w:p>
            <w:pPr/>
          </w:p>
        </w:tc>
        <w:tc>
          <w:tcPr>
            <w:tcW w:w="600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后，上市公司将以</w:t>
            </w:r>
            <w:r>
              <w:rPr>
                <w:rFonts w:ascii="宋体" w:hAnsi="宋体" w:cs="宋体" w:eastAsia="宋体" w:hint="default"/>
                <w:spacing w:val="-53"/>
                <w:sz w:val="21"/>
                <w:szCs w:val="21"/>
              </w:rPr>
              <w:t> </w:t>
            </w:r>
            <w:r>
              <w:rPr>
                <w:rFonts w:ascii="宋体" w:hAnsi="宋体" w:cs="宋体" w:eastAsia="宋体" w:hint="default"/>
                <w:sz w:val="21"/>
                <w:szCs w:val="21"/>
              </w:rPr>
              <w:t>1.00</w:t>
            </w:r>
            <w:r>
              <w:rPr>
                <w:rFonts w:ascii="宋体" w:hAnsi="宋体" w:cs="宋体" w:eastAsia="宋体" w:hint="default"/>
                <w:spacing w:val="-56"/>
                <w:sz w:val="21"/>
                <w:szCs w:val="21"/>
              </w:rPr>
              <w:t> </w:t>
            </w:r>
            <w:r>
              <w:rPr>
                <w:rFonts w:ascii="宋体" w:hAnsi="宋体" w:cs="宋体" w:eastAsia="宋体" w:hint="default"/>
                <w:sz w:val="21"/>
                <w:szCs w:val="21"/>
              </w:rPr>
              <w:t>元的总价格定向回购业绩承诺方当年应</w:t>
            </w:r>
          </w:p>
        </w:tc>
        <w:tc>
          <w:tcPr>
            <w:tcW w:w="2024" w:type="dxa"/>
            <w:vMerge/>
            <w:tcBorders>
              <w:left w:val="single" w:sz="4" w:space="0" w:color="000000"/>
              <w:right w:val="single" w:sz="4" w:space="0" w:color="000000"/>
            </w:tcBorders>
          </w:tcPr>
          <w:p>
            <w:pPr/>
          </w:p>
        </w:tc>
        <w:tc>
          <w:tcPr>
            <w:tcW w:w="629"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r>
      <w:tr>
        <w:trPr>
          <w:trHeight w:val="272" w:hRule="exact"/>
        </w:trPr>
        <w:tc>
          <w:tcPr>
            <w:tcW w:w="1004" w:type="dxa"/>
            <w:vMerge/>
            <w:tcBorders>
              <w:left w:val="single" w:sz="4" w:space="0" w:color="000000"/>
              <w:right w:val="single" w:sz="4" w:space="0" w:color="000000"/>
            </w:tcBorders>
          </w:tcPr>
          <w:p>
            <w:pPr/>
          </w:p>
        </w:tc>
        <w:tc>
          <w:tcPr>
            <w:tcW w:w="631" w:type="dxa"/>
            <w:vMerge/>
            <w:tcBorders>
              <w:left w:val="single" w:sz="4" w:space="0" w:color="000000"/>
              <w:right w:val="single" w:sz="4" w:space="0" w:color="000000"/>
            </w:tcBorders>
          </w:tcPr>
          <w:p>
            <w:pPr/>
          </w:p>
        </w:tc>
        <w:tc>
          <w:tcPr>
            <w:tcW w:w="1178" w:type="dxa"/>
            <w:vMerge/>
            <w:tcBorders>
              <w:left w:val="single" w:sz="4" w:space="0" w:color="000000"/>
              <w:right w:val="single" w:sz="4" w:space="0" w:color="000000"/>
            </w:tcBorders>
          </w:tcPr>
          <w:p>
            <w:pPr/>
          </w:p>
        </w:tc>
        <w:tc>
          <w:tcPr>
            <w:tcW w:w="6008"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补偿股份并予以注销（以下简称“回购注销方案”）。在业绩承</w:t>
            </w:r>
          </w:p>
        </w:tc>
        <w:tc>
          <w:tcPr>
            <w:tcW w:w="2024" w:type="dxa"/>
            <w:vMerge/>
            <w:tcBorders>
              <w:left w:val="single" w:sz="4" w:space="0" w:color="000000"/>
              <w:right w:val="single" w:sz="4" w:space="0" w:color="000000"/>
            </w:tcBorders>
          </w:tcPr>
          <w:p>
            <w:pPr/>
          </w:p>
        </w:tc>
        <w:tc>
          <w:tcPr>
            <w:tcW w:w="629"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r>
      <w:tr>
        <w:trPr>
          <w:trHeight w:val="272" w:hRule="exact"/>
        </w:trPr>
        <w:tc>
          <w:tcPr>
            <w:tcW w:w="1004" w:type="dxa"/>
            <w:vMerge/>
            <w:tcBorders>
              <w:left w:val="single" w:sz="4" w:space="0" w:color="000000"/>
              <w:right w:val="single" w:sz="4" w:space="0" w:color="000000"/>
            </w:tcBorders>
          </w:tcPr>
          <w:p>
            <w:pPr/>
          </w:p>
        </w:tc>
        <w:tc>
          <w:tcPr>
            <w:tcW w:w="631" w:type="dxa"/>
            <w:vMerge/>
            <w:tcBorders>
              <w:left w:val="single" w:sz="4" w:space="0" w:color="000000"/>
              <w:right w:val="single" w:sz="4" w:space="0" w:color="000000"/>
            </w:tcBorders>
          </w:tcPr>
          <w:p>
            <w:pPr/>
          </w:p>
        </w:tc>
        <w:tc>
          <w:tcPr>
            <w:tcW w:w="1178" w:type="dxa"/>
            <w:vMerge/>
            <w:tcBorders>
              <w:left w:val="single" w:sz="4" w:space="0" w:color="000000"/>
              <w:right w:val="single" w:sz="4" w:space="0" w:color="000000"/>
            </w:tcBorders>
          </w:tcPr>
          <w:p>
            <w:pPr/>
          </w:p>
        </w:tc>
        <w:tc>
          <w:tcPr>
            <w:tcW w:w="600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诺方</w:t>
            </w:r>
            <w:r>
              <w:rPr>
                <w:rFonts w:ascii="宋体" w:hAnsi="宋体" w:cs="宋体" w:eastAsia="宋体" w:hint="default"/>
                <w:spacing w:val="-3"/>
                <w:w w:val="100"/>
                <w:sz w:val="21"/>
                <w:szCs w:val="21"/>
              </w:rPr>
              <w:t>需</w:t>
            </w:r>
            <w:r>
              <w:rPr>
                <w:rFonts w:ascii="宋体" w:hAnsi="宋体" w:cs="宋体" w:eastAsia="宋体" w:hint="default"/>
                <w:w w:val="100"/>
                <w:sz w:val="21"/>
                <w:szCs w:val="21"/>
              </w:rPr>
              <w:t>以</w:t>
            </w:r>
            <w:r>
              <w:rPr>
                <w:rFonts w:ascii="宋体" w:hAnsi="宋体" w:cs="宋体" w:eastAsia="宋体" w:hint="default"/>
                <w:spacing w:val="-3"/>
                <w:w w:val="100"/>
                <w:sz w:val="21"/>
                <w:szCs w:val="21"/>
              </w:rPr>
              <w:t>其</w:t>
            </w:r>
            <w:r>
              <w:rPr>
                <w:rFonts w:ascii="宋体" w:hAnsi="宋体" w:cs="宋体" w:eastAsia="宋体" w:hint="default"/>
                <w:w w:val="100"/>
                <w:sz w:val="21"/>
                <w:szCs w:val="21"/>
              </w:rPr>
              <w:t>所</w:t>
            </w:r>
            <w:r>
              <w:rPr>
                <w:rFonts w:ascii="宋体" w:hAnsi="宋体" w:cs="宋体" w:eastAsia="宋体" w:hint="default"/>
                <w:spacing w:val="-3"/>
                <w:w w:val="100"/>
                <w:sz w:val="21"/>
                <w:szCs w:val="21"/>
              </w:rPr>
              <w:t>持</w:t>
            </w:r>
            <w:r>
              <w:rPr>
                <w:rFonts w:ascii="宋体" w:hAnsi="宋体" w:cs="宋体" w:eastAsia="宋体" w:hint="default"/>
                <w:w w:val="100"/>
                <w:sz w:val="21"/>
                <w:szCs w:val="21"/>
              </w:rPr>
              <w:t>上</w:t>
            </w:r>
            <w:r>
              <w:rPr>
                <w:rFonts w:ascii="宋体" w:hAnsi="宋体" w:cs="宋体" w:eastAsia="宋体" w:hint="default"/>
                <w:spacing w:val="-3"/>
                <w:w w:val="100"/>
                <w:sz w:val="21"/>
                <w:szCs w:val="21"/>
              </w:rPr>
              <w:t>市</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股份</w:t>
            </w:r>
            <w:r>
              <w:rPr>
                <w:rFonts w:ascii="宋体" w:hAnsi="宋体" w:cs="宋体" w:eastAsia="宋体" w:hint="default"/>
                <w:spacing w:val="-3"/>
                <w:w w:val="100"/>
                <w:sz w:val="21"/>
                <w:szCs w:val="21"/>
              </w:rPr>
              <w:t>履</w:t>
            </w:r>
            <w:r>
              <w:rPr>
                <w:rFonts w:ascii="宋体" w:hAnsi="宋体" w:cs="宋体" w:eastAsia="宋体" w:hint="default"/>
                <w:w w:val="100"/>
                <w:sz w:val="21"/>
                <w:szCs w:val="21"/>
              </w:rPr>
              <w:t>行</w:t>
            </w:r>
            <w:r>
              <w:rPr>
                <w:rFonts w:ascii="宋体" w:hAnsi="宋体" w:cs="宋体" w:eastAsia="宋体" w:hint="default"/>
                <w:spacing w:val="-3"/>
                <w:w w:val="100"/>
                <w:sz w:val="21"/>
                <w:szCs w:val="21"/>
              </w:rPr>
              <w:t>业</w:t>
            </w:r>
            <w:r>
              <w:rPr>
                <w:rFonts w:ascii="宋体" w:hAnsi="宋体" w:cs="宋体" w:eastAsia="宋体" w:hint="default"/>
                <w:w w:val="100"/>
                <w:sz w:val="21"/>
                <w:szCs w:val="21"/>
              </w:rPr>
              <w:t>绩</w:t>
            </w:r>
            <w:r>
              <w:rPr>
                <w:rFonts w:ascii="宋体" w:hAnsi="宋体" w:cs="宋体" w:eastAsia="宋体" w:hint="default"/>
                <w:spacing w:val="-3"/>
                <w:w w:val="100"/>
                <w:sz w:val="21"/>
                <w:szCs w:val="21"/>
              </w:rPr>
              <w:t>补</w:t>
            </w:r>
            <w:r>
              <w:rPr>
                <w:rFonts w:ascii="宋体" w:hAnsi="宋体" w:cs="宋体" w:eastAsia="宋体" w:hint="default"/>
                <w:w w:val="100"/>
                <w:sz w:val="21"/>
                <w:szCs w:val="21"/>
              </w:rPr>
              <w:t>偿</w:t>
            </w:r>
            <w:r>
              <w:rPr>
                <w:rFonts w:ascii="宋体" w:hAnsi="宋体" w:cs="宋体" w:eastAsia="宋体" w:hint="default"/>
                <w:spacing w:val="-3"/>
                <w:w w:val="100"/>
                <w:sz w:val="21"/>
                <w:szCs w:val="21"/>
              </w:rPr>
              <w:t>义</w:t>
            </w:r>
            <w:r>
              <w:rPr>
                <w:rFonts w:ascii="宋体" w:hAnsi="宋体" w:cs="宋体" w:eastAsia="宋体" w:hint="default"/>
                <w:w w:val="100"/>
                <w:sz w:val="21"/>
                <w:szCs w:val="21"/>
              </w:rPr>
              <w:t>务</w:t>
            </w:r>
            <w:r>
              <w:rPr>
                <w:rFonts w:ascii="宋体" w:hAnsi="宋体" w:cs="宋体" w:eastAsia="宋体" w:hint="default"/>
                <w:spacing w:val="-3"/>
                <w:w w:val="100"/>
                <w:sz w:val="21"/>
                <w:szCs w:val="21"/>
              </w:rPr>
              <w:t>的</w:t>
            </w:r>
            <w:r>
              <w:rPr>
                <w:rFonts w:ascii="宋体" w:hAnsi="宋体" w:cs="宋体" w:eastAsia="宋体" w:hint="default"/>
                <w:w w:val="100"/>
                <w:sz w:val="21"/>
                <w:szCs w:val="21"/>
              </w:rPr>
              <w:t>情</w:t>
            </w:r>
            <w:r>
              <w:rPr>
                <w:rFonts w:ascii="宋体" w:hAnsi="宋体" w:cs="宋体" w:eastAsia="宋体" w:hint="default"/>
                <w:spacing w:val="-3"/>
                <w:w w:val="100"/>
                <w:sz w:val="21"/>
                <w:szCs w:val="21"/>
              </w:rPr>
              <w:t>形</w:t>
            </w:r>
            <w:r>
              <w:rPr>
                <w:rFonts w:ascii="宋体" w:hAnsi="宋体" w:cs="宋体" w:eastAsia="宋体" w:hint="default"/>
                <w:spacing w:val="-89"/>
                <w:w w:val="100"/>
                <w:sz w:val="21"/>
                <w:szCs w:val="21"/>
              </w:rPr>
              <w:t>，</w:t>
            </w:r>
            <w:r>
              <w:rPr>
                <w:rFonts w:ascii="宋体" w:hAnsi="宋体" w:cs="宋体" w:eastAsia="宋体" w:hint="default"/>
                <w:spacing w:val="-3"/>
                <w:w w:val="100"/>
                <w:sz w:val="21"/>
                <w:szCs w:val="21"/>
              </w:rPr>
              <w:t>经</w:t>
            </w:r>
            <w:r>
              <w:rPr>
                <w:rFonts w:ascii="宋体" w:hAnsi="宋体" w:cs="宋体" w:eastAsia="宋体" w:hint="default"/>
                <w:w w:val="100"/>
                <w:sz w:val="21"/>
                <w:szCs w:val="21"/>
              </w:rPr>
              <w:t>上市</w:t>
            </w:r>
          </w:p>
        </w:tc>
        <w:tc>
          <w:tcPr>
            <w:tcW w:w="2024" w:type="dxa"/>
            <w:vMerge/>
            <w:tcBorders>
              <w:left w:val="single" w:sz="4" w:space="0" w:color="000000"/>
              <w:right w:val="single" w:sz="4" w:space="0" w:color="000000"/>
            </w:tcBorders>
          </w:tcPr>
          <w:p>
            <w:pPr/>
          </w:p>
        </w:tc>
        <w:tc>
          <w:tcPr>
            <w:tcW w:w="629"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r>
      <w:tr>
        <w:trPr>
          <w:trHeight w:val="272" w:hRule="exact"/>
        </w:trPr>
        <w:tc>
          <w:tcPr>
            <w:tcW w:w="1004" w:type="dxa"/>
            <w:vMerge/>
            <w:tcBorders>
              <w:left w:val="single" w:sz="4" w:space="0" w:color="000000"/>
              <w:right w:val="single" w:sz="4" w:space="0" w:color="000000"/>
            </w:tcBorders>
          </w:tcPr>
          <w:p>
            <w:pPr/>
          </w:p>
        </w:tc>
        <w:tc>
          <w:tcPr>
            <w:tcW w:w="631" w:type="dxa"/>
            <w:vMerge/>
            <w:tcBorders>
              <w:left w:val="single" w:sz="4" w:space="0" w:color="000000"/>
              <w:right w:val="single" w:sz="4" w:space="0" w:color="000000"/>
            </w:tcBorders>
          </w:tcPr>
          <w:p>
            <w:pPr/>
          </w:p>
        </w:tc>
        <w:tc>
          <w:tcPr>
            <w:tcW w:w="1178" w:type="dxa"/>
            <w:vMerge/>
            <w:tcBorders>
              <w:left w:val="single" w:sz="4" w:space="0" w:color="000000"/>
              <w:right w:val="single" w:sz="4" w:space="0" w:color="000000"/>
            </w:tcBorders>
          </w:tcPr>
          <w:p>
            <w:pPr/>
          </w:p>
        </w:tc>
        <w:tc>
          <w:tcPr>
            <w:tcW w:w="6008"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公司</w:t>
            </w:r>
            <w:r>
              <w:rPr>
                <w:rFonts w:ascii="宋体" w:hAnsi="宋体" w:cs="宋体" w:eastAsia="宋体" w:hint="default"/>
                <w:spacing w:val="-3"/>
                <w:w w:val="100"/>
                <w:sz w:val="21"/>
                <w:szCs w:val="21"/>
              </w:rPr>
              <w:t>董</w:t>
            </w:r>
            <w:r>
              <w:rPr>
                <w:rFonts w:ascii="宋体" w:hAnsi="宋体" w:cs="宋体" w:eastAsia="宋体" w:hint="default"/>
                <w:w w:val="100"/>
                <w:sz w:val="21"/>
                <w:szCs w:val="21"/>
              </w:rPr>
              <w:t>事</w:t>
            </w:r>
            <w:r>
              <w:rPr>
                <w:rFonts w:ascii="宋体" w:hAnsi="宋体" w:cs="宋体" w:eastAsia="宋体" w:hint="default"/>
                <w:spacing w:val="-3"/>
                <w:w w:val="100"/>
                <w:sz w:val="21"/>
                <w:szCs w:val="21"/>
              </w:rPr>
              <w:t>会</w:t>
            </w:r>
            <w:r>
              <w:rPr>
                <w:rFonts w:ascii="宋体" w:hAnsi="宋体" w:cs="宋体" w:eastAsia="宋体" w:hint="default"/>
                <w:w w:val="100"/>
                <w:sz w:val="21"/>
                <w:szCs w:val="21"/>
              </w:rPr>
              <w:t>提</w:t>
            </w:r>
            <w:r>
              <w:rPr>
                <w:rFonts w:ascii="宋体" w:hAnsi="宋体" w:cs="宋体" w:eastAsia="宋体" w:hint="default"/>
                <w:spacing w:val="-3"/>
                <w:w w:val="100"/>
                <w:sz w:val="21"/>
                <w:szCs w:val="21"/>
              </w:rPr>
              <w:t>请</w:t>
            </w:r>
            <w:r>
              <w:rPr>
                <w:rFonts w:ascii="宋体" w:hAnsi="宋体" w:cs="宋体" w:eastAsia="宋体" w:hint="default"/>
                <w:w w:val="100"/>
                <w:sz w:val="21"/>
                <w:szCs w:val="21"/>
              </w:rPr>
              <w:t>股</w:t>
            </w:r>
            <w:r>
              <w:rPr>
                <w:rFonts w:ascii="宋体" w:hAnsi="宋体" w:cs="宋体" w:eastAsia="宋体" w:hint="default"/>
                <w:spacing w:val="-3"/>
                <w:w w:val="100"/>
                <w:sz w:val="21"/>
                <w:szCs w:val="21"/>
              </w:rPr>
              <w:t>东</w:t>
            </w:r>
            <w:r>
              <w:rPr>
                <w:rFonts w:ascii="宋体" w:hAnsi="宋体" w:cs="宋体" w:eastAsia="宋体" w:hint="default"/>
                <w:w w:val="100"/>
                <w:sz w:val="21"/>
                <w:szCs w:val="21"/>
              </w:rPr>
              <w:t>大</w:t>
            </w:r>
            <w:r>
              <w:rPr>
                <w:rFonts w:ascii="宋体" w:hAnsi="宋体" w:cs="宋体" w:eastAsia="宋体" w:hint="default"/>
                <w:spacing w:val="-3"/>
                <w:w w:val="100"/>
                <w:sz w:val="21"/>
                <w:szCs w:val="21"/>
              </w:rPr>
              <w:t>会</w:t>
            </w:r>
            <w:r>
              <w:rPr>
                <w:rFonts w:ascii="宋体" w:hAnsi="宋体" w:cs="宋体" w:eastAsia="宋体" w:hint="default"/>
                <w:w w:val="100"/>
                <w:sz w:val="21"/>
                <w:szCs w:val="21"/>
              </w:rPr>
              <w:t>审议</w:t>
            </w:r>
            <w:r>
              <w:rPr>
                <w:rFonts w:ascii="宋体" w:hAnsi="宋体" w:cs="宋体" w:eastAsia="宋体" w:hint="default"/>
                <w:spacing w:val="-3"/>
                <w:w w:val="100"/>
                <w:sz w:val="21"/>
                <w:szCs w:val="21"/>
              </w:rPr>
              <w:t>通过</w:t>
            </w:r>
            <w:r>
              <w:rPr>
                <w:rFonts w:ascii="宋体" w:hAnsi="宋体" w:cs="宋体" w:eastAsia="宋体" w:hint="default"/>
                <w:spacing w:val="-89"/>
                <w:w w:val="100"/>
                <w:sz w:val="21"/>
                <w:szCs w:val="21"/>
              </w:rPr>
              <w:t>，</w:t>
            </w:r>
            <w:r>
              <w:rPr>
                <w:rFonts w:ascii="宋体" w:hAnsi="宋体" w:cs="宋体" w:eastAsia="宋体" w:hint="default"/>
                <w:spacing w:val="-3"/>
                <w:w w:val="100"/>
                <w:sz w:val="21"/>
                <w:szCs w:val="21"/>
              </w:rPr>
              <w:t>业</w:t>
            </w:r>
            <w:r>
              <w:rPr>
                <w:rFonts w:ascii="宋体" w:hAnsi="宋体" w:cs="宋体" w:eastAsia="宋体" w:hint="default"/>
                <w:w w:val="100"/>
                <w:sz w:val="21"/>
                <w:szCs w:val="21"/>
              </w:rPr>
              <w:t>绩</w:t>
            </w:r>
            <w:r>
              <w:rPr>
                <w:rFonts w:ascii="宋体" w:hAnsi="宋体" w:cs="宋体" w:eastAsia="宋体" w:hint="default"/>
                <w:spacing w:val="-3"/>
                <w:w w:val="100"/>
                <w:sz w:val="21"/>
                <w:szCs w:val="21"/>
              </w:rPr>
              <w:t>承</w:t>
            </w:r>
            <w:r>
              <w:rPr>
                <w:rFonts w:ascii="宋体" w:hAnsi="宋体" w:cs="宋体" w:eastAsia="宋体" w:hint="default"/>
                <w:w w:val="100"/>
                <w:sz w:val="21"/>
                <w:szCs w:val="21"/>
              </w:rPr>
              <w:t>诺</w:t>
            </w:r>
            <w:r>
              <w:rPr>
                <w:rFonts w:ascii="宋体" w:hAnsi="宋体" w:cs="宋体" w:eastAsia="宋体" w:hint="default"/>
                <w:spacing w:val="-3"/>
                <w:w w:val="100"/>
                <w:sz w:val="21"/>
                <w:szCs w:val="21"/>
              </w:rPr>
              <w:t>方</w:t>
            </w:r>
            <w:r>
              <w:rPr>
                <w:rFonts w:ascii="宋体" w:hAnsi="宋体" w:cs="宋体" w:eastAsia="宋体" w:hint="default"/>
                <w:w w:val="100"/>
                <w:sz w:val="21"/>
                <w:szCs w:val="21"/>
              </w:rPr>
              <w:t>可</w:t>
            </w:r>
            <w:r>
              <w:rPr>
                <w:rFonts w:ascii="宋体" w:hAnsi="宋体" w:cs="宋体" w:eastAsia="宋体" w:hint="default"/>
                <w:spacing w:val="-3"/>
                <w:w w:val="100"/>
                <w:sz w:val="21"/>
                <w:szCs w:val="21"/>
              </w:rPr>
              <w:t>以</w:t>
            </w:r>
            <w:r>
              <w:rPr>
                <w:rFonts w:ascii="宋体" w:hAnsi="宋体" w:cs="宋体" w:eastAsia="宋体" w:hint="default"/>
                <w:w w:val="100"/>
                <w:sz w:val="21"/>
                <w:szCs w:val="21"/>
              </w:rPr>
              <w:t>向其</w:t>
            </w:r>
            <w:r>
              <w:rPr>
                <w:rFonts w:ascii="宋体" w:hAnsi="宋体" w:cs="宋体" w:eastAsia="宋体" w:hint="default"/>
                <w:spacing w:val="-3"/>
                <w:w w:val="100"/>
                <w:sz w:val="21"/>
                <w:szCs w:val="21"/>
              </w:rPr>
              <w:t>他</w:t>
            </w:r>
            <w:r>
              <w:rPr>
                <w:rFonts w:ascii="宋体" w:hAnsi="宋体" w:cs="宋体" w:eastAsia="宋体" w:hint="default"/>
                <w:w w:val="100"/>
                <w:sz w:val="21"/>
                <w:szCs w:val="21"/>
              </w:rPr>
              <w:t>股东</w:t>
            </w:r>
          </w:p>
        </w:tc>
        <w:tc>
          <w:tcPr>
            <w:tcW w:w="2024" w:type="dxa"/>
            <w:vMerge/>
            <w:tcBorders>
              <w:left w:val="single" w:sz="4" w:space="0" w:color="000000"/>
              <w:right w:val="single" w:sz="4" w:space="0" w:color="000000"/>
            </w:tcBorders>
          </w:tcPr>
          <w:p>
            <w:pPr/>
          </w:p>
        </w:tc>
        <w:tc>
          <w:tcPr>
            <w:tcW w:w="629"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r>
      <w:tr>
        <w:trPr>
          <w:trHeight w:val="272" w:hRule="exact"/>
        </w:trPr>
        <w:tc>
          <w:tcPr>
            <w:tcW w:w="1004" w:type="dxa"/>
            <w:vMerge/>
            <w:tcBorders>
              <w:left w:val="single" w:sz="4" w:space="0" w:color="000000"/>
              <w:right w:val="single" w:sz="4" w:space="0" w:color="000000"/>
            </w:tcBorders>
          </w:tcPr>
          <w:p>
            <w:pPr/>
          </w:p>
        </w:tc>
        <w:tc>
          <w:tcPr>
            <w:tcW w:w="631" w:type="dxa"/>
            <w:vMerge/>
            <w:tcBorders>
              <w:left w:val="single" w:sz="4" w:space="0" w:color="000000"/>
              <w:right w:val="single" w:sz="4" w:space="0" w:color="000000"/>
            </w:tcBorders>
          </w:tcPr>
          <w:p>
            <w:pPr/>
          </w:p>
        </w:tc>
        <w:tc>
          <w:tcPr>
            <w:tcW w:w="1178" w:type="dxa"/>
            <w:vMerge/>
            <w:tcBorders>
              <w:left w:val="single" w:sz="4" w:space="0" w:color="000000"/>
              <w:right w:val="single" w:sz="4" w:space="0" w:color="000000"/>
            </w:tcBorders>
          </w:tcPr>
          <w:p>
            <w:pPr/>
          </w:p>
        </w:tc>
        <w:tc>
          <w:tcPr>
            <w:tcW w:w="600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无偿赠予股份的方式实施盈利补偿。本条款中，“其他股东”系</w:t>
            </w:r>
          </w:p>
        </w:tc>
        <w:tc>
          <w:tcPr>
            <w:tcW w:w="2024" w:type="dxa"/>
            <w:vMerge/>
            <w:tcBorders>
              <w:left w:val="single" w:sz="4" w:space="0" w:color="000000"/>
              <w:right w:val="single" w:sz="4" w:space="0" w:color="000000"/>
            </w:tcBorders>
          </w:tcPr>
          <w:p>
            <w:pPr/>
          </w:p>
        </w:tc>
        <w:tc>
          <w:tcPr>
            <w:tcW w:w="629"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r>
      <w:tr>
        <w:trPr>
          <w:trHeight w:val="272" w:hRule="exact"/>
        </w:trPr>
        <w:tc>
          <w:tcPr>
            <w:tcW w:w="1004" w:type="dxa"/>
            <w:vMerge/>
            <w:tcBorders>
              <w:left w:val="single" w:sz="4" w:space="0" w:color="000000"/>
              <w:right w:val="single" w:sz="4" w:space="0" w:color="000000"/>
            </w:tcBorders>
          </w:tcPr>
          <w:p>
            <w:pPr/>
          </w:p>
        </w:tc>
        <w:tc>
          <w:tcPr>
            <w:tcW w:w="631" w:type="dxa"/>
            <w:vMerge/>
            <w:tcBorders>
              <w:left w:val="single" w:sz="4" w:space="0" w:color="000000"/>
              <w:right w:val="single" w:sz="4" w:space="0" w:color="000000"/>
            </w:tcBorders>
          </w:tcPr>
          <w:p>
            <w:pPr/>
          </w:p>
        </w:tc>
        <w:tc>
          <w:tcPr>
            <w:tcW w:w="1178" w:type="dxa"/>
            <w:vMerge/>
            <w:tcBorders>
              <w:left w:val="single" w:sz="4" w:space="0" w:color="000000"/>
              <w:right w:val="single" w:sz="4" w:space="0" w:color="000000"/>
            </w:tcBorders>
          </w:tcPr>
          <w:p>
            <w:pPr/>
          </w:p>
        </w:tc>
        <w:tc>
          <w:tcPr>
            <w:tcW w:w="6008"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指截</w:t>
            </w:r>
            <w:r>
              <w:rPr>
                <w:rFonts w:ascii="宋体" w:hAnsi="宋体" w:cs="宋体" w:eastAsia="宋体" w:hint="default"/>
                <w:spacing w:val="-3"/>
                <w:w w:val="100"/>
                <w:sz w:val="21"/>
                <w:szCs w:val="21"/>
              </w:rPr>
              <w:t>至</w:t>
            </w:r>
            <w:r>
              <w:rPr>
                <w:rFonts w:ascii="宋体" w:hAnsi="宋体" w:cs="宋体" w:eastAsia="宋体" w:hint="default"/>
                <w:w w:val="100"/>
                <w:sz w:val="21"/>
                <w:szCs w:val="21"/>
              </w:rPr>
              <w:t>业</w:t>
            </w:r>
            <w:r>
              <w:rPr>
                <w:rFonts w:ascii="宋体" w:hAnsi="宋体" w:cs="宋体" w:eastAsia="宋体" w:hint="default"/>
                <w:spacing w:val="-3"/>
                <w:w w:val="100"/>
                <w:sz w:val="21"/>
                <w:szCs w:val="21"/>
              </w:rPr>
              <w:t>绩</w:t>
            </w:r>
            <w:r>
              <w:rPr>
                <w:rFonts w:ascii="宋体" w:hAnsi="宋体" w:cs="宋体" w:eastAsia="宋体" w:hint="default"/>
                <w:w w:val="100"/>
                <w:sz w:val="21"/>
                <w:szCs w:val="21"/>
              </w:rPr>
              <w:t>承</w:t>
            </w:r>
            <w:r>
              <w:rPr>
                <w:rFonts w:ascii="宋体" w:hAnsi="宋体" w:cs="宋体" w:eastAsia="宋体" w:hint="default"/>
                <w:spacing w:val="-3"/>
                <w:w w:val="100"/>
                <w:sz w:val="21"/>
                <w:szCs w:val="21"/>
              </w:rPr>
              <w:t>诺</w:t>
            </w:r>
            <w:r>
              <w:rPr>
                <w:rFonts w:ascii="宋体" w:hAnsi="宋体" w:cs="宋体" w:eastAsia="宋体" w:hint="default"/>
                <w:w w:val="100"/>
                <w:sz w:val="21"/>
                <w:szCs w:val="21"/>
              </w:rPr>
              <w:t>方</w:t>
            </w:r>
            <w:r>
              <w:rPr>
                <w:rFonts w:ascii="宋体" w:hAnsi="宋体" w:cs="宋体" w:eastAsia="宋体" w:hint="default"/>
                <w:spacing w:val="-3"/>
                <w:w w:val="100"/>
                <w:sz w:val="21"/>
                <w:szCs w:val="21"/>
              </w:rPr>
              <w:t>赠</w:t>
            </w:r>
            <w:r>
              <w:rPr>
                <w:rFonts w:ascii="宋体" w:hAnsi="宋体" w:cs="宋体" w:eastAsia="宋体" w:hint="default"/>
                <w:w w:val="100"/>
                <w:sz w:val="21"/>
                <w:szCs w:val="21"/>
              </w:rPr>
              <w:t>予</w:t>
            </w:r>
            <w:r>
              <w:rPr>
                <w:rFonts w:ascii="宋体" w:hAnsi="宋体" w:cs="宋体" w:eastAsia="宋体" w:hint="default"/>
                <w:spacing w:val="-3"/>
                <w:w w:val="100"/>
                <w:sz w:val="21"/>
                <w:szCs w:val="21"/>
              </w:rPr>
              <w:t>股</w:t>
            </w:r>
            <w:r>
              <w:rPr>
                <w:rFonts w:ascii="宋体" w:hAnsi="宋体" w:cs="宋体" w:eastAsia="宋体" w:hint="default"/>
                <w:w w:val="100"/>
                <w:sz w:val="21"/>
                <w:szCs w:val="21"/>
              </w:rPr>
              <w:t>份实</w:t>
            </w:r>
            <w:r>
              <w:rPr>
                <w:rFonts w:ascii="宋体" w:hAnsi="宋体" w:cs="宋体" w:eastAsia="宋体" w:hint="default"/>
                <w:spacing w:val="-3"/>
                <w:w w:val="100"/>
                <w:sz w:val="21"/>
                <w:szCs w:val="21"/>
              </w:rPr>
              <w:t>施</w:t>
            </w:r>
            <w:r>
              <w:rPr>
                <w:rFonts w:ascii="宋体" w:hAnsi="宋体" w:cs="宋体" w:eastAsia="宋体" w:hint="default"/>
                <w:w w:val="100"/>
                <w:sz w:val="21"/>
                <w:szCs w:val="21"/>
              </w:rPr>
              <w:t>公</w:t>
            </w:r>
            <w:r>
              <w:rPr>
                <w:rFonts w:ascii="宋体" w:hAnsi="宋体" w:cs="宋体" w:eastAsia="宋体" w:hint="default"/>
                <w:spacing w:val="-3"/>
                <w:w w:val="100"/>
                <w:sz w:val="21"/>
                <w:szCs w:val="21"/>
              </w:rPr>
              <w:t>告</w:t>
            </w:r>
            <w:r>
              <w:rPr>
                <w:rFonts w:ascii="宋体" w:hAnsi="宋体" w:cs="宋体" w:eastAsia="宋体" w:hint="default"/>
                <w:w w:val="100"/>
                <w:sz w:val="21"/>
                <w:szCs w:val="21"/>
              </w:rPr>
              <w:t>中</w:t>
            </w:r>
            <w:r>
              <w:rPr>
                <w:rFonts w:ascii="宋体" w:hAnsi="宋体" w:cs="宋体" w:eastAsia="宋体" w:hint="default"/>
                <w:spacing w:val="-3"/>
                <w:w w:val="100"/>
                <w:sz w:val="21"/>
                <w:szCs w:val="21"/>
              </w:rPr>
              <w:t>所</w:t>
            </w:r>
            <w:r>
              <w:rPr>
                <w:rFonts w:ascii="宋体" w:hAnsi="宋体" w:cs="宋体" w:eastAsia="宋体" w:hint="default"/>
                <w:w w:val="100"/>
                <w:sz w:val="21"/>
                <w:szCs w:val="21"/>
              </w:rPr>
              <w:t>确</w:t>
            </w:r>
            <w:r>
              <w:rPr>
                <w:rFonts w:ascii="宋体" w:hAnsi="宋体" w:cs="宋体" w:eastAsia="宋体" w:hint="default"/>
                <w:spacing w:val="-3"/>
                <w:w w:val="100"/>
                <w:sz w:val="21"/>
                <w:szCs w:val="21"/>
              </w:rPr>
              <w:t>定</w:t>
            </w:r>
            <w:r>
              <w:rPr>
                <w:rFonts w:ascii="宋体" w:hAnsi="宋体" w:cs="宋体" w:eastAsia="宋体" w:hint="default"/>
                <w:w w:val="100"/>
                <w:sz w:val="21"/>
                <w:szCs w:val="21"/>
              </w:rPr>
              <w:t>的</w:t>
            </w:r>
            <w:r>
              <w:rPr>
                <w:rFonts w:ascii="宋体" w:hAnsi="宋体" w:cs="宋体" w:eastAsia="宋体" w:hint="default"/>
                <w:spacing w:val="-3"/>
                <w:w w:val="100"/>
                <w:sz w:val="21"/>
                <w:szCs w:val="21"/>
              </w:rPr>
              <w:t>股</w:t>
            </w:r>
            <w:r>
              <w:rPr>
                <w:rFonts w:ascii="宋体" w:hAnsi="宋体" w:cs="宋体" w:eastAsia="宋体" w:hint="default"/>
                <w:w w:val="100"/>
                <w:sz w:val="21"/>
                <w:szCs w:val="21"/>
              </w:rPr>
              <w:t>权登</w:t>
            </w:r>
            <w:r>
              <w:rPr>
                <w:rFonts w:ascii="宋体" w:hAnsi="宋体" w:cs="宋体" w:eastAsia="宋体" w:hint="default"/>
                <w:spacing w:val="-3"/>
                <w:w w:val="100"/>
                <w:sz w:val="21"/>
                <w:szCs w:val="21"/>
              </w:rPr>
              <w:t>记日</w:t>
            </w:r>
            <w:r>
              <w:rPr>
                <w:rFonts w:ascii="宋体" w:hAnsi="宋体" w:cs="宋体" w:eastAsia="宋体" w:hint="default"/>
                <w:spacing w:val="-89"/>
                <w:w w:val="100"/>
                <w:sz w:val="21"/>
                <w:szCs w:val="21"/>
              </w:rPr>
              <w:t>，</w:t>
            </w:r>
            <w:r>
              <w:rPr>
                <w:rFonts w:ascii="宋体" w:hAnsi="宋体" w:cs="宋体" w:eastAsia="宋体" w:hint="default"/>
                <w:w w:val="100"/>
                <w:sz w:val="21"/>
                <w:szCs w:val="21"/>
              </w:rPr>
              <w:t>除</w:t>
            </w:r>
          </w:p>
        </w:tc>
        <w:tc>
          <w:tcPr>
            <w:tcW w:w="2024" w:type="dxa"/>
            <w:vMerge/>
            <w:tcBorders>
              <w:left w:val="single" w:sz="4" w:space="0" w:color="000000"/>
              <w:right w:val="single" w:sz="4" w:space="0" w:color="000000"/>
            </w:tcBorders>
          </w:tcPr>
          <w:p>
            <w:pPr/>
          </w:p>
        </w:tc>
        <w:tc>
          <w:tcPr>
            <w:tcW w:w="629"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r>
      <w:tr>
        <w:trPr>
          <w:trHeight w:val="272" w:hRule="exact"/>
        </w:trPr>
        <w:tc>
          <w:tcPr>
            <w:tcW w:w="1004" w:type="dxa"/>
            <w:vMerge/>
            <w:tcBorders>
              <w:left w:val="single" w:sz="4" w:space="0" w:color="000000"/>
              <w:right w:val="single" w:sz="4" w:space="0" w:color="000000"/>
            </w:tcBorders>
          </w:tcPr>
          <w:p>
            <w:pPr/>
          </w:p>
        </w:tc>
        <w:tc>
          <w:tcPr>
            <w:tcW w:w="631" w:type="dxa"/>
            <w:vMerge/>
            <w:tcBorders>
              <w:left w:val="single" w:sz="4" w:space="0" w:color="000000"/>
              <w:right w:val="single" w:sz="4" w:space="0" w:color="000000"/>
            </w:tcBorders>
          </w:tcPr>
          <w:p>
            <w:pPr/>
          </w:p>
        </w:tc>
        <w:tc>
          <w:tcPr>
            <w:tcW w:w="1178" w:type="dxa"/>
            <w:vMerge/>
            <w:tcBorders>
              <w:left w:val="single" w:sz="4" w:space="0" w:color="000000"/>
              <w:right w:val="single" w:sz="4" w:space="0" w:color="000000"/>
            </w:tcBorders>
          </w:tcPr>
          <w:p>
            <w:pPr/>
          </w:p>
        </w:tc>
        <w:tc>
          <w:tcPr>
            <w:tcW w:w="600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业绩</w:t>
            </w:r>
            <w:r>
              <w:rPr>
                <w:rFonts w:ascii="宋体" w:hAnsi="宋体" w:cs="宋体" w:eastAsia="宋体" w:hint="default"/>
                <w:spacing w:val="-3"/>
                <w:w w:val="100"/>
                <w:sz w:val="21"/>
                <w:szCs w:val="21"/>
              </w:rPr>
              <w:t>承</w:t>
            </w:r>
            <w:r>
              <w:rPr>
                <w:rFonts w:ascii="宋体" w:hAnsi="宋体" w:cs="宋体" w:eastAsia="宋体" w:hint="default"/>
                <w:w w:val="100"/>
                <w:sz w:val="21"/>
                <w:szCs w:val="21"/>
              </w:rPr>
              <w:t>诺</w:t>
            </w:r>
            <w:r>
              <w:rPr>
                <w:rFonts w:ascii="宋体" w:hAnsi="宋体" w:cs="宋体" w:eastAsia="宋体" w:hint="default"/>
                <w:spacing w:val="-3"/>
                <w:w w:val="100"/>
                <w:sz w:val="21"/>
                <w:szCs w:val="21"/>
              </w:rPr>
              <w:t>方</w:t>
            </w:r>
            <w:r>
              <w:rPr>
                <w:rFonts w:ascii="宋体" w:hAnsi="宋体" w:cs="宋体" w:eastAsia="宋体" w:hint="default"/>
                <w:w w:val="100"/>
                <w:sz w:val="21"/>
                <w:szCs w:val="21"/>
              </w:rPr>
              <w:t>之</w:t>
            </w:r>
            <w:r>
              <w:rPr>
                <w:rFonts w:ascii="宋体" w:hAnsi="宋体" w:cs="宋体" w:eastAsia="宋体" w:hint="default"/>
                <w:spacing w:val="-3"/>
                <w:w w:val="100"/>
                <w:sz w:val="21"/>
                <w:szCs w:val="21"/>
              </w:rPr>
              <w:t>外</w:t>
            </w:r>
            <w:r>
              <w:rPr>
                <w:rFonts w:ascii="宋体" w:hAnsi="宋体" w:cs="宋体" w:eastAsia="宋体" w:hint="default"/>
                <w:w w:val="100"/>
                <w:sz w:val="21"/>
                <w:szCs w:val="21"/>
              </w:rPr>
              <w:t>的</w:t>
            </w:r>
            <w:r>
              <w:rPr>
                <w:rFonts w:ascii="宋体" w:hAnsi="宋体" w:cs="宋体" w:eastAsia="宋体" w:hint="default"/>
                <w:spacing w:val="-3"/>
                <w:w w:val="100"/>
                <w:sz w:val="21"/>
                <w:szCs w:val="21"/>
              </w:rPr>
              <w:t>其</w:t>
            </w:r>
            <w:r>
              <w:rPr>
                <w:rFonts w:ascii="宋体" w:hAnsi="宋体" w:cs="宋体" w:eastAsia="宋体" w:hint="default"/>
                <w:w w:val="100"/>
                <w:sz w:val="21"/>
                <w:szCs w:val="21"/>
              </w:rPr>
              <w:t>他</w:t>
            </w:r>
            <w:r>
              <w:rPr>
                <w:rFonts w:ascii="宋体" w:hAnsi="宋体" w:cs="宋体" w:eastAsia="宋体" w:hint="default"/>
                <w:spacing w:val="-3"/>
                <w:w w:val="100"/>
                <w:sz w:val="21"/>
                <w:szCs w:val="21"/>
              </w:rPr>
              <w:t>上</w:t>
            </w:r>
            <w:r>
              <w:rPr>
                <w:rFonts w:ascii="宋体" w:hAnsi="宋体" w:cs="宋体" w:eastAsia="宋体" w:hint="default"/>
                <w:w w:val="100"/>
                <w:sz w:val="21"/>
                <w:szCs w:val="21"/>
              </w:rPr>
              <w:t>市公</w:t>
            </w:r>
            <w:r>
              <w:rPr>
                <w:rFonts w:ascii="宋体" w:hAnsi="宋体" w:cs="宋体" w:eastAsia="宋体" w:hint="default"/>
                <w:spacing w:val="-3"/>
                <w:w w:val="100"/>
                <w:sz w:val="21"/>
                <w:szCs w:val="21"/>
              </w:rPr>
              <w:t>司</w:t>
            </w:r>
            <w:r>
              <w:rPr>
                <w:rFonts w:ascii="宋体" w:hAnsi="宋体" w:cs="宋体" w:eastAsia="宋体" w:hint="default"/>
                <w:w w:val="100"/>
                <w:sz w:val="21"/>
                <w:szCs w:val="21"/>
              </w:rPr>
              <w:t>股</w:t>
            </w:r>
            <w:r>
              <w:rPr>
                <w:rFonts w:ascii="宋体" w:hAnsi="宋体" w:cs="宋体" w:eastAsia="宋体" w:hint="default"/>
                <w:spacing w:val="-3"/>
                <w:w w:val="100"/>
                <w:sz w:val="21"/>
                <w:szCs w:val="21"/>
              </w:rPr>
              <w:t>东</w:t>
            </w:r>
            <w:r>
              <w:rPr>
                <w:rFonts w:ascii="宋体" w:hAnsi="宋体" w:cs="宋体" w:eastAsia="宋体" w:hint="default"/>
                <w:spacing w:val="-92"/>
                <w:w w:val="100"/>
                <w:sz w:val="21"/>
                <w:szCs w:val="21"/>
              </w:rPr>
              <w:t>。</w:t>
            </w:r>
            <w:r>
              <w:rPr>
                <w:rFonts w:ascii="宋体" w:hAnsi="宋体" w:cs="宋体" w:eastAsia="宋体" w:hint="default"/>
                <w:w w:val="100"/>
                <w:sz w:val="21"/>
                <w:szCs w:val="21"/>
              </w:rPr>
              <w:t>其</w:t>
            </w:r>
            <w:r>
              <w:rPr>
                <w:rFonts w:ascii="宋体" w:hAnsi="宋体" w:cs="宋体" w:eastAsia="宋体" w:hint="default"/>
                <w:spacing w:val="-3"/>
                <w:w w:val="100"/>
                <w:sz w:val="21"/>
                <w:szCs w:val="21"/>
              </w:rPr>
              <w:t>他</w:t>
            </w:r>
            <w:r>
              <w:rPr>
                <w:rFonts w:ascii="宋体" w:hAnsi="宋体" w:cs="宋体" w:eastAsia="宋体" w:hint="default"/>
                <w:w w:val="100"/>
                <w:sz w:val="21"/>
                <w:szCs w:val="21"/>
              </w:rPr>
              <w:t>股</w:t>
            </w:r>
            <w:r>
              <w:rPr>
                <w:rFonts w:ascii="宋体" w:hAnsi="宋体" w:cs="宋体" w:eastAsia="宋体" w:hint="default"/>
                <w:spacing w:val="-3"/>
                <w:w w:val="100"/>
                <w:sz w:val="21"/>
                <w:szCs w:val="21"/>
              </w:rPr>
              <w:t>东</w:t>
            </w:r>
            <w:r>
              <w:rPr>
                <w:rFonts w:ascii="宋体" w:hAnsi="宋体" w:cs="宋体" w:eastAsia="宋体" w:hint="default"/>
                <w:w w:val="100"/>
                <w:sz w:val="21"/>
                <w:szCs w:val="21"/>
              </w:rPr>
              <w:t>按</w:t>
            </w:r>
            <w:r>
              <w:rPr>
                <w:rFonts w:ascii="宋体" w:hAnsi="宋体" w:cs="宋体" w:eastAsia="宋体" w:hint="default"/>
                <w:spacing w:val="-3"/>
                <w:w w:val="100"/>
                <w:sz w:val="21"/>
                <w:szCs w:val="21"/>
              </w:rPr>
              <w:t>其</w:t>
            </w:r>
            <w:r>
              <w:rPr>
                <w:rFonts w:ascii="宋体" w:hAnsi="宋体" w:cs="宋体" w:eastAsia="宋体" w:hint="default"/>
                <w:w w:val="100"/>
                <w:sz w:val="21"/>
                <w:szCs w:val="21"/>
              </w:rPr>
              <w:t>持有</w:t>
            </w:r>
            <w:r>
              <w:rPr>
                <w:rFonts w:ascii="宋体" w:hAnsi="宋体" w:cs="宋体" w:eastAsia="宋体" w:hint="default"/>
                <w:spacing w:val="-3"/>
                <w:w w:val="100"/>
                <w:sz w:val="21"/>
                <w:szCs w:val="21"/>
              </w:rPr>
              <w:t>的</w:t>
            </w:r>
            <w:r>
              <w:rPr>
                <w:rFonts w:ascii="宋体" w:hAnsi="宋体" w:cs="宋体" w:eastAsia="宋体" w:hint="default"/>
                <w:w w:val="100"/>
                <w:sz w:val="21"/>
                <w:szCs w:val="21"/>
              </w:rPr>
              <w:t>上市</w:t>
            </w:r>
          </w:p>
        </w:tc>
        <w:tc>
          <w:tcPr>
            <w:tcW w:w="2024" w:type="dxa"/>
            <w:vMerge/>
            <w:tcBorders>
              <w:left w:val="single" w:sz="4" w:space="0" w:color="000000"/>
              <w:right w:val="single" w:sz="4" w:space="0" w:color="000000"/>
            </w:tcBorders>
          </w:tcPr>
          <w:p>
            <w:pPr/>
          </w:p>
        </w:tc>
        <w:tc>
          <w:tcPr>
            <w:tcW w:w="629"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r>
      <w:tr>
        <w:trPr>
          <w:trHeight w:val="273" w:hRule="exact"/>
        </w:trPr>
        <w:tc>
          <w:tcPr>
            <w:tcW w:w="1004" w:type="dxa"/>
            <w:vMerge/>
            <w:tcBorders>
              <w:left w:val="single" w:sz="4" w:space="0" w:color="000000"/>
              <w:right w:val="single" w:sz="4" w:space="0" w:color="000000"/>
            </w:tcBorders>
          </w:tcPr>
          <w:p>
            <w:pPr/>
          </w:p>
        </w:tc>
        <w:tc>
          <w:tcPr>
            <w:tcW w:w="631" w:type="dxa"/>
            <w:vMerge/>
            <w:tcBorders>
              <w:left w:val="single" w:sz="4" w:space="0" w:color="000000"/>
              <w:right w:val="single" w:sz="4" w:space="0" w:color="000000"/>
            </w:tcBorders>
          </w:tcPr>
          <w:p>
            <w:pPr/>
          </w:p>
        </w:tc>
        <w:tc>
          <w:tcPr>
            <w:tcW w:w="1178" w:type="dxa"/>
            <w:vMerge/>
            <w:tcBorders>
              <w:left w:val="single" w:sz="4" w:space="0" w:color="000000"/>
              <w:right w:val="single" w:sz="4" w:space="0" w:color="000000"/>
            </w:tcBorders>
          </w:tcPr>
          <w:p>
            <w:pPr/>
          </w:p>
        </w:tc>
        <w:tc>
          <w:tcPr>
            <w:tcW w:w="6008"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公司股份数量占股权登记日扣除业绩承诺方持有的上市公司股</w:t>
            </w:r>
          </w:p>
        </w:tc>
        <w:tc>
          <w:tcPr>
            <w:tcW w:w="2024" w:type="dxa"/>
            <w:vMerge/>
            <w:tcBorders>
              <w:left w:val="single" w:sz="4" w:space="0" w:color="000000"/>
              <w:right w:val="single" w:sz="4" w:space="0" w:color="000000"/>
            </w:tcBorders>
          </w:tcPr>
          <w:p>
            <w:pPr/>
          </w:p>
        </w:tc>
        <w:tc>
          <w:tcPr>
            <w:tcW w:w="629"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r>
      <w:tr>
        <w:trPr>
          <w:trHeight w:val="273" w:hRule="exact"/>
        </w:trPr>
        <w:tc>
          <w:tcPr>
            <w:tcW w:w="1004" w:type="dxa"/>
            <w:vMerge/>
            <w:tcBorders>
              <w:left w:val="single" w:sz="4" w:space="0" w:color="000000"/>
              <w:right w:val="single" w:sz="4" w:space="0" w:color="000000"/>
            </w:tcBorders>
          </w:tcPr>
          <w:p>
            <w:pPr/>
          </w:p>
        </w:tc>
        <w:tc>
          <w:tcPr>
            <w:tcW w:w="631" w:type="dxa"/>
            <w:vMerge/>
            <w:tcBorders>
              <w:left w:val="single" w:sz="4" w:space="0" w:color="000000"/>
              <w:right w:val="single" w:sz="4" w:space="0" w:color="000000"/>
            </w:tcBorders>
          </w:tcPr>
          <w:p>
            <w:pPr/>
          </w:p>
        </w:tc>
        <w:tc>
          <w:tcPr>
            <w:tcW w:w="1178" w:type="dxa"/>
            <w:vMerge/>
            <w:tcBorders>
              <w:left w:val="single" w:sz="4" w:space="0" w:color="000000"/>
              <w:right w:val="single" w:sz="4" w:space="0" w:color="000000"/>
            </w:tcBorders>
          </w:tcPr>
          <w:p>
            <w:pPr/>
          </w:p>
        </w:tc>
        <w:tc>
          <w:tcPr>
            <w:tcW w:w="600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份数</w:t>
            </w:r>
            <w:r>
              <w:rPr>
                <w:rFonts w:ascii="宋体" w:hAnsi="宋体" w:cs="宋体" w:eastAsia="宋体" w:hint="default"/>
                <w:spacing w:val="-3"/>
                <w:w w:val="100"/>
                <w:sz w:val="21"/>
                <w:szCs w:val="21"/>
              </w:rPr>
              <w:t>后</w:t>
            </w:r>
            <w:r>
              <w:rPr>
                <w:rFonts w:ascii="宋体" w:hAnsi="宋体" w:cs="宋体" w:eastAsia="宋体" w:hint="default"/>
                <w:w w:val="100"/>
                <w:sz w:val="21"/>
                <w:szCs w:val="21"/>
              </w:rPr>
              <w:t>的</w:t>
            </w:r>
            <w:r>
              <w:rPr>
                <w:rFonts w:ascii="宋体" w:hAnsi="宋体" w:cs="宋体" w:eastAsia="宋体" w:hint="default"/>
                <w:spacing w:val="-3"/>
                <w:w w:val="100"/>
                <w:sz w:val="21"/>
                <w:szCs w:val="21"/>
              </w:rPr>
              <w:t>上</w:t>
            </w:r>
            <w:r>
              <w:rPr>
                <w:rFonts w:ascii="宋体" w:hAnsi="宋体" w:cs="宋体" w:eastAsia="宋体" w:hint="default"/>
                <w:w w:val="100"/>
                <w:sz w:val="21"/>
                <w:szCs w:val="21"/>
              </w:rPr>
              <w:t>市</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股</w:t>
            </w:r>
            <w:r>
              <w:rPr>
                <w:rFonts w:ascii="宋体" w:hAnsi="宋体" w:cs="宋体" w:eastAsia="宋体" w:hint="default"/>
                <w:w w:val="100"/>
                <w:sz w:val="21"/>
                <w:szCs w:val="21"/>
              </w:rPr>
              <w:t>份</w:t>
            </w:r>
            <w:r>
              <w:rPr>
                <w:rFonts w:ascii="宋体" w:hAnsi="宋体" w:cs="宋体" w:eastAsia="宋体" w:hint="default"/>
                <w:spacing w:val="-3"/>
                <w:w w:val="100"/>
                <w:sz w:val="21"/>
                <w:szCs w:val="21"/>
              </w:rPr>
              <w:t>总</w:t>
            </w:r>
            <w:r>
              <w:rPr>
                <w:rFonts w:ascii="宋体" w:hAnsi="宋体" w:cs="宋体" w:eastAsia="宋体" w:hint="default"/>
                <w:w w:val="100"/>
                <w:sz w:val="21"/>
                <w:szCs w:val="21"/>
              </w:rPr>
              <w:t>数的</w:t>
            </w:r>
            <w:r>
              <w:rPr>
                <w:rFonts w:ascii="宋体" w:hAnsi="宋体" w:cs="宋体" w:eastAsia="宋体" w:hint="default"/>
                <w:spacing w:val="-3"/>
                <w:w w:val="100"/>
                <w:sz w:val="21"/>
                <w:szCs w:val="21"/>
              </w:rPr>
              <w:t>比</w:t>
            </w:r>
            <w:r>
              <w:rPr>
                <w:rFonts w:ascii="宋体" w:hAnsi="宋体" w:cs="宋体" w:eastAsia="宋体" w:hint="default"/>
                <w:w w:val="100"/>
                <w:sz w:val="21"/>
                <w:szCs w:val="21"/>
              </w:rPr>
              <w:t>例</w:t>
            </w:r>
            <w:r>
              <w:rPr>
                <w:rFonts w:ascii="宋体" w:hAnsi="宋体" w:cs="宋体" w:eastAsia="宋体" w:hint="default"/>
                <w:spacing w:val="-3"/>
                <w:w w:val="100"/>
                <w:sz w:val="21"/>
                <w:szCs w:val="21"/>
              </w:rPr>
              <w:t>享</w:t>
            </w:r>
            <w:r>
              <w:rPr>
                <w:rFonts w:ascii="宋体" w:hAnsi="宋体" w:cs="宋体" w:eastAsia="宋体" w:hint="default"/>
                <w:w w:val="100"/>
                <w:sz w:val="21"/>
                <w:szCs w:val="21"/>
              </w:rPr>
              <w:t>有</w:t>
            </w:r>
            <w:r>
              <w:rPr>
                <w:rFonts w:ascii="宋体" w:hAnsi="宋体" w:cs="宋体" w:eastAsia="宋体" w:hint="default"/>
                <w:spacing w:val="-3"/>
                <w:w w:val="100"/>
                <w:sz w:val="21"/>
                <w:szCs w:val="21"/>
              </w:rPr>
              <w:t>获</w:t>
            </w:r>
            <w:r>
              <w:rPr>
                <w:rFonts w:ascii="宋体" w:hAnsi="宋体" w:cs="宋体" w:eastAsia="宋体" w:hint="default"/>
                <w:w w:val="100"/>
                <w:sz w:val="21"/>
                <w:szCs w:val="21"/>
              </w:rPr>
              <w:t>赠</w:t>
            </w:r>
            <w:r>
              <w:rPr>
                <w:rFonts w:ascii="宋体" w:hAnsi="宋体" w:cs="宋体" w:eastAsia="宋体" w:hint="default"/>
                <w:spacing w:val="-3"/>
                <w:w w:val="100"/>
                <w:sz w:val="21"/>
                <w:szCs w:val="21"/>
              </w:rPr>
              <w:t>股份</w:t>
            </w:r>
            <w:r>
              <w:rPr>
                <w:rFonts w:ascii="宋体" w:hAnsi="宋体" w:cs="宋体" w:eastAsia="宋体" w:hint="default"/>
                <w:spacing w:val="-89"/>
                <w:w w:val="100"/>
                <w:sz w:val="21"/>
                <w:szCs w:val="21"/>
              </w:rPr>
              <w:t>。</w:t>
            </w:r>
            <w:r>
              <w:rPr>
                <w:rFonts w:ascii="宋体" w:hAnsi="宋体" w:cs="宋体" w:eastAsia="宋体" w:hint="default"/>
                <w:spacing w:val="-3"/>
                <w:w w:val="100"/>
                <w:sz w:val="21"/>
                <w:szCs w:val="21"/>
              </w:rPr>
              <w:t>自</w:t>
            </w:r>
            <w:r>
              <w:rPr>
                <w:rFonts w:ascii="宋体" w:hAnsi="宋体" w:cs="宋体" w:eastAsia="宋体" w:hint="default"/>
                <w:w w:val="100"/>
                <w:sz w:val="21"/>
                <w:szCs w:val="21"/>
              </w:rPr>
              <w:t>业绩</w:t>
            </w:r>
            <w:r>
              <w:rPr>
                <w:rFonts w:ascii="宋体" w:hAnsi="宋体" w:cs="宋体" w:eastAsia="宋体" w:hint="default"/>
                <w:spacing w:val="-3"/>
                <w:w w:val="100"/>
                <w:sz w:val="21"/>
                <w:szCs w:val="21"/>
              </w:rPr>
              <w:t>承</w:t>
            </w:r>
            <w:r>
              <w:rPr>
                <w:rFonts w:ascii="宋体" w:hAnsi="宋体" w:cs="宋体" w:eastAsia="宋体" w:hint="default"/>
                <w:w w:val="100"/>
                <w:sz w:val="21"/>
                <w:szCs w:val="21"/>
              </w:rPr>
              <w:t>诺方</w:t>
            </w:r>
          </w:p>
        </w:tc>
        <w:tc>
          <w:tcPr>
            <w:tcW w:w="2024" w:type="dxa"/>
            <w:vMerge/>
            <w:tcBorders>
              <w:left w:val="single" w:sz="4" w:space="0" w:color="000000"/>
              <w:right w:val="single" w:sz="4" w:space="0" w:color="000000"/>
            </w:tcBorders>
          </w:tcPr>
          <w:p>
            <w:pPr/>
          </w:p>
        </w:tc>
        <w:tc>
          <w:tcPr>
            <w:tcW w:w="629"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r>
      <w:tr>
        <w:trPr>
          <w:trHeight w:val="272" w:hRule="exact"/>
        </w:trPr>
        <w:tc>
          <w:tcPr>
            <w:tcW w:w="1004" w:type="dxa"/>
            <w:vMerge/>
            <w:tcBorders>
              <w:left w:val="single" w:sz="4" w:space="0" w:color="000000"/>
              <w:right w:val="single" w:sz="4" w:space="0" w:color="000000"/>
            </w:tcBorders>
          </w:tcPr>
          <w:p>
            <w:pPr/>
          </w:p>
        </w:tc>
        <w:tc>
          <w:tcPr>
            <w:tcW w:w="631" w:type="dxa"/>
            <w:vMerge/>
            <w:tcBorders>
              <w:left w:val="single" w:sz="4" w:space="0" w:color="000000"/>
              <w:right w:val="single" w:sz="4" w:space="0" w:color="000000"/>
            </w:tcBorders>
          </w:tcPr>
          <w:p>
            <w:pPr/>
          </w:p>
        </w:tc>
        <w:tc>
          <w:tcPr>
            <w:tcW w:w="1178" w:type="dxa"/>
            <w:vMerge/>
            <w:tcBorders>
              <w:left w:val="single" w:sz="4" w:space="0" w:color="000000"/>
              <w:right w:val="single" w:sz="4" w:space="0" w:color="000000"/>
            </w:tcBorders>
          </w:tcPr>
          <w:p>
            <w:pPr/>
          </w:p>
        </w:tc>
        <w:tc>
          <w:tcPr>
            <w:tcW w:w="6008"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当年应补偿股份数量确定之日（即《专项审核报告》出具日）起</w:t>
            </w:r>
          </w:p>
        </w:tc>
        <w:tc>
          <w:tcPr>
            <w:tcW w:w="2024" w:type="dxa"/>
            <w:vMerge/>
            <w:tcBorders>
              <w:left w:val="single" w:sz="4" w:space="0" w:color="000000"/>
              <w:right w:val="single" w:sz="4" w:space="0" w:color="000000"/>
            </w:tcBorders>
          </w:tcPr>
          <w:p>
            <w:pPr/>
          </w:p>
        </w:tc>
        <w:tc>
          <w:tcPr>
            <w:tcW w:w="629"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r>
      <w:tr>
        <w:trPr>
          <w:trHeight w:val="272" w:hRule="exact"/>
        </w:trPr>
        <w:tc>
          <w:tcPr>
            <w:tcW w:w="1004" w:type="dxa"/>
            <w:vMerge/>
            <w:tcBorders>
              <w:left w:val="single" w:sz="4" w:space="0" w:color="000000"/>
              <w:right w:val="single" w:sz="4" w:space="0" w:color="000000"/>
            </w:tcBorders>
          </w:tcPr>
          <w:p>
            <w:pPr/>
          </w:p>
        </w:tc>
        <w:tc>
          <w:tcPr>
            <w:tcW w:w="631" w:type="dxa"/>
            <w:vMerge/>
            <w:tcBorders>
              <w:left w:val="single" w:sz="4" w:space="0" w:color="000000"/>
              <w:right w:val="single" w:sz="4" w:space="0" w:color="000000"/>
            </w:tcBorders>
          </w:tcPr>
          <w:p>
            <w:pPr/>
          </w:p>
        </w:tc>
        <w:tc>
          <w:tcPr>
            <w:tcW w:w="1178" w:type="dxa"/>
            <w:vMerge/>
            <w:tcBorders>
              <w:left w:val="single" w:sz="4" w:space="0" w:color="000000"/>
              <w:right w:val="single" w:sz="4" w:space="0" w:color="000000"/>
            </w:tcBorders>
          </w:tcPr>
          <w:p>
            <w:pPr/>
          </w:p>
        </w:tc>
        <w:tc>
          <w:tcPr>
            <w:tcW w:w="600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至该</w:t>
            </w:r>
            <w:r>
              <w:rPr>
                <w:rFonts w:ascii="宋体" w:hAnsi="宋体" w:cs="宋体" w:eastAsia="宋体" w:hint="default"/>
                <w:spacing w:val="-3"/>
                <w:w w:val="100"/>
                <w:sz w:val="21"/>
                <w:szCs w:val="21"/>
              </w:rPr>
              <w:t>等</w:t>
            </w:r>
            <w:r>
              <w:rPr>
                <w:rFonts w:ascii="宋体" w:hAnsi="宋体" w:cs="宋体" w:eastAsia="宋体" w:hint="default"/>
                <w:w w:val="100"/>
                <w:sz w:val="21"/>
                <w:szCs w:val="21"/>
              </w:rPr>
              <w:t>股</w:t>
            </w:r>
            <w:r>
              <w:rPr>
                <w:rFonts w:ascii="宋体" w:hAnsi="宋体" w:cs="宋体" w:eastAsia="宋体" w:hint="default"/>
                <w:spacing w:val="-3"/>
                <w:w w:val="100"/>
                <w:sz w:val="21"/>
                <w:szCs w:val="21"/>
              </w:rPr>
              <w:t>份</w:t>
            </w:r>
            <w:r>
              <w:rPr>
                <w:rFonts w:ascii="宋体" w:hAnsi="宋体" w:cs="宋体" w:eastAsia="宋体" w:hint="default"/>
                <w:w w:val="100"/>
                <w:sz w:val="21"/>
                <w:szCs w:val="21"/>
              </w:rPr>
              <w:t>被</w:t>
            </w:r>
            <w:r>
              <w:rPr>
                <w:rFonts w:ascii="宋体" w:hAnsi="宋体" w:cs="宋体" w:eastAsia="宋体" w:hint="default"/>
                <w:spacing w:val="-3"/>
                <w:w w:val="100"/>
                <w:sz w:val="21"/>
                <w:szCs w:val="21"/>
              </w:rPr>
              <w:t>注</w:t>
            </w:r>
            <w:r>
              <w:rPr>
                <w:rFonts w:ascii="宋体" w:hAnsi="宋体" w:cs="宋体" w:eastAsia="宋体" w:hint="default"/>
                <w:w w:val="100"/>
                <w:sz w:val="21"/>
                <w:szCs w:val="21"/>
              </w:rPr>
              <w:t>销</w:t>
            </w:r>
            <w:r>
              <w:rPr>
                <w:rFonts w:ascii="宋体" w:hAnsi="宋体" w:cs="宋体" w:eastAsia="宋体" w:hint="default"/>
                <w:spacing w:val="-3"/>
                <w:w w:val="100"/>
                <w:sz w:val="21"/>
                <w:szCs w:val="21"/>
              </w:rPr>
              <w:t>或</w:t>
            </w:r>
            <w:r>
              <w:rPr>
                <w:rFonts w:ascii="宋体" w:hAnsi="宋体" w:cs="宋体" w:eastAsia="宋体" w:hint="default"/>
                <w:w w:val="100"/>
                <w:sz w:val="21"/>
                <w:szCs w:val="21"/>
              </w:rPr>
              <w:t>被</w:t>
            </w:r>
            <w:r>
              <w:rPr>
                <w:rFonts w:ascii="宋体" w:hAnsi="宋体" w:cs="宋体" w:eastAsia="宋体" w:hint="default"/>
                <w:spacing w:val="-3"/>
                <w:w w:val="100"/>
                <w:sz w:val="21"/>
                <w:szCs w:val="21"/>
              </w:rPr>
              <w:t>无</w:t>
            </w:r>
            <w:r>
              <w:rPr>
                <w:rFonts w:ascii="宋体" w:hAnsi="宋体" w:cs="宋体" w:eastAsia="宋体" w:hint="default"/>
                <w:w w:val="100"/>
                <w:sz w:val="21"/>
                <w:szCs w:val="21"/>
              </w:rPr>
              <w:t>偿赠</w:t>
            </w:r>
            <w:r>
              <w:rPr>
                <w:rFonts w:ascii="宋体" w:hAnsi="宋体" w:cs="宋体" w:eastAsia="宋体" w:hint="default"/>
                <w:spacing w:val="-3"/>
                <w:w w:val="100"/>
                <w:sz w:val="21"/>
                <w:szCs w:val="21"/>
              </w:rPr>
              <w:t>与</w:t>
            </w:r>
            <w:r>
              <w:rPr>
                <w:rFonts w:ascii="宋体" w:hAnsi="宋体" w:cs="宋体" w:eastAsia="宋体" w:hint="default"/>
                <w:w w:val="100"/>
                <w:sz w:val="21"/>
                <w:szCs w:val="21"/>
              </w:rPr>
              <w:t>之</w:t>
            </w:r>
            <w:r>
              <w:rPr>
                <w:rFonts w:ascii="宋体" w:hAnsi="宋体" w:cs="宋体" w:eastAsia="宋体" w:hint="default"/>
                <w:spacing w:val="-3"/>
                <w:w w:val="100"/>
                <w:sz w:val="21"/>
                <w:szCs w:val="21"/>
              </w:rPr>
              <w:t>前</w:t>
            </w:r>
            <w:r>
              <w:rPr>
                <w:rFonts w:ascii="宋体" w:hAnsi="宋体" w:cs="宋体" w:eastAsia="宋体" w:hint="default"/>
                <w:spacing w:val="-92"/>
                <w:w w:val="100"/>
                <w:sz w:val="21"/>
                <w:szCs w:val="21"/>
              </w:rPr>
              <w:t>，</w:t>
            </w:r>
            <w:r>
              <w:rPr>
                <w:rFonts w:ascii="宋体" w:hAnsi="宋体" w:cs="宋体" w:eastAsia="宋体" w:hint="default"/>
                <w:w w:val="100"/>
                <w:sz w:val="21"/>
                <w:szCs w:val="21"/>
              </w:rPr>
              <w:t>业</w:t>
            </w:r>
            <w:r>
              <w:rPr>
                <w:rFonts w:ascii="宋体" w:hAnsi="宋体" w:cs="宋体" w:eastAsia="宋体" w:hint="default"/>
                <w:spacing w:val="-3"/>
                <w:w w:val="100"/>
                <w:sz w:val="21"/>
                <w:szCs w:val="21"/>
              </w:rPr>
              <w:t>绩</w:t>
            </w:r>
            <w:r>
              <w:rPr>
                <w:rFonts w:ascii="宋体" w:hAnsi="宋体" w:cs="宋体" w:eastAsia="宋体" w:hint="default"/>
                <w:w w:val="100"/>
                <w:sz w:val="21"/>
                <w:szCs w:val="21"/>
              </w:rPr>
              <w:t>承</w:t>
            </w:r>
            <w:r>
              <w:rPr>
                <w:rFonts w:ascii="宋体" w:hAnsi="宋体" w:cs="宋体" w:eastAsia="宋体" w:hint="default"/>
                <w:spacing w:val="-3"/>
                <w:w w:val="100"/>
                <w:sz w:val="21"/>
                <w:szCs w:val="21"/>
              </w:rPr>
              <w:t>诺</w:t>
            </w:r>
            <w:r>
              <w:rPr>
                <w:rFonts w:ascii="宋体" w:hAnsi="宋体" w:cs="宋体" w:eastAsia="宋体" w:hint="default"/>
                <w:w w:val="100"/>
                <w:sz w:val="21"/>
                <w:szCs w:val="21"/>
              </w:rPr>
              <w:t>方</w:t>
            </w:r>
            <w:r>
              <w:rPr>
                <w:rFonts w:ascii="宋体" w:hAnsi="宋体" w:cs="宋体" w:eastAsia="宋体" w:hint="default"/>
                <w:spacing w:val="-3"/>
                <w:w w:val="100"/>
                <w:sz w:val="21"/>
                <w:szCs w:val="21"/>
              </w:rPr>
              <w:t>就</w:t>
            </w:r>
            <w:r>
              <w:rPr>
                <w:rFonts w:ascii="宋体" w:hAnsi="宋体" w:cs="宋体" w:eastAsia="宋体" w:hint="default"/>
                <w:w w:val="100"/>
                <w:sz w:val="21"/>
                <w:szCs w:val="21"/>
              </w:rPr>
              <w:t>该等</w:t>
            </w:r>
            <w:r>
              <w:rPr>
                <w:rFonts w:ascii="宋体" w:hAnsi="宋体" w:cs="宋体" w:eastAsia="宋体" w:hint="default"/>
                <w:spacing w:val="-3"/>
                <w:w w:val="100"/>
                <w:sz w:val="21"/>
                <w:szCs w:val="21"/>
              </w:rPr>
              <w:t>股</w:t>
            </w:r>
            <w:r>
              <w:rPr>
                <w:rFonts w:ascii="宋体" w:hAnsi="宋体" w:cs="宋体" w:eastAsia="宋体" w:hint="default"/>
                <w:w w:val="100"/>
                <w:sz w:val="21"/>
                <w:szCs w:val="21"/>
              </w:rPr>
              <w:t>份不</w:t>
            </w:r>
          </w:p>
        </w:tc>
        <w:tc>
          <w:tcPr>
            <w:tcW w:w="2024" w:type="dxa"/>
            <w:vMerge/>
            <w:tcBorders>
              <w:left w:val="single" w:sz="4" w:space="0" w:color="000000"/>
              <w:right w:val="single" w:sz="4" w:space="0" w:color="000000"/>
            </w:tcBorders>
          </w:tcPr>
          <w:p>
            <w:pPr/>
          </w:p>
        </w:tc>
        <w:tc>
          <w:tcPr>
            <w:tcW w:w="629"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r>
      <w:tr>
        <w:trPr>
          <w:trHeight w:val="272" w:hRule="exact"/>
        </w:trPr>
        <w:tc>
          <w:tcPr>
            <w:tcW w:w="1004" w:type="dxa"/>
            <w:vMerge/>
            <w:tcBorders>
              <w:left w:val="single" w:sz="4" w:space="0" w:color="000000"/>
              <w:right w:val="single" w:sz="4" w:space="0" w:color="000000"/>
            </w:tcBorders>
          </w:tcPr>
          <w:p>
            <w:pPr/>
          </w:p>
        </w:tc>
        <w:tc>
          <w:tcPr>
            <w:tcW w:w="631" w:type="dxa"/>
            <w:vMerge/>
            <w:tcBorders>
              <w:left w:val="single" w:sz="4" w:space="0" w:color="000000"/>
              <w:right w:val="single" w:sz="4" w:space="0" w:color="000000"/>
            </w:tcBorders>
          </w:tcPr>
          <w:p>
            <w:pPr/>
          </w:p>
        </w:tc>
        <w:tc>
          <w:tcPr>
            <w:tcW w:w="1178" w:type="dxa"/>
            <w:vMerge/>
            <w:tcBorders>
              <w:left w:val="single" w:sz="4" w:space="0" w:color="000000"/>
              <w:right w:val="single" w:sz="4" w:space="0" w:color="000000"/>
            </w:tcBorders>
          </w:tcPr>
          <w:p>
            <w:pPr/>
          </w:p>
        </w:tc>
        <w:tc>
          <w:tcPr>
            <w:tcW w:w="6008"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拥有表决权且不享有收益分配的权利。在利润承诺期内，如业绩</w:t>
            </w:r>
          </w:p>
        </w:tc>
        <w:tc>
          <w:tcPr>
            <w:tcW w:w="2024" w:type="dxa"/>
            <w:vMerge/>
            <w:tcBorders>
              <w:left w:val="single" w:sz="4" w:space="0" w:color="000000"/>
              <w:right w:val="single" w:sz="4" w:space="0" w:color="000000"/>
            </w:tcBorders>
          </w:tcPr>
          <w:p>
            <w:pPr/>
          </w:p>
        </w:tc>
        <w:tc>
          <w:tcPr>
            <w:tcW w:w="629"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r>
      <w:tr>
        <w:trPr>
          <w:trHeight w:val="279" w:hRule="exact"/>
        </w:trPr>
        <w:tc>
          <w:tcPr>
            <w:tcW w:w="1004" w:type="dxa"/>
            <w:vMerge/>
            <w:tcBorders>
              <w:left w:val="single" w:sz="4" w:space="0" w:color="000000"/>
              <w:bottom w:val="single" w:sz="4" w:space="0" w:color="000000"/>
              <w:right w:val="single" w:sz="4" w:space="0" w:color="000000"/>
            </w:tcBorders>
          </w:tcPr>
          <w:p>
            <w:pPr/>
          </w:p>
        </w:tc>
        <w:tc>
          <w:tcPr>
            <w:tcW w:w="631" w:type="dxa"/>
            <w:vMerge/>
            <w:tcBorders>
              <w:left w:val="single" w:sz="4" w:space="0" w:color="000000"/>
              <w:bottom w:val="single" w:sz="4" w:space="0" w:color="000000"/>
              <w:right w:val="single" w:sz="4" w:space="0" w:color="000000"/>
            </w:tcBorders>
          </w:tcPr>
          <w:p>
            <w:pPr/>
          </w:p>
        </w:tc>
        <w:tc>
          <w:tcPr>
            <w:tcW w:w="1178" w:type="dxa"/>
            <w:vMerge/>
            <w:tcBorders>
              <w:left w:val="single" w:sz="4" w:space="0" w:color="000000"/>
              <w:bottom w:val="single" w:sz="4" w:space="0" w:color="000000"/>
              <w:right w:val="single" w:sz="4" w:space="0" w:color="000000"/>
            </w:tcBorders>
          </w:tcPr>
          <w:p>
            <w:pPr/>
          </w:p>
        </w:tc>
        <w:tc>
          <w:tcPr>
            <w:tcW w:w="6008"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承诺方中某一方所持上市公司股份数量低于根据上述公式（</w:t>
            </w:r>
            <w:r>
              <w:rPr>
                <w:rFonts w:ascii="宋体" w:hAnsi="宋体" w:cs="宋体" w:eastAsia="宋体" w:hint="default"/>
                <w:sz w:val="21"/>
                <w:szCs w:val="21"/>
              </w:rPr>
              <w:t>a</w:t>
            </w:r>
            <w:r>
              <w:rPr>
                <w:rFonts w:ascii="宋体" w:hAnsi="宋体" w:cs="宋体" w:eastAsia="宋体" w:hint="default"/>
                <w:sz w:val="21"/>
                <w:szCs w:val="21"/>
              </w:rPr>
              <w:t>）</w:t>
            </w:r>
          </w:p>
        </w:tc>
        <w:tc>
          <w:tcPr>
            <w:tcW w:w="2024" w:type="dxa"/>
            <w:vMerge/>
            <w:tcBorders>
              <w:left w:val="single" w:sz="4" w:space="0" w:color="000000"/>
              <w:bottom w:val="single" w:sz="4" w:space="0" w:color="000000"/>
              <w:right w:val="single" w:sz="4" w:space="0" w:color="000000"/>
            </w:tcBorders>
          </w:tcPr>
          <w:p>
            <w:pPr/>
          </w:p>
        </w:tc>
        <w:tc>
          <w:tcPr>
            <w:tcW w:w="629"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1070"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r>
    </w:tbl>
    <w:p>
      <w:pPr>
        <w:spacing w:after="0"/>
        <w:sectPr>
          <w:footerReference w:type="default" r:id="rId17"/>
          <w:pgSz w:w="16840" w:h="11910" w:orient="landscape"/>
          <w:pgMar w:footer="1195" w:header="882" w:top="1120" w:bottom="1380" w:left="1200" w:right="1300"/>
          <w:pgNumType w:start="31"/>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1004"/>
        <w:gridCol w:w="631"/>
        <w:gridCol w:w="1178"/>
        <w:gridCol w:w="6008"/>
        <w:gridCol w:w="2024"/>
        <w:gridCol w:w="629"/>
        <w:gridCol w:w="665"/>
        <w:gridCol w:w="1070"/>
        <w:gridCol w:w="900"/>
      </w:tblGrid>
      <w:tr>
        <w:trPr>
          <w:trHeight w:val="7365" w:hRule="exact"/>
        </w:trPr>
        <w:tc>
          <w:tcPr>
            <w:tcW w:w="1004" w:type="dxa"/>
            <w:vMerge w:val="restart"/>
            <w:tcBorders>
              <w:top w:val="single" w:sz="4" w:space="0" w:color="000000"/>
              <w:left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60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计算</w:t>
            </w:r>
            <w:r>
              <w:rPr>
                <w:rFonts w:ascii="宋体" w:hAnsi="宋体" w:cs="宋体" w:eastAsia="宋体" w:hint="default"/>
                <w:spacing w:val="-3"/>
                <w:w w:val="100"/>
                <w:sz w:val="21"/>
                <w:szCs w:val="21"/>
              </w:rPr>
              <w:t>得</w:t>
            </w:r>
            <w:r>
              <w:rPr>
                <w:rFonts w:ascii="宋体" w:hAnsi="宋体" w:cs="宋体" w:eastAsia="宋体" w:hint="default"/>
                <w:w w:val="100"/>
                <w:sz w:val="21"/>
                <w:szCs w:val="21"/>
              </w:rPr>
              <w:t>出</w:t>
            </w:r>
            <w:r>
              <w:rPr>
                <w:rFonts w:ascii="宋体" w:hAnsi="宋体" w:cs="宋体" w:eastAsia="宋体" w:hint="default"/>
                <w:spacing w:val="-3"/>
                <w:w w:val="100"/>
                <w:sz w:val="21"/>
                <w:szCs w:val="21"/>
              </w:rPr>
              <w:t>的</w:t>
            </w:r>
            <w:r>
              <w:rPr>
                <w:rFonts w:ascii="宋体" w:hAnsi="宋体" w:cs="宋体" w:eastAsia="宋体" w:hint="default"/>
                <w:w w:val="100"/>
                <w:sz w:val="21"/>
                <w:szCs w:val="21"/>
              </w:rPr>
              <w:t>待</w:t>
            </w:r>
            <w:r>
              <w:rPr>
                <w:rFonts w:ascii="宋体" w:hAnsi="宋体" w:cs="宋体" w:eastAsia="宋体" w:hint="default"/>
                <w:spacing w:val="-3"/>
                <w:w w:val="100"/>
                <w:sz w:val="21"/>
                <w:szCs w:val="21"/>
              </w:rPr>
              <w:t>补</w:t>
            </w:r>
            <w:r>
              <w:rPr>
                <w:rFonts w:ascii="宋体" w:hAnsi="宋体" w:cs="宋体" w:eastAsia="宋体" w:hint="default"/>
                <w:w w:val="100"/>
                <w:sz w:val="21"/>
                <w:szCs w:val="21"/>
              </w:rPr>
              <w:t>偿</w:t>
            </w:r>
            <w:r>
              <w:rPr>
                <w:rFonts w:ascii="宋体" w:hAnsi="宋体" w:cs="宋体" w:eastAsia="宋体" w:hint="default"/>
                <w:spacing w:val="-3"/>
                <w:w w:val="100"/>
                <w:sz w:val="21"/>
                <w:szCs w:val="21"/>
              </w:rPr>
              <w:t>股</w:t>
            </w:r>
            <w:r>
              <w:rPr>
                <w:rFonts w:ascii="宋体" w:hAnsi="宋体" w:cs="宋体" w:eastAsia="宋体" w:hint="default"/>
                <w:w w:val="100"/>
                <w:sz w:val="21"/>
                <w:szCs w:val="21"/>
              </w:rPr>
              <w:t>份</w:t>
            </w:r>
            <w:r>
              <w:rPr>
                <w:rFonts w:ascii="宋体" w:hAnsi="宋体" w:cs="宋体" w:eastAsia="宋体" w:hint="default"/>
                <w:spacing w:val="-3"/>
                <w:w w:val="100"/>
                <w:sz w:val="21"/>
                <w:szCs w:val="21"/>
              </w:rPr>
              <w:t>数</w:t>
            </w:r>
            <w:r>
              <w:rPr>
                <w:rFonts w:ascii="宋体" w:hAnsi="宋体" w:cs="宋体" w:eastAsia="宋体" w:hint="default"/>
                <w:w w:val="100"/>
                <w:sz w:val="21"/>
                <w:szCs w:val="21"/>
              </w:rPr>
              <w:t>量</w:t>
            </w:r>
            <w:r>
              <w:rPr>
                <w:rFonts w:ascii="宋体" w:hAnsi="宋体" w:cs="宋体" w:eastAsia="宋体" w:hint="default"/>
                <w:spacing w:val="-92"/>
                <w:w w:val="100"/>
                <w:sz w:val="21"/>
                <w:szCs w:val="21"/>
              </w:rPr>
              <w:t>，</w:t>
            </w:r>
            <w:r>
              <w:rPr>
                <w:rFonts w:ascii="宋体" w:hAnsi="宋体" w:cs="宋体" w:eastAsia="宋体" w:hint="default"/>
                <w:w w:val="100"/>
                <w:sz w:val="21"/>
                <w:szCs w:val="21"/>
              </w:rPr>
              <w:t>或</w:t>
            </w:r>
            <w:r>
              <w:rPr>
                <w:rFonts w:ascii="宋体" w:hAnsi="宋体" w:cs="宋体" w:eastAsia="宋体" w:hint="default"/>
                <w:spacing w:val="-3"/>
                <w:w w:val="100"/>
                <w:sz w:val="21"/>
                <w:szCs w:val="21"/>
              </w:rPr>
              <w:t>业</w:t>
            </w:r>
            <w:r>
              <w:rPr>
                <w:rFonts w:ascii="宋体" w:hAnsi="宋体" w:cs="宋体" w:eastAsia="宋体" w:hint="default"/>
                <w:w w:val="100"/>
                <w:sz w:val="21"/>
                <w:szCs w:val="21"/>
              </w:rPr>
              <w:t>绩</w:t>
            </w:r>
            <w:r>
              <w:rPr>
                <w:rFonts w:ascii="宋体" w:hAnsi="宋体" w:cs="宋体" w:eastAsia="宋体" w:hint="default"/>
                <w:spacing w:val="-3"/>
                <w:w w:val="100"/>
                <w:sz w:val="21"/>
                <w:szCs w:val="21"/>
              </w:rPr>
              <w:t>承</w:t>
            </w:r>
            <w:r>
              <w:rPr>
                <w:rFonts w:ascii="宋体" w:hAnsi="宋体" w:cs="宋体" w:eastAsia="宋体" w:hint="default"/>
                <w:w w:val="100"/>
                <w:sz w:val="21"/>
                <w:szCs w:val="21"/>
              </w:rPr>
              <w:t>诺</w:t>
            </w:r>
            <w:r>
              <w:rPr>
                <w:rFonts w:ascii="宋体" w:hAnsi="宋体" w:cs="宋体" w:eastAsia="宋体" w:hint="default"/>
                <w:spacing w:val="-3"/>
                <w:w w:val="100"/>
                <w:sz w:val="21"/>
                <w:szCs w:val="21"/>
              </w:rPr>
              <w:t>方</w:t>
            </w:r>
            <w:r>
              <w:rPr>
                <w:rFonts w:ascii="宋体" w:hAnsi="宋体" w:cs="宋体" w:eastAsia="宋体" w:hint="default"/>
                <w:w w:val="100"/>
                <w:sz w:val="21"/>
                <w:szCs w:val="21"/>
              </w:rPr>
              <w:t>中</w:t>
            </w:r>
            <w:r>
              <w:rPr>
                <w:rFonts w:ascii="宋体" w:hAnsi="宋体" w:cs="宋体" w:eastAsia="宋体" w:hint="default"/>
                <w:spacing w:val="-3"/>
                <w:w w:val="100"/>
                <w:sz w:val="21"/>
                <w:szCs w:val="21"/>
              </w:rPr>
              <w:t>某</w:t>
            </w:r>
            <w:r>
              <w:rPr>
                <w:rFonts w:ascii="宋体" w:hAnsi="宋体" w:cs="宋体" w:eastAsia="宋体" w:hint="default"/>
                <w:w w:val="100"/>
                <w:sz w:val="21"/>
                <w:szCs w:val="21"/>
              </w:rPr>
              <w:t>一</w:t>
            </w:r>
            <w:r>
              <w:rPr>
                <w:rFonts w:ascii="宋体" w:hAnsi="宋体" w:cs="宋体" w:eastAsia="宋体" w:hint="default"/>
                <w:spacing w:val="-3"/>
                <w:w w:val="100"/>
                <w:sz w:val="21"/>
                <w:szCs w:val="21"/>
              </w:rPr>
              <w:t>方</w:t>
            </w:r>
            <w:r>
              <w:rPr>
                <w:rFonts w:ascii="宋体" w:hAnsi="宋体" w:cs="宋体" w:eastAsia="宋体" w:hint="default"/>
                <w:w w:val="100"/>
                <w:sz w:val="21"/>
                <w:szCs w:val="21"/>
              </w:rPr>
              <w:t>所持</w:t>
            </w:r>
            <w:r>
              <w:rPr>
                <w:rFonts w:ascii="宋体" w:hAnsi="宋体" w:cs="宋体" w:eastAsia="宋体" w:hint="default"/>
                <w:spacing w:val="-3"/>
                <w:w w:val="100"/>
                <w:sz w:val="21"/>
                <w:szCs w:val="21"/>
              </w:rPr>
              <w:t>上</w:t>
            </w:r>
            <w:r>
              <w:rPr>
                <w:rFonts w:ascii="宋体" w:hAnsi="宋体" w:cs="宋体" w:eastAsia="宋体" w:hint="default"/>
                <w:w w:val="100"/>
                <w:sz w:val="21"/>
                <w:szCs w:val="21"/>
              </w:rPr>
              <w:t>市公</w:t>
            </w:r>
          </w:p>
          <w:p>
            <w:pPr>
              <w:pStyle w:val="TableParagraph"/>
              <w:spacing w:line="237" w:lineRule="auto"/>
              <w:ind w:left="103" w:right="7"/>
              <w:jc w:val="left"/>
              <w:rPr>
                <w:rFonts w:ascii="宋体" w:hAnsi="宋体" w:cs="宋体" w:eastAsia="宋体" w:hint="default"/>
                <w:sz w:val="21"/>
                <w:szCs w:val="21"/>
              </w:rPr>
            </w:pPr>
            <w:r>
              <w:rPr>
                <w:rFonts w:ascii="宋体" w:hAnsi="宋体" w:cs="宋体" w:eastAsia="宋体" w:hint="default"/>
                <w:sz w:val="21"/>
                <w:szCs w:val="21"/>
              </w:rPr>
              <w:t>司股份因被冻结、被强制执行或其他原因被限制转让或不能转</w:t>
            </w:r>
            <w:r>
              <w:rPr>
                <w:rFonts w:ascii="宋体" w:hAnsi="宋体" w:cs="宋体" w:eastAsia="宋体" w:hint="default"/>
                <w:w w:val="100"/>
                <w:sz w:val="21"/>
                <w:szCs w:val="21"/>
              </w:rPr>
              <w:t> </w:t>
            </w:r>
            <w:r>
              <w:rPr>
                <w:rFonts w:ascii="宋体" w:hAnsi="宋体" w:cs="宋体" w:eastAsia="宋体" w:hint="default"/>
                <w:spacing w:val="-5"/>
                <w:sz w:val="21"/>
                <w:szCs w:val="21"/>
              </w:rPr>
              <w:t>让，则于补偿义务发生之日（即《专项审核报告》出具之日）起</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60</w:t>
            </w:r>
            <w:r>
              <w:rPr>
                <w:rFonts w:ascii="宋体" w:hAnsi="宋体" w:cs="宋体" w:eastAsia="宋体" w:hint="default"/>
                <w:spacing w:val="-54"/>
                <w:sz w:val="21"/>
                <w:szCs w:val="21"/>
              </w:rPr>
              <w:t> </w:t>
            </w:r>
            <w:r>
              <w:rPr>
                <w:rFonts w:ascii="宋体" w:hAnsi="宋体" w:cs="宋体" w:eastAsia="宋体" w:hint="default"/>
                <w:sz w:val="21"/>
                <w:szCs w:val="21"/>
              </w:rPr>
              <w:t>日内，就其未能或无法以股份进行补偿的当年应补偿金额，</w:t>
            </w:r>
            <w:r>
              <w:rPr>
                <w:rFonts w:ascii="宋体" w:hAnsi="宋体" w:cs="宋体" w:eastAsia="宋体" w:hint="default"/>
                <w:w w:val="100"/>
                <w:sz w:val="21"/>
                <w:szCs w:val="21"/>
              </w:rPr>
              <w:t> </w:t>
            </w:r>
            <w:r>
              <w:rPr>
                <w:rFonts w:ascii="宋体" w:hAnsi="宋体" w:cs="宋体" w:eastAsia="宋体" w:hint="default"/>
                <w:spacing w:val="-5"/>
                <w:w w:val="100"/>
                <w:sz w:val="21"/>
                <w:szCs w:val="21"/>
              </w:rPr>
              <w:t>该补偿义务方可选择以现金方式对上市公司进行补偿。当年应补</w:t>
            </w:r>
            <w:r>
              <w:rPr>
                <w:rFonts w:ascii="宋体" w:hAnsi="宋体" w:cs="宋体" w:eastAsia="宋体" w:hint="default"/>
                <w:spacing w:val="-91"/>
                <w:w w:val="100"/>
                <w:sz w:val="21"/>
                <w:szCs w:val="21"/>
              </w:rPr>
              <w:t> </w:t>
            </w:r>
            <w:r>
              <w:rPr>
                <w:rFonts w:ascii="宋体" w:hAnsi="宋体" w:cs="宋体" w:eastAsia="宋体" w:hint="default"/>
                <w:spacing w:val="-91"/>
                <w:w w:val="100"/>
                <w:sz w:val="21"/>
                <w:szCs w:val="21"/>
              </w:rPr>
            </w:r>
            <w:r>
              <w:rPr>
                <w:rFonts w:ascii="宋体" w:hAnsi="宋体" w:cs="宋体" w:eastAsia="宋体" w:hint="default"/>
                <w:spacing w:val="-5"/>
                <w:w w:val="100"/>
                <w:sz w:val="21"/>
                <w:szCs w:val="21"/>
              </w:rPr>
              <w:t>偿金额的计算公式为：（业绩承诺方当年应补偿股份数–业绩承</w:t>
            </w:r>
            <w:r>
              <w:rPr>
                <w:rFonts w:ascii="宋体" w:hAnsi="宋体" w:cs="宋体" w:eastAsia="宋体" w:hint="default"/>
                <w:spacing w:val="-90"/>
                <w:w w:val="100"/>
                <w:sz w:val="21"/>
                <w:szCs w:val="21"/>
              </w:rPr>
              <w:t> </w:t>
            </w:r>
            <w:r>
              <w:rPr>
                <w:rFonts w:ascii="宋体" w:hAnsi="宋体" w:cs="宋体" w:eastAsia="宋体" w:hint="default"/>
                <w:spacing w:val="-90"/>
                <w:w w:val="100"/>
                <w:sz w:val="21"/>
                <w:szCs w:val="21"/>
              </w:rPr>
            </w:r>
            <w:r>
              <w:rPr>
                <w:rFonts w:ascii="宋体" w:hAnsi="宋体" w:cs="宋体" w:eastAsia="宋体" w:hint="default"/>
                <w:spacing w:val="-5"/>
                <w:w w:val="100"/>
                <w:sz w:val="21"/>
                <w:szCs w:val="21"/>
              </w:rPr>
              <w:t>诺方届时持有的上市公司股份数）×本次发行股份购买资产项下</w:t>
            </w:r>
            <w:r>
              <w:rPr>
                <w:rFonts w:ascii="宋体" w:hAnsi="宋体" w:cs="宋体" w:eastAsia="宋体" w:hint="default"/>
                <w:spacing w:val="-91"/>
                <w:w w:val="100"/>
                <w:sz w:val="21"/>
                <w:szCs w:val="21"/>
              </w:rPr>
              <w:t> </w:t>
            </w:r>
            <w:r>
              <w:rPr>
                <w:rFonts w:ascii="宋体" w:hAnsi="宋体" w:cs="宋体" w:eastAsia="宋体" w:hint="default"/>
                <w:spacing w:val="-91"/>
                <w:w w:val="100"/>
                <w:sz w:val="21"/>
                <w:szCs w:val="21"/>
              </w:rPr>
            </w:r>
            <w:r>
              <w:rPr>
                <w:rFonts w:ascii="宋体" w:hAnsi="宋体" w:cs="宋体" w:eastAsia="宋体" w:hint="default"/>
                <w:sz w:val="21"/>
                <w:szCs w:val="21"/>
              </w:rPr>
              <w:t>的每股发行价格。（</w:t>
            </w:r>
            <w:r>
              <w:rPr>
                <w:rFonts w:ascii="宋体" w:hAnsi="宋体" w:cs="宋体" w:eastAsia="宋体" w:hint="default"/>
                <w:sz w:val="21"/>
                <w:szCs w:val="21"/>
              </w:rPr>
              <w:t>4</w:t>
            </w:r>
            <w:r>
              <w:rPr>
                <w:rFonts w:ascii="宋体" w:hAnsi="宋体" w:cs="宋体" w:eastAsia="宋体" w:hint="default"/>
                <w:sz w:val="21"/>
                <w:szCs w:val="21"/>
              </w:rPr>
              <w:t>）减值测试利润承诺期限届满后，在与最</w:t>
            </w:r>
            <w:r>
              <w:rPr>
                <w:rFonts w:ascii="宋体" w:hAnsi="宋体" w:cs="宋体" w:eastAsia="宋体" w:hint="default"/>
                <w:w w:val="100"/>
                <w:sz w:val="21"/>
                <w:szCs w:val="21"/>
              </w:rPr>
              <w:t> </w:t>
            </w:r>
            <w:r>
              <w:rPr>
                <w:rFonts w:ascii="宋体" w:hAnsi="宋体" w:cs="宋体" w:eastAsia="宋体" w:hint="default"/>
                <w:sz w:val="21"/>
                <w:szCs w:val="21"/>
              </w:rPr>
              <w:t>后一个利润承诺年度相关的《专项审核报告》出具之日起的</w:t>
            </w:r>
            <w:r>
              <w:rPr>
                <w:rFonts w:ascii="宋体" w:hAnsi="宋体" w:cs="宋体" w:eastAsia="宋体" w:hint="default"/>
                <w:spacing w:val="-54"/>
                <w:sz w:val="21"/>
                <w:szCs w:val="21"/>
              </w:rPr>
              <w:t> </w:t>
            </w:r>
            <w:r>
              <w:rPr>
                <w:rFonts w:ascii="宋体" w:hAnsi="宋体" w:cs="宋体" w:eastAsia="宋体" w:hint="default"/>
                <w:spacing w:val="-3"/>
                <w:sz w:val="21"/>
                <w:szCs w:val="21"/>
              </w:rPr>
              <w:t>30</w:t>
            </w:r>
            <w:r>
              <w:rPr>
                <w:rFonts w:ascii="宋体" w:hAnsi="宋体" w:cs="宋体" w:eastAsia="宋体" w:hint="default"/>
                <w:spacing w:val="-3"/>
                <w:w w:val="100"/>
                <w:sz w:val="21"/>
                <w:szCs w:val="21"/>
              </w:rPr>
              <w:t> </w:t>
            </w:r>
            <w:r>
              <w:rPr>
                <w:rFonts w:ascii="宋体" w:hAnsi="宋体" w:cs="宋体" w:eastAsia="宋体" w:hint="default"/>
                <w:spacing w:val="-5"/>
                <w:w w:val="100"/>
                <w:sz w:val="21"/>
                <w:szCs w:val="21"/>
              </w:rPr>
              <w:t>日内，上市公司聘请具有证券期货从业资格的会计师事务所对拟</w:t>
            </w:r>
            <w:r>
              <w:rPr>
                <w:rFonts w:ascii="宋体" w:hAnsi="宋体" w:cs="宋体" w:eastAsia="宋体" w:hint="default"/>
                <w:spacing w:val="-91"/>
                <w:w w:val="100"/>
                <w:sz w:val="21"/>
                <w:szCs w:val="21"/>
              </w:rPr>
              <w:t> </w:t>
            </w:r>
            <w:r>
              <w:rPr>
                <w:rFonts w:ascii="宋体" w:hAnsi="宋体" w:cs="宋体" w:eastAsia="宋体" w:hint="default"/>
                <w:spacing w:val="-91"/>
                <w:w w:val="100"/>
                <w:sz w:val="21"/>
                <w:szCs w:val="21"/>
              </w:rPr>
            </w:r>
            <w:r>
              <w:rPr>
                <w:rFonts w:ascii="宋体" w:hAnsi="宋体" w:cs="宋体" w:eastAsia="宋体" w:hint="default"/>
                <w:spacing w:val="-5"/>
                <w:sz w:val="21"/>
                <w:szCs w:val="21"/>
              </w:rPr>
              <w:t>购买资产进行减值测试并出具《减值测试报告》，如果（利润承</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诺期期末标的资产减值额÷标的资产交易价格）</w:t>
            </w:r>
            <w:r>
              <w:rPr>
                <w:rFonts w:ascii="宋体" w:hAnsi="宋体" w:cs="宋体" w:eastAsia="宋体" w:hint="default"/>
                <w:sz w:val="21"/>
                <w:szCs w:val="21"/>
              </w:rPr>
              <w:t>&gt;</w:t>
            </w:r>
            <w:r>
              <w:rPr>
                <w:rFonts w:ascii="宋体" w:hAnsi="宋体" w:cs="宋体" w:eastAsia="宋体" w:hint="default"/>
                <w:sz w:val="21"/>
                <w:szCs w:val="21"/>
              </w:rPr>
              <w:t>（补偿期限内</w:t>
            </w:r>
            <w:r>
              <w:rPr>
                <w:rFonts w:ascii="宋体" w:hAnsi="宋体" w:cs="宋体" w:eastAsia="宋体" w:hint="default"/>
                <w:w w:val="100"/>
                <w:sz w:val="21"/>
                <w:szCs w:val="21"/>
              </w:rPr>
              <w:t> </w:t>
            </w:r>
            <w:r>
              <w:rPr>
                <w:rFonts w:ascii="宋体" w:hAnsi="宋体" w:cs="宋体" w:eastAsia="宋体" w:hint="default"/>
                <w:spacing w:val="-5"/>
                <w:sz w:val="21"/>
                <w:szCs w:val="21"/>
              </w:rPr>
              <w:t>已补偿股份总数÷新增股份总数），则由业绩承诺方按照其各自</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pacing w:val="-2"/>
                <w:sz w:val="21"/>
                <w:szCs w:val="21"/>
              </w:rPr>
              <w:t>持有的经评估的标的资产价值的比例向上市公司另行补偿股份。</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pacing w:val="-5"/>
                <w:w w:val="100"/>
                <w:sz w:val="21"/>
                <w:szCs w:val="21"/>
              </w:rPr>
              <w:t>另行补偿股份的计算公式为：（利润承诺期期末标的资产减值额</w:t>
            </w:r>
          </w:p>
          <w:p>
            <w:pPr>
              <w:pStyle w:val="TableParagraph"/>
              <w:spacing w:line="237" w:lineRule="auto"/>
              <w:ind w:left="103" w:right="-8"/>
              <w:jc w:val="left"/>
              <w:rPr>
                <w:rFonts w:ascii="宋体" w:hAnsi="宋体" w:cs="宋体" w:eastAsia="宋体" w:hint="default"/>
                <w:sz w:val="21"/>
                <w:szCs w:val="21"/>
              </w:rPr>
            </w:pPr>
            <w:r>
              <w:rPr>
                <w:rFonts w:ascii="宋体" w:hAnsi="宋体" w:cs="宋体" w:eastAsia="宋体" w:hint="default"/>
                <w:spacing w:val="-5"/>
                <w:w w:val="100"/>
                <w:sz w:val="21"/>
                <w:szCs w:val="21"/>
              </w:rPr>
              <w:t>÷本次发行股份购买资产项下每股发行价格）－业绩承诺方届时</w:t>
            </w:r>
            <w:r>
              <w:rPr>
                <w:rFonts w:ascii="宋体" w:hAnsi="宋体" w:cs="宋体" w:eastAsia="宋体" w:hint="default"/>
                <w:spacing w:val="-91"/>
                <w:w w:val="100"/>
                <w:sz w:val="21"/>
                <w:szCs w:val="21"/>
              </w:rPr>
              <w:t> </w:t>
            </w:r>
            <w:r>
              <w:rPr>
                <w:rFonts w:ascii="宋体" w:hAnsi="宋体" w:cs="宋体" w:eastAsia="宋体" w:hint="default"/>
                <w:spacing w:val="-91"/>
                <w:w w:val="100"/>
                <w:sz w:val="21"/>
                <w:szCs w:val="21"/>
              </w:rPr>
            </w:r>
            <w:r>
              <w:rPr>
                <w:rFonts w:ascii="宋体" w:hAnsi="宋体" w:cs="宋体" w:eastAsia="宋体" w:hint="default"/>
                <w:spacing w:val="-5"/>
                <w:w w:val="100"/>
                <w:sz w:val="21"/>
                <w:szCs w:val="21"/>
              </w:rPr>
              <w:t>已补偿股份总数在上述公式中，“利润承诺期期末标的资产减值</w:t>
            </w:r>
            <w:r>
              <w:rPr>
                <w:rFonts w:ascii="宋体" w:hAnsi="宋体" w:cs="宋体" w:eastAsia="宋体" w:hint="default"/>
                <w:spacing w:val="-91"/>
                <w:w w:val="100"/>
                <w:sz w:val="21"/>
                <w:szCs w:val="21"/>
              </w:rPr>
              <w:t> </w:t>
            </w:r>
            <w:r>
              <w:rPr>
                <w:rFonts w:ascii="宋体" w:hAnsi="宋体" w:cs="宋体" w:eastAsia="宋体" w:hint="default"/>
                <w:spacing w:val="-91"/>
                <w:w w:val="100"/>
                <w:sz w:val="21"/>
                <w:szCs w:val="21"/>
              </w:rPr>
            </w:r>
            <w:r>
              <w:rPr>
                <w:rFonts w:ascii="宋体" w:hAnsi="宋体" w:cs="宋体" w:eastAsia="宋体" w:hint="default"/>
                <w:sz w:val="21"/>
                <w:szCs w:val="21"/>
              </w:rPr>
              <w:t>额”为标的资产交易价格减去利润承诺期期末标的资产的评估</w:t>
            </w:r>
            <w:r>
              <w:rPr>
                <w:rFonts w:ascii="宋体" w:hAnsi="宋体" w:cs="宋体" w:eastAsia="宋体" w:hint="default"/>
                <w:w w:val="100"/>
                <w:sz w:val="21"/>
                <w:szCs w:val="21"/>
              </w:rPr>
              <w:t> </w:t>
            </w:r>
            <w:r>
              <w:rPr>
                <w:rFonts w:ascii="宋体" w:hAnsi="宋体" w:cs="宋体" w:eastAsia="宋体" w:hint="default"/>
                <w:spacing w:val="-5"/>
                <w:sz w:val="21"/>
                <w:szCs w:val="21"/>
              </w:rPr>
              <w:t>价值，并扣除自标的资产在业绩承诺期内标的资产股东增资、减</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pacing w:val="-5"/>
                <w:sz w:val="21"/>
                <w:szCs w:val="21"/>
              </w:rPr>
              <w:t>资、接受赠与以及利润分配的影响后所得净额；在计算“业绩承</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pacing w:val="-5"/>
                <w:w w:val="100"/>
                <w:sz w:val="21"/>
                <w:szCs w:val="21"/>
              </w:rPr>
              <w:t>诺方届时已补偿股份总数”时，如之前存在业绩承诺方以现金进</w:t>
            </w:r>
            <w:r>
              <w:rPr>
                <w:rFonts w:ascii="宋体" w:hAnsi="宋体" w:cs="宋体" w:eastAsia="宋体" w:hint="default"/>
                <w:spacing w:val="-91"/>
                <w:w w:val="100"/>
                <w:sz w:val="21"/>
                <w:szCs w:val="21"/>
              </w:rPr>
              <w:t> </w:t>
            </w:r>
            <w:r>
              <w:rPr>
                <w:rFonts w:ascii="宋体" w:hAnsi="宋体" w:cs="宋体" w:eastAsia="宋体" w:hint="default"/>
                <w:spacing w:val="-91"/>
                <w:w w:val="100"/>
                <w:sz w:val="21"/>
                <w:szCs w:val="21"/>
              </w:rPr>
            </w:r>
            <w:r>
              <w:rPr>
                <w:rFonts w:ascii="宋体" w:hAnsi="宋体" w:cs="宋体" w:eastAsia="宋体" w:hint="default"/>
                <w:spacing w:val="-8"/>
                <w:w w:val="100"/>
                <w:sz w:val="21"/>
                <w:szCs w:val="21"/>
              </w:rPr>
              <w:t>行补偿的情形，则应将已补偿的现金折算为股份数，计算公式为：</w:t>
            </w:r>
            <w:r>
              <w:rPr>
                <w:rFonts w:ascii="宋体" w:hAnsi="宋体" w:cs="宋体" w:eastAsia="宋体" w:hint="default"/>
                <w:w w:val="100"/>
                <w:sz w:val="21"/>
                <w:szCs w:val="21"/>
              </w:rPr>
              <w:t> </w:t>
            </w:r>
            <w:r>
              <w:rPr>
                <w:rFonts w:ascii="宋体" w:hAnsi="宋体" w:cs="宋体" w:eastAsia="宋体" w:hint="default"/>
                <w:spacing w:val="-5"/>
                <w:w w:val="100"/>
                <w:sz w:val="21"/>
                <w:szCs w:val="21"/>
              </w:rPr>
              <w:t>已补偿现金÷本次发行股份购买资产项下每股发行价格。业绩承</w:t>
            </w:r>
            <w:r>
              <w:rPr>
                <w:rFonts w:ascii="宋体" w:hAnsi="宋体" w:cs="宋体" w:eastAsia="宋体" w:hint="default"/>
                <w:spacing w:val="-90"/>
                <w:w w:val="100"/>
                <w:sz w:val="21"/>
                <w:szCs w:val="21"/>
              </w:rPr>
              <w:t> </w:t>
            </w:r>
            <w:r>
              <w:rPr>
                <w:rFonts w:ascii="宋体" w:hAnsi="宋体" w:cs="宋体" w:eastAsia="宋体" w:hint="default"/>
                <w:spacing w:val="-90"/>
                <w:w w:val="100"/>
                <w:sz w:val="21"/>
                <w:szCs w:val="21"/>
              </w:rPr>
            </w:r>
            <w:r>
              <w:rPr>
                <w:rFonts w:ascii="宋体" w:hAnsi="宋体" w:cs="宋体" w:eastAsia="宋体" w:hint="default"/>
                <w:spacing w:val="-2"/>
                <w:sz w:val="21"/>
                <w:szCs w:val="21"/>
              </w:rPr>
              <w:t>诺方就标的资产减值进行补偿时，应首先采取股份补偿的方式；</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pacing w:val="-2"/>
                <w:sz w:val="21"/>
                <w:szCs w:val="21"/>
              </w:rPr>
              <w:t>若业绩承诺方中某一方所持上市公司股份不足以实施股份补偿，</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pacing w:val="-5"/>
                <w:w w:val="100"/>
                <w:sz w:val="21"/>
                <w:szCs w:val="21"/>
              </w:rPr>
              <w:t>就不足部分，应由相关补偿义务方以现金方式对上市公司进行补</w:t>
            </w:r>
            <w:r>
              <w:rPr>
                <w:rFonts w:ascii="宋体" w:hAnsi="宋体" w:cs="宋体" w:eastAsia="宋体" w:hint="default"/>
                <w:spacing w:val="-91"/>
                <w:w w:val="100"/>
                <w:sz w:val="21"/>
                <w:szCs w:val="21"/>
              </w:rPr>
              <w:t> </w:t>
            </w:r>
            <w:r>
              <w:rPr>
                <w:rFonts w:ascii="宋体" w:hAnsi="宋体" w:cs="宋体" w:eastAsia="宋体" w:hint="default"/>
                <w:spacing w:val="-91"/>
                <w:w w:val="100"/>
                <w:sz w:val="21"/>
                <w:szCs w:val="21"/>
              </w:rPr>
            </w:r>
            <w:r>
              <w:rPr>
                <w:rFonts w:ascii="宋体" w:hAnsi="宋体" w:cs="宋体" w:eastAsia="宋体" w:hint="default"/>
                <w:sz w:val="21"/>
                <w:szCs w:val="21"/>
              </w:rPr>
              <w:t>偿。</w:t>
            </w:r>
          </w:p>
        </w:tc>
        <w:tc>
          <w:tcPr>
            <w:tcW w:w="2024"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004" w:type="dxa"/>
            <w:vMerge/>
            <w:tcBorders>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他</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郭东</w:t>
            </w:r>
            <w:r>
              <w:rPr>
                <w:rFonts w:ascii="宋体" w:hAnsi="宋体" w:cs="宋体" w:eastAsia="宋体" w:hint="default"/>
                <w:spacing w:val="-3"/>
                <w:w w:val="100"/>
                <w:sz w:val="21"/>
                <w:szCs w:val="21"/>
              </w:rPr>
              <w:t>泽</w:t>
            </w:r>
            <w:r>
              <w:rPr>
                <w:rFonts w:ascii="宋体" w:hAnsi="宋体" w:cs="宋体" w:eastAsia="宋体" w:hint="default"/>
                <w:spacing w:val="-89"/>
                <w:w w:val="100"/>
                <w:sz w:val="21"/>
                <w:szCs w:val="21"/>
              </w:rPr>
              <w:t>、</w:t>
            </w:r>
            <w:r>
              <w:rPr>
                <w:rFonts w:ascii="宋体" w:hAnsi="宋体" w:cs="宋体" w:eastAsia="宋体" w:hint="default"/>
                <w:w w:val="100"/>
                <w:sz w:val="21"/>
                <w:szCs w:val="21"/>
              </w:rPr>
              <w:t>郭</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东圣</w:t>
            </w:r>
          </w:p>
        </w:tc>
        <w:tc>
          <w:tcPr>
            <w:tcW w:w="60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保持上市公司独立性的承诺：本次重大资产重组完成后，将保证</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pacing w:val="-5"/>
                <w:sz w:val="21"/>
                <w:szCs w:val="21"/>
              </w:rPr>
              <w:t>黑化股份在人员、资产、财务、机构和业务等方面的独立性，遵</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守中国证监会有关规定、规范运作上市公司。</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承诺时间：</w:t>
            </w: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37" w:lineRule="auto"/>
              <w:ind w:left="103" w:right="99"/>
              <w:jc w:val="left"/>
              <w:rPr>
                <w:rFonts w:ascii="宋体" w:hAnsi="宋体" w:cs="宋体" w:eastAsia="宋体" w:hint="default"/>
                <w:sz w:val="21"/>
                <w:szCs w:val="21"/>
              </w:rPr>
            </w:pPr>
            <w:r>
              <w:rPr>
                <w:rFonts w:ascii="宋体" w:hAnsi="宋体" w:cs="宋体" w:eastAsia="宋体" w:hint="default"/>
                <w:sz w:val="21"/>
                <w:szCs w:val="21"/>
              </w:rPr>
              <w:t>公司重大资产重组</w:t>
            </w:r>
            <w:r>
              <w:rPr>
                <w:rFonts w:ascii="宋体" w:hAnsi="宋体" w:cs="宋体" w:eastAsia="宋体" w:hint="default"/>
                <w:w w:val="100"/>
                <w:sz w:val="21"/>
                <w:szCs w:val="21"/>
              </w:rPr>
              <w:t> </w:t>
            </w:r>
            <w:r>
              <w:rPr>
                <w:rFonts w:ascii="宋体" w:hAnsi="宋体" w:cs="宋体" w:eastAsia="宋体" w:hint="default"/>
                <w:spacing w:val="-11"/>
                <w:sz w:val="21"/>
                <w:szCs w:val="21"/>
              </w:rPr>
              <w:t>期间，承诺期限：长</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期有效。</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07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5" w:top="1120" w:bottom="1380" w:left="12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1004"/>
        <w:gridCol w:w="631"/>
        <w:gridCol w:w="1178"/>
        <w:gridCol w:w="6008"/>
        <w:gridCol w:w="2024"/>
        <w:gridCol w:w="629"/>
        <w:gridCol w:w="665"/>
        <w:gridCol w:w="1070"/>
        <w:gridCol w:w="900"/>
      </w:tblGrid>
      <w:tr>
        <w:trPr>
          <w:trHeight w:val="1915" w:hRule="exact"/>
        </w:trPr>
        <w:tc>
          <w:tcPr>
            <w:tcW w:w="1004" w:type="dxa"/>
            <w:vMerge w:val="restart"/>
            <w:tcBorders>
              <w:top w:val="single" w:sz="4" w:space="0" w:color="000000"/>
              <w:left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他</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郭东</w:t>
            </w:r>
            <w:r>
              <w:rPr>
                <w:rFonts w:ascii="宋体" w:hAnsi="宋体" w:cs="宋体" w:eastAsia="宋体" w:hint="default"/>
                <w:spacing w:val="-3"/>
                <w:w w:val="100"/>
                <w:sz w:val="21"/>
                <w:szCs w:val="21"/>
              </w:rPr>
              <w:t>泽</w:t>
            </w:r>
            <w:r>
              <w:rPr>
                <w:rFonts w:ascii="宋体" w:hAnsi="宋体" w:cs="宋体" w:eastAsia="宋体" w:hint="default"/>
                <w:spacing w:val="-89"/>
                <w:w w:val="100"/>
                <w:sz w:val="21"/>
                <w:szCs w:val="21"/>
              </w:rPr>
              <w:t>、</w:t>
            </w:r>
            <w:r>
              <w:rPr>
                <w:rFonts w:ascii="宋体" w:hAnsi="宋体" w:cs="宋体" w:eastAsia="宋体" w:hint="default"/>
                <w:w w:val="100"/>
                <w:sz w:val="21"/>
                <w:szCs w:val="21"/>
              </w:rPr>
              <w:t>郭</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东圣</w:t>
            </w:r>
          </w:p>
        </w:tc>
        <w:tc>
          <w:tcPr>
            <w:tcW w:w="60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关于标的公司经营场所的承诺：本人承诺，若安通物流、安盛船</w:t>
            </w:r>
          </w:p>
          <w:p>
            <w:pPr>
              <w:pStyle w:val="TableParagraph"/>
              <w:spacing w:line="237" w:lineRule="auto"/>
              <w:ind w:left="103" w:right="96"/>
              <w:jc w:val="left"/>
              <w:rPr>
                <w:rFonts w:ascii="宋体" w:hAnsi="宋体" w:cs="宋体" w:eastAsia="宋体" w:hint="default"/>
                <w:sz w:val="21"/>
                <w:szCs w:val="21"/>
              </w:rPr>
            </w:pPr>
            <w:r>
              <w:rPr>
                <w:rFonts w:ascii="宋体" w:hAnsi="宋体" w:cs="宋体" w:eastAsia="宋体" w:hint="default"/>
                <w:sz w:val="21"/>
                <w:szCs w:val="21"/>
              </w:rPr>
              <w:t>务及其下属子公司因租赁房产未办理房屋租赁备案或未取得房</w:t>
            </w:r>
            <w:r>
              <w:rPr>
                <w:rFonts w:ascii="宋体" w:hAnsi="宋体" w:cs="宋体" w:eastAsia="宋体" w:hint="default"/>
                <w:w w:val="100"/>
                <w:sz w:val="21"/>
                <w:szCs w:val="21"/>
              </w:rPr>
              <w:t> </w:t>
            </w:r>
            <w:r>
              <w:rPr>
                <w:rFonts w:ascii="宋体" w:hAnsi="宋体" w:cs="宋体" w:eastAsia="宋体" w:hint="default"/>
                <w:spacing w:val="-5"/>
                <w:w w:val="100"/>
                <w:sz w:val="21"/>
                <w:szCs w:val="21"/>
              </w:rPr>
              <w:t>产证问题无法继续租赁该等房产，且未能及时变更所涉及的经营</w:t>
            </w:r>
            <w:r>
              <w:rPr>
                <w:rFonts w:ascii="宋体" w:hAnsi="宋体" w:cs="宋体" w:eastAsia="宋体" w:hint="default"/>
                <w:spacing w:val="-91"/>
                <w:w w:val="100"/>
                <w:sz w:val="21"/>
                <w:szCs w:val="21"/>
              </w:rPr>
              <w:t> </w:t>
            </w:r>
            <w:r>
              <w:rPr>
                <w:rFonts w:ascii="宋体" w:hAnsi="宋体" w:cs="宋体" w:eastAsia="宋体" w:hint="default"/>
                <w:spacing w:val="-91"/>
                <w:w w:val="100"/>
                <w:sz w:val="21"/>
                <w:szCs w:val="21"/>
              </w:rPr>
            </w:r>
            <w:r>
              <w:rPr>
                <w:rFonts w:ascii="宋体" w:hAnsi="宋体" w:cs="宋体" w:eastAsia="宋体" w:hint="default"/>
                <w:spacing w:val="-5"/>
                <w:sz w:val="21"/>
                <w:szCs w:val="21"/>
              </w:rPr>
              <w:t>场所，对安通物流、安盛船务及其下属子公司生产经营造成不利</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pacing w:val="-5"/>
                <w:sz w:val="21"/>
                <w:szCs w:val="21"/>
              </w:rPr>
              <w:t>影响，或是上述情况被房地产管理部门处以罚款，本人将无条件</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pacing w:val="-5"/>
                <w:sz w:val="21"/>
                <w:szCs w:val="21"/>
              </w:rPr>
              <w:t>承担该等搬迁成本、损失及罚款，保证安通物流、安盛船务及其</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下属子公司的业务经营不会因上述租赁事宜受到不利影响。</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承诺时间：</w:t>
            </w: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37" w:lineRule="auto"/>
              <w:ind w:left="103" w:right="99"/>
              <w:jc w:val="left"/>
              <w:rPr>
                <w:rFonts w:ascii="宋体" w:hAnsi="宋体" w:cs="宋体" w:eastAsia="宋体" w:hint="default"/>
                <w:sz w:val="21"/>
                <w:szCs w:val="21"/>
              </w:rPr>
            </w:pPr>
            <w:r>
              <w:rPr>
                <w:rFonts w:ascii="宋体" w:hAnsi="宋体" w:cs="宋体" w:eastAsia="宋体" w:hint="default"/>
                <w:sz w:val="21"/>
                <w:szCs w:val="21"/>
              </w:rPr>
              <w:t>公司重大资产重组</w:t>
            </w:r>
            <w:r>
              <w:rPr>
                <w:rFonts w:ascii="宋体" w:hAnsi="宋体" w:cs="宋体" w:eastAsia="宋体" w:hint="default"/>
                <w:w w:val="100"/>
                <w:sz w:val="21"/>
                <w:szCs w:val="21"/>
              </w:rPr>
              <w:t> </w:t>
            </w:r>
            <w:r>
              <w:rPr>
                <w:rFonts w:ascii="宋体" w:hAnsi="宋体" w:cs="宋体" w:eastAsia="宋体" w:hint="default"/>
                <w:spacing w:val="-11"/>
                <w:sz w:val="21"/>
                <w:szCs w:val="21"/>
              </w:rPr>
              <w:t>期间，承诺期限：长</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期有效。</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07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1645" w:hRule="exact"/>
        </w:trPr>
        <w:tc>
          <w:tcPr>
            <w:tcW w:w="1004" w:type="dxa"/>
            <w:vMerge/>
            <w:tcBorders>
              <w:left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他</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郭东</w:t>
            </w:r>
            <w:r>
              <w:rPr>
                <w:rFonts w:ascii="宋体" w:hAnsi="宋体" w:cs="宋体" w:eastAsia="宋体" w:hint="default"/>
                <w:spacing w:val="-3"/>
                <w:w w:val="100"/>
                <w:sz w:val="21"/>
                <w:szCs w:val="21"/>
              </w:rPr>
              <w:t>泽</w:t>
            </w:r>
            <w:r>
              <w:rPr>
                <w:rFonts w:ascii="宋体" w:hAnsi="宋体" w:cs="宋体" w:eastAsia="宋体" w:hint="default"/>
                <w:spacing w:val="-89"/>
                <w:w w:val="100"/>
                <w:sz w:val="21"/>
                <w:szCs w:val="21"/>
              </w:rPr>
              <w:t>、</w:t>
            </w:r>
            <w:r>
              <w:rPr>
                <w:rFonts w:ascii="宋体" w:hAnsi="宋体" w:cs="宋体" w:eastAsia="宋体" w:hint="default"/>
                <w:w w:val="100"/>
                <w:sz w:val="21"/>
                <w:szCs w:val="21"/>
              </w:rPr>
              <w:t>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城国融</w:t>
            </w:r>
          </w:p>
        </w:tc>
        <w:tc>
          <w:tcPr>
            <w:tcW w:w="6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配套募集资金交易对方关于认购本次募集配套资金股份资金来</w:t>
            </w:r>
          </w:p>
          <w:p>
            <w:pPr>
              <w:pStyle w:val="TableParagraph"/>
              <w:spacing w:line="237" w:lineRule="auto" w:before="2"/>
              <w:ind w:left="103" w:right="96"/>
              <w:jc w:val="both"/>
              <w:rPr>
                <w:rFonts w:ascii="宋体" w:hAnsi="宋体" w:cs="宋体" w:eastAsia="宋体" w:hint="default"/>
                <w:sz w:val="21"/>
                <w:szCs w:val="21"/>
              </w:rPr>
            </w:pPr>
            <w:r>
              <w:rPr>
                <w:rFonts w:ascii="宋体" w:hAnsi="宋体" w:cs="宋体" w:eastAsia="宋体" w:hint="default"/>
                <w:spacing w:val="-2"/>
                <w:sz w:val="21"/>
                <w:szCs w:val="21"/>
              </w:rPr>
              <w:t>源的承诺：本人</w:t>
            </w:r>
            <w:r>
              <w:rPr>
                <w:rFonts w:ascii="宋体" w:hAnsi="宋体" w:cs="宋体" w:eastAsia="宋体" w:hint="default"/>
                <w:spacing w:val="-2"/>
                <w:sz w:val="21"/>
                <w:szCs w:val="21"/>
              </w:rPr>
              <w:t>/</w:t>
            </w:r>
            <w:r>
              <w:rPr>
                <w:rFonts w:ascii="宋体" w:hAnsi="宋体" w:cs="宋体" w:eastAsia="宋体" w:hint="default"/>
                <w:spacing w:val="-2"/>
                <w:sz w:val="21"/>
                <w:szCs w:val="21"/>
              </w:rPr>
              <w:t>本公司认购黑化股份非公开发行股份募集配套</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pacing w:val="-2"/>
                <w:sz w:val="21"/>
                <w:szCs w:val="21"/>
              </w:rPr>
              <w:t>资金的认购资金来源为本人</w:t>
            </w:r>
            <w:r>
              <w:rPr>
                <w:rFonts w:ascii="宋体" w:hAnsi="宋体" w:cs="宋体" w:eastAsia="宋体" w:hint="default"/>
                <w:spacing w:val="-2"/>
                <w:sz w:val="21"/>
                <w:szCs w:val="21"/>
              </w:rPr>
              <w:t>/</w:t>
            </w:r>
            <w:r>
              <w:rPr>
                <w:rFonts w:ascii="宋体" w:hAnsi="宋体" w:cs="宋体" w:eastAsia="宋体" w:hint="default"/>
                <w:spacing w:val="-2"/>
                <w:sz w:val="21"/>
                <w:szCs w:val="21"/>
              </w:rPr>
              <w:t>本公司自有资金或以合法方式自筹</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pacing w:val="-2"/>
                <w:sz w:val="21"/>
                <w:szCs w:val="21"/>
              </w:rPr>
              <w:t>资金</w:t>
            </w:r>
            <w:r>
              <w:rPr>
                <w:rFonts w:ascii="宋体" w:hAnsi="宋体" w:cs="宋体" w:eastAsia="宋体" w:hint="default"/>
                <w:spacing w:val="-2"/>
                <w:sz w:val="21"/>
                <w:szCs w:val="21"/>
              </w:rPr>
              <w:t>,</w:t>
            </w:r>
            <w:r>
              <w:rPr>
                <w:rFonts w:ascii="宋体" w:hAnsi="宋体" w:cs="宋体" w:eastAsia="宋体" w:hint="default"/>
                <w:spacing w:val="-2"/>
                <w:sz w:val="21"/>
                <w:szCs w:val="21"/>
              </w:rPr>
              <w:t>不存在向第三方另行募集的情况，且认购资金不存在直接</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pacing w:val="-5"/>
                <w:w w:val="100"/>
                <w:sz w:val="21"/>
                <w:szCs w:val="21"/>
              </w:rPr>
              <w:t>或间接来源于黑化股份及其董事、监事和高级管理人员及关联方</w:t>
            </w:r>
            <w:r>
              <w:rPr>
                <w:rFonts w:ascii="宋体" w:hAnsi="宋体" w:cs="宋体" w:eastAsia="宋体" w:hint="default"/>
                <w:spacing w:val="-91"/>
                <w:w w:val="100"/>
                <w:sz w:val="21"/>
                <w:szCs w:val="21"/>
              </w:rPr>
              <w:t> </w:t>
            </w:r>
            <w:r>
              <w:rPr>
                <w:rFonts w:ascii="宋体" w:hAnsi="宋体" w:cs="宋体" w:eastAsia="宋体" w:hint="default"/>
                <w:spacing w:val="-91"/>
                <w:w w:val="100"/>
                <w:sz w:val="21"/>
                <w:szCs w:val="21"/>
              </w:rPr>
            </w:r>
            <w:r>
              <w:rPr>
                <w:rFonts w:ascii="宋体" w:hAnsi="宋体" w:cs="宋体" w:eastAsia="宋体" w:hint="default"/>
                <w:sz w:val="21"/>
                <w:szCs w:val="21"/>
              </w:rPr>
              <w:t>的情况。</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承诺时间：</w:t>
            </w: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72" w:lineRule="exact" w:before="27"/>
              <w:ind w:left="103" w:right="226"/>
              <w:jc w:val="left"/>
              <w:rPr>
                <w:rFonts w:ascii="宋体" w:hAnsi="宋体" w:cs="宋体" w:eastAsia="宋体" w:hint="default"/>
                <w:sz w:val="21"/>
                <w:szCs w:val="21"/>
              </w:rPr>
            </w:pPr>
            <w:r>
              <w:rPr>
                <w:rFonts w:ascii="宋体" w:hAnsi="宋体" w:cs="宋体" w:eastAsia="宋体" w:hint="default"/>
                <w:sz w:val="21"/>
                <w:szCs w:val="21"/>
              </w:rPr>
              <w:t>公司重大资产重组</w:t>
            </w:r>
            <w:r>
              <w:rPr>
                <w:rFonts w:ascii="宋体" w:hAnsi="宋体" w:cs="宋体" w:eastAsia="宋体" w:hint="default"/>
                <w:w w:val="100"/>
                <w:sz w:val="21"/>
                <w:szCs w:val="21"/>
              </w:rPr>
              <w:t> </w:t>
            </w:r>
            <w:r>
              <w:rPr>
                <w:rFonts w:ascii="宋体" w:hAnsi="宋体" w:cs="宋体" w:eastAsia="宋体" w:hint="default"/>
                <w:sz w:val="21"/>
                <w:szCs w:val="21"/>
              </w:rPr>
              <w:t>期间。</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07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4914" w:hRule="exact"/>
        </w:trPr>
        <w:tc>
          <w:tcPr>
            <w:tcW w:w="1004" w:type="dxa"/>
            <w:vMerge/>
            <w:tcBorders>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他</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郭东</w:t>
            </w:r>
            <w:r>
              <w:rPr>
                <w:rFonts w:ascii="宋体" w:hAnsi="宋体" w:cs="宋体" w:eastAsia="宋体" w:hint="default"/>
                <w:spacing w:val="-3"/>
                <w:w w:val="100"/>
                <w:sz w:val="21"/>
                <w:szCs w:val="21"/>
              </w:rPr>
              <w:t>泽</w:t>
            </w:r>
            <w:r>
              <w:rPr>
                <w:rFonts w:ascii="宋体" w:hAnsi="宋体" w:cs="宋体" w:eastAsia="宋体" w:hint="default"/>
                <w:spacing w:val="-89"/>
                <w:w w:val="100"/>
                <w:sz w:val="21"/>
                <w:szCs w:val="21"/>
              </w:rPr>
              <w:t>、</w:t>
            </w:r>
            <w:r>
              <w:rPr>
                <w:rFonts w:ascii="宋体" w:hAnsi="宋体" w:cs="宋体" w:eastAsia="宋体" w:hint="default"/>
                <w:w w:val="100"/>
                <w:sz w:val="21"/>
                <w:szCs w:val="21"/>
              </w:rPr>
              <w:t>郭</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东圣</w:t>
            </w:r>
          </w:p>
        </w:tc>
        <w:tc>
          <w:tcPr>
            <w:tcW w:w="60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关于安通物流历史上存在的红筹架构相关事项的确认及承诺</w:t>
            </w:r>
            <w:r>
              <w:rPr>
                <w:rFonts w:ascii="宋体" w:hAnsi="宋体" w:cs="宋体" w:eastAsia="宋体" w:hint="default"/>
                <w:sz w:val="21"/>
                <w:szCs w:val="21"/>
              </w:rPr>
              <w:t>:</w:t>
            </w:r>
          </w:p>
          <w:p>
            <w:pPr>
              <w:pStyle w:val="TableParagraph"/>
              <w:spacing w:line="237" w:lineRule="auto" w:before="2"/>
              <w:ind w:left="103" w:right="7"/>
              <w:jc w:val="left"/>
              <w:rPr>
                <w:rFonts w:ascii="宋体" w:hAnsi="宋体" w:cs="宋体" w:eastAsia="宋体" w:hint="default"/>
                <w:sz w:val="21"/>
                <w:szCs w:val="21"/>
              </w:rPr>
            </w:pPr>
            <w:r>
              <w:rPr>
                <w:rFonts w:ascii="宋体" w:hAnsi="宋体" w:cs="宋体" w:eastAsia="宋体" w:hint="default"/>
                <w:spacing w:val="-5"/>
                <w:sz w:val="21"/>
                <w:szCs w:val="21"/>
              </w:rPr>
              <w:t>郭东泽、郭东圣承诺，就尚存的与安通物流过往境外上市安排有</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pacing w:val="-2"/>
                <w:sz w:val="21"/>
                <w:szCs w:val="21"/>
              </w:rPr>
              <w:t>关的、由郭东泽、郭东圣直接及间接控制的境外特殊目的公司，</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pacing w:val="-6"/>
                <w:sz w:val="21"/>
                <w:szCs w:val="21"/>
              </w:rPr>
              <w:t>郭东泽、郭东圣承诺将在</w:t>
            </w:r>
            <w:r>
              <w:rPr>
                <w:rFonts w:ascii="宋体" w:hAnsi="宋体" w:cs="宋体" w:eastAsia="宋体" w:hint="default"/>
                <w:spacing w:val="-47"/>
                <w:sz w:val="21"/>
                <w:szCs w:val="21"/>
              </w:rPr>
              <w:t> </w:t>
            </w:r>
            <w:r>
              <w:rPr>
                <w:rFonts w:ascii="宋体" w:hAnsi="宋体" w:cs="宋体" w:eastAsia="宋体" w:hint="default"/>
                <w:sz w:val="21"/>
                <w:szCs w:val="21"/>
              </w:rPr>
              <w:t>2016</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r>
              <w:rPr>
                <w:rFonts w:ascii="宋体" w:hAnsi="宋体" w:cs="宋体" w:eastAsia="宋体" w:hint="default"/>
                <w:spacing w:val="-49"/>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30</w:t>
            </w:r>
            <w:r>
              <w:rPr>
                <w:rFonts w:ascii="宋体" w:hAnsi="宋体" w:cs="宋体" w:eastAsia="宋体" w:hint="default"/>
                <w:spacing w:val="-51"/>
                <w:sz w:val="21"/>
                <w:szCs w:val="21"/>
              </w:rPr>
              <w:t> </w:t>
            </w:r>
            <w:r>
              <w:rPr>
                <w:rFonts w:ascii="宋体" w:hAnsi="宋体" w:cs="宋体" w:eastAsia="宋体" w:hint="default"/>
                <w:spacing w:val="-6"/>
                <w:sz w:val="21"/>
                <w:szCs w:val="21"/>
              </w:rPr>
              <w:t>日之前将其注销；就纪</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世贤、卢进治持有的时运、鸿荣，郭东泽、郭东圣将确保其于</w:t>
            </w:r>
            <w:r>
              <w:rPr>
                <w:rFonts w:ascii="宋体" w:hAnsi="宋体" w:cs="宋体" w:eastAsia="宋体" w:hint="default"/>
                <w:w w:val="100"/>
                <w:sz w:val="21"/>
                <w:szCs w:val="21"/>
              </w:rPr>
              <w:t> </w:t>
            </w:r>
            <w:r>
              <w:rPr>
                <w:rFonts w:ascii="宋体" w:hAnsi="宋体" w:cs="宋体" w:eastAsia="宋体" w:hint="default"/>
                <w:sz w:val="21"/>
                <w:szCs w:val="21"/>
              </w:rPr>
              <w:t>2016</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9</w:t>
            </w:r>
            <w:r>
              <w:rPr>
                <w:rFonts w:ascii="宋体" w:hAnsi="宋体" w:cs="宋体" w:eastAsia="宋体" w:hint="default"/>
                <w:spacing w:val="-49"/>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宋体" w:hAnsi="宋体" w:cs="宋体" w:eastAsia="宋体" w:hint="default"/>
                <w:sz w:val="21"/>
                <w:szCs w:val="21"/>
              </w:rPr>
              <w:t>30</w:t>
            </w:r>
            <w:r>
              <w:rPr>
                <w:rFonts w:ascii="宋体" w:hAnsi="宋体" w:cs="宋体" w:eastAsia="宋体" w:hint="default"/>
                <w:spacing w:val="-49"/>
                <w:sz w:val="21"/>
                <w:szCs w:val="21"/>
              </w:rPr>
              <w:t> </w:t>
            </w:r>
            <w:r>
              <w:rPr>
                <w:rFonts w:ascii="宋体" w:hAnsi="宋体" w:cs="宋体" w:eastAsia="宋体" w:hint="default"/>
                <w:spacing w:val="-4"/>
                <w:sz w:val="21"/>
                <w:szCs w:val="21"/>
              </w:rPr>
              <w:t>日之前完成注销手续；如由于任何郭东泽、郭东</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5"/>
                <w:w w:val="100"/>
                <w:sz w:val="21"/>
                <w:szCs w:val="21"/>
              </w:rPr>
              <w:t>圣无法控制、无法预期且无法克服的原因导致无法完成前述境外</w:t>
            </w:r>
            <w:r>
              <w:rPr>
                <w:rFonts w:ascii="宋体" w:hAnsi="宋体" w:cs="宋体" w:eastAsia="宋体" w:hint="default"/>
                <w:spacing w:val="-91"/>
                <w:w w:val="100"/>
                <w:sz w:val="21"/>
                <w:szCs w:val="21"/>
              </w:rPr>
              <w:t> </w:t>
            </w:r>
            <w:r>
              <w:rPr>
                <w:rFonts w:ascii="宋体" w:hAnsi="宋体" w:cs="宋体" w:eastAsia="宋体" w:hint="default"/>
                <w:spacing w:val="-91"/>
                <w:w w:val="100"/>
                <w:sz w:val="21"/>
                <w:szCs w:val="21"/>
              </w:rPr>
            </w:r>
            <w:r>
              <w:rPr>
                <w:rFonts w:ascii="宋体" w:hAnsi="宋体" w:cs="宋体" w:eastAsia="宋体" w:hint="default"/>
                <w:spacing w:val="-5"/>
                <w:sz w:val="21"/>
                <w:szCs w:val="21"/>
              </w:rPr>
              <w:t>特殊目的公司的注销，郭东泽、郭东圣将向或确保纪世贤、卢进</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治于</w:t>
            </w:r>
            <w:r>
              <w:rPr>
                <w:rFonts w:ascii="宋体" w:hAnsi="宋体" w:cs="宋体" w:eastAsia="宋体" w:hint="default"/>
                <w:spacing w:val="-69"/>
                <w:sz w:val="21"/>
                <w:szCs w:val="21"/>
              </w:rPr>
              <w:t> </w:t>
            </w:r>
            <w:r>
              <w:rPr>
                <w:rFonts w:ascii="宋体" w:hAnsi="宋体" w:cs="宋体" w:eastAsia="宋体" w:hint="default"/>
                <w:sz w:val="21"/>
                <w:szCs w:val="21"/>
              </w:rPr>
              <w:t>2016</w:t>
            </w:r>
            <w:r>
              <w:rPr>
                <w:rFonts w:ascii="宋体" w:hAnsi="宋体" w:cs="宋体" w:eastAsia="宋体" w:hint="default"/>
                <w:spacing w:val="-67"/>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宋体" w:hAnsi="宋体" w:cs="宋体" w:eastAsia="宋体" w:hint="default"/>
                <w:sz w:val="21"/>
                <w:szCs w:val="21"/>
              </w:rPr>
              <w:t>9</w:t>
            </w:r>
            <w:r>
              <w:rPr>
                <w:rFonts w:ascii="宋体" w:hAnsi="宋体" w:cs="宋体" w:eastAsia="宋体" w:hint="default"/>
                <w:spacing w:val="-69"/>
                <w:sz w:val="21"/>
                <w:szCs w:val="21"/>
              </w:rPr>
              <w:t> </w:t>
            </w:r>
            <w:r>
              <w:rPr>
                <w:rFonts w:ascii="宋体" w:hAnsi="宋体" w:cs="宋体" w:eastAsia="宋体" w:hint="default"/>
                <w:sz w:val="21"/>
                <w:szCs w:val="21"/>
              </w:rPr>
              <w:t>月</w:t>
            </w:r>
            <w:r>
              <w:rPr>
                <w:rFonts w:ascii="宋体" w:hAnsi="宋体" w:cs="宋体" w:eastAsia="宋体" w:hint="default"/>
                <w:spacing w:val="-67"/>
                <w:sz w:val="21"/>
                <w:szCs w:val="21"/>
              </w:rPr>
              <w:t> </w:t>
            </w:r>
            <w:r>
              <w:rPr>
                <w:rFonts w:ascii="宋体" w:hAnsi="宋体" w:cs="宋体" w:eastAsia="宋体" w:hint="default"/>
                <w:sz w:val="21"/>
                <w:szCs w:val="21"/>
              </w:rPr>
              <w:t>30</w:t>
            </w:r>
            <w:r>
              <w:rPr>
                <w:rFonts w:ascii="宋体" w:hAnsi="宋体" w:cs="宋体" w:eastAsia="宋体" w:hint="default"/>
                <w:spacing w:val="-67"/>
                <w:sz w:val="21"/>
                <w:szCs w:val="21"/>
              </w:rPr>
              <w:t> </w:t>
            </w:r>
            <w:r>
              <w:rPr>
                <w:rFonts w:ascii="宋体" w:hAnsi="宋体" w:cs="宋体" w:eastAsia="宋体" w:hint="default"/>
                <w:sz w:val="21"/>
                <w:szCs w:val="21"/>
              </w:rPr>
              <w:t>日之前向无关联的第三方转让该等公司的股</w:t>
            </w:r>
            <w:r>
              <w:rPr>
                <w:rFonts w:ascii="宋体" w:hAnsi="宋体" w:cs="宋体" w:eastAsia="宋体" w:hint="default"/>
                <w:w w:val="100"/>
                <w:sz w:val="21"/>
                <w:szCs w:val="21"/>
              </w:rPr>
              <w:t> </w:t>
            </w:r>
            <w:r>
              <w:rPr>
                <w:rFonts w:ascii="宋体" w:hAnsi="宋体" w:cs="宋体" w:eastAsia="宋体" w:hint="default"/>
                <w:spacing w:val="-5"/>
                <w:sz w:val="21"/>
                <w:szCs w:val="21"/>
              </w:rPr>
              <w:t>权。郭东泽承诺，在仁建安通集装箱资产相关的全部融资租赁合</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pacing w:val="-5"/>
                <w:sz w:val="21"/>
                <w:szCs w:val="21"/>
              </w:rPr>
              <w:t>同（或售后回租合同）履行期届满之日起</w:t>
            </w:r>
            <w:r>
              <w:rPr>
                <w:rFonts w:ascii="宋体" w:hAnsi="宋体" w:cs="宋体" w:eastAsia="宋体" w:hint="default"/>
                <w:spacing w:val="-43"/>
                <w:sz w:val="21"/>
                <w:szCs w:val="21"/>
              </w:rPr>
              <w:t> </w:t>
            </w:r>
            <w:r>
              <w:rPr>
                <w:rFonts w:ascii="宋体" w:hAnsi="宋体" w:cs="宋体" w:eastAsia="宋体" w:hint="default"/>
                <w:sz w:val="21"/>
                <w:szCs w:val="21"/>
              </w:rPr>
              <w:t>6</w:t>
            </w:r>
            <w:r>
              <w:rPr>
                <w:rFonts w:ascii="宋体" w:hAnsi="宋体" w:cs="宋体" w:eastAsia="宋体" w:hint="default"/>
                <w:spacing w:val="-42"/>
                <w:sz w:val="21"/>
                <w:szCs w:val="21"/>
              </w:rPr>
              <w:t> </w:t>
            </w:r>
            <w:r>
              <w:rPr>
                <w:rFonts w:ascii="宋体" w:hAnsi="宋体" w:cs="宋体" w:eastAsia="宋体" w:hint="default"/>
                <w:spacing w:val="-5"/>
                <w:sz w:val="21"/>
                <w:szCs w:val="21"/>
              </w:rPr>
              <w:t>个月内，向安通物流</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5"/>
                <w:sz w:val="21"/>
                <w:szCs w:val="21"/>
              </w:rPr>
              <w:t>或其他无关联第三方出售该等集装箱资产。郭东泽、郭东圣确认</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在红筹架构建立和拆除过程中涉及的股权</w:t>
            </w:r>
            <w:r>
              <w:rPr>
                <w:rFonts w:ascii="宋体" w:hAnsi="宋体" w:cs="宋体" w:eastAsia="宋体" w:hint="default"/>
                <w:sz w:val="21"/>
                <w:szCs w:val="21"/>
              </w:rPr>
              <w:t>/</w:t>
            </w:r>
            <w:r>
              <w:rPr>
                <w:rFonts w:ascii="宋体" w:hAnsi="宋体" w:cs="宋体" w:eastAsia="宋体" w:hint="default"/>
                <w:sz w:val="21"/>
                <w:szCs w:val="21"/>
              </w:rPr>
              <w:t>股份转让和回购等全</w:t>
            </w:r>
            <w:r>
              <w:rPr>
                <w:rFonts w:ascii="宋体" w:hAnsi="宋体" w:cs="宋体" w:eastAsia="宋体" w:hint="default"/>
                <w:w w:val="100"/>
                <w:sz w:val="21"/>
                <w:szCs w:val="21"/>
              </w:rPr>
              <w:t> </w:t>
            </w:r>
            <w:r>
              <w:rPr>
                <w:rFonts w:ascii="宋体" w:hAnsi="宋体" w:cs="宋体" w:eastAsia="宋体" w:hint="default"/>
                <w:sz w:val="21"/>
                <w:szCs w:val="21"/>
              </w:rPr>
              <w:t>部事项均符合当地法律法规规定，股权</w:t>
            </w:r>
            <w:r>
              <w:rPr>
                <w:rFonts w:ascii="宋体" w:hAnsi="宋体" w:cs="宋体" w:eastAsia="宋体" w:hint="default"/>
                <w:sz w:val="21"/>
                <w:szCs w:val="21"/>
              </w:rPr>
              <w:t>/</w:t>
            </w:r>
            <w:r>
              <w:rPr>
                <w:rFonts w:ascii="宋体" w:hAnsi="宋体" w:cs="宋体" w:eastAsia="宋体" w:hint="default"/>
                <w:sz w:val="21"/>
                <w:szCs w:val="21"/>
              </w:rPr>
              <w:t>股份转让协议和回购协</w:t>
            </w:r>
            <w:r>
              <w:rPr>
                <w:rFonts w:ascii="宋体" w:hAnsi="宋体" w:cs="宋体" w:eastAsia="宋体" w:hint="default"/>
                <w:w w:val="100"/>
                <w:sz w:val="21"/>
                <w:szCs w:val="21"/>
              </w:rPr>
              <w:t> </w:t>
            </w:r>
            <w:r>
              <w:rPr>
                <w:rFonts w:ascii="宋体" w:hAnsi="宋体" w:cs="宋体" w:eastAsia="宋体" w:hint="default"/>
                <w:spacing w:val="-5"/>
                <w:sz w:val="21"/>
                <w:szCs w:val="21"/>
              </w:rPr>
              <w:t>议均已签署完毕，不存在潜在的纠纷和隐患；安通物流红筹架构</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pacing w:val="-5"/>
                <w:w w:val="100"/>
                <w:sz w:val="21"/>
                <w:szCs w:val="21"/>
              </w:rPr>
              <w:t>项下的所有控制协议已经解除，安通物流不存在申报境外上市未</w:t>
            </w:r>
            <w:r>
              <w:rPr>
                <w:rFonts w:ascii="宋体" w:hAnsi="宋体" w:cs="宋体" w:eastAsia="宋体" w:hint="default"/>
                <w:spacing w:val="-91"/>
                <w:w w:val="100"/>
                <w:sz w:val="21"/>
                <w:szCs w:val="21"/>
              </w:rPr>
              <w:t> </w:t>
            </w:r>
            <w:r>
              <w:rPr>
                <w:rFonts w:ascii="宋体" w:hAnsi="宋体" w:cs="宋体" w:eastAsia="宋体" w:hint="default"/>
                <w:spacing w:val="-91"/>
                <w:w w:val="100"/>
                <w:sz w:val="21"/>
                <w:szCs w:val="21"/>
              </w:rPr>
            </w:r>
            <w:r>
              <w:rPr>
                <w:rFonts w:ascii="宋体" w:hAnsi="宋体" w:cs="宋体" w:eastAsia="宋体" w:hint="default"/>
                <w:sz w:val="21"/>
                <w:szCs w:val="21"/>
              </w:rPr>
              <w:t>撤回情形，亦不存在其他协议安排导致本次重组存在障碍的情</w:t>
            </w:r>
            <w:r>
              <w:rPr>
                <w:rFonts w:ascii="宋体" w:hAnsi="宋体" w:cs="宋体" w:eastAsia="宋体" w:hint="default"/>
                <w:w w:val="100"/>
                <w:sz w:val="21"/>
                <w:szCs w:val="21"/>
              </w:rPr>
              <w:t> </w:t>
            </w:r>
            <w:r>
              <w:rPr>
                <w:rFonts w:ascii="宋体" w:hAnsi="宋体" w:cs="宋体" w:eastAsia="宋体" w:hint="default"/>
                <w:spacing w:val="-5"/>
                <w:sz w:val="21"/>
                <w:szCs w:val="21"/>
              </w:rPr>
              <w:t>形。郭东泽、郭东圣承诺，如因上述事项或其他与历史上存在的</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承诺时间：</w:t>
            </w: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72" w:lineRule="exact" w:before="27"/>
              <w:ind w:left="103" w:right="226"/>
              <w:jc w:val="left"/>
              <w:rPr>
                <w:rFonts w:ascii="宋体" w:hAnsi="宋体" w:cs="宋体" w:eastAsia="宋体" w:hint="default"/>
                <w:sz w:val="21"/>
                <w:szCs w:val="21"/>
              </w:rPr>
            </w:pPr>
            <w:r>
              <w:rPr>
                <w:rFonts w:ascii="宋体" w:hAnsi="宋体" w:cs="宋体" w:eastAsia="宋体" w:hint="default"/>
                <w:sz w:val="21"/>
                <w:szCs w:val="21"/>
              </w:rPr>
              <w:t>公司重大资产重组</w:t>
            </w:r>
            <w:r>
              <w:rPr>
                <w:rFonts w:ascii="宋体" w:hAnsi="宋体" w:cs="宋体" w:eastAsia="宋体" w:hint="default"/>
                <w:w w:val="100"/>
                <w:sz w:val="21"/>
                <w:szCs w:val="21"/>
              </w:rPr>
              <w:t> </w:t>
            </w:r>
            <w:r>
              <w:rPr>
                <w:rFonts w:ascii="宋体" w:hAnsi="宋体" w:cs="宋体" w:eastAsia="宋体" w:hint="default"/>
                <w:sz w:val="21"/>
                <w:szCs w:val="21"/>
              </w:rPr>
              <w:t>期间。</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07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5" w:top="1120" w:bottom="1380" w:left="12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1004"/>
        <w:gridCol w:w="631"/>
        <w:gridCol w:w="1178"/>
        <w:gridCol w:w="6008"/>
        <w:gridCol w:w="2024"/>
        <w:gridCol w:w="629"/>
        <w:gridCol w:w="665"/>
        <w:gridCol w:w="1070"/>
        <w:gridCol w:w="900"/>
      </w:tblGrid>
      <w:tr>
        <w:trPr>
          <w:trHeight w:val="826" w:hRule="exact"/>
        </w:trPr>
        <w:tc>
          <w:tcPr>
            <w:tcW w:w="1004" w:type="dxa"/>
            <w:vMerge w:val="restart"/>
            <w:tcBorders>
              <w:top w:val="single" w:sz="4" w:space="0" w:color="000000"/>
              <w:left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60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8"/>
              <w:jc w:val="left"/>
              <w:rPr>
                <w:rFonts w:ascii="宋体" w:hAnsi="宋体" w:cs="宋体" w:eastAsia="宋体" w:hint="default"/>
                <w:sz w:val="21"/>
                <w:szCs w:val="21"/>
              </w:rPr>
            </w:pPr>
            <w:r>
              <w:rPr>
                <w:rFonts w:ascii="宋体" w:hAnsi="宋体" w:cs="宋体" w:eastAsia="宋体" w:hint="default"/>
                <w:w w:val="100"/>
                <w:sz w:val="21"/>
                <w:szCs w:val="21"/>
              </w:rPr>
              <w:t>红筹</w:t>
            </w:r>
            <w:r>
              <w:rPr>
                <w:rFonts w:ascii="宋体" w:hAnsi="宋体" w:cs="宋体" w:eastAsia="宋体" w:hint="default"/>
                <w:spacing w:val="-3"/>
                <w:w w:val="100"/>
                <w:sz w:val="21"/>
                <w:szCs w:val="21"/>
              </w:rPr>
              <w:t>架</w:t>
            </w:r>
            <w:r>
              <w:rPr>
                <w:rFonts w:ascii="宋体" w:hAnsi="宋体" w:cs="宋体" w:eastAsia="宋体" w:hint="default"/>
                <w:w w:val="100"/>
                <w:sz w:val="21"/>
                <w:szCs w:val="21"/>
              </w:rPr>
              <w:t>构</w:t>
            </w:r>
            <w:r>
              <w:rPr>
                <w:rFonts w:ascii="宋体" w:hAnsi="宋体" w:cs="宋体" w:eastAsia="宋体" w:hint="default"/>
                <w:spacing w:val="-3"/>
                <w:w w:val="100"/>
                <w:sz w:val="21"/>
                <w:szCs w:val="21"/>
              </w:rPr>
              <w:t>相</w:t>
            </w:r>
            <w:r>
              <w:rPr>
                <w:rFonts w:ascii="宋体" w:hAnsi="宋体" w:cs="宋体" w:eastAsia="宋体" w:hint="default"/>
                <w:w w:val="100"/>
                <w:sz w:val="21"/>
                <w:szCs w:val="21"/>
              </w:rPr>
              <w:t>关</w:t>
            </w:r>
            <w:r>
              <w:rPr>
                <w:rFonts w:ascii="宋体" w:hAnsi="宋体" w:cs="宋体" w:eastAsia="宋体" w:hint="default"/>
                <w:spacing w:val="-3"/>
                <w:w w:val="100"/>
                <w:sz w:val="21"/>
                <w:szCs w:val="21"/>
              </w:rPr>
              <w:t>的</w:t>
            </w:r>
            <w:r>
              <w:rPr>
                <w:rFonts w:ascii="宋体" w:hAnsi="宋体" w:cs="宋体" w:eastAsia="宋体" w:hint="default"/>
                <w:w w:val="100"/>
                <w:sz w:val="21"/>
                <w:szCs w:val="21"/>
              </w:rPr>
              <w:t>任</w:t>
            </w:r>
            <w:r>
              <w:rPr>
                <w:rFonts w:ascii="宋体" w:hAnsi="宋体" w:cs="宋体" w:eastAsia="宋体" w:hint="default"/>
                <w:spacing w:val="-3"/>
                <w:w w:val="100"/>
                <w:sz w:val="21"/>
                <w:szCs w:val="21"/>
              </w:rPr>
              <w:t>何</w:t>
            </w:r>
            <w:r>
              <w:rPr>
                <w:rFonts w:ascii="宋体" w:hAnsi="宋体" w:cs="宋体" w:eastAsia="宋体" w:hint="default"/>
                <w:w w:val="100"/>
                <w:sz w:val="21"/>
                <w:szCs w:val="21"/>
              </w:rPr>
              <w:t>事</w:t>
            </w:r>
            <w:r>
              <w:rPr>
                <w:rFonts w:ascii="宋体" w:hAnsi="宋体" w:cs="宋体" w:eastAsia="宋体" w:hint="default"/>
                <w:spacing w:val="-3"/>
                <w:w w:val="100"/>
                <w:sz w:val="21"/>
                <w:szCs w:val="21"/>
              </w:rPr>
              <w:t>项</w:t>
            </w:r>
            <w:r>
              <w:rPr>
                <w:rFonts w:ascii="宋体" w:hAnsi="宋体" w:cs="宋体" w:eastAsia="宋体" w:hint="default"/>
                <w:spacing w:val="-92"/>
                <w:w w:val="100"/>
                <w:sz w:val="21"/>
                <w:szCs w:val="21"/>
              </w:rPr>
              <w:t>，</w:t>
            </w:r>
            <w:r>
              <w:rPr>
                <w:rFonts w:ascii="宋体" w:hAnsi="宋体" w:cs="宋体" w:eastAsia="宋体" w:hint="default"/>
                <w:w w:val="100"/>
                <w:sz w:val="21"/>
                <w:szCs w:val="21"/>
              </w:rPr>
              <w:t>给安</w:t>
            </w:r>
            <w:r>
              <w:rPr>
                <w:rFonts w:ascii="宋体" w:hAnsi="宋体" w:cs="宋体" w:eastAsia="宋体" w:hint="default"/>
                <w:spacing w:val="-3"/>
                <w:w w:val="100"/>
                <w:sz w:val="21"/>
                <w:szCs w:val="21"/>
              </w:rPr>
              <w:t>通</w:t>
            </w:r>
            <w:r>
              <w:rPr>
                <w:rFonts w:ascii="宋体" w:hAnsi="宋体" w:cs="宋体" w:eastAsia="宋体" w:hint="default"/>
                <w:w w:val="100"/>
                <w:sz w:val="21"/>
                <w:szCs w:val="21"/>
              </w:rPr>
              <w:t>物</w:t>
            </w:r>
            <w:r>
              <w:rPr>
                <w:rFonts w:ascii="宋体" w:hAnsi="宋体" w:cs="宋体" w:eastAsia="宋体" w:hint="default"/>
                <w:spacing w:val="-3"/>
                <w:w w:val="100"/>
                <w:sz w:val="21"/>
                <w:szCs w:val="21"/>
              </w:rPr>
              <w:t>流</w:t>
            </w:r>
            <w:r>
              <w:rPr>
                <w:rFonts w:ascii="宋体" w:hAnsi="宋体" w:cs="宋体" w:eastAsia="宋体" w:hint="default"/>
                <w:w w:val="100"/>
                <w:sz w:val="21"/>
                <w:szCs w:val="21"/>
              </w:rPr>
              <w:t>及</w:t>
            </w:r>
            <w:r>
              <w:rPr>
                <w:rFonts w:ascii="宋体" w:hAnsi="宋体" w:cs="宋体" w:eastAsia="宋体" w:hint="default"/>
                <w:spacing w:val="-3"/>
                <w:w w:val="100"/>
                <w:sz w:val="21"/>
                <w:szCs w:val="21"/>
              </w:rPr>
              <w:t>其</w:t>
            </w:r>
            <w:r>
              <w:rPr>
                <w:rFonts w:ascii="宋体" w:hAnsi="宋体" w:cs="宋体" w:eastAsia="宋体" w:hint="default"/>
                <w:w w:val="100"/>
                <w:sz w:val="21"/>
                <w:szCs w:val="21"/>
              </w:rPr>
              <w:t>关</w:t>
            </w:r>
            <w:r>
              <w:rPr>
                <w:rFonts w:ascii="宋体" w:hAnsi="宋体" w:cs="宋体" w:eastAsia="宋体" w:hint="default"/>
                <w:spacing w:val="-3"/>
                <w:w w:val="100"/>
                <w:sz w:val="21"/>
                <w:szCs w:val="21"/>
              </w:rPr>
              <w:t>联</w:t>
            </w:r>
            <w:r>
              <w:rPr>
                <w:rFonts w:ascii="宋体" w:hAnsi="宋体" w:cs="宋体" w:eastAsia="宋体" w:hint="default"/>
                <w:w w:val="100"/>
                <w:sz w:val="21"/>
                <w:szCs w:val="21"/>
              </w:rPr>
              <w:t>方</w:t>
            </w:r>
            <w:r>
              <w:rPr>
                <w:rFonts w:ascii="宋体" w:hAnsi="宋体" w:cs="宋体" w:eastAsia="宋体" w:hint="default"/>
                <w:spacing w:val="-3"/>
                <w:w w:val="100"/>
                <w:sz w:val="21"/>
                <w:szCs w:val="21"/>
              </w:rPr>
              <w:t>造</w:t>
            </w:r>
            <w:r>
              <w:rPr>
                <w:rFonts w:ascii="宋体" w:hAnsi="宋体" w:cs="宋体" w:eastAsia="宋体" w:hint="default"/>
                <w:w w:val="100"/>
                <w:sz w:val="21"/>
                <w:szCs w:val="21"/>
              </w:rPr>
              <w:t>成任</w:t>
            </w:r>
            <w:r>
              <w:rPr>
                <w:rFonts w:ascii="宋体" w:hAnsi="宋体" w:cs="宋体" w:eastAsia="宋体" w:hint="default"/>
                <w:spacing w:val="-3"/>
                <w:w w:val="100"/>
                <w:sz w:val="21"/>
                <w:szCs w:val="21"/>
              </w:rPr>
              <w:t>何</w:t>
            </w:r>
            <w:r>
              <w:rPr>
                <w:rFonts w:ascii="宋体" w:hAnsi="宋体" w:cs="宋体" w:eastAsia="宋体" w:hint="default"/>
                <w:w w:val="100"/>
                <w:sz w:val="21"/>
                <w:szCs w:val="21"/>
              </w:rPr>
              <w:t>损失</w:t>
            </w:r>
          </w:p>
          <w:p>
            <w:pPr>
              <w:pStyle w:val="TableParagraph"/>
              <w:spacing w:line="240" w:lineRule="auto"/>
              <w:ind w:left="103" w:right="-8"/>
              <w:jc w:val="left"/>
              <w:rPr>
                <w:rFonts w:ascii="宋体" w:hAnsi="宋体" w:cs="宋体" w:eastAsia="宋体" w:hint="default"/>
                <w:sz w:val="21"/>
                <w:szCs w:val="21"/>
              </w:rPr>
            </w:pPr>
            <w:r>
              <w:rPr>
                <w:rFonts w:ascii="宋体" w:hAnsi="宋体" w:cs="宋体" w:eastAsia="宋体" w:hint="default"/>
                <w:spacing w:val="-8"/>
                <w:w w:val="100"/>
                <w:sz w:val="21"/>
                <w:szCs w:val="21"/>
              </w:rPr>
              <w:t>或产生额外责任，均由郭东泽、郭东圣代为清偿且承担连带责任，</w:t>
            </w:r>
            <w:r>
              <w:rPr>
                <w:rFonts w:ascii="宋体" w:hAnsi="宋体" w:cs="宋体" w:eastAsia="宋体" w:hint="default"/>
                <w:w w:val="100"/>
                <w:sz w:val="21"/>
                <w:szCs w:val="21"/>
              </w:rPr>
              <w:t> </w:t>
            </w:r>
            <w:r>
              <w:rPr>
                <w:rFonts w:ascii="宋体" w:hAnsi="宋体" w:cs="宋体" w:eastAsia="宋体" w:hint="default"/>
                <w:sz w:val="21"/>
                <w:szCs w:val="21"/>
              </w:rPr>
              <w:t>郭东泽、郭东圣放弃向安通物流及其关联方追索的权利。</w:t>
            </w:r>
          </w:p>
        </w:tc>
        <w:tc>
          <w:tcPr>
            <w:tcW w:w="2024"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4098" w:hRule="exact"/>
        </w:trPr>
        <w:tc>
          <w:tcPr>
            <w:tcW w:w="1004" w:type="dxa"/>
            <w:vMerge/>
            <w:tcBorders>
              <w:left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他</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郭东</w:t>
            </w:r>
            <w:r>
              <w:rPr>
                <w:rFonts w:ascii="宋体" w:hAnsi="宋体" w:cs="宋体" w:eastAsia="宋体" w:hint="default"/>
                <w:spacing w:val="-3"/>
                <w:w w:val="100"/>
                <w:sz w:val="21"/>
                <w:szCs w:val="21"/>
              </w:rPr>
              <w:t>泽</w:t>
            </w:r>
            <w:r>
              <w:rPr>
                <w:rFonts w:ascii="宋体" w:hAnsi="宋体" w:cs="宋体" w:eastAsia="宋体" w:hint="default"/>
                <w:spacing w:val="-89"/>
                <w:w w:val="100"/>
                <w:sz w:val="21"/>
                <w:szCs w:val="21"/>
              </w:rPr>
              <w:t>、</w:t>
            </w:r>
            <w:r>
              <w:rPr>
                <w:rFonts w:ascii="宋体" w:hAnsi="宋体" w:cs="宋体" w:eastAsia="宋体" w:hint="default"/>
                <w:w w:val="100"/>
                <w:sz w:val="21"/>
                <w:szCs w:val="21"/>
              </w:rPr>
              <w:t>郭</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东圣</w:t>
            </w:r>
          </w:p>
        </w:tc>
        <w:tc>
          <w:tcPr>
            <w:tcW w:w="6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关于</w:t>
            </w:r>
            <w:r>
              <w:rPr>
                <w:rFonts w:ascii="宋体" w:hAnsi="宋体" w:cs="宋体" w:eastAsia="宋体" w:hint="default"/>
                <w:spacing w:val="-3"/>
                <w:w w:val="100"/>
                <w:sz w:val="21"/>
                <w:szCs w:val="21"/>
              </w:rPr>
              <w:t>规</w:t>
            </w:r>
            <w:r>
              <w:rPr>
                <w:rFonts w:ascii="宋体" w:hAnsi="宋体" w:cs="宋体" w:eastAsia="宋体" w:hint="default"/>
                <w:w w:val="100"/>
                <w:sz w:val="21"/>
                <w:szCs w:val="21"/>
              </w:rPr>
              <w:t>范</w:t>
            </w:r>
            <w:r>
              <w:rPr>
                <w:rFonts w:ascii="宋体" w:hAnsi="宋体" w:cs="宋体" w:eastAsia="宋体" w:hint="default"/>
                <w:spacing w:val="-3"/>
                <w:w w:val="100"/>
                <w:sz w:val="21"/>
                <w:szCs w:val="21"/>
              </w:rPr>
              <w:t>对</w:t>
            </w:r>
            <w:r>
              <w:rPr>
                <w:rFonts w:ascii="宋体" w:hAnsi="宋体" w:cs="宋体" w:eastAsia="宋体" w:hint="default"/>
                <w:w w:val="100"/>
                <w:sz w:val="21"/>
                <w:szCs w:val="21"/>
              </w:rPr>
              <w:t>外</w:t>
            </w:r>
            <w:r>
              <w:rPr>
                <w:rFonts w:ascii="宋体" w:hAnsi="宋体" w:cs="宋体" w:eastAsia="宋体" w:hint="default"/>
                <w:spacing w:val="-3"/>
                <w:w w:val="100"/>
                <w:sz w:val="21"/>
                <w:szCs w:val="21"/>
              </w:rPr>
              <w:t>担</w:t>
            </w:r>
            <w:r>
              <w:rPr>
                <w:rFonts w:ascii="宋体" w:hAnsi="宋体" w:cs="宋体" w:eastAsia="宋体" w:hint="default"/>
                <w:w w:val="100"/>
                <w:sz w:val="21"/>
                <w:szCs w:val="21"/>
              </w:rPr>
              <w:t>保</w:t>
            </w:r>
            <w:r>
              <w:rPr>
                <w:rFonts w:ascii="宋体" w:hAnsi="宋体" w:cs="宋体" w:eastAsia="宋体" w:hint="default"/>
                <w:spacing w:val="-3"/>
                <w:w w:val="100"/>
                <w:sz w:val="21"/>
                <w:szCs w:val="21"/>
              </w:rPr>
              <w:t>及</w:t>
            </w:r>
            <w:r>
              <w:rPr>
                <w:rFonts w:ascii="宋体" w:hAnsi="宋体" w:cs="宋体" w:eastAsia="宋体" w:hint="default"/>
                <w:w w:val="100"/>
                <w:sz w:val="21"/>
                <w:szCs w:val="21"/>
              </w:rPr>
              <w:t>关</w:t>
            </w:r>
            <w:r>
              <w:rPr>
                <w:rFonts w:ascii="宋体" w:hAnsi="宋体" w:cs="宋体" w:eastAsia="宋体" w:hint="default"/>
                <w:spacing w:val="-3"/>
                <w:w w:val="100"/>
                <w:sz w:val="21"/>
                <w:szCs w:val="21"/>
              </w:rPr>
              <w:t>联</w:t>
            </w:r>
            <w:r>
              <w:rPr>
                <w:rFonts w:ascii="宋体" w:hAnsi="宋体" w:cs="宋体" w:eastAsia="宋体" w:hint="default"/>
                <w:w w:val="100"/>
                <w:sz w:val="21"/>
                <w:szCs w:val="21"/>
              </w:rPr>
              <w:t>方资</w:t>
            </w:r>
            <w:r>
              <w:rPr>
                <w:rFonts w:ascii="宋体" w:hAnsi="宋体" w:cs="宋体" w:eastAsia="宋体" w:hint="default"/>
                <w:spacing w:val="-3"/>
                <w:w w:val="100"/>
                <w:sz w:val="21"/>
                <w:szCs w:val="21"/>
              </w:rPr>
              <w:t>金</w:t>
            </w:r>
            <w:r>
              <w:rPr>
                <w:rFonts w:ascii="宋体" w:hAnsi="宋体" w:cs="宋体" w:eastAsia="宋体" w:hint="default"/>
                <w:w w:val="100"/>
                <w:sz w:val="21"/>
                <w:szCs w:val="21"/>
              </w:rPr>
              <w:t>往</w:t>
            </w:r>
            <w:r>
              <w:rPr>
                <w:rFonts w:ascii="宋体" w:hAnsi="宋体" w:cs="宋体" w:eastAsia="宋体" w:hint="default"/>
                <w:spacing w:val="-3"/>
                <w:w w:val="100"/>
                <w:sz w:val="21"/>
                <w:szCs w:val="21"/>
              </w:rPr>
              <w:t>来</w:t>
            </w:r>
            <w:r>
              <w:rPr>
                <w:rFonts w:ascii="宋体" w:hAnsi="宋体" w:cs="宋体" w:eastAsia="宋体" w:hint="default"/>
                <w:w w:val="100"/>
                <w:sz w:val="21"/>
                <w:szCs w:val="21"/>
              </w:rPr>
              <w:t>的</w:t>
            </w:r>
            <w:r>
              <w:rPr>
                <w:rFonts w:ascii="宋体" w:hAnsi="宋体" w:cs="宋体" w:eastAsia="宋体" w:hint="default"/>
                <w:spacing w:val="-3"/>
                <w:w w:val="100"/>
                <w:sz w:val="21"/>
                <w:szCs w:val="21"/>
              </w:rPr>
              <w:t>承诺</w:t>
            </w:r>
            <w:r>
              <w:rPr>
                <w:rFonts w:ascii="宋体" w:hAnsi="宋体" w:cs="宋体" w:eastAsia="宋体" w:hint="default"/>
                <w:spacing w:val="-89"/>
                <w:w w:val="100"/>
                <w:sz w:val="21"/>
                <w:szCs w:val="21"/>
              </w:rPr>
              <w:t>：</w:t>
            </w:r>
            <w:r>
              <w:rPr>
                <w:rFonts w:ascii="宋体" w:hAnsi="宋体" w:cs="宋体" w:eastAsia="宋体" w:hint="default"/>
                <w:spacing w:val="-3"/>
                <w:w w:val="100"/>
                <w:sz w:val="21"/>
                <w:szCs w:val="21"/>
              </w:rPr>
              <w:t>自</w:t>
            </w:r>
            <w:r>
              <w:rPr>
                <w:rFonts w:ascii="宋体" w:hAnsi="宋体" w:cs="宋体" w:eastAsia="宋体" w:hint="default"/>
                <w:w w:val="100"/>
                <w:sz w:val="21"/>
                <w:szCs w:val="21"/>
              </w:rPr>
              <w:t>本</w:t>
            </w:r>
            <w:r>
              <w:rPr>
                <w:rFonts w:ascii="宋体" w:hAnsi="宋体" w:cs="宋体" w:eastAsia="宋体" w:hint="default"/>
                <w:spacing w:val="-3"/>
                <w:w w:val="100"/>
                <w:sz w:val="21"/>
                <w:szCs w:val="21"/>
              </w:rPr>
              <w:t>承</w:t>
            </w:r>
            <w:r>
              <w:rPr>
                <w:rFonts w:ascii="宋体" w:hAnsi="宋体" w:cs="宋体" w:eastAsia="宋体" w:hint="default"/>
                <w:w w:val="100"/>
                <w:sz w:val="21"/>
                <w:szCs w:val="21"/>
              </w:rPr>
              <w:t>诺函</w:t>
            </w:r>
            <w:r>
              <w:rPr>
                <w:rFonts w:ascii="宋体" w:hAnsi="宋体" w:cs="宋体" w:eastAsia="宋体" w:hint="default"/>
                <w:spacing w:val="-3"/>
                <w:w w:val="100"/>
                <w:sz w:val="21"/>
                <w:szCs w:val="21"/>
              </w:rPr>
              <w:t>出</w:t>
            </w:r>
            <w:r>
              <w:rPr>
                <w:rFonts w:ascii="宋体" w:hAnsi="宋体" w:cs="宋体" w:eastAsia="宋体" w:hint="default"/>
                <w:w w:val="100"/>
                <w:sz w:val="21"/>
                <w:szCs w:val="21"/>
              </w:rPr>
              <w:t>具之</w:t>
            </w:r>
          </w:p>
          <w:p>
            <w:pPr>
              <w:pStyle w:val="TableParagraph"/>
              <w:spacing w:line="237" w:lineRule="auto"/>
              <w:ind w:left="103" w:right="7"/>
              <w:jc w:val="left"/>
              <w:rPr>
                <w:rFonts w:ascii="宋体" w:hAnsi="宋体" w:cs="宋体" w:eastAsia="宋体" w:hint="default"/>
                <w:sz w:val="21"/>
                <w:szCs w:val="21"/>
              </w:rPr>
            </w:pPr>
            <w:r>
              <w:rPr>
                <w:rFonts w:ascii="宋体" w:hAnsi="宋体" w:cs="宋体" w:eastAsia="宋体" w:hint="default"/>
                <w:spacing w:val="-5"/>
                <w:w w:val="100"/>
                <w:sz w:val="21"/>
                <w:szCs w:val="21"/>
              </w:rPr>
              <w:t>日起，本人及本人的关联方将不会以任何方式违规占用安通物流</w:t>
            </w:r>
            <w:r>
              <w:rPr>
                <w:rFonts w:ascii="宋体" w:hAnsi="宋体" w:cs="宋体" w:eastAsia="宋体" w:hint="default"/>
                <w:spacing w:val="-91"/>
                <w:w w:val="100"/>
                <w:sz w:val="21"/>
                <w:szCs w:val="21"/>
              </w:rPr>
              <w:t> </w:t>
            </w:r>
            <w:r>
              <w:rPr>
                <w:rFonts w:ascii="宋体" w:hAnsi="宋体" w:cs="宋体" w:eastAsia="宋体" w:hint="default"/>
                <w:spacing w:val="-91"/>
                <w:w w:val="100"/>
                <w:sz w:val="21"/>
                <w:szCs w:val="21"/>
              </w:rPr>
            </w:r>
            <w:r>
              <w:rPr>
                <w:rFonts w:ascii="宋体" w:hAnsi="宋体" w:cs="宋体" w:eastAsia="宋体" w:hint="default"/>
                <w:spacing w:val="-5"/>
                <w:sz w:val="21"/>
                <w:szCs w:val="21"/>
              </w:rPr>
              <w:t>和安盛船务的资金、资产；安通物流和安盛船务将不会以任何方</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pacing w:val="-5"/>
                <w:w w:val="100"/>
                <w:sz w:val="21"/>
                <w:szCs w:val="21"/>
              </w:rPr>
              <w:t>式为本人及本人的关联方提供担保；本人及本人的关联方将尽量</w:t>
            </w:r>
            <w:r>
              <w:rPr>
                <w:rFonts w:ascii="宋体" w:hAnsi="宋体" w:cs="宋体" w:eastAsia="宋体" w:hint="default"/>
                <w:spacing w:val="-91"/>
                <w:w w:val="100"/>
                <w:sz w:val="21"/>
                <w:szCs w:val="21"/>
              </w:rPr>
              <w:t> </w:t>
            </w:r>
            <w:r>
              <w:rPr>
                <w:rFonts w:ascii="宋体" w:hAnsi="宋体" w:cs="宋体" w:eastAsia="宋体" w:hint="default"/>
                <w:spacing w:val="-91"/>
                <w:w w:val="100"/>
                <w:sz w:val="21"/>
                <w:szCs w:val="21"/>
              </w:rPr>
            </w:r>
            <w:r>
              <w:rPr>
                <w:rFonts w:ascii="宋体" w:hAnsi="宋体" w:cs="宋体" w:eastAsia="宋体" w:hint="default"/>
                <w:spacing w:val="-5"/>
                <w:sz w:val="21"/>
                <w:szCs w:val="21"/>
              </w:rPr>
              <w:t>避免为安通物流和安盛船务提供资金支持，如有发生，将逐步减</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pacing w:val="-5"/>
                <w:sz w:val="21"/>
                <w:szCs w:val="21"/>
              </w:rPr>
              <w:t>少该等资金支持直至消除。本次重组完成后，本人及本人的关联</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pacing w:val="-2"/>
                <w:sz w:val="21"/>
                <w:szCs w:val="21"/>
              </w:rPr>
              <w:t>方将不会以任何方式违规占用上市公司及其下属子公司的资金、</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pacing w:val="-5"/>
                <w:w w:val="100"/>
                <w:sz w:val="21"/>
                <w:szCs w:val="21"/>
              </w:rPr>
              <w:t>资产；上市公司及其子公司将不会以任何方式为本人及本人的关</w:t>
            </w:r>
            <w:r>
              <w:rPr>
                <w:rFonts w:ascii="宋体" w:hAnsi="宋体" w:cs="宋体" w:eastAsia="宋体" w:hint="default"/>
                <w:spacing w:val="-91"/>
                <w:w w:val="100"/>
                <w:sz w:val="21"/>
                <w:szCs w:val="21"/>
              </w:rPr>
              <w:t> </w:t>
            </w:r>
            <w:r>
              <w:rPr>
                <w:rFonts w:ascii="宋体" w:hAnsi="宋体" w:cs="宋体" w:eastAsia="宋体" w:hint="default"/>
                <w:spacing w:val="-91"/>
                <w:w w:val="100"/>
                <w:sz w:val="21"/>
                <w:szCs w:val="21"/>
              </w:rPr>
            </w:r>
            <w:r>
              <w:rPr>
                <w:rFonts w:ascii="宋体" w:hAnsi="宋体" w:cs="宋体" w:eastAsia="宋体" w:hint="default"/>
                <w:spacing w:val="-5"/>
                <w:w w:val="100"/>
                <w:sz w:val="21"/>
                <w:szCs w:val="21"/>
              </w:rPr>
              <w:t>联方提供担保；本人及本人的关联方将尽量避免为上市公司及其</w:t>
            </w:r>
            <w:r>
              <w:rPr>
                <w:rFonts w:ascii="宋体" w:hAnsi="宋体" w:cs="宋体" w:eastAsia="宋体" w:hint="default"/>
                <w:spacing w:val="-91"/>
                <w:w w:val="100"/>
                <w:sz w:val="21"/>
                <w:szCs w:val="21"/>
              </w:rPr>
              <w:t> </w:t>
            </w:r>
            <w:r>
              <w:rPr>
                <w:rFonts w:ascii="宋体" w:hAnsi="宋体" w:cs="宋体" w:eastAsia="宋体" w:hint="default"/>
                <w:spacing w:val="-91"/>
                <w:w w:val="100"/>
                <w:sz w:val="21"/>
                <w:szCs w:val="21"/>
              </w:rPr>
            </w:r>
            <w:r>
              <w:rPr>
                <w:rFonts w:ascii="宋体" w:hAnsi="宋体" w:cs="宋体" w:eastAsia="宋体" w:hint="default"/>
                <w:spacing w:val="-5"/>
                <w:sz w:val="21"/>
                <w:szCs w:val="21"/>
              </w:rPr>
              <w:t>下属子公司提供资金支持，如有发生，将逐步减少该等资金支持</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pacing w:val="-5"/>
                <w:w w:val="100"/>
                <w:sz w:val="21"/>
                <w:szCs w:val="21"/>
              </w:rPr>
              <w:t>直至消除。如因本承诺函签署之日前安通物流和安盛船务存在的</w:t>
            </w:r>
            <w:r>
              <w:rPr>
                <w:rFonts w:ascii="宋体" w:hAnsi="宋体" w:cs="宋体" w:eastAsia="宋体" w:hint="default"/>
                <w:spacing w:val="-91"/>
                <w:w w:val="100"/>
                <w:sz w:val="21"/>
                <w:szCs w:val="21"/>
              </w:rPr>
              <w:t> </w:t>
            </w:r>
            <w:r>
              <w:rPr>
                <w:rFonts w:ascii="宋体" w:hAnsi="宋体" w:cs="宋体" w:eastAsia="宋体" w:hint="default"/>
                <w:spacing w:val="-91"/>
                <w:w w:val="100"/>
                <w:sz w:val="21"/>
                <w:szCs w:val="21"/>
              </w:rPr>
            </w:r>
            <w:r>
              <w:rPr>
                <w:rFonts w:ascii="宋体" w:hAnsi="宋体" w:cs="宋体" w:eastAsia="宋体" w:hint="default"/>
                <w:spacing w:val="-5"/>
                <w:w w:val="100"/>
                <w:sz w:val="21"/>
                <w:szCs w:val="21"/>
              </w:rPr>
              <w:t>对外担保或关联方资金往来相关事项给安通物流、安盛船务及其</w:t>
            </w:r>
            <w:r>
              <w:rPr>
                <w:rFonts w:ascii="宋体" w:hAnsi="宋体" w:cs="宋体" w:eastAsia="宋体" w:hint="default"/>
                <w:spacing w:val="-91"/>
                <w:w w:val="100"/>
                <w:sz w:val="21"/>
                <w:szCs w:val="21"/>
              </w:rPr>
              <w:t> </w:t>
            </w:r>
            <w:r>
              <w:rPr>
                <w:rFonts w:ascii="宋体" w:hAnsi="宋体" w:cs="宋体" w:eastAsia="宋体" w:hint="default"/>
                <w:spacing w:val="-91"/>
                <w:w w:val="100"/>
                <w:sz w:val="21"/>
                <w:szCs w:val="21"/>
              </w:rPr>
            </w:r>
            <w:r>
              <w:rPr>
                <w:rFonts w:ascii="宋体" w:hAnsi="宋体" w:cs="宋体" w:eastAsia="宋体" w:hint="default"/>
                <w:spacing w:val="-5"/>
                <w:w w:val="100"/>
                <w:sz w:val="21"/>
                <w:szCs w:val="21"/>
              </w:rPr>
              <w:t>关联方造成任何损失或产生额外责任，均由承诺人代为清偿且承</w:t>
            </w:r>
            <w:r>
              <w:rPr>
                <w:rFonts w:ascii="宋体" w:hAnsi="宋体" w:cs="宋体" w:eastAsia="宋体" w:hint="default"/>
                <w:spacing w:val="-91"/>
                <w:w w:val="100"/>
                <w:sz w:val="21"/>
                <w:szCs w:val="21"/>
              </w:rPr>
              <w:t> </w:t>
            </w:r>
            <w:r>
              <w:rPr>
                <w:rFonts w:ascii="宋体" w:hAnsi="宋体" w:cs="宋体" w:eastAsia="宋体" w:hint="default"/>
                <w:spacing w:val="-91"/>
                <w:w w:val="100"/>
                <w:sz w:val="21"/>
                <w:szCs w:val="21"/>
              </w:rPr>
            </w:r>
            <w:r>
              <w:rPr>
                <w:rFonts w:ascii="宋体" w:hAnsi="宋体" w:cs="宋体" w:eastAsia="宋体" w:hint="default"/>
                <w:spacing w:val="-5"/>
                <w:sz w:val="21"/>
                <w:szCs w:val="21"/>
              </w:rPr>
              <w:t>担连带责任，承诺人放弃向安通物流、安盛船务及其关联方追索</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的权利。</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承诺时间：</w:t>
            </w: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37" w:lineRule="auto"/>
              <w:ind w:left="103" w:right="99"/>
              <w:jc w:val="left"/>
              <w:rPr>
                <w:rFonts w:ascii="宋体" w:hAnsi="宋体" w:cs="宋体" w:eastAsia="宋体" w:hint="default"/>
                <w:sz w:val="21"/>
                <w:szCs w:val="21"/>
              </w:rPr>
            </w:pPr>
            <w:r>
              <w:rPr>
                <w:rFonts w:ascii="宋体" w:hAnsi="宋体" w:cs="宋体" w:eastAsia="宋体" w:hint="default"/>
                <w:sz w:val="21"/>
                <w:szCs w:val="21"/>
              </w:rPr>
              <w:t>公司重大资产重组</w:t>
            </w:r>
            <w:r>
              <w:rPr>
                <w:rFonts w:ascii="宋体" w:hAnsi="宋体" w:cs="宋体" w:eastAsia="宋体" w:hint="default"/>
                <w:w w:val="100"/>
                <w:sz w:val="21"/>
                <w:szCs w:val="21"/>
              </w:rPr>
              <w:t> </w:t>
            </w:r>
            <w:r>
              <w:rPr>
                <w:rFonts w:ascii="宋体" w:hAnsi="宋体" w:cs="宋体" w:eastAsia="宋体" w:hint="default"/>
                <w:spacing w:val="-11"/>
                <w:sz w:val="21"/>
                <w:szCs w:val="21"/>
              </w:rPr>
              <w:t>期间，承诺期限：长</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期有效。</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07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1004" w:type="dxa"/>
            <w:vMerge/>
            <w:tcBorders>
              <w:left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他</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郭东</w:t>
            </w:r>
            <w:r>
              <w:rPr>
                <w:rFonts w:ascii="宋体" w:hAnsi="宋体" w:cs="宋体" w:eastAsia="宋体" w:hint="default"/>
                <w:spacing w:val="-3"/>
                <w:w w:val="100"/>
                <w:sz w:val="21"/>
                <w:szCs w:val="21"/>
              </w:rPr>
              <w:t>泽</w:t>
            </w:r>
            <w:r>
              <w:rPr>
                <w:rFonts w:ascii="宋体" w:hAnsi="宋体" w:cs="宋体" w:eastAsia="宋体" w:hint="default"/>
                <w:spacing w:val="-89"/>
                <w:w w:val="100"/>
                <w:sz w:val="21"/>
                <w:szCs w:val="21"/>
              </w:rPr>
              <w:t>、</w:t>
            </w:r>
            <w:r>
              <w:rPr>
                <w:rFonts w:ascii="宋体" w:hAnsi="宋体" w:cs="宋体" w:eastAsia="宋体" w:hint="default"/>
                <w:w w:val="100"/>
                <w:sz w:val="21"/>
                <w:szCs w:val="21"/>
              </w:rPr>
              <w:t>郭</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东圣</w:t>
            </w:r>
          </w:p>
        </w:tc>
        <w:tc>
          <w:tcPr>
            <w:tcW w:w="60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关于不再参与债务重组安排的承诺：本人将确保安通物流、安盛</w:t>
            </w:r>
          </w:p>
          <w:p>
            <w:pPr>
              <w:pStyle w:val="TableParagraph"/>
              <w:spacing w:line="237" w:lineRule="auto"/>
              <w:ind w:left="103" w:right="-5"/>
              <w:jc w:val="left"/>
              <w:rPr>
                <w:rFonts w:ascii="宋体" w:hAnsi="宋体" w:cs="宋体" w:eastAsia="宋体" w:hint="default"/>
                <w:sz w:val="21"/>
                <w:szCs w:val="21"/>
              </w:rPr>
            </w:pPr>
            <w:r>
              <w:rPr>
                <w:rFonts w:ascii="宋体" w:hAnsi="宋体" w:cs="宋体" w:eastAsia="宋体" w:hint="default"/>
                <w:spacing w:val="-5"/>
                <w:w w:val="100"/>
                <w:sz w:val="21"/>
                <w:szCs w:val="21"/>
              </w:rPr>
              <w:t>船务不再参与类似债务重组安排或第三方（不论是否构成关联关</w:t>
            </w:r>
            <w:r>
              <w:rPr>
                <w:rFonts w:ascii="宋体" w:hAnsi="宋体" w:cs="宋体" w:eastAsia="宋体" w:hint="default"/>
                <w:spacing w:val="-91"/>
                <w:w w:val="100"/>
                <w:sz w:val="21"/>
                <w:szCs w:val="21"/>
              </w:rPr>
              <w:t> </w:t>
            </w:r>
            <w:r>
              <w:rPr>
                <w:rFonts w:ascii="宋体" w:hAnsi="宋体" w:cs="宋体" w:eastAsia="宋体" w:hint="default"/>
                <w:spacing w:val="-91"/>
                <w:w w:val="100"/>
                <w:sz w:val="21"/>
                <w:szCs w:val="21"/>
              </w:rPr>
            </w:r>
            <w:r>
              <w:rPr>
                <w:rFonts w:ascii="宋体" w:hAnsi="宋体" w:cs="宋体" w:eastAsia="宋体" w:hint="default"/>
                <w:spacing w:val="-9"/>
                <w:w w:val="100"/>
                <w:sz w:val="21"/>
                <w:szCs w:val="21"/>
              </w:rPr>
              <w:t>系）的融资安排；如历史上曾经发生的债务重组安排对安通物流、</w:t>
            </w:r>
            <w:r>
              <w:rPr>
                <w:rFonts w:ascii="宋体" w:hAnsi="宋体" w:cs="宋体" w:eastAsia="宋体" w:hint="default"/>
                <w:spacing w:val="-80"/>
                <w:w w:val="100"/>
                <w:sz w:val="21"/>
                <w:szCs w:val="21"/>
              </w:rPr>
              <w:t> </w:t>
            </w:r>
            <w:r>
              <w:rPr>
                <w:rFonts w:ascii="宋体" w:hAnsi="宋体" w:cs="宋体" w:eastAsia="宋体" w:hint="default"/>
                <w:spacing w:val="-80"/>
                <w:w w:val="100"/>
                <w:sz w:val="21"/>
                <w:szCs w:val="21"/>
              </w:rPr>
            </w:r>
            <w:r>
              <w:rPr>
                <w:rFonts w:ascii="宋体" w:hAnsi="宋体" w:cs="宋体" w:eastAsia="宋体" w:hint="default"/>
                <w:spacing w:val="-5"/>
                <w:sz w:val="21"/>
                <w:szCs w:val="21"/>
              </w:rPr>
              <w:t>安盛船务造成任何损失，本人将以现金向安通物流、安盛船务进</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pacing w:val="-5"/>
                <w:sz w:val="21"/>
                <w:szCs w:val="21"/>
              </w:rPr>
              <w:t>行足额补偿，确保安通物流、安盛船务不会因此遭受任何实际损</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失。</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承诺时间：</w:t>
            </w: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37" w:lineRule="auto"/>
              <w:ind w:left="103" w:right="99"/>
              <w:jc w:val="left"/>
              <w:rPr>
                <w:rFonts w:ascii="宋体" w:hAnsi="宋体" w:cs="宋体" w:eastAsia="宋体" w:hint="default"/>
                <w:sz w:val="21"/>
                <w:szCs w:val="21"/>
              </w:rPr>
            </w:pPr>
            <w:r>
              <w:rPr>
                <w:rFonts w:ascii="宋体" w:hAnsi="宋体" w:cs="宋体" w:eastAsia="宋体" w:hint="default"/>
                <w:sz w:val="21"/>
                <w:szCs w:val="21"/>
              </w:rPr>
              <w:t>公司重大资产重组</w:t>
            </w:r>
            <w:r>
              <w:rPr>
                <w:rFonts w:ascii="宋体" w:hAnsi="宋体" w:cs="宋体" w:eastAsia="宋体" w:hint="default"/>
                <w:w w:val="100"/>
                <w:sz w:val="21"/>
                <w:szCs w:val="21"/>
              </w:rPr>
              <w:t> </w:t>
            </w:r>
            <w:r>
              <w:rPr>
                <w:rFonts w:ascii="宋体" w:hAnsi="宋体" w:cs="宋体" w:eastAsia="宋体" w:hint="default"/>
                <w:spacing w:val="-11"/>
                <w:sz w:val="21"/>
                <w:szCs w:val="21"/>
              </w:rPr>
              <w:t>期间，承诺期限：长</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期有效。</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07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1645" w:hRule="exact"/>
        </w:trPr>
        <w:tc>
          <w:tcPr>
            <w:tcW w:w="1004" w:type="dxa"/>
            <w:vMerge/>
            <w:tcBorders>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他</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郭东泽</w:t>
            </w:r>
          </w:p>
        </w:tc>
        <w:tc>
          <w:tcPr>
            <w:tcW w:w="60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关于</w:t>
            </w:r>
            <w:r>
              <w:rPr>
                <w:rFonts w:ascii="宋体" w:hAnsi="宋体" w:cs="宋体" w:eastAsia="宋体" w:hint="default"/>
                <w:spacing w:val="-3"/>
                <w:w w:val="100"/>
                <w:sz w:val="21"/>
                <w:szCs w:val="21"/>
              </w:rPr>
              <w:t>不</w:t>
            </w:r>
            <w:r>
              <w:rPr>
                <w:rFonts w:ascii="宋体" w:hAnsi="宋体" w:cs="宋体" w:eastAsia="宋体" w:hint="default"/>
                <w:w w:val="100"/>
                <w:sz w:val="21"/>
                <w:szCs w:val="21"/>
              </w:rPr>
              <w:t>存</w:t>
            </w:r>
            <w:r>
              <w:rPr>
                <w:rFonts w:ascii="宋体" w:hAnsi="宋体" w:cs="宋体" w:eastAsia="宋体" w:hint="default"/>
                <w:spacing w:val="-3"/>
                <w:w w:val="100"/>
                <w:sz w:val="21"/>
                <w:szCs w:val="21"/>
              </w:rPr>
              <w:t>在</w:t>
            </w:r>
            <w:r>
              <w:rPr>
                <w:rFonts w:ascii="宋体" w:hAnsi="宋体" w:cs="宋体" w:eastAsia="宋体" w:hint="default"/>
                <w:w w:val="100"/>
                <w:sz w:val="21"/>
                <w:szCs w:val="21"/>
              </w:rPr>
              <w:t>同</w:t>
            </w:r>
            <w:r>
              <w:rPr>
                <w:rFonts w:ascii="宋体" w:hAnsi="宋体" w:cs="宋体" w:eastAsia="宋体" w:hint="default"/>
                <w:spacing w:val="-3"/>
                <w:w w:val="100"/>
                <w:sz w:val="21"/>
                <w:szCs w:val="21"/>
              </w:rPr>
              <w:t>业</w:t>
            </w:r>
            <w:r>
              <w:rPr>
                <w:rFonts w:ascii="宋体" w:hAnsi="宋体" w:cs="宋体" w:eastAsia="宋体" w:hint="default"/>
                <w:w w:val="100"/>
                <w:sz w:val="21"/>
                <w:szCs w:val="21"/>
              </w:rPr>
              <w:t>竞</w:t>
            </w:r>
            <w:r>
              <w:rPr>
                <w:rFonts w:ascii="宋体" w:hAnsi="宋体" w:cs="宋体" w:eastAsia="宋体" w:hint="default"/>
                <w:spacing w:val="-3"/>
                <w:w w:val="100"/>
                <w:sz w:val="21"/>
                <w:szCs w:val="21"/>
              </w:rPr>
              <w:t>争</w:t>
            </w:r>
            <w:r>
              <w:rPr>
                <w:rFonts w:ascii="宋体" w:hAnsi="宋体" w:cs="宋体" w:eastAsia="宋体" w:hint="default"/>
                <w:w w:val="100"/>
                <w:sz w:val="21"/>
                <w:szCs w:val="21"/>
              </w:rPr>
              <w:t>的</w:t>
            </w:r>
            <w:r>
              <w:rPr>
                <w:rFonts w:ascii="宋体" w:hAnsi="宋体" w:cs="宋体" w:eastAsia="宋体" w:hint="default"/>
                <w:spacing w:val="-3"/>
                <w:w w:val="100"/>
                <w:sz w:val="21"/>
                <w:szCs w:val="21"/>
              </w:rPr>
              <w:t>说</w:t>
            </w:r>
            <w:r>
              <w:rPr>
                <w:rFonts w:ascii="宋体" w:hAnsi="宋体" w:cs="宋体" w:eastAsia="宋体" w:hint="default"/>
                <w:w w:val="100"/>
                <w:sz w:val="21"/>
                <w:szCs w:val="21"/>
              </w:rPr>
              <w:t>明及</w:t>
            </w:r>
            <w:r>
              <w:rPr>
                <w:rFonts w:ascii="宋体" w:hAnsi="宋体" w:cs="宋体" w:eastAsia="宋体" w:hint="default"/>
                <w:spacing w:val="-3"/>
                <w:w w:val="100"/>
                <w:sz w:val="21"/>
                <w:szCs w:val="21"/>
              </w:rPr>
              <w:t>承诺</w:t>
            </w:r>
            <w:r>
              <w:rPr>
                <w:rFonts w:ascii="宋体" w:hAnsi="宋体" w:cs="宋体" w:eastAsia="宋体" w:hint="default"/>
                <w:spacing w:val="-89"/>
                <w:w w:val="100"/>
                <w:sz w:val="21"/>
                <w:szCs w:val="21"/>
              </w:rPr>
              <w:t>：</w:t>
            </w:r>
            <w:r>
              <w:rPr>
                <w:rFonts w:ascii="宋体" w:hAnsi="宋体" w:cs="宋体" w:eastAsia="宋体" w:hint="default"/>
                <w:spacing w:val="-3"/>
                <w:w w:val="100"/>
                <w:sz w:val="21"/>
                <w:szCs w:val="21"/>
              </w:rPr>
              <w:t>仁</w:t>
            </w:r>
            <w:r>
              <w:rPr>
                <w:rFonts w:ascii="宋体" w:hAnsi="宋体" w:cs="宋体" w:eastAsia="宋体" w:hint="default"/>
                <w:w w:val="100"/>
                <w:sz w:val="21"/>
                <w:szCs w:val="21"/>
              </w:rPr>
              <w:t>建</w:t>
            </w:r>
            <w:r>
              <w:rPr>
                <w:rFonts w:ascii="宋体" w:hAnsi="宋体" w:cs="宋体" w:eastAsia="宋体" w:hint="default"/>
                <w:spacing w:val="-3"/>
                <w:w w:val="100"/>
                <w:sz w:val="21"/>
                <w:szCs w:val="21"/>
              </w:rPr>
              <w:t>安</w:t>
            </w:r>
            <w:r>
              <w:rPr>
                <w:rFonts w:ascii="宋体" w:hAnsi="宋体" w:cs="宋体" w:eastAsia="宋体" w:hint="default"/>
                <w:w w:val="100"/>
                <w:sz w:val="21"/>
                <w:szCs w:val="21"/>
              </w:rPr>
              <w:t>通</w:t>
            </w:r>
            <w:r>
              <w:rPr>
                <w:rFonts w:ascii="宋体" w:hAnsi="宋体" w:cs="宋体" w:eastAsia="宋体" w:hint="default"/>
                <w:spacing w:val="-3"/>
                <w:w w:val="100"/>
                <w:sz w:val="21"/>
                <w:szCs w:val="21"/>
              </w:rPr>
              <w:t>的</w:t>
            </w:r>
            <w:r>
              <w:rPr>
                <w:rFonts w:ascii="宋体" w:hAnsi="宋体" w:cs="宋体" w:eastAsia="宋体" w:hint="default"/>
                <w:w w:val="100"/>
                <w:sz w:val="21"/>
                <w:szCs w:val="21"/>
              </w:rPr>
              <w:t>主</w:t>
            </w:r>
            <w:r>
              <w:rPr>
                <w:rFonts w:ascii="宋体" w:hAnsi="宋体" w:cs="宋体" w:eastAsia="宋体" w:hint="default"/>
                <w:spacing w:val="-3"/>
                <w:w w:val="100"/>
                <w:sz w:val="21"/>
                <w:szCs w:val="21"/>
              </w:rPr>
              <w:t>营</w:t>
            </w:r>
            <w:r>
              <w:rPr>
                <w:rFonts w:ascii="宋体" w:hAnsi="宋体" w:cs="宋体" w:eastAsia="宋体" w:hint="default"/>
                <w:w w:val="100"/>
                <w:sz w:val="21"/>
                <w:szCs w:val="21"/>
              </w:rPr>
              <w:t>业务</w:t>
            </w:r>
            <w:r>
              <w:rPr>
                <w:rFonts w:ascii="宋体" w:hAnsi="宋体" w:cs="宋体" w:eastAsia="宋体" w:hint="default"/>
                <w:spacing w:val="-3"/>
                <w:w w:val="100"/>
                <w:sz w:val="21"/>
                <w:szCs w:val="21"/>
              </w:rPr>
              <w:t>为</w:t>
            </w:r>
            <w:r>
              <w:rPr>
                <w:rFonts w:ascii="宋体" w:hAnsi="宋体" w:cs="宋体" w:eastAsia="宋体" w:hint="default"/>
                <w:w w:val="100"/>
                <w:sz w:val="21"/>
                <w:szCs w:val="21"/>
              </w:rPr>
              <w:t>集装</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pacing w:val="-5"/>
                <w:sz w:val="21"/>
                <w:szCs w:val="21"/>
              </w:rPr>
              <w:t>箱买卖、出租业务，自设立至今从未从事集装箱物流业务，未来</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pacing w:val="-5"/>
                <w:w w:val="100"/>
                <w:sz w:val="21"/>
                <w:szCs w:val="21"/>
              </w:rPr>
              <w:t>亦不会从事集装箱物流业务，与标的公司的主营业务“集装箱物</w:t>
            </w:r>
            <w:r>
              <w:rPr>
                <w:rFonts w:ascii="宋体" w:hAnsi="宋体" w:cs="宋体" w:eastAsia="宋体" w:hint="default"/>
                <w:spacing w:val="-91"/>
                <w:w w:val="100"/>
                <w:sz w:val="21"/>
                <w:szCs w:val="21"/>
              </w:rPr>
              <w:t> </w:t>
            </w:r>
            <w:r>
              <w:rPr>
                <w:rFonts w:ascii="宋体" w:hAnsi="宋体" w:cs="宋体" w:eastAsia="宋体" w:hint="default"/>
                <w:spacing w:val="-91"/>
                <w:w w:val="100"/>
                <w:sz w:val="21"/>
                <w:szCs w:val="21"/>
              </w:rPr>
            </w:r>
            <w:r>
              <w:rPr>
                <w:rFonts w:ascii="宋体" w:hAnsi="宋体" w:cs="宋体" w:eastAsia="宋体" w:hint="default"/>
                <w:spacing w:val="-5"/>
                <w:w w:val="100"/>
                <w:sz w:val="21"/>
                <w:szCs w:val="21"/>
              </w:rPr>
              <w:t>流及船运服务”之间不存在任何形式的同业竞争。本人承诺仁建</w:t>
            </w:r>
            <w:r>
              <w:rPr>
                <w:rFonts w:ascii="宋体" w:hAnsi="宋体" w:cs="宋体" w:eastAsia="宋体" w:hint="default"/>
                <w:spacing w:val="-91"/>
                <w:w w:val="100"/>
                <w:sz w:val="21"/>
                <w:szCs w:val="21"/>
              </w:rPr>
              <w:t> </w:t>
            </w:r>
            <w:r>
              <w:rPr>
                <w:rFonts w:ascii="宋体" w:hAnsi="宋体" w:cs="宋体" w:eastAsia="宋体" w:hint="default"/>
                <w:spacing w:val="-91"/>
                <w:w w:val="100"/>
                <w:sz w:val="21"/>
                <w:szCs w:val="21"/>
              </w:rPr>
            </w:r>
            <w:r>
              <w:rPr>
                <w:rFonts w:ascii="宋体" w:hAnsi="宋体" w:cs="宋体" w:eastAsia="宋体" w:hint="default"/>
                <w:sz w:val="21"/>
                <w:szCs w:val="21"/>
              </w:rPr>
              <w:t>安通向安通物流或其他无关联第三方出售该等集装箱资产之后</w:t>
            </w:r>
          </w:p>
          <w:p>
            <w:pPr>
              <w:pStyle w:val="TableParagraph"/>
              <w:spacing w:line="271" w:lineRule="exact"/>
              <w:ind w:left="103" w:right="0"/>
              <w:jc w:val="both"/>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个月内立即开展仁建安通的注销手续并尽快完成注销。</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承诺时间：</w:t>
            </w: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40" w:lineRule="auto"/>
              <w:ind w:left="103" w:right="226"/>
              <w:jc w:val="left"/>
              <w:rPr>
                <w:rFonts w:ascii="宋体" w:hAnsi="宋体" w:cs="宋体" w:eastAsia="宋体" w:hint="default"/>
                <w:sz w:val="21"/>
                <w:szCs w:val="21"/>
              </w:rPr>
            </w:pPr>
            <w:r>
              <w:rPr>
                <w:rFonts w:ascii="宋体" w:hAnsi="宋体" w:cs="宋体" w:eastAsia="宋体" w:hint="default"/>
                <w:sz w:val="21"/>
                <w:szCs w:val="21"/>
              </w:rPr>
              <w:t>公司重大资产重组</w:t>
            </w:r>
            <w:r>
              <w:rPr>
                <w:rFonts w:ascii="宋体" w:hAnsi="宋体" w:cs="宋体" w:eastAsia="宋体" w:hint="default"/>
                <w:w w:val="100"/>
                <w:sz w:val="21"/>
                <w:szCs w:val="21"/>
              </w:rPr>
              <w:t> </w:t>
            </w:r>
            <w:r>
              <w:rPr>
                <w:rFonts w:ascii="宋体" w:hAnsi="宋体" w:cs="宋体" w:eastAsia="宋体" w:hint="default"/>
                <w:sz w:val="21"/>
                <w:szCs w:val="21"/>
              </w:rPr>
              <w:t>期间。</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07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与首次</w:t>
            </w:r>
          </w:p>
        </w:tc>
        <w:tc>
          <w:tcPr>
            <w:tcW w:w="631"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6008" w:type="dxa"/>
            <w:tcBorders>
              <w:top w:val="single" w:sz="4" w:space="0" w:color="000000"/>
              <w:left w:val="single" w:sz="4" w:space="0" w:color="000000"/>
              <w:bottom w:val="single" w:sz="4" w:space="0" w:color="000000"/>
              <w:right w:val="single" w:sz="4" w:space="0" w:color="000000"/>
            </w:tcBorders>
          </w:tcPr>
          <w:p>
            <w:pPr/>
          </w:p>
        </w:tc>
        <w:tc>
          <w:tcPr>
            <w:tcW w:w="2024"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5" w:top="1120" w:bottom="1380" w:left="12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1004"/>
        <w:gridCol w:w="631"/>
        <w:gridCol w:w="1178"/>
        <w:gridCol w:w="6008"/>
        <w:gridCol w:w="2024"/>
        <w:gridCol w:w="629"/>
        <w:gridCol w:w="665"/>
        <w:gridCol w:w="1070"/>
        <w:gridCol w:w="900"/>
      </w:tblGrid>
      <w:tr>
        <w:trPr>
          <w:trHeight w:val="826" w:hRule="exact"/>
        </w:trPr>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公开发</w:t>
            </w:r>
          </w:p>
          <w:p>
            <w:pPr>
              <w:pStyle w:val="TableParagraph"/>
              <w:spacing w:line="240" w:lineRule="auto"/>
              <w:ind w:left="103" w:right="255"/>
              <w:jc w:val="left"/>
              <w:rPr>
                <w:rFonts w:ascii="宋体" w:hAnsi="宋体" w:cs="宋体" w:eastAsia="宋体" w:hint="default"/>
                <w:sz w:val="21"/>
                <w:szCs w:val="21"/>
              </w:rPr>
            </w:pPr>
            <w:r>
              <w:rPr>
                <w:rFonts w:ascii="宋体" w:hAnsi="宋体" w:cs="宋体" w:eastAsia="宋体" w:hint="default"/>
                <w:sz w:val="21"/>
                <w:szCs w:val="21"/>
              </w:rPr>
              <w:t>行相关</w:t>
            </w:r>
            <w:r>
              <w:rPr>
                <w:rFonts w:ascii="宋体" w:hAnsi="宋体" w:cs="宋体" w:eastAsia="宋体" w:hint="default"/>
                <w:spacing w:val="-102"/>
                <w:sz w:val="21"/>
                <w:szCs w:val="21"/>
              </w:rPr>
              <w:t> </w:t>
            </w:r>
            <w:r>
              <w:rPr>
                <w:rFonts w:ascii="宋体" w:hAnsi="宋体" w:cs="宋体" w:eastAsia="宋体" w:hint="default"/>
                <w:sz w:val="21"/>
                <w:szCs w:val="21"/>
              </w:rPr>
              <w:t>的承诺</w:t>
            </w:r>
          </w:p>
        </w:tc>
        <w:tc>
          <w:tcPr>
            <w:tcW w:w="631"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6008" w:type="dxa"/>
            <w:tcBorders>
              <w:top w:val="single" w:sz="4" w:space="0" w:color="000000"/>
              <w:left w:val="single" w:sz="4" w:space="0" w:color="000000"/>
              <w:bottom w:val="single" w:sz="4" w:space="0" w:color="000000"/>
              <w:right w:val="single" w:sz="4" w:space="0" w:color="000000"/>
            </w:tcBorders>
          </w:tcPr>
          <w:p>
            <w:pPr/>
          </w:p>
        </w:tc>
        <w:tc>
          <w:tcPr>
            <w:tcW w:w="2024"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004" w:type="dxa"/>
            <w:vMerge w:val="restart"/>
            <w:tcBorders>
              <w:top w:val="single" w:sz="4" w:space="0" w:color="000000"/>
              <w:left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与再融</w:t>
            </w:r>
          </w:p>
          <w:p>
            <w:pPr>
              <w:pStyle w:val="TableParagraph"/>
              <w:spacing w:line="272" w:lineRule="exact" w:before="26"/>
              <w:ind w:left="103" w:right="255"/>
              <w:jc w:val="left"/>
              <w:rPr>
                <w:rFonts w:ascii="宋体" w:hAnsi="宋体" w:cs="宋体" w:eastAsia="宋体" w:hint="default"/>
                <w:sz w:val="21"/>
                <w:szCs w:val="21"/>
              </w:rPr>
            </w:pPr>
            <w:r>
              <w:rPr>
                <w:rFonts w:ascii="宋体" w:hAnsi="宋体" w:cs="宋体" w:eastAsia="宋体" w:hint="default"/>
                <w:sz w:val="21"/>
                <w:szCs w:val="21"/>
              </w:rPr>
              <w:t>资相关</w:t>
            </w:r>
            <w:r>
              <w:rPr>
                <w:rFonts w:ascii="宋体" w:hAnsi="宋体" w:cs="宋体" w:eastAsia="宋体" w:hint="default"/>
                <w:spacing w:val="-102"/>
                <w:sz w:val="21"/>
                <w:szCs w:val="21"/>
              </w:rPr>
              <w:t> </w:t>
            </w:r>
            <w:r>
              <w:rPr>
                <w:rFonts w:ascii="宋体" w:hAnsi="宋体" w:cs="宋体" w:eastAsia="宋体" w:hint="default"/>
                <w:sz w:val="21"/>
                <w:szCs w:val="21"/>
              </w:rPr>
              <w:t>的承诺</w:t>
            </w:r>
          </w:p>
        </w:tc>
        <w:tc>
          <w:tcPr>
            <w:tcW w:w="631"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6008" w:type="dxa"/>
            <w:tcBorders>
              <w:top w:val="single" w:sz="4" w:space="0" w:color="000000"/>
              <w:left w:val="single" w:sz="4" w:space="0" w:color="000000"/>
              <w:bottom w:val="single" w:sz="4" w:space="0" w:color="000000"/>
              <w:right w:val="single" w:sz="4" w:space="0" w:color="000000"/>
            </w:tcBorders>
          </w:tcPr>
          <w:p>
            <w:pPr/>
          </w:p>
        </w:tc>
        <w:tc>
          <w:tcPr>
            <w:tcW w:w="2024"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545" w:hRule="exact"/>
        </w:trPr>
        <w:tc>
          <w:tcPr>
            <w:tcW w:w="1004" w:type="dxa"/>
            <w:vMerge/>
            <w:tcBorders>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6008" w:type="dxa"/>
            <w:tcBorders>
              <w:top w:val="single" w:sz="4" w:space="0" w:color="000000"/>
              <w:left w:val="single" w:sz="4" w:space="0" w:color="000000"/>
              <w:bottom w:val="single" w:sz="4" w:space="0" w:color="000000"/>
              <w:right w:val="single" w:sz="4" w:space="0" w:color="000000"/>
            </w:tcBorders>
          </w:tcPr>
          <w:p>
            <w:pPr/>
          </w:p>
        </w:tc>
        <w:tc>
          <w:tcPr>
            <w:tcW w:w="2024"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004" w:type="dxa"/>
            <w:vMerge w:val="restart"/>
            <w:tcBorders>
              <w:top w:val="single" w:sz="4" w:space="0" w:color="000000"/>
              <w:left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与股权</w:t>
            </w:r>
          </w:p>
          <w:p>
            <w:pPr>
              <w:pStyle w:val="TableParagraph"/>
              <w:spacing w:line="237" w:lineRule="auto" w:before="2"/>
              <w:ind w:left="103" w:right="255"/>
              <w:jc w:val="both"/>
              <w:rPr>
                <w:rFonts w:ascii="宋体" w:hAnsi="宋体" w:cs="宋体" w:eastAsia="宋体" w:hint="default"/>
                <w:sz w:val="21"/>
                <w:szCs w:val="21"/>
              </w:rPr>
            </w:pPr>
            <w:r>
              <w:rPr>
                <w:rFonts w:ascii="宋体" w:hAnsi="宋体" w:cs="宋体" w:eastAsia="宋体" w:hint="default"/>
                <w:sz w:val="21"/>
                <w:szCs w:val="21"/>
              </w:rPr>
              <w:t>激励相</w:t>
            </w:r>
            <w:r>
              <w:rPr>
                <w:rFonts w:ascii="宋体" w:hAnsi="宋体" w:cs="宋体" w:eastAsia="宋体" w:hint="default"/>
                <w:spacing w:val="-102"/>
                <w:sz w:val="21"/>
                <w:szCs w:val="21"/>
              </w:rPr>
              <w:t> </w:t>
            </w:r>
            <w:r>
              <w:rPr>
                <w:rFonts w:ascii="宋体" w:hAnsi="宋体" w:cs="宋体" w:eastAsia="宋体" w:hint="default"/>
                <w:sz w:val="21"/>
                <w:szCs w:val="21"/>
              </w:rPr>
              <w:t>关的承</w:t>
            </w:r>
            <w:r>
              <w:rPr>
                <w:rFonts w:ascii="宋体" w:hAnsi="宋体" w:cs="宋体" w:eastAsia="宋体" w:hint="default"/>
                <w:spacing w:val="-102"/>
                <w:sz w:val="21"/>
                <w:szCs w:val="21"/>
              </w:rPr>
              <w:t> </w:t>
            </w:r>
            <w:r>
              <w:rPr>
                <w:rFonts w:ascii="宋体" w:hAnsi="宋体" w:cs="宋体" w:eastAsia="宋体" w:hint="default"/>
                <w:sz w:val="21"/>
                <w:szCs w:val="21"/>
              </w:rPr>
              <w:t>诺</w:t>
            </w:r>
          </w:p>
        </w:tc>
        <w:tc>
          <w:tcPr>
            <w:tcW w:w="631"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6008" w:type="dxa"/>
            <w:tcBorders>
              <w:top w:val="single" w:sz="4" w:space="0" w:color="000000"/>
              <w:left w:val="single" w:sz="4" w:space="0" w:color="000000"/>
              <w:bottom w:val="single" w:sz="4" w:space="0" w:color="000000"/>
              <w:right w:val="single" w:sz="4" w:space="0" w:color="000000"/>
            </w:tcBorders>
          </w:tcPr>
          <w:p>
            <w:pPr/>
          </w:p>
        </w:tc>
        <w:tc>
          <w:tcPr>
            <w:tcW w:w="2024"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817" w:hRule="exact"/>
        </w:trPr>
        <w:tc>
          <w:tcPr>
            <w:tcW w:w="1004" w:type="dxa"/>
            <w:vMerge/>
            <w:tcBorders>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6008" w:type="dxa"/>
            <w:tcBorders>
              <w:top w:val="single" w:sz="4" w:space="0" w:color="000000"/>
              <w:left w:val="single" w:sz="4" w:space="0" w:color="000000"/>
              <w:bottom w:val="single" w:sz="4" w:space="0" w:color="000000"/>
              <w:right w:val="single" w:sz="4" w:space="0" w:color="000000"/>
            </w:tcBorders>
          </w:tcPr>
          <w:p>
            <w:pPr/>
          </w:p>
        </w:tc>
        <w:tc>
          <w:tcPr>
            <w:tcW w:w="2024"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004" w:type="dxa"/>
            <w:vMerge w:val="restart"/>
            <w:tcBorders>
              <w:top w:val="single" w:sz="4" w:space="0" w:color="000000"/>
              <w:left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其他对</w:t>
            </w:r>
          </w:p>
          <w:p>
            <w:pPr>
              <w:pStyle w:val="TableParagraph"/>
              <w:spacing w:line="237" w:lineRule="auto" w:before="2"/>
              <w:ind w:left="103" w:right="254"/>
              <w:jc w:val="both"/>
              <w:rPr>
                <w:rFonts w:ascii="宋体" w:hAnsi="宋体" w:cs="宋体" w:eastAsia="宋体" w:hint="default"/>
                <w:sz w:val="21"/>
                <w:szCs w:val="21"/>
              </w:rPr>
            </w:pPr>
            <w:r>
              <w:rPr>
                <w:rFonts w:ascii="宋体" w:hAnsi="宋体" w:cs="宋体" w:eastAsia="宋体" w:hint="default"/>
                <w:sz w:val="21"/>
                <w:szCs w:val="21"/>
              </w:rPr>
              <w:t>公司中</w:t>
            </w:r>
            <w:r>
              <w:rPr>
                <w:rFonts w:ascii="宋体" w:hAnsi="宋体" w:cs="宋体" w:eastAsia="宋体" w:hint="default"/>
                <w:spacing w:val="-102"/>
                <w:sz w:val="21"/>
                <w:szCs w:val="21"/>
              </w:rPr>
              <w:t> </w:t>
            </w:r>
            <w:r>
              <w:rPr>
                <w:rFonts w:ascii="宋体" w:hAnsi="宋体" w:cs="宋体" w:eastAsia="宋体" w:hint="default"/>
                <w:sz w:val="21"/>
                <w:szCs w:val="21"/>
              </w:rPr>
              <w:t>小股东</w:t>
            </w:r>
            <w:r>
              <w:rPr>
                <w:rFonts w:ascii="宋体" w:hAnsi="宋体" w:cs="宋体" w:eastAsia="宋体" w:hint="default"/>
                <w:spacing w:val="-102"/>
                <w:sz w:val="21"/>
                <w:szCs w:val="21"/>
              </w:rPr>
              <w:t> </w:t>
            </w:r>
            <w:r>
              <w:rPr>
                <w:rFonts w:ascii="宋体" w:hAnsi="宋体" w:cs="宋体" w:eastAsia="宋体" w:hint="default"/>
                <w:sz w:val="21"/>
                <w:szCs w:val="21"/>
              </w:rPr>
              <w:t>所作承</w:t>
            </w:r>
            <w:r>
              <w:rPr>
                <w:rFonts w:ascii="宋体" w:hAnsi="宋体" w:cs="宋体" w:eastAsia="宋体" w:hint="default"/>
                <w:spacing w:val="-102"/>
                <w:sz w:val="21"/>
                <w:szCs w:val="21"/>
              </w:rPr>
              <w:t> </w:t>
            </w:r>
            <w:r>
              <w:rPr>
                <w:rFonts w:ascii="宋体" w:hAnsi="宋体" w:cs="宋体" w:eastAsia="宋体" w:hint="default"/>
                <w:sz w:val="21"/>
                <w:szCs w:val="21"/>
              </w:rPr>
              <w:t>诺</w:t>
            </w:r>
          </w:p>
        </w:tc>
        <w:tc>
          <w:tcPr>
            <w:tcW w:w="631"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6008" w:type="dxa"/>
            <w:tcBorders>
              <w:top w:val="single" w:sz="4" w:space="0" w:color="000000"/>
              <w:left w:val="single" w:sz="4" w:space="0" w:color="000000"/>
              <w:bottom w:val="single" w:sz="4" w:space="0" w:color="000000"/>
              <w:right w:val="single" w:sz="4" w:space="0" w:color="000000"/>
            </w:tcBorders>
          </w:tcPr>
          <w:p>
            <w:pPr/>
          </w:p>
        </w:tc>
        <w:tc>
          <w:tcPr>
            <w:tcW w:w="2024"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1090" w:hRule="exact"/>
        </w:trPr>
        <w:tc>
          <w:tcPr>
            <w:tcW w:w="1004" w:type="dxa"/>
            <w:vMerge/>
            <w:tcBorders>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6008" w:type="dxa"/>
            <w:tcBorders>
              <w:top w:val="single" w:sz="4" w:space="0" w:color="000000"/>
              <w:left w:val="single" w:sz="4" w:space="0" w:color="000000"/>
              <w:bottom w:val="single" w:sz="4" w:space="0" w:color="000000"/>
              <w:right w:val="single" w:sz="4" w:space="0" w:color="000000"/>
            </w:tcBorders>
          </w:tcPr>
          <w:p>
            <w:pPr/>
          </w:p>
        </w:tc>
        <w:tc>
          <w:tcPr>
            <w:tcW w:w="2024"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004" w:type="dxa"/>
            <w:vMerge w:val="restart"/>
            <w:tcBorders>
              <w:top w:val="single" w:sz="4" w:space="0" w:color="000000"/>
              <w:left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其他承</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诺</w:t>
            </w:r>
          </w:p>
        </w:tc>
        <w:tc>
          <w:tcPr>
            <w:tcW w:w="631"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6008" w:type="dxa"/>
            <w:tcBorders>
              <w:top w:val="single" w:sz="4" w:space="0" w:color="000000"/>
              <w:left w:val="single" w:sz="4" w:space="0" w:color="000000"/>
              <w:bottom w:val="single" w:sz="4" w:space="0" w:color="000000"/>
              <w:right w:val="single" w:sz="4" w:space="0" w:color="000000"/>
            </w:tcBorders>
          </w:tcPr>
          <w:p>
            <w:pPr/>
          </w:p>
        </w:tc>
        <w:tc>
          <w:tcPr>
            <w:tcW w:w="2024"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004" w:type="dxa"/>
            <w:vMerge/>
            <w:tcBorders>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6008" w:type="dxa"/>
            <w:tcBorders>
              <w:top w:val="single" w:sz="4" w:space="0" w:color="000000"/>
              <w:left w:val="single" w:sz="4" w:space="0" w:color="000000"/>
              <w:bottom w:val="single" w:sz="4" w:space="0" w:color="000000"/>
              <w:right w:val="single" w:sz="4" w:space="0" w:color="000000"/>
            </w:tcBorders>
          </w:tcPr>
          <w:p>
            <w:pPr/>
          </w:p>
        </w:tc>
        <w:tc>
          <w:tcPr>
            <w:tcW w:w="2024"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5" w:top="1120" w:bottom="1380" w:left="12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7"/>
          <w:szCs w:val="17"/>
        </w:rPr>
      </w:pPr>
    </w:p>
    <w:p>
      <w:pPr>
        <w:pStyle w:val="Heading2"/>
        <w:tabs>
          <w:tab w:pos="804" w:val="left" w:leader="none"/>
        </w:tabs>
        <w:spacing w:line="264" w:lineRule="auto" w:before="36"/>
        <w:ind w:left="238" w:right="930"/>
        <w:jc w:val="left"/>
        <w:rPr>
          <w:b w:val="0"/>
          <w:bCs w:val="0"/>
        </w:rPr>
      </w:pPr>
      <w:r>
        <w:rPr>
          <w:rFonts w:ascii="Calibri" w:hAnsi="Calibri" w:cs="Calibri" w:eastAsia="Calibri" w:hint="default"/>
        </w:rPr>
        <w:t>(</w:t>
      </w:r>
      <w:r>
        <w:rPr/>
        <w:t>二</w:t>
      </w:r>
      <w:r>
        <w:rPr>
          <w:rFonts w:ascii="Calibri" w:hAnsi="Calibri" w:cs="Calibri" w:eastAsia="Calibri" w:hint="default"/>
        </w:rPr>
        <w:t>)</w:t>
        <w:tab/>
      </w:r>
      <w:r>
        <w:rPr>
          <w:spacing w:val="-1"/>
        </w:rPr>
        <w:t>公司资产或项目存在盈利预测，且报告期仍处在盈利预测期间，公司就资产或项目</w:t>
      </w:r>
      <w:r>
        <w:rPr>
          <w:spacing w:val="-75"/>
        </w:rPr>
        <w:t> </w:t>
      </w:r>
      <w:r>
        <w:rPr>
          <w:spacing w:val="-75"/>
        </w:rPr>
      </w:r>
      <w:r>
        <w:rPr/>
        <w:t>是否达到原盈利预测及其原因作出说明</w:t>
      </w:r>
      <w:r>
        <w:rPr>
          <w:b w:val="0"/>
          <w:bCs w:val="0"/>
        </w:rPr>
      </w:r>
    </w:p>
    <w:p>
      <w:pPr>
        <w:pStyle w:val="BodyText"/>
        <w:spacing w:line="272" w:lineRule="exact" w:before="5"/>
        <w:ind w:left="658" w:right="930" w:hanging="420"/>
        <w:jc w:val="left"/>
      </w:pPr>
      <w:r>
        <w:rPr/>
        <w:t>√已达到</w:t>
      </w:r>
      <w:r>
        <w:rPr>
          <w:spacing w:val="-2"/>
        </w:rPr>
        <w:t> </w:t>
      </w:r>
      <w:r>
        <w:rPr/>
        <w:t>□未达到</w:t>
      </w:r>
      <w:r>
        <w:rPr>
          <w:spacing w:val="-2"/>
        </w:rPr>
        <w:t> </w:t>
      </w:r>
      <w:r>
        <w:rPr/>
        <w:t>□不适用</w:t>
      </w:r>
      <w:r>
        <w:rPr>
          <w:spacing w:val="-101"/>
        </w:rPr>
        <w:t> </w:t>
      </w:r>
      <w:r>
        <w:rPr>
          <w:spacing w:val="-101"/>
        </w:rPr>
      </w:r>
      <w:r>
        <w:rPr>
          <w:spacing w:val="-2"/>
        </w:rPr>
        <w:t>公司重大资产重组中所购买的安通物流和安盛船务的盈利预测的实现情况：</w:t>
      </w:r>
    </w:p>
    <w:p>
      <w:pPr>
        <w:pStyle w:val="BodyText"/>
        <w:spacing w:line="240" w:lineRule="auto" w:before="110"/>
        <w:ind w:left="0" w:right="250"/>
        <w:jc w:val="right"/>
      </w:pPr>
      <w:r>
        <w:rPr>
          <w:spacing w:val="-1"/>
        </w:rPr>
        <w:t>单位：万元</w:t>
      </w:r>
    </w:p>
    <w:p>
      <w:pPr>
        <w:spacing w:line="240" w:lineRule="auto" w:before="10"/>
        <w:rPr>
          <w:rFonts w:ascii="宋体" w:hAnsi="宋体" w:cs="宋体" w:eastAsia="宋体"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3291"/>
        <w:gridCol w:w="1505"/>
        <w:gridCol w:w="1507"/>
        <w:gridCol w:w="1357"/>
        <w:gridCol w:w="1404"/>
      </w:tblGrid>
      <w:tr>
        <w:trPr>
          <w:trHeight w:val="425" w:hRule="exact"/>
        </w:trPr>
        <w:tc>
          <w:tcPr>
            <w:tcW w:w="3291" w:type="dxa"/>
            <w:tcBorders>
              <w:top w:val="single" w:sz="12" w:space="0" w:color="000000"/>
              <w:left w:val="nil" w:sz="6" w:space="0" w:color="auto"/>
              <w:bottom w:val="single" w:sz="2" w:space="0" w:color="000000"/>
              <w:right w:val="single" w:sz="2" w:space="0" w:color="000000"/>
            </w:tcBorders>
          </w:tcPr>
          <w:p>
            <w:pPr>
              <w:pStyle w:val="TableParagraph"/>
              <w:spacing w:line="241" w:lineRule="exact"/>
              <w:ind w:left="542"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505" w:type="dxa"/>
            <w:tcBorders>
              <w:top w:val="single" w:sz="12" w:space="0" w:color="000000"/>
              <w:left w:val="single" w:sz="2" w:space="0" w:color="000000"/>
              <w:bottom w:val="single" w:sz="2" w:space="0" w:color="000000"/>
              <w:right w:val="single" w:sz="2"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实际数</w:t>
            </w:r>
          </w:p>
        </w:tc>
        <w:tc>
          <w:tcPr>
            <w:tcW w:w="1507" w:type="dxa"/>
            <w:tcBorders>
              <w:top w:val="single" w:sz="12" w:space="0" w:color="000000"/>
              <w:left w:val="single" w:sz="2" w:space="0" w:color="000000"/>
              <w:bottom w:val="single" w:sz="2" w:space="0" w:color="000000"/>
              <w:right w:val="single" w:sz="2" w:space="0" w:color="000000"/>
            </w:tcBorders>
          </w:tcPr>
          <w:p>
            <w:pPr>
              <w:pStyle w:val="TableParagraph"/>
              <w:spacing w:line="241" w:lineRule="exact"/>
              <w:ind w:left="525" w:right="0"/>
              <w:jc w:val="left"/>
              <w:rPr>
                <w:rFonts w:ascii="宋体" w:hAnsi="宋体" w:cs="宋体" w:eastAsia="宋体" w:hint="default"/>
                <w:sz w:val="21"/>
                <w:szCs w:val="21"/>
              </w:rPr>
            </w:pPr>
            <w:r>
              <w:rPr>
                <w:rFonts w:ascii="宋体" w:hAnsi="宋体" w:cs="宋体" w:eastAsia="宋体" w:hint="default"/>
                <w:sz w:val="21"/>
                <w:szCs w:val="21"/>
              </w:rPr>
              <w:t>预测数</w:t>
            </w:r>
          </w:p>
        </w:tc>
        <w:tc>
          <w:tcPr>
            <w:tcW w:w="1357" w:type="dxa"/>
            <w:tcBorders>
              <w:top w:val="single" w:sz="12" w:space="0" w:color="000000"/>
              <w:left w:val="single" w:sz="2" w:space="0" w:color="000000"/>
              <w:bottom w:val="single" w:sz="2" w:space="0" w:color="000000"/>
              <w:right w:val="single" w:sz="2"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差额</w:t>
            </w:r>
          </w:p>
        </w:tc>
        <w:tc>
          <w:tcPr>
            <w:tcW w:w="1404" w:type="dxa"/>
            <w:tcBorders>
              <w:top w:val="single" w:sz="12" w:space="0" w:color="000000"/>
              <w:left w:val="single" w:sz="2" w:space="0" w:color="000000"/>
              <w:bottom w:val="single" w:sz="2" w:space="0" w:color="000000"/>
              <w:right w:val="nil" w:sz="6" w:space="0" w:color="auto"/>
            </w:tcBorders>
          </w:tcPr>
          <w:p>
            <w:pPr>
              <w:pStyle w:val="TableParagraph"/>
              <w:spacing w:line="241" w:lineRule="exact"/>
              <w:ind w:left="381" w:right="0"/>
              <w:jc w:val="left"/>
              <w:rPr>
                <w:rFonts w:ascii="宋体" w:hAnsi="宋体" w:cs="宋体" w:eastAsia="宋体" w:hint="default"/>
                <w:sz w:val="21"/>
                <w:szCs w:val="21"/>
              </w:rPr>
            </w:pPr>
            <w:r>
              <w:rPr>
                <w:rFonts w:ascii="宋体" w:hAnsi="宋体" w:cs="宋体" w:eastAsia="宋体" w:hint="default"/>
                <w:sz w:val="21"/>
                <w:szCs w:val="21"/>
              </w:rPr>
              <w:t>完成率</w:t>
            </w:r>
          </w:p>
        </w:tc>
      </w:tr>
      <w:tr>
        <w:trPr>
          <w:trHeight w:val="835" w:hRule="exact"/>
        </w:trPr>
        <w:tc>
          <w:tcPr>
            <w:tcW w:w="3291" w:type="dxa"/>
            <w:tcBorders>
              <w:top w:val="single" w:sz="2" w:space="0" w:color="000000"/>
              <w:left w:val="nil" w:sz="6" w:space="0" w:color="auto"/>
              <w:bottom w:val="single" w:sz="12" w:space="0" w:color="000000"/>
              <w:right w:val="single" w:sz="2" w:space="0" w:color="000000"/>
            </w:tcBorders>
          </w:tcPr>
          <w:p>
            <w:pPr>
              <w:pStyle w:val="TableParagraph"/>
              <w:spacing w:line="243" w:lineRule="exact"/>
              <w:ind w:left="122"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扣除非经常性损益后归属于母公</w:t>
            </w:r>
          </w:p>
          <w:p>
            <w:pPr>
              <w:pStyle w:val="TableParagraph"/>
              <w:spacing w:line="240" w:lineRule="auto" w:before="133"/>
              <w:ind w:left="122" w:right="0"/>
              <w:jc w:val="left"/>
              <w:rPr>
                <w:rFonts w:ascii="宋体" w:hAnsi="宋体" w:cs="宋体" w:eastAsia="宋体" w:hint="default"/>
                <w:sz w:val="21"/>
                <w:szCs w:val="21"/>
              </w:rPr>
            </w:pPr>
            <w:r>
              <w:rPr>
                <w:rFonts w:ascii="宋体" w:hAnsi="宋体" w:cs="宋体" w:eastAsia="宋体" w:hint="default"/>
                <w:sz w:val="21"/>
                <w:szCs w:val="21"/>
              </w:rPr>
              <w:t>司股东的净利润</w:t>
            </w:r>
          </w:p>
        </w:tc>
        <w:tc>
          <w:tcPr>
            <w:tcW w:w="150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48" w:right="0"/>
              <w:jc w:val="left"/>
              <w:rPr>
                <w:rFonts w:ascii="宋体" w:hAnsi="宋体" w:cs="宋体" w:eastAsia="宋体" w:hint="default"/>
                <w:sz w:val="21"/>
                <w:szCs w:val="21"/>
              </w:rPr>
            </w:pPr>
            <w:r>
              <w:rPr>
                <w:rFonts w:ascii="宋体"/>
                <w:sz w:val="21"/>
              </w:rPr>
              <w:t>47,376.09</w:t>
            </w:r>
          </w:p>
        </w:tc>
        <w:tc>
          <w:tcPr>
            <w:tcW w:w="150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51" w:right="0"/>
              <w:jc w:val="left"/>
              <w:rPr>
                <w:rFonts w:ascii="宋体" w:hAnsi="宋体" w:cs="宋体" w:eastAsia="宋体" w:hint="default"/>
                <w:sz w:val="21"/>
                <w:szCs w:val="21"/>
              </w:rPr>
            </w:pPr>
            <w:r>
              <w:rPr>
                <w:rFonts w:ascii="宋体"/>
                <w:sz w:val="21"/>
              </w:rPr>
              <w:t>40,690.00</w:t>
            </w:r>
          </w:p>
        </w:tc>
        <w:tc>
          <w:tcPr>
            <w:tcW w:w="135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03" w:right="0"/>
              <w:jc w:val="left"/>
              <w:rPr>
                <w:rFonts w:ascii="宋体" w:hAnsi="宋体" w:cs="宋体" w:eastAsia="宋体" w:hint="default"/>
                <w:sz w:val="21"/>
                <w:szCs w:val="21"/>
              </w:rPr>
            </w:pPr>
            <w:r>
              <w:rPr>
                <w:rFonts w:ascii="宋体"/>
                <w:sz w:val="21"/>
              </w:rPr>
              <w:t>6,686.09</w:t>
            </w:r>
          </w:p>
        </w:tc>
        <w:tc>
          <w:tcPr>
            <w:tcW w:w="140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59" w:right="0"/>
              <w:jc w:val="left"/>
              <w:rPr>
                <w:rFonts w:ascii="宋体" w:hAnsi="宋体" w:cs="宋体" w:eastAsia="宋体" w:hint="default"/>
                <w:sz w:val="21"/>
                <w:szCs w:val="21"/>
              </w:rPr>
            </w:pPr>
            <w:r>
              <w:rPr>
                <w:rFonts w:ascii="宋体"/>
                <w:sz w:val="21"/>
              </w:rPr>
              <w:t>116.43%</w:t>
            </w:r>
          </w:p>
        </w:tc>
      </w:tr>
    </w:tbl>
    <w:p>
      <w:pPr>
        <w:spacing w:line="240" w:lineRule="auto" w:before="8"/>
        <w:rPr>
          <w:rFonts w:ascii="宋体" w:hAnsi="宋体" w:cs="宋体" w:eastAsia="宋体" w:hint="default"/>
          <w:sz w:val="15"/>
          <w:szCs w:val="15"/>
        </w:rPr>
      </w:pPr>
    </w:p>
    <w:p>
      <w:pPr>
        <w:pStyle w:val="BodyText"/>
        <w:spacing w:line="272" w:lineRule="exact" w:before="64"/>
        <w:ind w:left="238" w:right="0"/>
        <w:jc w:val="left"/>
      </w:pPr>
      <w:r>
        <w:rPr>
          <w:spacing w:val="-5"/>
          <w:w w:val="100"/>
        </w:rPr>
        <w:t>因此：本公司基于重大资产重组购买的标的资产安通物流和安盛船务</w:t>
      </w:r>
      <w:r>
        <w:rPr>
          <w:spacing w:val="-45"/>
          <w:w w:val="100"/>
        </w:rPr>
        <w:t> </w:t>
      </w:r>
      <w:r>
        <w:rPr>
          <w:rFonts w:ascii="宋体" w:hAnsi="宋体" w:cs="宋体" w:eastAsia="宋体" w:hint="default"/>
          <w:spacing w:val="-1"/>
          <w:w w:val="100"/>
        </w:rPr>
        <w:t>2017</w:t>
      </w:r>
      <w:r>
        <w:rPr>
          <w:rFonts w:ascii="宋体" w:hAnsi="宋体" w:cs="宋体" w:eastAsia="宋体" w:hint="default"/>
          <w:spacing w:val="-45"/>
          <w:w w:val="100"/>
        </w:rPr>
        <w:t> </w:t>
      </w:r>
      <w:r>
        <w:rPr>
          <w:spacing w:val="-2"/>
          <w:w w:val="100"/>
        </w:rPr>
        <w:t>年度盈利预测利润数已</w:t>
      </w:r>
      <w:r>
        <w:rPr>
          <w:spacing w:val="-102"/>
          <w:w w:val="100"/>
        </w:rPr>
        <w:t> </w:t>
      </w:r>
      <w:r>
        <w:rPr>
          <w:spacing w:val="-102"/>
          <w:w w:val="100"/>
        </w:rPr>
      </w:r>
      <w:r>
        <w:rPr/>
        <w:t>经实现。</w:t>
      </w:r>
    </w:p>
    <w:p>
      <w:pPr>
        <w:spacing w:line="240" w:lineRule="auto" w:before="4"/>
        <w:rPr>
          <w:rFonts w:ascii="宋体" w:hAnsi="宋体" w:cs="宋体" w:eastAsia="宋体" w:hint="default"/>
          <w:sz w:val="23"/>
          <w:szCs w:val="23"/>
        </w:rPr>
      </w:pPr>
    </w:p>
    <w:p>
      <w:pPr>
        <w:pStyle w:val="Heading2"/>
        <w:spacing w:line="240" w:lineRule="auto"/>
        <w:ind w:left="238" w:right="0"/>
        <w:jc w:val="both"/>
        <w:rPr>
          <w:b w:val="0"/>
          <w:bCs w:val="0"/>
        </w:rPr>
      </w:pPr>
      <w:r>
        <w:rPr/>
        <w:t>三、报告期内资金被占用情况及清欠进展情况</w:t>
      </w:r>
      <w:r>
        <w:rPr>
          <w:b w:val="0"/>
          <w:bCs w:val="0"/>
        </w:rPr>
      </w:r>
    </w:p>
    <w:p>
      <w:pPr>
        <w:spacing w:line="290" w:lineRule="auto" w:before="58"/>
        <w:ind w:left="238" w:right="228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四、公司对会计师事务所“非标准意见审计报告”的说明</w:t>
      </w:r>
      <w:r>
        <w:rPr>
          <w:rFonts w:ascii="宋体" w:hAnsi="宋体" w:cs="宋体" w:eastAsia="宋体" w:hint="default"/>
          <w:spacing w:val="-1"/>
          <w:sz w:val="21"/>
          <w:szCs w:val="21"/>
        </w:rPr>
      </w:r>
    </w:p>
    <w:p>
      <w:pPr>
        <w:pStyle w:val="BodyText"/>
        <w:spacing w:line="240" w:lineRule="auto" w:before="14"/>
        <w:ind w:left="238"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238" w:right="0"/>
        <w:jc w:val="both"/>
        <w:rPr>
          <w:b w:val="0"/>
          <w:bCs w:val="0"/>
        </w:rPr>
      </w:pPr>
      <w:r>
        <w:rPr/>
        <w:t>五、公司对会计政策、会计估计变更或重大会计差错更正原因和影响的分析说明</w:t>
      </w:r>
      <w:r>
        <w:rPr>
          <w:b w:val="0"/>
          <w:bCs w:val="0"/>
        </w:rPr>
      </w:r>
    </w:p>
    <w:p>
      <w:pPr>
        <w:pStyle w:val="Heading2"/>
        <w:spacing w:line="240" w:lineRule="auto" w:before="56"/>
        <w:ind w:left="238" w:right="0"/>
        <w:jc w:val="both"/>
        <w:rPr>
          <w:b w:val="0"/>
          <w:bCs w:val="0"/>
        </w:rPr>
      </w:pPr>
      <w:r>
        <w:rPr/>
        <w:t>（一）</w:t>
      </w:r>
      <w:r>
        <w:rPr>
          <w:spacing w:val="98"/>
        </w:rPr>
        <w:t> </w:t>
      </w:r>
      <w:r>
        <w:rPr/>
        <w:t>公司对会计政策、会计估计变更原因及影响的分析说明</w:t>
      </w:r>
      <w:r>
        <w:rPr>
          <w:b w:val="0"/>
          <w:bCs w:val="0"/>
        </w:rPr>
      </w:r>
    </w:p>
    <w:p>
      <w:pPr>
        <w:pStyle w:val="BodyText"/>
        <w:spacing w:line="273" w:lineRule="exact" w:before="59"/>
        <w:ind w:left="238" w:right="0"/>
        <w:jc w:val="both"/>
      </w:pPr>
      <w:r>
        <w:rPr/>
        <w:t>√适用</w:t>
      </w:r>
      <w:r>
        <w:rPr>
          <w:spacing w:val="104"/>
        </w:rPr>
        <w:t> </w:t>
      </w:r>
      <w:r>
        <w:rPr/>
        <w:t>□不适用</w:t>
      </w:r>
    </w:p>
    <w:p>
      <w:pPr>
        <w:pStyle w:val="BodyText"/>
        <w:spacing w:line="273" w:lineRule="exact"/>
        <w:ind w:left="658" w:right="0"/>
        <w:jc w:val="left"/>
      </w:pPr>
      <w:r>
        <w:rPr/>
        <w:t>公司于</w:t>
      </w:r>
      <w:r>
        <w:rPr>
          <w:spacing w:val="-43"/>
        </w:rPr>
        <w:t> </w:t>
      </w:r>
      <w:r>
        <w:rPr>
          <w:rFonts w:ascii="宋体" w:hAnsi="宋体" w:cs="宋体" w:eastAsia="宋体" w:hint="default"/>
        </w:rPr>
        <w:t>2017</w:t>
      </w:r>
      <w:r>
        <w:rPr>
          <w:rFonts w:ascii="宋体" w:hAnsi="宋体" w:cs="宋体" w:eastAsia="宋体" w:hint="default"/>
          <w:spacing w:val="-43"/>
        </w:rPr>
        <w:t> </w:t>
      </w:r>
      <w:r>
        <w:rPr/>
        <w:t>年</w:t>
      </w:r>
      <w:r>
        <w:rPr>
          <w:spacing w:val="-46"/>
        </w:rPr>
        <w:t> </w:t>
      </w:r>
      <w:r>
        <w:rPr>
          <w:rFonts w:ascii="宋体" w:hAnsi="宋体" w:cs="宋体" w:eastAsia="宋体" w:hint="default"/>
        </w:rPr>
        <w:t>4</w:t>
      </w:r>
      <w:r>
        <w:rPr>
          <w:rFonts w:ascii="宋体" w:hAnsi="宋体" w:cs="宋体" w:eastAsia="宋体" w:hint="default"/>
          <w:spacing w:val="-43"/>
        </w:rPr>
        <w:t> </w:t>
      </w:r>
      <w:r>
        <w:rPr/>
        <w:t>月</w:t>
      </w:r>
      <w:r>
        <w:rPr>
          <w:spacing w:val="-45"/>
        </w:rPr>
        <w:t> </w:t>
      </w:r>
      <w:r>
        <w:rPr>
          <w:rFonts w:ascii="宋体" w:hAnsi="宋体" w:cs="宋体" w:eastAsia="宋体" w:hint="default"/>
        </w:rPr>
        <w:t>2</w:t>
      </w:r>
      <w:r>
        <w:rPr>
          <w:rFonts w:ascii="宋体" w:hAnsi="宋体" w:cs="宋体" w:eastAsia="宋体" w:hint="default"/>
          <w:spacing w:val="-43"/>
        </w:rPr>
        <w:t> </w:t>
      </w:r>
      <w:r>
        <w:rPr>
          <w:spacing w:val="-5"/>
        </w:rPr>
        <w:t>日召开第六届董事会第五次会议，审议通过了《关于公司会计政策变更</w:t>
      </w:r>
    </w:p>
    <w:p>
      <w:pPr>
        <w:pStyle w:val="BodyText"/>
        <w:spacing w:line="240" w:lineRule="auto" w:before="133"/>
        <w:ind w:left="238" w:right="0"/>
        <w:jc w:val="both"/>
      </w:pPr>
      <w:r>
        <w:rPr/>
        <w:t>的议案》。为进一步规范增值税会计处理，财政部于</w:t>
      </w:r>
      <w:r>
        <w:rPr>
          <w:spacing w:val="-53"/>
        </w:rPr>
        <w:t> </w:t>
      </w:r>
      <w:r>
        <w:rPr>
          <w:rFonts w:ascii="宋体" w:hAnsi="宋体" w:cs="宋体" w:eastAsia="宋体" w:hint="default"/>
        </w:rPr>
        <w:t>2016</w:t>
      </w:r>
      <w:r>
        <w:rPr>
          <w:rFonts w:ascii="宋体" w:hAnsi="宋体" w:cs="宋体" w:eastAsia="宋体" w:hint="default"/>
          <w:spacing w:val="-54"/>
        </w:rPr>
        <w:t> </w:t>
      </w:r>
      <w:r>
        <w:rPr/>
        <w:t>年</w:t>
      </w:r>
      <w:r>
        <w:rPr>
          <w:spacing w:val="-56"/>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w:t>
      </w:r>
      <w:r>
        <w:rPr>
          <w:rFonts w:ascii="宋体" w:hAnsi="宋体" w:cs="宋体" w:eastAsia="宋体" w:hint="default"/>
          <w:spacing w:val="-54"/>
        </w:rPr>
        <w:t> </w:t>
      </w:r>
      <w:r>
        <w:rPr/>
        <w:t>日发布了《增值税会计处理</w:t>
      </w:r>
    </w:p>
    <w:p>
      <w:pPr>
        <w:pStyle w:val="BodyText"/>
        <w:spacing w:line="355" w:lineRule="auto" w:before="135"/>
        <w:ind w:left="238" w:right="248"/>
        <w:jc w:val="both"/>
      </w:pPr>
      <w:r>
        <w:rPr/>
        <w:t>规定》（财会</w:t>
      </w:r>
      <w:r>
        <w:rPr>
          <w:rFonts w:ascii="宋体" w:hAnsi="宋体" w:cs="宋体" w:eastAsia="宋体" w:hint="default"/>
        </w:rPr>
        <w:t>[2016]22</w:t>
      </w:r>
      <w:r>
        <w:rPr>
          <w:rFonts w:ascii="宋体" w:hAnsi="宋体" w:cs="宋体" w:eastAsia="宋体" w:hint="default"/>
          <w:spacing w:val="-56"/>
        </w:rPr>
        <w:t> </w:t>
      </w:r>
      <w:r>
        <w:rPr/>
        <w:t>号），该规定自发布之日起实施。对于</w:t>
      </w:r>
      <w:r>
        <w:rPr>
          <w:spacing w:val="-54"/>
        </w:rPr>
        <w:t> </w:t>
      </w:r>
      <w:r>
        <w:rPr>
          <w:rFonts w:ascii="宋体" w:hAnsi="宋体" w:cs="宋体" w:eastAsia="宋体" w:hint="default"/>
        </w:rPr>
        <w:t>2016</w:t>
      </w:r>
      <w:r>
        <w:rPr>
          <w:rFonts w:ascii="宋体" w:hAnsi="宋体" w:cs="宋体" w:eastAsia="宋体" w:hint="default"/>
          <w:spacing w:val="-54"/>
        </w:rPr>
        <w:t> </w:t>
      </w:r>
      <w:r>
        <w:rPr/>
        <w:t>年</w:t>
      </w:r>
      <w:r>
        <w:rPr>
          <w:spacing w:val="-56"/>
        </w:rPr>
        <w:t> </w:t>
      </w:r>
      <w:r>
        <w:rPr>
          <w:rFonts w:ascii="宋体" w:hAnsi="宋体" w:cs="宋体" w:eastAsia="宋体" w:hint="default"/>
        </w:rPr>
        <w:t>5</w:t>
      </w:r>
      <w:r>
        <w:rPr>
          <w:rFonts w:ascii="宋体" w:hAnsi="宋体" w:cs="宋体" w:eastAsia="宋体" w:hint="default"/>
          <w:spacing w:val="-54"/>
        </w:rPr>
        <w:t> </w:t>
      </w:r>
      <w:r>
        <w:rPr/>
        <w:t>月</w:t>
      </w:r>
      <w:r>
        <w:rPr>
          <w:spacing w:val="-56"/>
        </w:rPr>
        <w:t> </w:t>
      </w:r>
      <w:r>
        <w:rPr>
          <w:rFonts w:ascii="宋体" w:hAnsi="宋体" w:cs="宋体" w:eastAsia="宋体" w:hint="default"/>
        </w:rPr>
        <w:t>1</w:t>
      </w:r>
      <w:r>
        <w:rPr>
          <w:rFonts w:ascii="宋体" w:hAnsi="宋体" w:cs="宋体" w:eastAsia="宋体" w:hint="default"/>
          <w:spacing w:val="-55"/>
        </w:rPr>
        <w:t> </w:t>
      </w:r>
      <w:r>
        <w:rPr/>
        <w:t>日至规定施行之间</w:t>
      </w:r>
      <w:r>
        <w:rPr>
          <w:w w:val="100"/>
        </w:rPr>
        <w:t> </w:t>
      </w:r>
      <w:r>
        <w:rPr>
          <w:spacing w:val="-2"/>
        </w:rPr>
        <w:t>发生的交易由于规定而影响资产、负债和损益等财务报表列报项目金额的，应按规定调整；对于</w:t>
      </w:r>
      <w:r>
        <w:rPr>
          <w:spacing w:val="-25"/>
        </w:rPr>
        <w:t> </w:t>
      </w:r>
      <w:r>
        <w:rPr>
          <w:spacing w:val="-25"/>
        </w:rPr>
      </w:r>
      <w:r>
        <w:rPr>
          <w:rFonts w:ascii="宋体" w:hAnsi="宋体" w:cs="宋体" w:eastAsia="宋体" w:hint="default"/>
        </w:rPr>
        <w:t>2016</w:t>
      </w:r>
      <w:r>
        <w:rPr>
          <w:rFonts w:ascii="宋体" w:hAnsi="宋体" w:cs="宋体" w:eastAsia="宋体" w:hint="default"/>
          <w:spacing w:val="-53"/>
        </w:rPr>
        <w:t> </w:t>
      </w:r>
      <w:r>
        <w:rPr/>
        <w:t>年</w:t>
      </w:r>
      <w:r>
        <w:rPr>
          <w:spacing w:val="-51"/>
        </w:rPr>
        <w:t> </w:t>
      </w:r>
      <w:r>
        <w:rPr>
          <w:rFonts w:ascii="宋体" w:hAnsi="宋体" w:cs="宋体" w:eastAsia="宋体" w:hint="default"/>
        </w:rPr>
        <w:t>1</w:t>
      </w:r>
      <w:r>
        <w:rPr>
          <w:rFonts w:ascii="宋体" w:hAnsi="宋体" w:cs="宋体" w:eastAsia="宋体" w:hint="default"/>
          <w:spacing w:val="-53"/>
        </w:rPr>
        <w:t> </w:t>
      </w:r>
      <w:r>
        <w:rPr/>
        <w:t>月</w:t>
      </w:r>
      <w:r>
        <w:rPr>
          <w:spacing w:val="-51"/>
        </w:rPr>
        <w:t> </w:t>
      </w:r>
      <w:r>
        <w:rPr>
          <w:rFonts w:ascii="宋体" w:hAnsi="宋体" w:cs="宋体" w:eastAsia="宋体" w:hint="default"/>
        </w:rPr>
        <w:t>1</w:t>
      </w:r>
      <w:r>
        <w:rPr>
          <w:rFonts w:ascii="宋体" w:hAnsi="宋体" w:cs="宋体" w:eastAsia="宋体" w:hint="default"/>
          <w:spacing w:val="-53"/>
        </w:rPr>
        <w:t> </w:t>
      </w:r>
      <w:r>
        <w:rPr/>
        <w:t>日至</w:t>
      </w:r>
      <w:r>
        <w:rPr>
          <w:spacing w:val="-53"/>
        </w:rPr>
        <w:t> </w:t>
      </w:r>
      <w:r>
        <w:rPr>
          <w:rFonts w:ascii="宋体" w:hAnsi="宋体" w:cs="宋体" w:eastAsia="宋体" w:hint="default"/>
        </w:rPr>
        <w:t>4</w:t>
      </w:r>
      <w:r>
        <w:rPr>
          <w:rFonts w:ascii="宋体" w:hAnsi="宋体" w:cs="宋体" w:eastAsia="宋体" w:hint="default"/>
          <w:spacing w:val="-51"/>
        </w:rPr>
        <w:t> </w:t>
      </w:r>
      <w:r>
        <w:rPr/>
        <w:t>月</w:t>
      </w:r>
      <w:r>
        <w:rPr>
          <w:spacing w:val="-50"/>
        </w:rPr>
        <w:t> </w:t>
      </w:r>
      <w:r>
        <w:rPr>
          <w:rFonts w:ascii="宋体" w:hAnsi="宋体" w:cs="宋体" w:eastAsia="宋体" w:hint="default"/>
        </w:rPr>
        <w:t>30</w:t>
      </w:r>
      <w:r>
        <w:rPr>
          <w:rFonts w:ascii="宋体" w:hAnsi="宋体" w:cs="宋体" w:eastAsia="宋体" w:hint="default"/>
          <w:spacing w:val="-51"/>
        </w:rPr>
        <w:t> </w:t>
      </w:r>
      <w:r>
        <w:rPr>
          <w:spacing w:val="-4"/>
        </w:rPr>
        <w:t>日期间发生的交易，不予追溯调整；对于</w:t>
      </w:r>
      <w:r>
        <w:rPr>
          <w:spacing w:val="-51"/>
        </w:rPr>
        <w:t> </w:t>
      </w:r>
      <w:r>
        <w:rPr>
          <w:rFonts w:ascii="宋体" w:hAnsi="宋体" w:cs="宋体" w:eastAsia="宋体" w:hint="default"/>
        </w:rPr>
        <w:t>2016</w:t>
      </w:r>
      <w:r>
        <w:rPr>
          <w:rFonts w:ascii="宋体" w:hAnsi="宋体" w:cs="宋体" w:eastAsia="宋体" w:hint="default"/>
          <w:spacing w:val="-51"/>
        </w:rPr>
        <w:t> </w:t>
      </w:r>
      <w:r>
        <w:rPr/>
        <w:t>年财务报表中可比期间</w:t>
      </w:r>
      <w:r>
        <w:rPr>
          <w:w w:val="100"/>
        </w:rPr>
        <w:t> </w:t>
      </w:r>
      <w:r>
        <w:rPr/>
        <w:t>的财务报表也不予追溯调整。</w:t>
      </w:r>
    </w:p>
    <w:p>
      <w:pPr>
        <w:pStyle w:val="BodyText"/>
        <w:spacing w:line="357" w:lineRule="auto" w:before="32"/>
        <w:ind w:left="238" w:right="247" w:firstLine="419"/>
        <w:jc w:val="both"/>
      </w:pPr>
      <w:r>
        <w:rPr>
          <w:spacing w:val="-5"/>
        </w:rPr>
        <w:t>根据上述规定，公司</w:t>
      </w:r>
      <w:r>
        <w:rPr>
          <w:spacing w:val="-48"/>
        </w:rPr>
        <w:t> </w:t>
      </w:r>
      <w:r>
        <w:rPr>
          <w:rFonts w:ascii="宋体" w:hAnsi="宋体" w:cs="宋体" w:eastAsia="宋体" w:hint="default"/>
        </w:rPr>
        <w:t>2016</w:t>
      </w:r>
      <w:r>
        <w:rPr>
          <w:rFonts w:ascii="宋体" w:hAnsi="宋体" w:cs="宋体" w:eastAsia="宋体" w:hint="default"/>
          <w:spacing w:val="-48"/>
        </w:rPr>
        <w:t> </w:t>
      </w:r>
      <w:r>
        <w:rPr/>
        <w:t>年</w:t>
      </w:r>
      <w:r>
        <w:rPr>
          <w:spacing w:val="-45"/>
        </w:rPr>
        <w:t> </w:t>
      </w:r>
      <w:r>
        <w:rPr>
          <w:rFonts w:ascii="宋体" w:hAnsi="宋体" w:cs="宋体" w:eastAsia="宋体" w:hint="default"/>
        </w:rPr>
        <w:t>5</w:t>
      </w:r>
      <w:r>
        <w:rPr>
          <w:rFonts w:ascii="宋体" w:hAnsi="宋体" w:cs="宋体" w:eastAsia="宋体" w:hint="default"/>
          <w:spacing w:val="-48"/>
        </w:rPr>
        <w:t> </w:t>
      </w:r>
      <w:r>
        <w:rPr/>
        <w:t>月</w:t>
      </w:r>
      <w:r>
        <w:rPr>
          <w:spacing w:val="-45"/>
        </w:rPr>
        <w:t> </w:t>
      </w:r>
      <w:r>
        <w:rPr>
          <w:rFonts w:ascii="宋体" w:hAnsi="宋体" w:cs="宋体" w:eastAsia="宋体" w:hint="default"/>
        </w:rPr>
        <w:t>1</w:t>
      </w:r>
      <w:r>
        <w:rPr>
          <w:rFonts w:ascii="宋体" w:hAnsi="宋体" w:cs="宋体" w:eastAsia="宋体" w:hint="default"/>
          <w:spacing w:val="-45"/>
        </w:rPr>
        <w:t> </w:t>
      </w:r>
      <w:r>
        <w:rPr>
          <w:spacing w:val="-4"/>
        </w:rPr>
        <w:t>日之后发生的与增值税相关交易，影响资产、负债等金额</w:t>
      </w:r>
      <w:r>
        <w:rPr>
          <w:w w:val="100"/>
        </w:rPr>
        <w:t> </w:t>
      </w:r>
      <w:r>
        <w:rPr>
          <w:spacing w:val="-6"/>
        </w:rPr>
        <w:t>的，按规定进行调整。利润表中的“营业税金及附加”项目调整为“税金及附加”项目，房产税、</w:t>
      </w:r>
      <w:r>
        <w:rPr>
          <w:spacing w:val="-52"/>
        </w:rPr>
        <w:t> </w:t>
      </w:r>
      <w:r>
        <w:rPr>
          <w:spacing w:val="-52"/>
        </w:rPr>
      </w:r>
      <w:r>
        <w:rPr>
          <w:spacing w:val="-5"/>
        </w:rPr>
        <w:t>土地使用税、车船使用税、印花税等原计入管理费用的相关税费，自</w:t>
      </w:r>
      <w:r>
        <w:rPr>
          <w:spacing w:val="-44"/>
        </w:rPr>
        <w:t> </w:t>
      </w:r>
      <w:r>
        <w:rPr>
          <w:rFonts w:ascii="宋体" w:hAnsi="宋体" w:cs="宋体" w:eastAsia="宋体" w:hint="default"/>
        </w:rPr>
        <w:t>2016</w:t>
      </w:r>
      <w:r>
        <w:rPr>
          <w:rFonts w:ascii="宋体" w:hAnsi="宋体" w:cs="宋体" w:eastAsia="宋体" w:hint="default"/>
          <w:spacing w:val="-46"/>
        </w:rPr>
        <w:t> </w:t>
      </w:r>
      <w:r>
        <w:rPr/>
        <w:t>年</w:t>
      </w:r>
      <w:r>
        <w:rPr>
          <w:spacing w:val="-46"/>
        </w:rPr>
        <w:t> </w:t>
      </w:r>
      <w:r>
        <w:rPr>
          <w:rFonts w:ascii="宋体" w:hAnsi="宋体" w:cs="宋体" w:eastAsia="宋体" w:hint="default"/>
        </w:rPr>
        <w:t>5</w:t>
      </w:r>
      <w:r>
        <w:rPr>
          <w:rFonts w:ascii="宋体" w:hAnsi="宋体" w:cs="宋体" w:eastAsia="宋体" w:hint="default"/>
          <w:spacing w:val="-43"/>
        </w:rPr>
        <w:t> </w:t>
      </w:r>
      <w:r>
        <w:rPr/>
        <w:t>月</w:t>
      </w:r>
      <w:r>
        <w:rPr>
          <w:spacing w:val="-44"/>
        </w:rPr>
        <w:t> </w:t>
      </w:r>
      <w:r>
        <w:rPr>
          <w:rFonts w:ascii="宋体" w:hAnsi="宋体" w:cs="宋体" w:eastAsia="宋体" w:hint="default"/>
        </w:rPr>
        <w:t>1</w:t>
      </w:r>
      <w:r>
        <w:rPr>
          <w:rFonts w:ascii="宋体" w:hAnsi="宋体" w:cs="宋体" w:eastAsia="宋体" w:hint="default"/>
          <w:spacing w:val="-46"/>
        </w:rPr>
        <w:t> </w:t>
      </w:r>
      <w:r>
        <w:rPr/>
        <w:t>日起调整计入</w:t>
      </w:r>
    </w:p>
    <w:p>
      <w:pPr>
        <w:pStyle w:val="BodyText"/>
        <w:spacing w:line="240" w:lineRule="auto" w:before="30"/>
        <w:ind w:left="238" w:right="0"/>
        <w:jc w:val="both"/>
      </w:pPr>
      <w:r>
        <w:rPr>
          <w:spacing w:val="-4"/>
        </w:rPr>
        <w:t>“税金及附加”科目。本次会计政策变更对公司 </w:t>
      </w:r>
      <w:r>
        <w:rPr>
          <w:rFonts w:ascii="宋体" w:hAnsi="宋体" w:cs="宋体" w:eastAsia="宋体" w:hint="default"/>
        </w:rPr>
        <w:t>2016</w:t>
      </w:r>
      <w:r>
        <w:rPr>
          <w:rFonts w:ascii="宋体" w:hAnsi="宋体" w:cs="宋体" w:eastAsia="宋体" w:hint="default"/>
          <w:spacing w:val="-32"/>
        </w:rPr>
        <w:t> </w:t>
      </w:r>
      <w:r>
        <w:rPr>
          <w:spacing w:val="-5"/>
        </w:rPr>
        <w:t>年财务报表累计影响为：“税金及附加”科</w:t>
      </w:r>
    </w:p>
    <w:p>
      <w:pPr>
        <w:pStyle w:val="BodyText"/>
        <w:spacing w:line="240" w:lineRule="auto" w:before="133"/>
        <w:ind w:left="238" w:right="0"/>
        <w:jc w:val="both"/>
      </w:pPr>
      <w:r>
        <w:rPr/>
        <w:t>目本年金额增加 </w:t>
      </w:r>
      <w:r>
        <w:rPr>
          <w:rFonts w:ascii="宋体" w:hAnsi="宋体" w:cs="宋体" w:eastAsia="宋体" w:hint="default"/>
        </w:rPr>
        <w:t>5,281,776.83 </w:t>
      </w:r>
      <w:r>
        <w:rPr/>
        <w:t>元 ，“管理费用”科目本年金额减少 </w:t>
      </w:r>
      <w:r>
        <w:rPr>
          <w:rFonts w:ascii="宋体" w:hAnsi="宋体" w:cs="宋体" w:eastAsia="宋体" w:hint="default"/>
        </w:rPr>
        <w:t>5,281,776.83</w:t>
      </w:r>
      <w:r>
        <w:rPr>
          <w:rFonts w:ascii="宋体" w:hAnsi="宋体" w:cs="宋体" w:eastAsia="宋体" w:hint="default"/>
          <w:spacing w:val="42"/>
        </w:rPr>
        <w:t> </w:t>
      </w:r>
      <w:r>
        <w:rPr/>
        <w:t>元，合计</w:t>
      </w:r>
    </w:p>
    <w:p>
      <w:pPr>
        <w:pStyle w:val="BodyText"/>
        <w:spacing w:line="355" w:lineRule="auto" w:before="135"/>
        <w:ind w:left="238" w:right="257"/>
        <w:jc w:val="both"/>
      </w:pPr>
      <w:r>
        <w:rPr/>
        <w:t>调整净利润</w:t>
      </w:r>
      <w:r>
        <w:rPr>
          <w:spacing w:val="-55"/>
        </w:rPr>
        <w:t> </w:t>
      </w:r>
      <w:r>
        <w:rPr>
          <w:rFonts w:ascii="宋体" w:hAnsi="宋体" w:cs="宋体" w:eastAsia="宋体" w:hint="default"/>
        </w:rPr>
        <w:t>0</w:t>
      </w:r>
      <w:r>
        <w:rPr>
          <w:rFonts w:ascii="宋体" w:hAnsi="宋体" w:cs="宋体" w:eastAsia="宋体" w:hint="default"/>
          <w:spacing w:val="-55"/>
        </w:rPr>
        <w:t> </w:t>
      </w:r>
      <w:r>
        <w:rPr/>
        <w:t>元。此会计政策调整为会计核算科目之间的调整，对公司无其他重大影响，不影响</w:t>
      </w:r>
      <w:r>
        <w:rPr>
          <w:w w:val="100"/>
        </w:rPr>
        <w:t> </w:t>
      </w:r>
      <w:r>
        <w:rPr>
          <w:spacing w:val="-2"/>
        </w:rPr>
        <w:t>公司损益也不涉及往年度的追溯调整。公司独立董事、监事会对本次会计政策变更发表了结论性</w:t>
      </w:r>
      <w:r>
        <w:rPr>
          <w:spacing w:val="-25"/>
        </w:rPr>
        <w:t> </w:t>
      </w:r>
      <w:r>
        <w:rPr>
          <w:spacing w:val="-25"/>
        </w:rPr>
      </w:r>
      <w:r>
        <w:rPr/>
        <w:t>意见。</w:t>
      </w:r>
    </w:p>
    <w:p>
      <w:pPr>
        <w:pStyle w:val="BodyText"/>
        <w:spacing w:line="357" w:lineRule="auto" w:before="32"/>
        <w:ind w:left="238" w:right="247" w:firstLine="419"/>
        <w:jc w:val="both"/>
      </w:pPr>
      <w:r>
        <w:rPr>
          <w:spacing w:val="-2"/>
          <w:w w:val="100"/>
        </w:rPr>
        <w:t>具体内容详见公司于</w:t>
      </w:r>
      <w:r>
        <w:rPr>
          <w:spacing w:val="-48"/>
          <w:w w:val="100"/>
        </w:rPr>
        <w:t> </w:t>
      </w:r>
      <w:r>
        <w:rPr>
          <w:rFonts w:ascii="宋体" w:hAnsi="宋体" w:cs="宋体" w:eastAsia="宋体" w:hint="default"/>
          <w:spacing w:val="-1"/>
          <w:w w:val="100"/>
        </w:rPr>
        <w:t>2017</w:t>
      </w:r>
      <w:r>
        <w:rPr>
          <w:rFonts w:ascii="宋体" w:hAnsi="宋体" w:cs="宋体" w:eastAsia="宋体" w:hint="default"/>
          <w:spacing w:val="-52"/>
          <w:w w:val="100"/>
        </w:rPr>
        <w:t> </w:t>
      </w:r>
      <w:r>
        <w:rPr>
          <w:w w:val="100"/>
        </w:rPr>
        <w:t>年</w:t>
      </w:r>
      <w:r>
        <w:rPr>
          <w:spacing w:val="-49"/>
          <w:w w:val="100"/>
        </w:rPr>
        <w:t> </w:t>
      </w:r>
      <w:r>
        <w:rPr>
          <w:rFonts w:ascii="宋体" w:hAnsi="宋体" w:cs="宋体" w:eastAsia="宋体" w:hint="default"/>
          <w:w w:val="100"/>
        </w:rPr>
        <w:t>4</w:t>
      </w:r>
      <w:r>
        <w:rPr>
          <w:rFonts w:ascii="宋体" w:hAnsi="宋体" w:cs="宋体" w:eastAsia="宋体" w:hint="default"/>
          <w:spacing w:val="-52"/>
          <w:w w:val="100"/>
        </w:rPr>
        <w:t> </w:t>
      </w:r>
      <w:r>
        <w:rPr>
          <w:w w:val="100"/>
        </w:rPr>
        <w:t>月</w:t>
      </w:r>
      <w:r>
        <w:rPr>
          <w:spacing w:val="-49"/>
          <w:w w:val="100"/>
        </w:rPr>
        <w:t> </w:t>
      </w:r>
      <w:r>
        <w:rPr>
          <w:rFonts w:ascii="宋体" w:hAnsi="宋体" w:cs="宋体" w:eastAsia="宋体" w:hint="default"/>
          <w:w w:val="100"/>
        </w:rPr>
        <w:t>6</w:t>
      </w:r>
      <w:r>
        <w:rPr>
          <w:rFonts w:ascii="宋体" w:hAnsi="宋体" w:cs="宋体" w:eastAsia="宋体" w:hint="default"/>
          <w:spacing w:val="-49"/>
          <w:w w:val="100"/>
        </w:rPr>
        <w:t> </w:t>
      </w:r>
      <w:r>
        <w:rPr>
          <w:spacing w:val="-6"/>
          <w:w w:val="100"/>
        </w:rPr>
        <w:t>日披露于的上海证券交易所的《关于公司会计政策变更的</w:t>
      </w:r>
      <w:r>
        <w:rPr>
          <w:w w:val="100"/>
        </w:rPr>
        <w:t> </w:t>
      </w:r>
      <w:r>
        <w:rPr/>
        <w:t>公告》（公告编号：</w:t>
      </w:r>
      <w:r>
        <w:rPr>
          <w:rFonts w:ascii="宋体" w:hAnsi="宋体" w:cs="宋体" w:eastAsia="宋体" w:hint="default"/>
        </w:rPr>
        <w:t>2017-009</w:t>
      </w:r>
      <w:r>
        <w:rPr/>
        <w:t>）</w:t>
      </w:r>
    </w:p>
    <w:p>
      <w:pPr>
        <w:spacing w:after="0" w:line="357" w:lineRule="auto"/>
        <w:jc w:val="both"/>
        <w:sectPr>
          <w:headerReference w:type="default" r:id="rId18"/>
          <w:footerReference w:type="default" r:id="rId19"/>
          <w:pgSz w:w="11910" w:h="16840"/>
          <w:pgMar w:header="880" w:footer="1195" w:top="1120" w:bottom="1380" w:left="1560" w:right="1020"/>
          <w:pgNumType w:start="36"/>
        </w:sectPr>
      </w:pPr>
    </w:p>
    <w:p>
      <w:pPr>
        <w:spacing w:line="240" w:lineRule="auto" w:before="4"/>
        <w:rPr>
          <w:rFonts w:ascii="宋体" w:hAnsi="宋体" w:cs="宋体" w:eastAsia="宋体" w:hint="default"/>
          <w:sz w:val="25"/>
          <w:szCs w:val="25"/>
        </w:rPr>
      </w:pPr>
    </w:p>
    <w:p>
      <w:pPr>
        <w:pStyle w:val="BodyText"/>
        <w:spacing w:line="240" w:lineRule="auto" w:before="36"/>
        <w:ind w:left="638" w:right="0"/>
        <w:jc w:val="left"/>
      </w:pPr>
      <w:r>
        <w:rPr/>
        <w:t>公司于</w:t>
      </w:r>
      <w:r>
        <w:rPr>
          <w:spacing w:val="-53"/>
        </w:rPr>
        <w:t> </w:t>
      </w:r>
      <w:r>
        <w:rPr>
          <w:rFonts w:ascii="宋体" w:hAnsi="宋体" w:cs="宋体" w:eastAsia="宋体" w:hint="default"/>
        </w:rPr>
        <w:t>2017</w:t>
      </w:r>
      <w:r>
        <w:rPr>
          <w:rFonts w:ascii="宋体" w:hAnsi="宋体" w:cs="宋体" w:eastAsia="宋体" w:hint="default"/>
          <w:spacing w:val="-53"/>
        </w:rPr>
        <w:t> </w:t>
      </w:r>
      <w:r>
        <w:rPr/>
        <w:t>年</w:t>
      </w:r>
      <w:r>
        <w:rPr>
          <w:spacing w:val="-55"/>
        </w:rPr>
        <w:t> </w:t>
      </w:r>
      <w:r>
        <w:rPr>
          <w:rFonts w:ascii="宋体" w:hAnsi="宋体" w:cs="宋体" w:eastAsia="宋体" w:hint="default"/>
        </w:rPr>
        <w:t>8</w:t>
      </w:r>
      <w:r>
        <w:rPr>
          <w:rFonts w:ascii="宋体" w:hAnsi="宋体" w:cs="宋体" w:eastAsia="宋体" w:hint="default"/>
          <w:spacing w:val="-53"/>
        </w:rPr>
        <w:t> </w:t>
      </w:r>
      <w:r>
        <w:rPr/>
        <w:t>月</w:t>
      </w:r>
      <w:r>
        <w:rPr>
          <w:spacing w:val="-54"/>
        </w:rPr>
        <w:t> </w:t>
      </w:r>
      <w:r>
        <w:rPr>
          <w:rFonts w:ascii="宋体" w:hAnsi="宋体" w:cs="宋体" w:eastAsia="宋体" w:hint="default"/>
        </w:rPr>
        <w:t>14</w:t>
      </w:r>
      <w:r>
        <w:rPr>
          <w:rFonts w:ascii="宋体" w:hAnsi="宋体" w:cs="宋体" w:eastAsia="宋体" w:hint="default"/>
          <w:spacing w:val="-53"/>
        </w:rPr>
        <w:t> </w:t>
      </w:r>
      <w:r>
        <w:rPr/>
        <w:t>日召开第六届董事会第七次会议，审议通过了《关于公司会计政策变</w:t>
      </w:r>
    </w:p>
    <w:p>
      <w:pPr>
        <w:pStyle w:val="BodyText"/>
        <w:spacing w:line="357" w:lineRule="auto" w:before="135"/>
        <w:ind w:right="230"/>
        <w:jc w:val="both"/>
      </w:pPr>
      <w:r>
        <w:rPr>
          <w:spacing w:val="-9"/>
        </w:rPr>
        <w:t>更的议案》。根据财政部关于印发修订《企业会计准则第</w:t>
      </w:r>
      <w:r>
        <w:rPr>
          <w:spacing w:val="-29"/>
        </w:rPr>
        <w:t> </w:t>
      </w:r>
      <w:r>
        <w:rPr>
          <w:rFonts w:ascii="宋体" w:hAnsi="宋体" w:cs="宋体" w:eastAsia="宋体" w:hint="default"/>
        </w:rPr>
        <w:t>16</w:t>
      </w:r>
      <w:r>
        <w:rPr>
          <w:rFonts w:ascii="宋体" w:hAnsi="宋体" w:cs="宋体" w:eastAsia="宋体" w:hint="default"/>
          <w:spacing w:val="-30"/>
        </w:rPr>
        <w:t> </w:t>
      </w:r>
      <w:r>
        <w:rPr>
          <w:spacing w:val="-7"/>
        </w:rPr>
        <w:t>号—政府补助》的通知（财会</w:t>
      </w:r>
      <w:r>
        <w:rPr>
          <w:rFonts w:ascii="宋体" w:hAnsi="宋体" w:cs="宋体" w:eastAsia="宋体" w:hint="default"/>
          <w:spacing w:val="-7"/>
        </w:rPr>
        <w:t>[2017]15</w:t>
      </w:r>
      <w:r>
        <w:rPr>
          <w:rFonts w:ascii="宋体" w:hAnsi="宋体" w:cs="宋体" w:eastAsia="宋体" w:hint="default"/>
          <w:spacing w:val="-96"/>
        </w:rPr>
        <w:t> </w:t>
      </w:r>
      <w:r>
        <w:rPr>
          <w:rFonts w:ascii="宋体" w:hAnsi="宋体" w:cs="宋体" w:eastAsia="宋体" w:hint="default"/>
          <w:spacing w:val="-96"/>
        </w:rPr>
      </w:r>
      <w:r>
        <w:rPr>
          <w:spacing w:val="-2"/>
        </w:rPr>
        <w:t>号）的要求，公司将与企业日常活动相关的政府补助，按照经济业务实质，计入其他收益或冲减</w:t>
      </w:r>
      <w:r>
        <w:rPr>
          <w:spacing w:val="-25"/>
        </w:rPr>
        <w:t> </w:t>
      </w:r>
      <w:r>
        <w:rPr>
          <w:spacing w:val="-25"/>
        </w:rPr>
      </w:r>
      <w:r>
        <w:rPr>
          <w:spacing w:val="-2"/>
        </w:rPr>
        <w:t>相关成本费用。同时，在利润表中的“营业利润”项目之上单独列报“其他收益”项目，计入其</w:t>
      </w:r>
      <w:r>
        <w:rPr>
          <w:spacing w:val="-26"/>
        </w:rPr>
        <w:t> </w:t>
      </w:r>
      <w:r>
        <w:rPr>
          <w:spacing w:val="-26"/>
        </w:rPr>
      </w:r>
      <w:r>
        <w:rPr>
          <w:spacing w:val="-4"/>
        </w:rPr>
        <w:t>他收益的政府补助在该项目中反映。该变更不会对公司</w:t>
      </w:r>
      <w:r>
        <w:rPr>
          <w:spacing w:val="-22"/>
        </w:rPr>
        <w:t> </w:t>
      </w:r>
      <w:r>
        <w:rPr>
          <w:rFonts w:ascii="宋体" w:hAnsi="宋体" w:cs="宋体" w:eastAsia="宋体" w:hint="default"/>
        </w:rPr>
        <w:t>2017</w:t>
      </w:r>
      <w:r>
        <w:rPr>
          <w:rFonts w:ascii="宋体" w:hAnsi="宋体" w:cs="宋体" w:eastAsia="宋体" w:hint="default"/>
          <w:spacing w:val="-25"/>
        </w:rPr>
        <w:t> </w:t>
      </w:r>
      <w:r>
        <w:rPr>
          <w:spacing w:val="-5"/>
        </w:rPr>
        <w:t>年度的财务状况、经营成果和现金流</w:t>
      </w:r>
      <w:r>
        <w:rPr>
          <w:spacing w:val="-93"/>
        </w:rPr>
        <w:t> </w:t>
      </w:r>
      <w:r>
        <w:rPr>
          <w:spacing w:val="-93"/>
        </w:rPr>
      </w:r>
      <w:r>
        <w:rPr>
          <w:spacing w:val="-2"/>
        </w:rPr>
        <w:t>量产生重大影响也无需进行追溯调整。公司独立董事、监事会对本次会计政策变更发表了结论性</w:t>
      </w:r>
      <w:r>
        <w:rPr>
          <w:spacing w:val="-25"/>
        </w:rPr>
        <w:t> </w:t>
      </w:r>
      <w:r>
        <w:rPr>
          <w:spacing w:val="-25"/>
        </w:rPr>
      </w:r>
      <w:r>
        <w:rPr/>
        <w:t>意见。</w:t>
      </w:r>
    </w:p>
    <w:p>
      <w:pPr>
        <w:pStyle w:val="BodyText"/>
        <w:spacing w:line="357" w:lineRule="auto" w:before="30"/>
        <w:ind w:right="242" w:firstLine="419"/>
        <w:jc w:val="left"/>
      </w:pPr>
      <w:r>
        <w:rPr/>
        <w:t>具体内容详见公司于</w:t>
      </w:r>
      <w:r>
        <w:rPr>
          <w:spacing w:val="-53"/>
        </w:rPr>
        <w:t> </w:t>
      </w: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8</w:t>
      </w:r>
      <w:r>
        <w:rPr>
          <w:rFonts w:ascii="宋体" w:hAnsi="宋体" w:cs="宋体" w:eastAsia="宋体" w:hint="default"/>
          <w:spacing w:val="-56"/>
        </w:rPr>
        <w:t> </w:t>
      </w:r>
      <w:r>
        <w:rPr/>
        <w:t>月</w:t>
      </w:r>
      <w:r>
        <w:rPr>
          <w:spacing w:val="-54"/>
        </w:rPr>
        <w:t> </w:t>
      </w:r>
      <w:r>
        <w:rPr>
          <w:rFonts w:ascii="宋体" w:hAnsi="宋体" w:cs="宋体" w:eastAsia="宋体" w:hint="default"/>
        </w:rPr>
        <w:t>16</w:t>
      </w:r>
      <w:r>
        <w:rPr>
          <w:rFonts w:ascii="宋体" w:hAnsi="宋体" w:cs="宋体" w:eastAsia="宋体" w:hint="default"/>
          <w:spacing w:val="-56"/>
        </w:rPr>
        <w:t> </w:t>
      </w:r>
      <w:r>
        <w:rPr/>
        <w:t>日披露于的上海证券交易所的《关于公司会计政策变更</w:t>
      </w:r>
      <w:r>
        <w:rPr>
          <w:w w:val="100"/>
        </w:rPr>
        <w:t> </w:t>
      </w:r>
      <w:r>
        <w:rPr/>
        <w:t>的公告》（公告编号：</w:t>
      </w:r>
      <w:r>
        <w:rPr>
          <w:rFonts w:ascii="宋体" w:hAnsi="宋体" w:cs="宋体" w:eastAsia="宋体" w:hint="default"/>
        </w:rPr>
        <w:t>2017-049</w:t>
      </w:r>
      <w:r>
        <w:rPr/>
        <w:t>）</w:t>
      </w:r>
    </w:p>
    <w:p>
      <w:pPr>
        <w:spacing w:line="240" w:lineRule="auto" w:before="11"/>
        <w:rPr>
          <w:rFonts w:ascii="宋体" w:hAnsi="宋体" w:cs="宋体" w:eastAsia="宋体" w:hint="default"/>
          <w:sz w:val="27"/>
          <w:szCs w:val="27"/>
        </w:rPr>
      </w:pPr>
    </w:p>
    <w:p>
      <w:pPr>
        <w:pStyle w:val="Heading2"/>
        <w:spacing w:line="240" w:lineRule="auto"/>
        <w:ind w:right="0"/>
        <w:jc w:val="both"/>
        <w:rPr>
          <w:b w:val="0"/>
          <w:bCs w:val="0"/>
        </w:rPr>
      </w:pPr>
      <w:r>
        <w:rPr/>
        <w:t>（二）</w:t>
      </w:r>
      <w:r>
        <w:rPr>
          <w:spacing w:val="99"/>
        </w:rPr>
        <w:t> </w:t>
      </w:r>
      <w:r>
        <w:rPr/>
        <w:t>公司对重大会计差错更正原因及影响的分析说明</w:t>
      </w:r>
      <w:r>
        <w:rPr>
          <w:b w:val="0"/>
          <w:bCs w:val="0"/>
        </w:rPr>
      </w:r>
    </w:p>
    <w:p>
      <w:pPr>
        <w:pStyle w:val="BodyText"/>
        <w:spacing w:line="240" w:lineRule="auto" w:before="56"/>
        <w:ind w:right="0"/>
        <w:jc w:val="both"/>
      </w:pPr>
      <w:r>
        <w:rPr/>
        <w:t>□适用</w:t>
      </w:r>
      <w:r>
        <w:rPr>
          <w:spacing w:val="104"/>
        </w:rPr>
        <w:t> </w:t>
      </w:r>
      <w:r>
        <w:rPr/>
        <w:t>√不适用</w:t>
      </w:r>
    </w:p>
    <w:p>
      <w:pPr>
        <w:spacing w:line="240" w:lineRule="auto" w:before="3"/>
        <w:rPr>
          <w:rFonts w:ascii="宋体" w:hAnsi="宋体" w:cs="宋体" w:eastAsia="宋体" w:hint="default"/>
          <w:sz w:val="25"/>
          <w:szCs w:val="25"/>
        </w:rPr>
      </w:pPr>
    </w:p>
    <w:p>
      <w:pPr>
        <w:pStyle w:val="Heading2"/>
        <w:spacing w:line="240" w:lineRule="auto"/>
        <w:ind w:right="0"/>
        <w:jc w:val="both"/>
        <w:rPr>
          <w:b w:val="0"/>
          <w:bCs w:val="0"/>
        </w:rPr>
      </w:pPr>
      <w:r>
        <w:rPr/>
        <w:t>（三）</w:t>
      </w:r>
      <w:r>
        <w:rPr>
          <w:spacing w:val="101"/>
        </w:rPr>
        <w:t> </w:t>
      </w:r>
      <w:r>
        <w:rPr/>
        <w:t>与前任会计师事务所进行的沟通情况</w:t>
      </w:r>
      <w:r>
        <w:rPr>
          <w:b w:val="0"/>
          <w:bCs w:val="0"/>
        </w:rPr>
      </w:r>
    </w:p>
    <w:p>
      <w:pPr>
        <w:pStyle w:val="BodyText"/>
        <w:spacing w:line="240" w:lineRule="auto" w:before="58"/>
        <w:ind w:right="0"/>
        <w:jc w:val="both"/>
      </w:pPr>
      <w:r>
        <w:rPr/>
        <w:t>□适用</w:t>
      </w:r>
      <w:r>
        <w:rPr>
          <w:spacing w:val="104"/>
        </w:rPr>
        <w:t> </w:t>
      </w:r>
      <w:r>
        <w:rPr/>
        <w:t>√不适用</w:t>
      </w:r>
    </w:p>
    <w:p>
      <w:pPr>
        <w:spacing w:line="240" w:lineRule="auto" w:before="3"/>
        <w:rPr>
          <w:rFonts w:ascii="宋体" w:hAnsi="宋体" w:cs="宋体" w:eastAsia="宋体" w:hint="default"/>
          <w:sz w:val="25"/>
          <w:szCs w:val="25"/>
        </w:rPr>
      </w:pPr>
    </w:p>
    <w:p>
      <w:pPr>
        <w:pStyle w:val="Heading2"/>
        <w:spacing w:line="240" w:lineRule="auto"/>
        <w:ind w:right="0"/>
        <w:jc w:val="both"/>
        <w:rPr>
          <w:b w:val="0"/>
          <w:bCs w:val="0"/>
        </w:rPr>
      </w:pPr>
      <w:r>
        <w:rPr/>
        <w:t>（四）</w:t>
      </w:r>
      <w:r>
        <w:rPr>
          <w:spacing w:val="102"/>
        </w:rPr>
        <w:t> </w:t>
      </w:r>
      <w:r>
        <w:rPr/>
        <w:t>其他说明</w:t>
      </w:r>
      <w:r>
        <w:rPr>
          <w:b w:val="0"/>
          <w:bCs w:val="0"/>
        </w:rPr>
      </w:r>
    </w:p>
    <w:p>
      <w:pPr>
        <w:pStyle w:val="BodyText"/>
        <w:spacing w:line="240" w:lineRule="auto" w:before="56"/>
        <w:ind w:right="0"/>
        <w:jc w:val="both"/>
      </w:pPr>
      <w:r>
        <w:rPr/>
        <w:t>□适用</w:t>
      </w:r>
      <w:r>
        <w:rPr>
          <w:spacing w:val="104"/>
        </w:rPr>
        <w:t> </w:t>
      </w:r>
      <w:r>
        <w:rPr/>
        <w:t>√不适用</w:t>
      </w:r>
    </w:p>
    <w:p>
      <w:pPr>
        <w:spacing w:line="240" w:lineRule="auto" w:before="6"/>
        <w:rPr>
          <w:rFonts w:ascii="宋体" w:hAnsi="宋体" w:cs="宋体" w:eastAsia="宋体" w:hint="default"/>
          <w:sz w:val="22"/>
          <w:szCs w:val="22"/>
        </w:rPr>
      </w:pPr>
    </w:p>
    <w:p>
      <w:pPr>
        <w:pStyle w:val="Heading2"/>
        <w:spacing w:line="240" w:lineRule="auto" w:before="36"/>
        <w:ind w:right="2497"/>
        <w:jc w:val="left"/>
        <w:rPr>
          <w:b w:val="0"/>
          <w:bCs w:val="0"/>
        </w:rPr>
      </w:pPr>
      <w:r>
        <w:rPr/>
        <w:t>六、聘任、解聘会计师事务所情况</w:t>
      </w:r>
      <w:r>
        <w:rPr>
          <w:b w:val="0"/>
          <w:bCs w:val="0"/>
        </w:rPr>
      </w:r>
    </w:p>
    <w:p>
      <w:pPr>
        <w:pStyle w:val="BodyText"/>
        <w:tabs>
          <w:tab w:pos="1051" w:val="left" w:leader="none"/>
        </w:tabs>
        <w:spacing w:line="240" w:lineRule="auto" w:before="58"/>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现聘任</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华普天健会计师事务所（特殊普通合伙）</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20"/>
                <w:szCs w:val="20"/>
              </w:rPr>
            </w:pPr>
            <w:r>
              <w:rPr>
                <w:rFonts w:ascii="宋体"/>
                <w:sz w:val="20"/>
              </w:rPr>
              <w:t>1,900,000</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2</w:t>
            </w:r>
          </w:p>
        </w:tc>
      </w:tr>
    </w:tbl>
    <w:p>
      <w:pPr>
        <w:spacing w:line="240" w:lineRule="auto" w:before="9"/>
        <w:rPr>
          <w:rFonts w:ascii="宋体" w:hAnsi="宋体" w:cs="宋体" w:eastAsia="宋体" w:hint="default"/>
          <w:sz w:val="20"/>
          <w:szCs w:val="20"/>
        </w:rPr>
      </w:pPr>
    </w:p>
    <w:tbl>
      <w:tblPr>
        <w:tblW w:w="0" w:type="auto"/>
        <w:jc w:val="left"/>
        <w:tblInd w:w="105" w:type="dxa"/>
        <w:tblLayout w:type="fixed"/>
        <w:tblCellMar>
          <w:top w:w="0" w:type="dxa"/>
          <w:left w:w="0" w:type="dxa"/>
          <w:bottom w:w="0" w:type="dxa"/>
          <w:right w:w="0" w:type="dxa"/>
        </w:tblCellMar>
        <w:tblLook w:val="01E0"/>
      </w:tblPr>
      <w:tblGrid>
        <w:gridCol w:w="3017"/>
        <w:gridCol w:w="3015"/>
        <w:gridCol w:w="3017"/>
      </w:tblGrid>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报酬</w:t>
            </w:r>
          </w:p>
        </w:tc>
      </w:tr>
      <w:tr>
        <w:trPr>
          <w:trHeight w:val="55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内部控制审计会计师事务所</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华普天健会计师事务所（特殊</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普通合伙）</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300,000</w:t>
            </w:r>
          </w:p>
        </w:tc>
      </w:tr>
      <w:tr>
        <w:trPr>
          <w:trHeight w:val="28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财务顾问</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海通证券股份有限公司</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500,000</w:t>
            </w:r>
          </w:p>
        </w:tc>
      </w:tr>
    </w:tbl>
    <w:p>
      <w:pPr>
        <w:spacing w:line="240" w:lineRule="auto" w:before="5"/>
        <w:rPr>
          <w:rFonts w:ascii="宋体" w:hAnsi="宋体" w:cs="宋体" w:eastAsia="宋体" w:hint="default"/>
          <w:sz w:val="15"/>
          <w:szCs w:val="15"/>
        </w:rPr>
      </w:pPr>
    </w:p>
    <w:p>
      <w:pPr>
        <w:pStyle w:val="BodyText"/>
        <w:spacing w:line="274" w:lineRule="exact" w:before="36"/>
        <w:ind w:right="2497"/>
        <w:jc w:val="left"/>
      </w:pPr>
      <w:r>
        <w:rPr/>
        <w:t>聘任、解聘会计师事务所的情况说明</w:t>
      </w:r>
    </w:p>
    <w:p>
      <w:pPr>
        <w:spacing w:line="237" w:lineRule="auto" w:before="2"/>
        <w:ind w:left="218" w:right="248" w:firstLine="0"/>
        <w:jc w:val="left"/>
        <w:rPr>
          <w:rFonts w:ascii="宋体" w:hAnsi="宋体" w:cs="宋体" w:eastAsia="宋体" w:hint="default"/>
          <w:sz w:val="20"/>
          <w:szCs w:val="20"/>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sz w:val="20"/>
          <w:szCs w:val="20"/>
        </w:rPr>
        <w:t>华普天健会计师事务所（特殊普通合伙）在担任本公司审计机构期间认真负责、专业敬业，为本公司</w:t>
      </w:r>
      <w:r>
        <w:rPr>
          <w:rFonts w:ascii="宋体" w:hAnsi="宋体" w:cs="宋体" w:eastAsia="宋体" w:hint="default"/>
          <w:w w:val="99"/>
          <w:sz w:val="20"/>
          <w:szCs w:val="20"/>
        </w:rPr>
        <w:t> </w:t>
      </w:r>
      <w:r>
        <w:rPr>
          <w:rFonts w:ascii="宋体" w:hAnsi="宋体" w:cs="宋体" w:eastAsia="宋体" w:hint="default"/>
          <w:sz w:val="20"/>
          <w:szCs w:val="20"/>
        </w:rPr>
        <w:t>出具的审计报告客观、公正地反映了公司各期的财务状况和经营成果，董事会和股东大会同意聘请华</w:t>
      </w:r>
      <w:r>
        <w:rPr>
          <w:rFonts w:ascii="宋体" w:hAnsi="宋体" w:cs="宋体" w:eastAsia="宋体" w:hint="default"/>
          <w:w w:val="99"/>
          <w:sz w:val="20"/>
          <w:szCs w:val="20"/>
        </w:rPr>
        <w:t> </w:t>
      </w:r>
      <w:r>
        <w:rPr>
          <w:rFonts w:ascii="宋体" w:hAnsi="宋体" w:cs="宋体" w:eastAsia="宋体" w:hint="default"/>
          <w:sz w:val="20"/>
          <w:szCs w:val="20"/>
        </w:rPr>
        <w:t>普天健会计师事务所（特殊普通合伙）为公司</w:t>
      </w:r>
      <w:r>
        <w:rPr>
          <w:rFonts w:ascii="宋体" w:hAnsi="宋体" w:cs="宋体" w:eastAsia="宋体" w:hint="default"/>
          <w:spacing w:val="-53"/>
          <w:sz w:val="20"/>
          <w:szCs w:val="20"/>
        </w:rPr>
        <w:t> </w:t>
      </w:r>
      <w:r>
        <w:rPr>
          <w:rFonts w:ascii="宋体" w:hAnsi="宋体" w:cs="宋体" w:eastAsia="宋体" w:hint="default"/>
          <w:sz w:val="20"/>
          <w:szCs w:val="20"/>
        </w:rPr>
        <w:t>2017</w:t>
      </w:r>
      <w:r>
        <w:rPr>
          <w:rFonts w:ascii="宋体" w:hAnsi="宋体" w:cs="宋体" w:eastAsia="宋体" w:hint="default"/>
          <w:spacing w:val="-54"/>
          <w:sz w:val="20"/>
          <w:szCs w:val="20"/>
        </w:rPr>
        <w:t> </w:t>
      </w:r>
      <w:r>
        <w:rPr>
          <w:rFonts w:ascii="宋体" w:hAnsi="宋体" w:cs="宋体" w:eastAsia="宋体" w:hint="default"/>
          <w:sz w:val="20"/>
          <w:szCs w:val="20"/>
        </w:rPr>
        <w:t>年度的财务审计机构。</w:t>
      </w:r>
    </w:p>
    <w:p>
      <w:pPr>
        <w:spacing w:line="240" w:lineRule="auto" w:before="8"/>
        <w:rPr>
          <w:rFonts w:ascii="宋体" w:hAnsi="宋体" w:cs="宋体" w:eastAsia="宋体" w:hint="default"/>
          <w:sz w:val="20"/>
          <w:szCs w:val="20"/>
        </w:rPr>
      </w:pPr>
    </w:p>
    <w:p>
      <w:pPr>
        <w:pStyle w:val="BodyText"/>
        <w:spacing w:line="273" w:lineRule="exact"/>
        <w:ind w:right="2497"/>
        <w:jc w:val="left"/>
      </w:pPr>
      <w:r>
        <w:rPr/>
        <w:t>审计期间改聘会计师事务所的情况说明</w:t>
      </w:r>
    </w:p>
    <w:p>
      <w:pPr>
        <w:pStyle w:val="BodyText"/>
        <w:tabs>
          <w:tab w:pos="1060" w:val="left" w:leader="none"/>
        </w:tabs>
        <w:spacing w:line="273" w:lineRule="exact"/>
        <w:ind w:right="2497"/>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tabs>
          <w:tab w:pos="1057" w:val="left" w:leader="none"/>
        </w:tabs>
        <w:spacing w:line="292" w:lineRule="auto"/>
        <w:ind w:right="6323"/>
        <w:jc w:val="left"/>
        <w:rPr>
          <w:b w:val="0"/>
          <w:bCs w:val="0"/>
        </w:rPr>
      </w:pPr>
      <w:r>
        <w:rPr/>
        <w:t>七、面临暂停上市风险的情况</w:t>
      </w:r>
      <w:r>
        <w:rPr>
          <w:w w:val="100"/>
        </w:rPr>
        <w:t> </w:t>
      </w:r>
      <w:r>
        <w:rPr>
          <w:rFonts w:ascii="宋体" w:hAnsi="宋体" w:cs="宋体" w:eastAsia="宋体" w:hint="default"/>
          <w:spacing w:val="-1"/>
        </w:rPr>
        <w:t>(</w:t>
      </w:r>
      <w:r>
        <w:rPr>
          <w:spacing w:val="-1"/>
        </w:rPr>
        <w:t>一</w:t>
      </w:r>
      <w:r>
        <w:rPr>
          <w:rFonts w:ascii="宋体" w:hAnsi="宋体" w:cs="宋体" w:eastAsia="宋体" w:hint="default"/>
          <w:spacing w:val="-1"/>
        </w:rPr>
        <w:t>)</w:t>
        <w:tab/>
      </w:r>
      <w:r>
        <w:rPr/>
        <w:t>导致暂停上市的原因</w:t>
      </w:r>
      <w:r>
        <w:rPr>
          <w:b w:val="0"/>
          <w:bCs w:val="0"/>
        </w:rPr>
      </w:r>
    </w:p>
    <w:p>
      <w:pPr>
        <w:pStyle w:val="BodyText"/>
        <w:tabs>
          <w:tab w:pos="1060" w:val="left" w:leader="none"/>
        </w:tabs>
        <w:spacing w:line="240" w:lineRule="auto" w:before="10"/>
        <w:ind w:right="2497"/>
        <w:jc w:val="left"/>
      </w:pPr>
      <w:r>
        <w:rPr>
          <w:spacing w:val="-1"/>
        </w:rPr>
        <w:t>□适用</w:t>
        <w:tab/>
      </w:r>
      <w:r>
        <w:rPr>
          <w:spacing w:val="-2"/>
        </w:rPr>
        <w:t>√不适用</w:t>
      </w:r>
    </w:p>
    <w:p>
      <w:pPr>
        <w:spacing w:after="0" w:line="240" w:lineRule="auto"/>
        <w:jc w:val="left"/>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tabs>
          <w:tab w:pos="1057" w:val="left" w:leader="none"/>
        </w:tabs>
        <w:spacing w:line="240" w:lineRule="auto" w:before="177"/>
        <w:ind w:right="2497"/>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spacing w:val="-1"/>
        </w:rPr>
        <w:t>公司拟采取的应对措施</w:t>
      </w:r>
      <w:r>
        <w:rPr>
          <w:b w:val="0"/>
          <w:bCs w:val="0"/>
          <w:spacing w:val="-1"/>
        </w:rPr>
      </w:r>
    </w:p>
    <w:p>
      <w:pPr>
        <w:pStyle w:val="BodyText"/>
        <w:spacing w:line="240" w:lineRule="auto" w:before="56"/>
        <w:ind w:right="249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497"/>
        <w:jc w:val="left"/>
        <w:rPr>
          <w:b w:val="0"/>
          <w:bCs w:val="0"/>
        </w:rPr>
      </w:pPr>
      <w:r>
        <w:rPr/>
        <w:t>八、面临终止上市的情况和原因</w:t>
      </w:r>
      <w:r>
        <w:rPr>
          <w:b w:val="0"/>
          <w:bCs w:val="0"/>
        </w:rPr>
      </w:r>
    </w:p>
    <w:p>
      <w:pPr>
        <w:pStyle w:val="BodyText"/>
        <w:tabs>
          <w:tab w:pos="1060" w:val="left" w:leader="none"/>
        </w:tabs>
        <w:spacing w:line="240" w:lineRule="auto" w:before="58"/>
        <w:ind w:right="2497"/>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right="2497"/>
        <w:jc w:val="left"/>
        <w:rPr>
          <w:b w:val="0"/>
          <w:bCs w:val="0"/>
        </w:rPr>
      </w:pPr>
      <w:r>
        <w:rPr/>
        <w:t>九、破产重整相关事项</w:t>
      </w:r>
      <w:r>
        <w:rPr>
          <w:b w:val="0"/>
          <w:bCs w:val="0"/>
        </w:rPr>
      </w:r>
    </w:p>
    <w:p>
      <w:pPr>
        <w:pStyle w:val="BodyText"/>
        <w:spacing w:line="240" w:lineRule="auto" w:before="56"/>
        <w:ind w:right="249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497"/>
        <w:jc w:val="left"/>
        <w:rPr>
          <w:b w:val="0"/>
          <w:bCs w:val="0"/>
        </w:rPr>
      </w:pPr>
      <w:r>
        <w:rPr/>
        <w:t>十、重大诉讼、仲裁事项</w:t>
      </w:r>
      <w:r>
        <w:rPr>
          <w:b w:val="0"/>
          <w:bCs w:val="0"/>
        </w:rPr>
      </w:r>
    </w:p>
    <w:p>
      <w:pPr>
        <w:pStyle w:val="BodyText"/>
        <w:spacing w:line="240" w:lineRule="auto" w:before="59"/>
        <w:ind w:right="227"/>
        <w:jc w:val="left"/>
      </w:pPr>
      <w:r>
        <w:rPr/>
        <w:t>√本年度公司有重大诉讼、仲裁事项</w:t>
      </w:r>
      <w:r>
        <w:rPr>
          <w:spacing w:val="-7"/>
        </w:rPr>
        <w:t> </w:t>
      </w:r>
      <w:r>
        <w:rPr/>
        <w:t>□本年度公司无重大诉讼、仲裁事项</w:t>
      </w:r>
    </w:p>
    <w:p>
      <w:pPr>
        <w:pStyle w:val="Heading2"/>
        <w:spacing w:line="240" w:lineRule="auto" w:before="56"/>
        <w:ind w:right="2497"/>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诉讼、仲裁事项已在临时公告披露且无后续进展的</w:t>
      </w:r>
      <w:r>
        <w:rPr>
          <w:b w:val="0"/>
          <w:bCs w:val="0"/>
        </w:rPr>
      </w:r>
    </w:p>
    <w:p>
      <w:pPr>
        <w:pStyle w:val="BodyText"/>
        <w:spacing w:line="240" w:lineRule="auto" w:before="32"/>
        <w:ind w:right="2497"/>
        <w:jc w:val="left"/>
      </w:pPr>
      <w:r>
        <w:rPr/>
        <w:t>□适用</w:t>
      </w:r>
      <w:r>
        <w:rPr>
          <w:spacing w:val="-1"/>
        </w:rPr>
        <w:t> </w:t>
      </w:r>
      <w:r>
        <w:rPr/>
        <w:t>√不适用</w:t>
      </w:r>
    </w:p>
    <w:p>
      <w:pPr>
        <w:pStyle w:val="Heading2"/>
        <w:spacing w:line="240" w:lineRule="auto" w:before="56"/>
        <w:ind w:right="2497"/>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8"/>
        </w:rPr>
        <w:t> </w:t>
      </w:r>
      <w:r>
        <w:rPr/>
        <w:t>临时公告未披露或有后续进展的诉讼、仲裁情况</w:t>
      </w:r>
      <w:r>
        <w:rPr>
          <w:b w:val="0"/>
          <w:bCs w:val="0"/>
        </w:rPr>
      </w:r>
    </w:p>
    <w:p>
      <w:pPr>
        <w:pStyle w:val="BodyText"/>
        <w:spacing w:line="240" w:lineRule="auto" w:before="32"/>
        <w:ind w:right="2497"/>
        <w:jc w:val="left"/>
      </w:pPr>
      <w:r>
        <w:rPr/>
        <w:t>√适用</w:t>
      </w:r>
      <w:r>
        <w:rPr>
          <w:spacing w:val="-1"/>
        </w:rPr>
        <w:t> </w:t>
      </w:r>
      <w:r>
        <w:rPr/>
        <w:t>□不适用</w:t>
      </w:r>
    </w:p>
    <w:p>
      <w:pPr>
        <w:pStyle w:val="BodyText"/>
        <w:tabs>
          <w:tab w:pos="946" w:val="left" w:leader="none"/>
        </w:tabs>
        <w:spacing w:line="271" w:lineRule="exact"/>
        <w:ind w:left="0" w:right="230"/>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739"/>
        <w:gridCol w:w="787"/>
        <w:gridCol w:w="566"/>
        <w:gridCol w:w="826"/>
        <w:gridCol w:w="1442"/>
        <w:gridCol w:w="1560"/>
        <w:gridCol w:w="708"/>
        <w:gridCol w:w="567"/>
        <w:gridCol w:w="1277"/>
        <w:gridCol w:w="576"/>
      </w:tblGrid>
      <w:tr>
        <w:trPr>
          <w:trHeight w:val="281" w:hRule="exact"/>
        </w:trPr>
        <w:tc>
          <w:tcPr>
            <w:tcW w:w="905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w:t>
            </w:r>
            <w:r>
              <w:rPr>
                <w:rFonts w:ascii="宋体" w:hAnsi="宋体" w:cs="宋体" w:eastAsia="宋体" w:hint="default"/>
                <w:sz w:val="21"/>
                <w:szCs w:val="21"/>
              </w:rPr>
              <w:t>:</w:t>
            </w:r>
          </w:p>
        </w:tc>
      </w:tr>
      <w:tr>
        <w:trPr>
          <w:trHeight w:val="2734" w:hRule="exact"/>
        </w:trPr>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72" w:lineRule="exact"/>
              <w:ind w:left="206" w:right="151" w:hanging="53"/>
              <w:jc w:val="left"/>
              <w:rPr>
                <w:rFonts w:ascii="宋体" w:hAnsi="宋体" w:cs="宋体" w:eastAsia="宋体" w:hint="default"/>
                <w:sz w:val="21"/>
                <w:szCs w:val="21"/>
              </w:rPr>
            </w:pPr>
            <w:r>
              <w:rPr>
                <w:rFonts w:ascii="宋体" w:hAnsi="宋体" w:cs="宋体" w:eastAsia="宋体" w:hint="default"/>
                <w:sz w:val="21"/>
                <w:szCs w:val="21"/>
              </w:rPr>
              <w:t>起诉</w:t>
            </w:r>
            <w:r>
              <w:rPr>
                <w:rFonts w:ascii="宋体" w:hAnsi="宋体" w:cs="宋体" w:eastAsia="宋体" w:hint="default"/>
                <w:spacing w:val="-103"/>
                <w:sz w:val="21"/>
                <w:szCs w:val="21"/>
              </w:rPr>
              <w:t> </w:t>
            </w:r>
            <w:r>
              <w:rPr>
                <w:rFonts w:ascii="宋体" w:hAnsi="宋体" w:cs="宋体" w:eastAsia="宋体" w:hint="default"/>
                <w:sz w:val="21"/>
                <w:szCs w:val="21"/>
              </w:rPr>
              <w:t>(</w:t>
            </w:r>
            <w:r>
              <w:rPr>
                <w:rFonts w:ascii="宋体" w:hAnsi="宋体" w:cs="宋体" w:eastAsia="宋体" w:hint="default"/>
                <w:sz w:val="21"/>
                <w:szCs w:val="21"/>
              </w:rPr>
              <w:t>申</w:t>
            </w:r>
          </w:p>
          <w:p>
            <w:pPr>
              <w:pStyle w:val="TableParagraph"/>
              <w:spacing w:line="272" w:lineRule="exact" w:before="1"/>
              <w:ind w:left="259" w:right="204" w:hanging="53"/>
              <w:jc w:val="left"/>
              <w:rPr>
                <w:rFonts w:ascii="宋体" w:hAnsi="宋体" w:cs="宋体" w:eastAsia="宋体" w:hint="default"/>
                <w:sz w:val="21"/>
                <w:szCs w:val="21"/>
              </w:rPr>
            </w:pPr>
            <w:r>
              <w:rPr>
                <w:rFonts w:ascii="宋体" w:hAnsi="宋体" w:cs="宋体" w:eastAsia="宋体" w:hint="default"/>
                <w:sz w:val="21"/>
                <w:szCs w:val="21"/>
              </w:rPr>
              <w:t>请</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方</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left="124" w:right="122" w:firstLine="52"/>
              <w:jc w:val="left"/>
              <w:rPr>
                <w:rFonts w:ascii="宋体" w:hAnsi="宋体" w:cs="宋体" w:eastAsia="宋体" w:hint="default"/>
                <w:sz w:val="21"/>
                <w:szCs w:val="21"/>
              </w:rPr>
            </w:pPr>
            <w:r>
              <w:rPr>
                <w:rFonts w:ascii="宋体" w:hAnsi="宋体" w:cs="宋体" w:eastAsia="宋体" w:hint="default"/>
                <w:sz w:val="21"/>
                <w:szCs w:val="21"/>
              </w:rPr>
              <w:t>应诉</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被申</w:t>
            </w:r>
          </w:p>
          <w:p>
            <w:pPr>
              <w:pStyle w:val="TableParagraph"/>
              <w:spacing w:line="271" w:lineRule="exact"/>
              <w:ind w:left="124" w:right="0"/>
              <w:jc w:val="left"/>
              <w:rPr>
                <w:rFonts w:ascii="宋体" w:hAnsi="宋体" w:cs="宋体" w:eastAsia="宋体" w:hint="default"/>
                <w:sz w:val="21"/>
                <w:szCs w:val="21"/>
              </w:rPr>
            </w:pPr>
            <w:r>
              <w:rPr>
                <w:rFonts w:ascii="宋体" w:hAnsi="宋体" w:cs="宋体" w:eastAsia="宋体" w:hint="default"/>
                <w:sz w:val="21"/>
                <w:szCs w:val="21"/>
              </w:rPr>
              <w:t>请</w:t>
            </w:r>
            <w:r>
              <w:rPr>
                <w:rFonts w:ascii="宋体" w:hAnsi="宋体" w:cs="宋体" w:eastAsia="宋体" w:hint="default"/>
                <w:sz w:val="21"/>
                <w:szCs w:val="21"/>
              </w:rPr>
              <w:t>)</w:t>
            </w:r>
            <w:r>
              <w:rPr>
                <w:rFonts w:ascii="宋体" w:hAnsi="宋体" w:cs="宋体" w:eastAsia="宋体" w:hint="default"/>
                <w:sz w:val="21"/>
                <w:szCs w:val="21"/>
              </w:rPr>
              <w:t>方</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37" w:lineRule="auto"/>
              <w:ind w:left="172" w:right="170"/>
              <w:jc w:val="both"/>
              <w:rPr>
                <w:rFonts w:ascii="宋体" w:hAnsi="宋体" w:cs="宋体" w:eastAsia="宋体" w:hint="default"/>
                <w:sz w:val="21"/>
                <w:szCs w:val="21"/>
              </w:rPr>
            </w:pPr>
            <w:r>
              <w:rPr>
                <w:rFonts w:ascii="宋体" w:hAnsi="宋体" w:cs="宋体" w:eastAsia="宋体" w:hint="default"/>
                <w:sz w:val="21"/>
                <w:szCs w:val="21"/>
              </w:rPr>
              <w:t>承</w:t>
            </w:r>
            <w:r>
              <w:rPr>
                <w:rFonts w:ascii="宋体" w:hAnsi="宋体" w:cs="宋体" w:eastAsia="宋体" w:hint="default"/>
                <w:w w:val="100"/>
                <w:sz w:val="21"/>
                <w:szCs w:val="21"/>
              </w:rPr>
              <w:t> </w:t>
            </w:r>
            <w:r>
              <w:rPr>
                <w:rFonts w:ascii="宋体" w:hAnsi="宋体" w:cs="宋体" w:eastAsia="宋体" w:hint="default"/>
                <w:sz w:val="21"/>
                <w:szCs w:val="21"/>
              </w:rPr>
              <w:t>担</w:t>
            </w:r>
            <w:r>
              <w:rPr>
                <w:rFonts w:ascii="宋体" w:hAnsi="宋体" w:cs="宋体" w:eastAsia="宋体" w:hint="default"/>
                <w:w w:val="100"/>
                <w:sz w:val="21"/>
                <w:szCs w:val="21"/>
              </w:rPr>
              <w:t> </w:t>
            </w:r>
            <w:r>
              <w:rPr>
                <w:rFonts w:ascii="宋体" w:hAnsi="宋体" w:cs="宋体" w:eastAsia="宋体" w:hint="default"/>
                <w:sz w:val="21"/>
                <w:szCs w:val="21"/>
              </w:rPr>
              <w:t>连</w:t>
            </w:r>
            <w:r>
              <w:rPr>
                <w:rFonts w:ascii="宋体" w:hAnsi="宋体" w:cs="宋体" w:eastAsia="宋体" w:hint="default"/>
                <w:w w:val="100"/>
                <w:sz w:val="21"/>
                <w:szCs w:val="21"/>
              </w:rPr>
              <w:t> </w:t>
            </w:r>
            <w:r>
              <w:rPr>
                <w:rFonts w:ascii="宋体" w:hAnsi="宋体" w:cs="宋体" w:eastAsia="宋体" w:hint="default"/>
                <w:sz w:val="21"/>
                <w:szCs w:val="21"/>
              </w:rPr>
              <w:t>带</w:t>
            </w:r>
            <w:r>
              <w:rPr>
                <w:rFonts w:ascii="宋体" w:hAnsi="宋体" w:cs="宋体" w:eastAsia="宋体" w:hint="default"/>
                <w:w w:val="100"/>
                <w:sz w:val="21"/>
                <w:szCs w:val="21"/>
              </w:rPr>
              <w:t> </w:t>
            </w:r>
            <w:r>
              <w:rPr>
                <w:rFonts w:ascii="宋体" w:hAnsi="宋体" w:cs="宋体" w:eastAsia="宋体" w:hint="default"/>
                <w:sz w:val="21"/>
                <w:szCs w:val="21"/>
              </w:rPr>
              <w:t>责</w:t>
            </w:r>
            <w:r>
              <w:rPr>
                <w:rFonts w:ascii="宋体" w:hAnsi="宋体" w:cs="宋体" w:eastAsia="宋体" w:hint="default"/>
                <w:w w:val="100"/>
                <w:sz w:val="21"/>
                <w:szCs w:val="21"/>
              </w:rPr>
              <w:t> </w:t>
            </w:r>
            <w:r>
              <w:rPr>
                <w:rFonts w:ascii="宋体" w:hAnsi="宋体" w:cs="宋体" w:eastAsia="宋体" w:hint="default"/>
                <w:sz w:val="21"/>
                <w:szCs w:val="21"/>
              </w:rPr>
              <w:t>任</w:t>
            </w:r>
            <w:r>
              <w:rPr>
                <w:rFonts w:ascii="宋体" w:hAnsi="宋体" w:cs="宋体" w:eastAsia="宋体" w:hint="default"/>
                <w:w w:val="100"/>
                <w:sz w:val="21"/>
                <w:szCs w:val="21"/>
              </w:rPr>
              <w:t> </w:t>
            </w:r>
            <w:r>
              <w:rPr>
                <w:rFonts w:ascii="宋体" w:hAnsi="宋体" w:cs="宋体" w:eastAsia="宋体" w:hint="default"/>
                <w:sz w:val="21"/>
                <w:szCs w:val="21"/>
              </w:rPr>
              <w:t>方</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37" w:lineRule="auto" w:before="136"/>
              <w:ind w:left="197" w:right="194"/>
              <w:jc w:val="both"/>
              <w:rPr>
                <w:rFonts w:ascii="宋体" w:hAnsi="宋体" w:cs="宋体" w:eastAsia="宋体" w:hint="default"/>
                <w:sz w:val="21"/>
                <w:szCs w:val="21"/>
              </w:rPr>
            </w:pPr>
            <w:r>
              <w:rPr>
                <w:rFonts w:ascii="宋体" w:hAnsi="宋体" w:cs="宋体" w:eastAsia="宋体" w:hint="default"/>
                <w:sz w:val="21"/>
                <w:szCs w:val="21"/>
              </w:rPr>
              <w:t>诉讼</w:t>
            </w:r>
            <w:r>
              <w:rPr>
                <w:rFonts w:ascii="宋体" w:hAnsi="宋体" w:cs="宋体" w:eastAsia="宋体" w:hint="default"/>
                <w:spacing w:val="-103"/>
                <w:sz w:val="21"/>
                <w:szCs w:val="21"/>
              </w:rPr>
              <w:t> </w:t>
            </w:r>
            <w:r>
              <w:rPr>
                <w:rFonts w:ascii="宋体" w:hAnsi="宋体" w:cs="宋体" w:eastAsia="宋体" w:hint="default"/>
                <w:sz w:val="21"/>
                <w:szCs w:val="21"/>
              </w:rPr>
              <w:t>仲裁</w:t>
            </w:r>
            <w:r>
              <w:rPr>
                <w:rFonts w:ascii="宋体" w:hAnsi="宋体" w:cs="宋体" w:eastAsia="宋体" w:hint="default"/>
                <w:spacing w:val="-103"/>
                <w:sz w:val="21"/>
                <w:szCs w:val="21"/>
              </w:rPr>
              <w:t> </w:t>
            </w:r>
            <w:r>
              <w:rPr>
                <w:rFonts w:ascii="宋体" w:hAnsi="宋体" w:cs="宋体" w:eastAsia="宋体" w:hint="default"/>
                <w:sz w:val="21"/>
                <w:szCs w:val="21"/>
              </w:rPr>
              <w:t>类型</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295" w:right="187" w:hanging="106"/>
              <w:jc w:val="left"/>
              <w:rPr>
                <w:rFonts w:ascii="宋体" w:hAnsi="宋体" w:cs="宋体" w:eastAsia="宋体" w:hint="default"/>
                <w:sz w:val="21"/>
                <w:szCs w:val="21"/>
              </w:rPr>
            </w:pPr>
            <w:r>
              <w:rPr>
                <w:rFonts w:ascii="宋体" w:hAnsi="宋体" w:cs="宋体" w:eastAsia="宋体" w:hint="default"/>
                <w:sz w:val="21"/>
                <w:szCs w:val="21"/>
              </w:rPr>
              <w:t>诉讼</w:t>
            </w:r>
            <w:r>
              <w:rPr>
                <w:rFonts w:ascii="宋体" w:hAnsi="宋体" w:cs="宋体" w:eastAsia="宋体" w:hint="default"/>
                <w:sz w:val="21"/>
                <w:szCs w:val="21"/>
              </w:rPr>
              <w:t>(</w:t>
            </w:r>
            <w:r>
              <w:rPr>
                <w:rFonts w:ascii="宋体" w:hAnsi="宋体" w:cs="宋体" w:eastAsia="宋体" w:hint="default"/>
                <w:sz w:val="21"/>
                <w:szCs w:val="21"/>
              </w:rPr>
              <w:t>仲裁</w:t>
            </w:r>
            <w:r>
              <w:rPr>
                <w:rFonts w:ascii="宋体" w:hAnsi="宋体" w:cs="宋体" w:eastAsia="宋体" w:hint="default"/>
                <w:sz w:val="21"/>
                <w:szCs w:val="21"/>
              </w:rPr>
              <w:t>)</w:t>
            </w:r>
            <w:r>
              <w:rPr>
                <w:rFonts w:ascii="宋体" w:hAnsi="宋体" w:cs="宋体" w:eastAsia="宋体" w:hint="default"/>
                <w:spacing w:val="-102"/>
                <w:sz w:val="21"/>
                <w:szCs w:val="21"/>
              </w:rPr>
              <w:t> </w:t>
            </w:r>
            <w:r>
              <w:rPr>
                <w:rFonts w:ascii="宋体" w:hAnsi="宋体" w:cs="宋体" w:eastAsia="宋体" w:hint="default"/>
                <w:sz w:val="21"/>
                <w:szCs w:val="21"/>
              </w:rPr>
              <w:t>基本情况</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458" w:right="143" w:hanging="315"/>
              <w:jc w:val="left"/>
              <w:rPr>
                <w:rFonts w:ascii="宋体" w:hAnsi="宋体" w:cs="宋体" w:eastAsia="宋体" w:hint="default"/>
                <w:sz w:val="21"/>
                <w:szCs w:val="21"/>
              </w:rPr>
            </w:pPr>
            <w:r>
              <w:rPr>
                <w:rFonts w:ascii="宋体" w:hAnsi="宋体" w:cs="宋体" w:eastAsia="宋体" w:hint="default"/>
                <w:sz w:val="21"/>
                <w:szCs w:val="21"/>
              </w:rPr>
              <w:t>诉讼</w:t>
            </w:r>
            <w:r>
              <w:rPr>
                <w:rFonts w:ascii="宋体" w:hAnsi="宋体" w:cs="宋体" w:eastAsia="宋体" w:hint="default"/>
                <w:sz w:val="21"/>
                <w:szCs w:val="21"/>
              </w:rPr>
              <w:t>(</w:t>
            </w:r>
            <w:r>
              <w:rPr>
                <w:rFonts w:ascii="宋体" w:hAnsi="宋体" w:cs="宋体" w:eastAsia="宋体" w:hint="default"/>
                <w:sz w:val="21"/>
                <w:szCs w:val="21"/>
              </w:rPr>
              <w:t>仲裁</w:t>
            </w:r>
            <w:r>
              <w:rPr>
                <w:rFonts w:ascii="宋体" w:hAnsi="宋体" w:cs="宋体" w:eastAsia="宋体" w:hint="default"/>
                <w:sz w:val="21"/>
                <w:szCs w:val="21"/>
              </w:rPr>
              <w:t>)</w:t>
            </w:r>
            <w:r>
              <w:rPr>
                <w:rFonts w:ascii="宋体" w:hAnsi="宋体" w:cs="宋体" w:eastAsia="宋体" w:hint="default"/>
                <w:sz w:val="21"/>
                <w:szCs w:val="21"/>
              </w:rPr>
              <w:t>涉</w:t>
            </w:r>
            <w:r>
              <w:rPr>
                <w:rFonts w:ascii="宋体" w:hAnsi="宋体" w:cs="宋体" w:eastAsia="宋体" w:hint="default"/>
                <w:w w:val="100"/>
                <w:sz w:val="21"/>
                <w:szCs w:val="21"/>
              </w:rPr>
              <w:t> </w:t>
            </w:r>
            <w:r>
              <w:rPr>
                <w:rFonts w:ascii="宋体" w:hAnsi="宋体" w:cs="宋体" w:eastAsia="宋体" w:hint="default"/>
                <w:sz w:val="21"/>
                <w:szCs w:val="21"/>
              </w:rPr>
              <w:t>及金额</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89" w:right="137" w:hanging="53"/>
              <w:jc w:val="both"/>
              <w:rPr>
                <w:rFonts w:ascii="宋体" w:hAnsi="宋体" w:cs="宋体" w:eastAsia="宋体" w:hint="default"/>
                <w:sz w:val="21"/>
                <w:szCs w:val="21"/>
              </w:rPr>
            </w:pPr>
            <w:r>
              <w:rPr>
                <w:rFonts w:ascii="宋体" w:hAnsi="宋体" w:cs="宋体" w:eastAsia="宋体" w:hint="default"/>
                <w:sz w:val="21"/>
                <w:szCs w:val="21"/>
              </w:rPr>
              <w:t>诉讼</w:t>
            </w:r>
            <w:r>
              <w:rPr>
                <w:rFonts w:ascii="宋体" w:hAnsi="宋体" w:cs="宋体" w:eastAsia="宋体" w:hint="default"/>
                <w:spacing w:val="-103"/>
                <w:sz w:val="21"/>
                <w:szCs w:val="21"/>
              </w:rPr>
              <w:t> </w:t>
            </w:r>
            <w:r>
              <w:rPr>
                <w:rFonts w:ascii="宋体" w:hAnsi="宋体" w:cs="宋体" w:eastAsia="宋体" w:hint="default"/>
                <w:sz w:val="21"/>
                <w:szCs w:val="21"/>
              </w:rPr>
              <w:t>(</w:t>
            </w:r>
            <w:r>
              <w:rPr>
                <w:rFonts w:ascii="宋体" w:hAnsi="宋体" w:cs="宋体" w:eastAsia="宋体" w:hint="default"/>
                <w:sz w:val="21"/>
                <w:szCs w:val="21"/>
              </w:rPr>
              <w:t>仲</w:t>
            </w:r>
          </w:p>
          <w:p>
            <w:pPr>
              <w:pStyle w:val="TableParagraph"/>
              <w:spacing w:line="237" w:lineRule="auto"/>
              <w:ind w:left="136" w:right="137" w:firstLine="52"/>
              <w:jc w:val="both"/>
              <w:rPr>
                <w:rFonts w:ascii="宋体" w:hAnsi="宋体" w:cs="宋体" w:eastAsia="宋体" w:hint="default"/>
                <w:sz w:val="21"/>
                <w:szCs w:val="21"/>
              </w:rPr>
            </w:pPr>
            <w:r>
              <w:rPr>
                <w:rFonts w:ascii="宋体" w:hAnsi="宋体" w:cs="宋体" w:eastAsia="宋体" w:hint="default"/>
                <w:sz w:val="21"/>
                <w:szCs w:val="21"/>
              </w:rPr>
              <w:t>裁</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形成</w:t>
            </w:r>
            <w:r>
              <w:rPr>
                <w:rFonts w:ascii="宋体" w:hAnsi="宋体" w:cs="宋体" w:eastAsia="宋体" w:hint="default"/>
                <w:spacing w:val="-103"/>
                <w:sz w:val="21"/>
                <w:szCs w:val="21"/>
              </w:rPr>
              <w:t> </w:t>
            </w:r>
            <w:r>
              <w:rPr>
                <w:rFonts w:ascii="宋体" w:hAnsi="宋体" w:cs="宋体" w:eastAsia="宋体" w:hint="default"/>
                <w:sz w:val="21"/>
                <w:szCs w:val="21"/>
              </w:rPr>
              <w:t>预计</w:t>
            </w:r>
            <w:r>
              <w:rPr>
                <w:rFonts w:ascii="宋体" w:hAnsi="宋体" w:cs="宋体" w:eastAsia="宋体" w:hint="default"/>
                <w:spacing w:val="-103"/>
                <w:sz w:val="21"/>
                <w:szCs w:val="21"/>
              </w:rPr>
              <w:t> </w:t>
            </w:r>
            <w:r>
              <w:rPr>
                <w:rFonts w:ascii="宋体" w:hAnsi="宋体" w:cs="宋体" w:eastAsia="宋体" w:hint="default"/>
                <w:sz w:val="21"/>
                <w:szCs w:val="21"/>
              </w:rPr>
              <w:t>负债</w:t>
            </w:r>
            <w:r>
              <w:rPr>
                <w:rFonts w:ascii="宋体" w:hAnsi="宋体" w:cs="宋体" w:eastAsia="宋体" w:hint="default"/>
                <w:spacing w:val="-103"/>
                <w:sz w:val="21"/>
                <w:szCs w:val="21"/>
              </w:rPr>
              <w:t> </w:t>
            </w:r>
            <w:r>
              <w:rPr>
                <w:rFonts w:ascii="宋体" w:hAnsi="宋体" w:cs="宋体" w:eastAsia="宋体" w:hint="default"/>
                <w:sz w:val="21"/>
                <w:szCs w:val="21"/>
              </w:rPr>
              <w:t>及金</w:t>
            </w:r>
            <w:r>
              <w:rPr>
                <w:rFonts w:ascii="宋体" w:hAnsi="宋体" w:cs="宋体" w:eastAsia="宋体" w:hint="default"/>
                <w:spacing w:val="-103"/>
                <w:sz w:val="21"/>
                <w:szCs w:val="21"/>
              </w:rPr>
              <w:t> </w:t>
            </w:r>
            <w:r>
              <w:rPr>
                <w:rFonts w:ascii="宋体" w:hAnsi="宋体" w:cs="宋体" w:eastAsia="宋体" w:hint="default"/>
                <w:sz w:val="21"/>
                <w:szCs w:val="21"/>
              </w:rPr>
              <w:t>额</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20" w:right="118" w:firstLine="52"/>
              <w:jc w:val="both"/>
              <w:rPr>
                <w:rFonts w:ascii="宋体" w:hAnsi="宋体" w:cs="宋体" w:eastAsia="宋体" w:hint="default"/>
                <w:sz w:val="21"/>
                <w:szCs w:val="21"/>
              </w:rPr>
            </w:pPr>
            <w:r>
              <w:rPr>
                <w:rFonts w:ascii="宋体" w:hAnsi="宋体" w:cs="宋体" w:eastAsia="宋体" w:hint="default"/>
                <w:sz w:val="21"/>
                <w:szCs w:val="21"/>
              </w:rPr>
              <w:t>诉</w:t>
            </w:r>
            <w:r>
              <w:rPr>
                <w:rFonts w:ascii="宋体" w:hAnsi="宋体" w:cs="宋体" w:eastAsia="宋体" w:hint="default"/>
                <w:w w:val="100"/>
                <w:sz w:val="21"/>
                <w:szCs w:val="21"/>
              </w:rPr>
              <w:t> </w:t>
            </w:r>
            <w:r>
              <w:rPr>
                <w:rFonts w:ascii="宋体" w:hAnsi="宋体" w:cs="宋体" w:eastAsia="宋体" w:hint="default"/>
                <w:sz w:val="21"/>
                <w:szCs w:val="21"/>
              </w:rPr>
              <w:t>讼</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仲</w:t>
            </w:r>
          </w:p>
          <w:p>
            <w:pPr>
              <w:pStyle w:val="TableParagraph"/>
              <w:spacing w:line="237" w:lineRule="auto"/>
              <w:ind w:left="172" w:right="118" w:hanging="53"/>
              <w:jc w:val="both"/>
              <w:rPr>
                <w:rFonts w:ascii="宋体" w:hAnsi="宋体" w:cs="宋体" w:eastAsia="宋体" w:hint="default"/>
                <w:sz w:val="21"/>
                <w:szCs w:val="21"/>
              </w:rPr>
            </w:pPr>
            <w:r>
              <w:rPr>
                <w:rFonts w:ascii="宋体" w:hAnsi="宋体" w:cs="宋体" w:eastAsia="宋体" w:hint="default"/>
                <w:sz w:val="21"/>
                <w:szCs w:val="21"/>
              </w:rPr>
              <w:t>裁</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进</w:t>
            </w:r>
            <w:r>
              <w:rPr>
                <w:rFonts w:ascii="宋体" w:hAnsi="宋体" w:cs="宋体" w:eastAsia="宋体" w:hint="default"/>
                <w:w w:val="100"/>
                <w:sz w:val="21"/>
                <w:szCs w:val="21"/>
              </w:rPr>
              <w:t> </w:t>
            </w:r>
            <w:r>
              <w:rPr>
                <w:rFonts w:ascii="宋体" w:hAnsi="宋体" w:cs="宋体" w:eastAsia="宋体" w:hint="default"/>
                <w:sz w:val="21"/>
                <w:szCs w:val="21"/>
              </w:rPr>
              <w:t>展</w:t>
            </w:r>
            <w:r>
              <w:rPr>
                <w:rFonts w:ascii="宋体" w:hAnsi="宋体" w:cs="宋体" w:eastAsia="宋体" w:hint="default"/>
                <w:w w:val="100"/>
                <w:sz w:val="21"/>
                <w:szCs w:val="21"/>
              </w:rPr>
              <w:t> </w:t>
            </w:r>
            <w:r>
              <w:rPr>
                <w:rFonts w:ascii="宋体" w:hAnsi="宋体" w:cs="宋体" w:eastAsia="宋体" w:hint="default"/>
                <w:sz w:val="21"/>
                <w:szCs w:val="21"/>
              </w:rPr>
              <w:t>情</w:t>
            </w:r>
            <w:r>
              <w:rPr>
                <w:rFonts w:ascii="宋体" w:hAnsi="宋体" w:cs="宋体" w:eastAsia="宋体" w:hint="default"/>
                <w:w w:val="100"/>
                <w:sz w:val="21"/>
                <w:szCs w:val="21"/>
              </w:rPr>
              <w:t> </w:t>
            </w:r>
            <w:r>
              <w:rPr>
                <w:rFonts w:ascii="宋体" w:hAnsi="宋体" w:cs="宋体" w:eastAsia="宋体" w:hint="default"/>
                <w:sz w:val="21"/>
                <w:szCs w:val="21"/>
              </w:rPr>
              <w:t>况</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37" w:lineRule="auto" w:before="136"/>
              <w:ind w:left="108" w:right="103" w:hanging="1"/>
              <w:jc w:val="center"/>
              <w:rPr>
                <w:rFonts w:ascii="宋体" w:hAnsi="宋体" w:cs="宋体" w:eastAsia="宋体" w:hint="default"/>
                <w:sz w:val="21"/>
                <w:szCs w:val="21"/>
              </w:rPr>
            </w:pPr>
            <w:r>
              <w:rPr>
                <w:rFonts w:ascii="宋体" w:hAnsi="宋体" w:cs="宋体" w:eastAsia="宋体" w:hint="default"/>
                <w:sz w:val="21"/>
                <w:szCs w:val="21"/>
              </w:rPr>
              <w:t>诉讼</w:t>
            </w:r>
            <w:r>
              <w:rPr>
                <w:rFonts w:ascii="宋体" w:hAnsi="宋体" w:cs="宋体" w:eastAsia="宋体" w:hint="default"/>
                <w:sz w:val="21"/>
                <w:szCs w:val="21"/>
              </w:rPr>
              <w:t>(</w:t>
            </w:r>
            <w:r>
              <w:rPr>
                <w:rFonts w:ascii="宋体" w:hAnsi="宋体" w:cs="宋体" w:eastAsia="宋体" w:hint="default"/>
                <w:sz w:val="21"/>
                <w:szCs w:val="21"/>
              </w:rPr>
              <w:t>仲裁</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审理结果及</w:t>
            </w:r>
            <w:r>
              <w:rPr>
                <w:rFonts w:ascii="宋体" w:hAnsi="宋体" w:cs="宋体" w:eastAsia="宋体" w:hint="default"/>
                <w:w w:val="100"/>
                <w:sz w:val="21"/>
                <w:szCs w:val="21"/>
              </w:rPr>
              <w:t> </w:t>
            </w:r>
            <w:r>
              <w:rPr>
                <w:rFonts w:ascii="宋体" w:hAnsi="宋体" w:cs="宋体" w:eastAsia="宋体" w:hint="default"/>
                <w:sz w:val="21"/>
                <w:szCs w:val="21"/>
              </w:rPr>
              <w:t>影响</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7" w:right="0"/>
              <w:jc w:val="left"/>
              <w:rPr>
                <w:rFonts w:ascii="宋体" w:hAnsi="宋体" w:cs="宋体" w:eastAsia="宋体" w:hint="default"/>
                <w:sz w:val="21"/>
                <w:szCs w:val="21"/>
              </w:rPr>
            </w:pPr>
            <w:r>
              <w:rPr>
                <w:rFonts w:ascii="宋体" w:hAnsi="宋体" w:cs="宋体" w:eastAsia="宋体" w:hint="default"/>
                <w:w w:val="100"/>
                <w:sz w:val="21"/>
                <w:szCs w:val="21"/>
              </w:rPr>
              <w:t>诉</w:t>
            </w:r>
          </w:p>
          <w:p>
            <w:pPr>
              <w:pStyle w:val="TableParagraph"/>
              <w:spacing w:line="272" w:lineRule="exact" w:before="27"/>
              <w:ind w:left="124" w:right="122" w:firstLine="52"/>
              <w:jc w:val="left"/>
              <w:rPr>
                <w:rFonts w:ascii="宋体" w:hAnsi="宋体" w:cs="宋体" w:eastAsia="宋体" w:hint="default"/>
                <w:sz w:val="21"/>
                <w:szCs w:val="21"/>
              </w:rPr>
            </w:pPr>
            <w:r>
              <w:rPr>
                <w:rFonts w:ascii="宋体" w:hAnsi="宋体" w:cs="宋体" w:eastAsia="宋体" w:hint="default"/>
                <w:sz w:val="21"/>
                <w:szCs w:val="21"/>
              </w:rPr>
              <w:t>讼</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仲</w:t>
            </w:r>
          </w:p>
          <w:p>
            <w:pPr>
              <w:pStyle w:val="TableParagraph"/>
              <w:spacing w:line="272" w:lineRule="exact" w:before="2"/>
              <w:ind w:left="177" w:right="122" w:hanging="53"/>
              <w:jc w:val="left"/>
              <w:rPr>
                <w:rFonts w:ascii="宋体" w:hAnsi="宋体" w:cs="宋体" w:eastAsia="宋体" w:hint="default"/>
                <w:sz w:val="21"/>
                <w:szCs w:val="21"/>
              </w:rPr>
            </w:pPr>
            <w:r>
              <w:rPr>
                <w:rFonts w:ascii="宋体" w:hAnsi="宋体" w:cs="宋体" w:eastAsia="宋体" w:hint="default"/>
                <w:sz w:val="21"/>
                <w:szCs w:val="21"/>
              </w:rPr>
              <w:t>裁</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判</w:t>
            </w:r>
          </w:p>
          <w:p>
            <w:pPr>
              <w:pStyle w:val="TableParagraph"/>
              <w:spacing w:line="272" w:lineRule="exact" w:before="1"/>
              <w:ind w:left="177" w:right="175"/>
              <w:jc w:val="left"/>
              <w:rPr>
                <w:rFonts w:ascii="宋体" w:hAnsi="宋体" w:cs="宋体" w:eastAsia="宋体" w:hint="default"/>
                <w:sz w:val="21"/>
                <w:szCs w:val="21"/>
              </w:rPr>
            </w:pPr>
            <w:r>
              <w:rPr>
                <w:rFonts w:ascii="宋体" w:hAnsi="宋体" w:cs="宋体" w:eastAsia="宋体" w:hint="default"/>
                <w:sz w:val="21"/>
                <w:szCs w:val="21"/>
              </w:rPr>
              <w:t>决</w:t>
            </w:r>
            <w:r>
              <w:rPr>
                <w:rFonts w:ascii="宋体" w:hAnsi="宋体" w:cs="宋体" w:eastAsia="宋体" w:hint="default"/>
                <w:w w:val="100"/>
                <w:sz w:val="21"/>
                <w:szCs w:val="21"/>
              </w:rPr>
              <w:t> </w:t>
            </w:r>
            <w:r>
              <w:rPr>
                <w:rFonts w:ascii="宋体" w:hAnsi="宋体" w:cs="宋体" w:eastAsia="宋体" w:hint="default"/>
                <w:sz w:val="21"/>
                <w:szCs w:val="21"/>
              </w:rPr>
              <w:t>执</w:t>
            </w:r>
          </w:p>
          <w:p>
            <w:pPr>
              <w:pStyle w:val="TableParagraph"/>
              <w:spacing w:line="272" w:lineRule="exact" w:before="1"/>
              <w:ind w:left="177" w:right="175"/>
              <w:jc w:val="left"/>
              <w:rPr>
                <w:rFonts w:ascii="宋体" w:hAnsi="宋体" w:cs="宋体" w:eastAsia="宋体" w:hint="default"/>
                <w:sz w:val="21"/>
                <w:szCs w:val="21"/>
              </w:rPr>
            </w:pP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情</w:t>
            </w:r>
          </w:p>
          <w:p>
            <w:pPr>
              <w:pStyle w:val="TableParagraph"/>
              <w:spacing w:line="249" w:lineRule="exact"/>
              <w:ind w:left="177" w:right="0"/>
              <w:jc w:val="left"/>
              <w:rPr>
                <w:rFonts w:ascii="宋体" w:hAnsi="宋体" w:cs="宋体" w:eastAsia="宋体" w:hint="default"/>
                <w:sz w:val="21"/>
                <w:szCs w:val="21"/>
              </w:rPr>
            </w:pPr>
            <w:r>
              <w:rPr>
                <w:rFonts w:ascii="宋体" w:hAnsi="宋体" w:cs="宋体" w:eastAsia="宋体" w:hint="default"/>
                <w:w w:val="100"/>
                <w:sz w:val="21"/>
                <w:szCs w:val="21"/>
              </w:rPr>
              <w:t>况</w:t>
            </w:r>
          </w:p>
        </w:tc>
      </w:tr>
      <w:tr>
        <w:trPr>
          <w:trHeight w:val="5185" w:hRule="exact"/>
        </w:trPr>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双 鸭</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z w:val="21"/>
                <w:szCs w:val="21"/>
              </w:rPr>
              <w:t>山 矿</w:t>
            </w:r>
            <w:r>
              <w:rPr>
                <w:rFonts w:ascii="宋体" w:hAnsi="宋体" w:cs="宋体" w:eastAsia="宋体" w:hint="default"/>
                <w:w w:val="100"/>
                <w:sz w:val="21"/>
                <w:szCs w:val="21"/>
              </w:rPr>
              <w:t> </w:t>
            </w:r>
            <w:r>
              <w:rPr>
                <w:rFonts w:ascii="宋体" w:hAnsi="宋体" w:cs="宋体" w:eastAsia="宋体" w:hint="default"/>
                <w:sz w:val="21"/>
                <w:szCs w:val="21"/>
              </w:rPr>
              <w:t>业 集</w:t>
            </w:r>
            <w:r>
              <w:rPr>
                <w:rFonts w:ascii="宋体" w:hAnsi="宋体" w:cs="宋体" w:eastAsia="宋体" w:hint="default"/>
                <w:w w:val="100"/>
                <w:sz w:val="21"/>
                <w:szCs w:val="21"/>
              </w:rPr>
              <w:t> </w:t>
            </w:r>
            <w:r>
              <w:rPr>
                <w:rFonts w:ascii="宋体" w:hAnsi="宋体" w:cs="宋体" w:eastAsia="宋体" w:hint="default"/>
                <w:sz w:val="21"/>
                <w:szCs w:val="21"/>
              </w:rPr>
              <w:t>团 有</w:t>
            </w:r>
            <w:r>
              <w:rPr>
                <w:rFonts w:ascii="宋体" w:hAnsi="宋体" w:cs="宋体" w:eastAsia="宋体" w:hint="default"/>
                <w:w w:val="100"/>
                <w:sz w:val="21"/>
                <w:szCs w:val="21"/>
              </w:rPr>
              <w:t> </w:t>
            </w:r>
            <w:r>
              <w:rPr>
                <w:rFonts w:ascii="宋体" w:hAnsi="宋体" w:cs="宋体" w:eastAsia="宋体" w:hint="default"/>
                <w:sz w:val="21"/>
                <w:szCs w:val="21"/>
              </w:rPr>
              <w:t>限 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黑</w:t>
            </w:r>
            <w:r>
              <w:rPr>
                <w:rFonts w:ascii="宋体" w:hAnsi="宋体" w:cs="宋体" w:eastAsia="宋体" w:hint="default"/>
                <w:spacing w:val="48"/>
                <w:sz w:val="21"/>
                <w:szCs w:val="21"/>
              </w:rPr>
              <w:t> </w:t>
            </w:r>
            <w:r>
              <w:rPr>
                <w:rFonts w:ascii="宋体" w:hAnsi="宋体" w:cs="宋体" w:eastAsia="宋体" w:hint="default"/>
                <w:sz w:val="21"/>
                <w:szCs w:val="21"/>
              </w:rPr>
              <w:t>龙</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z w:val="21"/>
                <w:szCs w:val="21"/>
              </w:rPr>
              <w:t>江</w:t>
            </w:r>
            <w:r>
              <w:rPr>
                <w:rFonts w:ascii="宋体" w:hAnsi="宋体" w:cs="宋体" w:eastAsia="宋体" w:hint="default"/>
                <w:spacing w:val="48"/>
                <w:sz w:val="21"/>
                <w:szCs w:val="21"/>
              </w:rPr>
              <w:t> </w:t>
            </w:r>
            <w:r>
              <w:rPr>
                <w:rFonts w:ascii="宋体" w:hAnsi="宋体" w:cs="宋体" w:eastAsia="宋体" w:hint="default"/>
                <w:sz w:val="21"/>
                <w:szCs w:val="21"/>
              </w:rPr>
              <w:t>黑</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z w:val="21"/>
                <w:szCs w:val="21"/>
              </w:rPr>
              <w:t>化</w:t>
            </w:r>
            <w:r>
              <w:rPr>
                <w:rFonts w:ascii="宋体" w:hAnsi="宋体" w:cs="宋体" w:eastAsia="宋体" w:hint="default"/>
                <w:spacing w:val="48"/>
                <w:sz w:val="21"/>
                <w:szCs w:val="21"/>
              </w:rPr>
              <w:t> </w:t>
            </w:r>
            <w:r>
              <w:rPr>
                <w:rFonts w:ascii="宋体" w:hAnsi="宋体" w:cs="宋体" w:eastAsia="宋体" w:hint="default"/>
                <w:sz w:val="21"/>
                <w:szCs w:val="21"/>
              </w:rPr>
              <w:t>集</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z w:val="21"/>
                <w:szCs w:val="21"/>
              </w:rPr>
              <w:t>团</w:t>
            </w:r>
            <w:r>
              <w:rPr>
                <w:rFonts w:ascii="宋体" w:hAnsi="宋体" w:cs="宋体" w:eastAsia="宋体" w:hint="default"/>
                <w:spacing w:val="48"/>
                <w:sz w:val="21"/>
                <w:szCs w:val="21"/>
              </w:rPr>
              <w:t> </w:t>
            </w:r>
            <w:r>
              <w:rPr>
                <w:rFonts w:ascii="宋体" w:hAnsi="宋体" w:cs="宋体" w:eastAsia="宋体" w:hint="default"/>
                <w:sz w:val="21"/>
                <w:szCs w:val="21"/>
              </w:rPr>
              <w:t>有</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限</w:t>
            </w:r>
            <w:r>
              <w:rPr>
                <w:rFonts w:ascii="宋体" w:hAnsi="宋体" w:cs="宋体" w:eastAsia="宋体" w:hint="default"/>
                <w:spacing w:val="48"/>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pacing w:val="-40"/>
                <w:sz w:val="21"/>
                <w:szCs w:val="21"/>
              </w:rPr>
              <w:t>司、安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通</w:t>
            </w:r>
            <w:r>
              <w:rPr>
                <w:rFonts w:ascii="宋体" w:hAnsi="宋体" w:cs="宋体" w:eastAsia="宋体" w:hint="default"/>
                <w:spacing w:val="48"/>
                <w:sz w:val="21"/>
                <w:szCs w:val="21"/>
              </w:rPr>
              <w:t> </w:t>
            </w:r>
            <w:r>
              <w:rPr>
                <w:rFonts w:ascii="宋体" w:hAnsi="宋体" w:cs="宋体" w:eastAsia="宋体" w:hint="default"/>
                <w:sz w:val="21"/>
                <w:szCs w:val="21"/>
              </w:rPr>
              <w:t>控</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pacing w:val="48"/>
                <w:sz w:val="21"/>
                <w:szCs w:val="21"/>
              </w:rPr>
              <w:t> </w:t>
            </w:r>
            <w:r>
              <w:rPr>
                <w:rFonts w:ascii="宋体" w:hAnsi="宋体" w:cs="宋体" w:eastAsia="宋体" w:hint="default"/>
                <w:sz w:val="21"/>
                <w:szCs w:val="21"/>
              </w:rPr>
              <w:t>股</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z w:val="21"/>
                <w:szCs w:val="21"/>
              </w:rPr>
              <w:t>份</w:t>
            </w:r>
            <w:r>
              <w:rPr>
                <w:rFonts w:ascii="宋体" w:hAnsi="宋体" w:cs="宋体" w:eastAsia="宋体" w:hint="default"/>
                <w:spacing w:val="48"/>
                <w:sz w:val="21"/>
                <w:szCs w:val="21"/>
              </w:rPr>
              <w:t> </w:t>
            </w:r>
            <w:r>
              <w:rPr>
                <w:rFonts w:ascii="宋体" w:hAnsi="宋体" w:cs="宋体" w:eastAsia="宋体" w:hint="default"/>
                <w:sz w:val="21"/>
                <w:szCs w:val="21"/>
              </w:rPr>
              <w:t>有</w:t>
            </w:r>
          </w:p>
          <w:p>
            <w:pPr>
              <w:pStyle w:val="TableParagraph"/>
              <w:spacing w:line="272" w:lineRule="exact" w:before="27"/>
              <w:ind w:left="103" w:right="98"/>
              <w:jc w:val="both"/>
              <w:rPr>
                <w:rFonts w:ascii="宋体" w:hAnsi="宋体" w:cs="宋体" w:eastAsia="宋体" w:hint="default"/>
                <w:sz w:val="21"/>
                <w:szCs w:val="21"/>
              </w:rPr>
            </w:pPr>
            <w:r>
              <w:rPr>
                <w:rFonts w:ascii="宋体" w:hAnsi="宋体" w:cs="宋体" w:eastAsia="宋体" w:hint="default"/>
                <w:sz w:val="21"/>
                <w:szCs w:val="21"/>
              </w:rPr>
              <w:t>限</w:t>
            </w:r>
            <w:r>
              <w:rPr>
                <w:rFonts w:ascii="宋体" w:hAnsi="宋体" w:cs="宋体" w:eastAsia="宋体" w:hint="default"/>
                <w:spacing w:val="48"/>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民</w:t>
            </w:r>
            <w:r>
              <w:rPr>
                <w:rFonts w:ascii="宋体" w:hAnsi="宋体" w:cs="宋体" w:eastAsia="宋体" w:hint="default"/>
                <w:spacing w:val="86"/>
                <w:sz w:val="21"/>
                <w:szCs w:val="21"/>
              </w:rPr>
              <w:t> </w:t>
            </w:r>
            <w:r>
              <w:rPr>
                <w:rFonts w:ascii="宋体" w:hAnsi="宋体" w:cs="宋体" w:eastAsia="宋体" w:hint="default"/>
                <w:sz w:val="21"/>
                <w:szCs w:val="21"/>
              </w:rPr>
              <w:t>事</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诉讼</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5"/>
              <w:jc w:val="left"/>
              <w:rPr>
                <w:rFonts w:ascii="宋体" w:hAnsi="宋体" w:cs="宋体" w:eastAsia="宋体" w:hint="default"/>
                <w:sz w:val="21"/>
                <w:szCs w:val="21"/>
              </w:rPr>
            </w:pPr>
            <w:r>
              <w:rPr>
                <w:rFonts w:ascii="宋体" w:hAnsi="宋体" w:cs="宋体" w:eastAsia="宋体" w:hint="default"/>
                <w:spacing w:val="-6"/>
                <w:sz w:val="21"/>
                <w:szCs w:val="21"/>
              </w:rPr>
              <w:t>原告请求：</w:t>
            </w:r>
            <w:r>
              <w:rPr>
                <w:rFonts w:ascii="宋体" w:hAnsi="宋体" w:cs="宋体" w:eastAsia="宋体" w:hint="default"/>
                <w:spacing w:val="-6"/>
                <w:sz w:val="21"/>
                <w:szCs w:val="21"/>
              </w:rPr>
              <w:t>1</w:t>
            </w:r>
            <w:r>
              <w:rPr>
                <w:rFonts w:ascii="宋体" w:hAnsi="宋体" w:cs="宋体" w:eastAsia="宋体" w:hint="default"/>
                <w:spacing w:val="-6"/>
                <w:sz w:val="21"/>
                <w:szCs w:val="21"/>
              </w:rPr>
              <w:t>、</w:t>
            </w:r>
          </w:p>
          <w:p>
            <w:pPr>
              <w:pStyle w:val="TableParagraph"/>
              <w:spacing w:line="237" w:lineRule="auto" w:before="2"/>
              <w:ind w:left="103" w:right="55"/>
              <w:jc w:val="left"/>
              <w:rPr>
                <w:rFonts w:ascii="宋体" w:hAnsi="宋体" w:cs="宋体" w:eastAsia="宋体" w:hint="default"/>
                <w:sz w:val="21"/>
                <w:szCs w:val="21"/>
              </w:rPr>
            </w:pPr>
            <w:r>
              <w:rPr>
                <w:rFonts w:ascii="宋体" w:hAnsi="宋体" w:cs="宋体" w:eastAsia="宋体" w:hint="default"/>
                <w:spacing w:val="33"/>
                <w:sz w:val="21"/>
                <w:szCs w:val="21"/>
              </w:rPr>
              <w:t>安通控股及</w:t>
            </w:r>
            <w:r>
              <w:rPr>
                <w:rFonts w:ascii="宋体" w:hAnsi="宋体" w:cs="宋体" w:eastAsia="宋体" w:hint="default"/>
                <w:spacing w:val="-93"/>
                <w:sz w:val="21"/>
                <w:szCs w:val="21"/>
              </w:rPr>
              <w:t> </w:t>
            </w:r>
            <w:r>
              <w:rPr>
                <w:rFonts w:ascii="宋体" w:hAnsi="宋体" w:cs="宋体" w:eastAsia="宋体" w:hint="default"/>
                <w:spacing w:val="33"/>
                <w:sz w:val="21"/>
                <w:szCs w:val="21"/>
              </w:rPr>
              <w:t>黑化集团共</w:t>
            </w:r>
            <w:r>
              <w:rPr>
                <w:rFonts w:ascii="宋体" w:hAnsi="宋体" w:cs="宋体" w:eastAsia="宋体" w:hint="default"/>
                <w:spacing w:val="-93"/>
                <w:sz w:val="21"/>
                <w:szCs w:val="21"/>
              </w:rPr>
              <w:t> </w:t>
            </w:r>
            <w:r>
              <w:rPr>
                <w:rFonts w:ascii="宋体" w:hAnsi="宋体" w:cs="宋体" w:eastAsia="宋体" w:hint="default"/>
                <w:spacing w:val="33"/>
                <w:sz w:val="21"/>
                <w:szCs w:val="21"/>
              </w:rPr>
              <w:t>同给付原告</w:t>
            </w:r>
            <w:r>
              <w:rPr>
                <w:rFonts w:ascii="宋体" w:hAnsi="宋体" w:cs="宋体" w:eastAsia="宋体" w:hint="default"/>
                <w:spacing w:val="-93"/>
                <w:sz w:val="21"/>
                <w:szCs w:val="21"/>
              </w:rPr>
              <w:t> </w:t>
            </w:r>
            <w:r>
              <w:rPr>
                <w:rFonts w:ascii="宋体" w:hAnsi="宋体" w:cs="宋体" w:eastAsia="宋体" w:hint="default"/>
                <w:spacing w:val="33"/>
                <w:sz w:val="21"/>
                <w:szCs w:val="21"/>
              </w:rPr>
              <w:t>双鸭山矿业</w:t>
            </w:r>
            <w:r>
              <w:rPr>
                <w:rFonts w:ascii="宋体" w:hAnsi="宋体" w:cs="宋体" w:eastAsia="宋体" w:hint="default"/>
                <w:spacing w:val="-93"/>
                <w:sz w:val="21"/>
                <w:szCs w:val="21"/>
              </w:rPr>
              <w:t> </w:t>
            </w:r>
            <w:r>
              <w:rPr>
                <w:rFonts w:ascii="宋体" w:hAnsi="宋体" w:cs="宋体" w:eastAsia="宋体" w:hint="default"/>
                <w:spacing w:val="33"/>
                <w:sz w:val="21"/>
                <w:szCs w:val="21"/>
              </w:rPr>
              <w:t>集团有限公</w:t>
            </w:r>
            <w:r>
              <w:rPr>
                <w:rFonts w:ascii="宋体" w:hAnsi="宋体" w:cs="宋体" w:eastAsia="宋体" w:hint="default"/>
                <w:spacing w:val="-93"/>
                <w:sz w:val="21"/>
                <w:szCs w:val="21"/>
              </w:rPr>
              <w:t> </w:t>
            </w:r>
            <w:r>
              <w:rPr>
                <w:rFonts w:ascii="宋体" w:hAnsi="宋体" w:cs="宋体" w:eastAsia="宋体" w:hint="default"/>
                <w:spacing w:val="33"/>
                <w:sz w:val="21"/>
                <w:szCs w:val="21"/>
              </w:rPr>
              <w:t>司货款人民</w:t>
            </w:r>
            <w:r>
              <w:rPr>
                <w:rFonts w:ascii="宋体" w:hAnsi="宋体" w:cs="宋体" w:eastAsia="宋体" w:hint="default"/>
                <w:spacing w:val="-93"/>
                <w:sz w:val="21"/>
                <w:szCs w:val="21"/>
              </w:rPr>
              <w:t> </w:t>
            </w:r>
            <w:r>
              <w:rPr>
                <w:rFonts w:ascii="宋体" w:hAnsi="宋体" w:cs="宋体" w:eastAsia="宋体" w:hint="default"/>
                <w:sz w:val="21"/>
                <w:szCs w:val="21"/>
              </w:rPr>
              <w:t>币</w:t>
            </w:r>
            <w:r>
              <w:rPr>
                <w:rFonts w:ascii="宋体" w:hAnsi="宋体" w:cs="宋体" w:eastAsia="宋体" w:hint="default"/>
                <w:w w:val="100"/>
                <w:sz w:val="21"/>
                <w:szCs w:val="21"/>
              </w:rPr>
              <w:t> </w:t>
            </w:r>
            <w:r>
              <w:rPr>
                <w:rFonts w:ascii="宋体" w:hAnsi="宋体" w:cs="宋体" w:eastAsia="宋体" w:hint="default"/>
                <w:sz w:val="21"/>
                <w:szCs w:val="21"/>
              </w:rPr>
              <w:t>12,771,644.</w:t>
            </w:r>
          </w:p>
          <w:p>
            <w:pPr>
              <w:pStyle w:val="TableParagraph"/>
              <w:spacing w:line="237" w:lineRule="auto" w:before="1"/>
              <w:ind w:left="103" w:right="83"/>
              <w:jc w:val="both"/>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25"/>
                <w:sz w:val="21"/>
                <w:szCs w:val="21"/>
              </w:rPr>
              <w:t> </w:t>
            </w:r>
            <w:r>
              <w:rPr>
                <w:rFonts w:ascii="宋体" w:hAnsi="宋体" w:cs="宋体" w:eastAsia="宋体" w:hint="default"/>
                <w:spacing w:val="15"/>
                <w:sz w:val="21"/>
                <w:szCs w:val="21"/>
              </w:rPr>
              <w:t>元及利息</w:t>
            </w:r>
            <w:r>
              <w:rPr>
                <w:rFonts w:ascii="宋体" w:hAnsi="宋体" w:cs="宋体" w:eastAsia="宋体" w:hint="default"/>
                <w:spacing w:val="16"/>
                <w:w w:val="100"/>
                <w:sz w:val="21"/>
                <w:szCs w:val="21"/>
              </w:rPr>
              <w:t> </w:t>
            </w:r>
            <w:r>
              <w:rPr>
                <w:rFonts w:ascii="宋体" w:hAnsi="宋体" w:cs="宋体" w:eastAsia="宋体" w:hint="default"/>
                <w:sz w:val="21"/>
                <w:szCs w:val="21"/>
              </w:rPr>
              <w:t>人 民</w:t>
            </w:r>
            <w:r>
              <w:rPr>
                <w:rFonts w:ascii="宋体" w:hAnsi="宋体" w:cs="宋体" w:eastAsia="宋体" w:hint="default"/>
                <w:spacing w:val="72"/>
                <w:sz w:val="21"/>
                <w:szCs w:val="21"/>
              </w:rPr>
              <w:t> </w:t>
            </w:r>
            <w:r>
              <w:rPr>
                <w:rFonts w:ascii="宋体" w:hAnsi="宋体" w:cs="宋体" w:eastAsia="宋体" w:hint="default"/>
                <w:sz w:val="21"/>
                <w:szCs w:val="21"/>
              </w:rPr>
              <w:t>币</w:t>
            </w:r>
            <w:r>
              <w:rPr>
                <w:rFonts w:ascii="宋体" w:hAnsi="宋体" w:cs="宋体" w:eastAsia="宋体" w:hint="default"/>
                <w:w w:val="100"/>
                <w:sz w:val="21"/>
                <w:szCs w:val="21"/>
              </w:rPr>
              <w:t> </w:t>
            </w:r>
            <w:r>
              <w:rPr>
                <w:rFonts w:ascii="宋体" w:hAnsi="宋体" w:cs="宋体" w:eastAsia="宋体" w:hint="default"/>
                <w:sz w:val="21"/>
                <w:szCs w:val="21"/>
              </w:rPr>
              <w:t>1,457,000</w:t>
            </w:r>
            <w:r>
              <w:rPr>
                <w:rFonts w:ascii="宋体" w:hAnsi="宋体" w:cs="宋体" w:eastAsia="宋体" w:hint="default"/>
                <w:spacing w:val="-34"/>
                <w:sz w:val="21"/>
                <w:szCs w:val="21"/>
              </w:rPr>
              <w:t> </w:t>
            </w:r>
            <w:r>
              <w:rPr>
                <w:rFonts w:ascii="宋体" w:hAnsi="宋体" w:cs="宋体" w:eastAsia="宋体" w:hint="default"/>
                <w:sz w:val="21"/>
                <w:szCs w:val="21"/>
              </w:rPr>
              <w:t>元</w:t>
            </w:r>
          </w:p>
          <w:p>
            <w:pPr>
              <w:pStyle w:val="TableParagraph"/>
              <w:spacing w:line="272" w:lineRule="exact" w:before="24"/>
              <w:ind w:left="103" w:right="55"/>
              <w:jc w:val="left"/>
              <w:rPr>
                <w:rFonts w:ascii="宋体" w:hAnsi="宋体" w:cs="宋体" w:eastAsia="宋体" w:hint="default"/>
                <w:sz w:val="21"/>
                <w:szCs w:val="21"/>
              </w:rPr>
            </w:pPr>
            <w:r>
              <w:rPr>
                <w:rFonts w:ascii="宋体" w:hAnsi="宋体" w:cs="宋体" w:eastAsia="宋体" w:hint="default"/>
                <w:spacing w:val="33"/>
                <w:sz w:val="21"/>
                <w:szCs w:val="21"/>
              </w:rPr>
              <w:t>共计人民币</w:t>
            </w:r>
            <w:r>
              <w:rPr>
                <w:rFonts w:ascii="宋体" w:hAnsi="宋体" w:cs="宋体" w:eastAsia="宋体" w:hint="default"/>
                <w:spacing w:val="-93"/>
                <w:sz w:val="21"/>
                <w:szCs w:val="21"/>
              </w:rPr>
              <w:t> </w:t>
            </w:r>
            <w:r>
              <w:rPr>
                <w:rFonts w:ascii="宋体" w:hAnsi="宋体" w:cs="宋体" w:eastAsia="宋体" w:hint="default"/>
                <w:sz w:val="21"/>
                <w:szCs w:val="21"/>
              </w:rPr>
              <w:t>14,228,644.</w:t>
            </w:r>
          </w:p>
          <w:p>
            <w:pPr>
              <w:pStyle w:val="TableParagraph"/>
              <w:spacing w:line="272" w:lineRule="exact" w:before="1"/>
              <w:ind w:left="103" w:right="55"/>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33"/>
                <w:sz w:val="21"/>
                <w:szCs w:val="21"/>
              </w:rPr>
              <w:t> </w:t>
            </w:r>
            <w:r>
              <w:rPr>
                <w:rFonts w:ascii="宋体" w:hAnsi="宋体" w:cs="宋体" w:eastAsia="宋体" w:hint="default"/>
                <w:sz w:val="21"/>
                <w:szCs w:val="21"/>
              </w:rPr>
              <w:t>元；</w:t>
            </w:r>
            <w:r>
              <w:rPr>
                <w:rFonts w:ascii="宋体" w:hAnsi="宋体" w:cs="宋体" w:eastAsia="宋体" w:hint="default"/>
                <w:sz w:val="21"/>
                <w:szCs w:val="21"/>
              </w:rPr>
              <w:t>2</w:t>
            </w:r>
            <w:r>
              <w:rPr>
                <w:rFonts w:ascii="宋体" w:hAnsi="宋体" w:cs="宋体" w:eastAsia="宋体" w:hint="default"/>
                <w:sz w:val="21"/>
                <w:szCs w:val="21"/>
              </w:rPr>
              <w:t>、判</w:t>
            </w:r>
            <w:r>
              <w:rPr>
                <w:rFonts w:ascii="宋体" w:hAnsi="宋体" w:cs="宋体" w:eastAsia="宋体" w:hint="default"/>
                <w:w w:val="100"/>
                <w:sz w:val="21"/>
                <w:szCs w:val="21"/>
              </w:rPr>
              <w:t> </w:t>
            </w:r>
            <w:r>
              <w:rPr>
                <w:rFonts w:ascii="宋体" w:hAnsi="宋体" w:cs="宋体" w:eastAsia="宋体" w:hint="default"/>
                <w:sz w:val="21"/>
                <w:szCs w:val="21"/>
              </w:rPr>
              <w:t>令</w:t>
            </w:r>
            <w:r>
              <w:rPr>
                <w:rFonts w:ascii="宋体" w:hAnsi="宋体" w:cs="宋体" w:eastAsia="宋体" w:hint="default"/>
                <w:spacing w:val="-52"/>
                <w:sz w:val="21"/>
                <w:szCs w:val="21"/>
              </w:rPr>
              <w:t> </w:t>
            </w:r>
            <w:r>
              <w:rPr>
                <w:rFonts w:ascii="宋体" w:hAnsi="宋体" w:cs="宋体" w:eastAsia="宋体" w:hint="default"/>
                <w:spacing w:val="31"/>
                <w:sz w:val="21"/>
                <w:szCs w:val="21"/>
              </w:rPr>
              <w:t>安通控股</w:t>
            </w:r>
            <w:r>
              <w:rPr>
                <w:rFonts w:ascii="宋体" w:hAnsi="宋体" w:cs="宋体" w:eastAsia="宋体" w:hint="default"/>
                <w:spacing w:val="-62"/>
                <w:sz w:val="21"/>
                <w:szCs w:val="21"/>
              </w:rPr>
              <w:t> </w:t>
            </w:r>
            <w:r>
              <w:rPr>
                <w:rFonts w:ascii="宋体" w:hAnsi="宋体" w:cs="宋体" w:eastAsia="宋体" w:hint="default"/>
                <w:sz w:val="21"/>
                <w:szCs w:val="21"/>
              </w:rPr>
            </w:r>
          </w:p>
          <w:p>
            <w:pPr>
              <w:pStyle w:val="TableParagraph"/>
              <w:spacing w:line="272" w:lineRule="exact" w:before="1"/>
              <w:ind w:left="103" w:right="55"/>
              <w:jc w:val="left"/>
              <w:rPr>
                <w:rFonts w:ascii="宋体" w:hAnsi="宋体" w:cs="宋体" w:eastAsia="宋体" w:hint="default"/>
                <w:sz w:val="21"/>
                <w:szCs w:val="21"/>
              </w:rPr>
            </w:pPr>
            <w:r>
              <w:rPr>
                <w:rFonts w:ascii="宋体" w:hAnsi="宋体" w:cs="宋体" w:eastAsia="宋体" w:hint="default"/>
                <w:spacing w:val="33"/>
                <w:sz w:val="21"/>
                <w:szCs w:val="21"/>
              </w:rPr>
              <w:t>及黑化集团</w:t>
            </w:r>
            <w:r>
              <w:rPr>
                <w:rFonts w:ascii="宋体" w:hAnsi="宋体" w:cs="宋体" w:eastAsia="宋体" w:hint="default"/>
                <w:spacing w:val="-93"/>
                <w:sz w:val="21"/>
                <w:szCs w:val="21"/>
              </w:rPr>
              <w:t> </w:t>
            </w:r>
            <w:r>
              <w:rPr>
                <w:rFonts w:ascii="宋体" w:hAnsi="宋体" w:cs="宋体" w:eastAsia="宋体" w:hint="default"/>
                <w:spacing w:val="21"/>
                <w:sz w:val="21"/>
                <w:szCs w:val="21"/>
              </w:rPr>
              <w:t>共同</w:t>
            </w:r>
            <w:r>
              <w:rPr>
                <w:rFonts w:ascii="宋体" w:hAnsi="宋体" w:cs="宋体" w:eastAsia="宋体" w:hint="default"/>
                <w:spacing w:val="-54"/>
                <w:sz w:val="21"/>
                <w:szCs w:val="21"/>
              </w:rPr>
              <w:t> </w:t>
            </w:r>
            <w:r>
              <w:rPr>
                <w:rFonts w:ascii="宋体" w:hAnsi="宋体" w:cs="宋体" w:eastAsia="宋体" w:hint="default"/>
                <w:spacing w:val="28"/>
                <w:sz w:val="21"/>
                <w:szCs w:val="21"/>
              </w:rPr>
              <w:t>承担本</w:t>
            </w:r>
            <w:r>
              <w:rPr>
                <w:rFonts w:ascii="宋体" w:hAnsi="宋体" w:cs="宋体" w:eastAsia="宋体" w:hint="default"/>
                <w:spacing w:val="-62"/>
                <w:sz w:val="21"/>
                <w:szCs w:val="21"/>
              </w:rPr>
              <w:t> </w:t>
            </w:r>
            <w:r>
              <w:rPr>
                <w:rFonts w:ascii="宋体" w:hAnsi="宋体" w:cs="宋体" w:eastAsia="宋体" w:hint="default"/>
                <w:sz w:val="21"/>
                <w:szCs w:val="21"/>
              </w:rPr>
            </w:r>
          </w:p>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z w:val="21"/>
                <w:szCs w:val="21"/>
              </w:rPr>
              <w:t>案诉讼费。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14,335,816.1</w:t>
            </w:r>
          </w:p>
          <w:p>
            <w:pPr>
              <w:pStyle w:val="TableParagraph"/>
              <w:spacing w:line="274" w:lineRule="exact"/>
              <w:ind w:right="98"/>
              <w:jc w:val="righ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元</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终</w:t>
            </w:r>
          </w:p>
          <w:p>
            <w:pPr>
              <w:pStyle w:val="TableParagraph"/>
              <w:spacing w:line="237" w:lineRule="auto" w:before="2"/>
              <w:ind w:left="103" w:right="242"/>
              <w:jc w:val="both"/>
              <w:rPr>
                <w:rFonts w:ascii="宋体" w:hAnsi="宋体" w:cs="宋体" w:eastAsia="宋体" w:hint="default"/>
                <w:sz w:val="21"/>
                <w:szCs w:val="21"/>
              </w:rPr>
            </w:pPr>
            <w:r>
              <w:rPr>
                <w:rFonts w:ascii="宋体" w:hAnsi="宋体" w:cs="宋体" w:eastAsia="宋体" w:hint="default"/>
                <w:sz w:val="21"/>
                <w:szCs w:val="21"/>
              </w:rPr>
              <w:t>审</w:t>
            </w:r>
            <w:r>
              <w:rPr>
                <w:rFonts w:ascii="宋体" w:hAnsi="宋体" w:cs="宋体" w:eastAsia="宋体" w:hint="default"/>
                <w:w w:val="100"/>
                <w:sz w:val="21"/>
                <w:szCs w:val="21"/>
              </w:rPr>
              <w:t> </w:t>
            </w:r>
            <w:r>
              <w:rPr>
                <w:rFonts w:ascii="宋体" w:hAnsi="宋体" w:cs="宋体" w:eastAsia="宋体" w:hint="default"/>
                <w:sz w:val="21"/>
                <w:szCs w:val="21"/>
              </w:rPr>
              <w:t>判</w:t>
            </w:r>
            <w:r>
              <w:rPr>
                <w:rFonts w:ascii="宋体" w:hAnsi="宋体" w:cs="宋体" w:eastAsia="宋体" w:hint="default"/>
                <w:w w:val="100"/>
                <w:sz w:val="21"/>
                <w:szCs w:val="21"/>
              </w:rPr>
              <w:t> </w:t>
            </w:r>
            <w:r>
              <w:rPr>
                <w:rFonts w:ascii="宋体" w:hAnsi="宋体" w:cs="宋体" w:eastAsia="宋体" w:hint="default"/>
                <w:sz w:val="21"/>
                <w:szCs w:val="21"/>
              </w:rPr>
              <w:t>决</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判决结果：</w:t>
            </w:r>
          </w:p>
          <w:p>
            <w:pPr>
              <w:pStyle w:val="TableParagraph"/>
              <w:spacing w:line="237" w:lineRule="auto" w:before="2"/>
              <w:ind w:left="103" w:right="96"/>
              <w:jc w:val="both"/>
              <w:rPr>
                <w:rFonts w:ascii="宋体" w:hAnsi="宋体" w:cs="宋体" w:eastAsia="宋体" w:hint="default"/>
                <w:sz w:val="21"/>
                <w:szCs w:val="21"/>
              </w:rPr>
            </w:pPr>
            <w:r>
              <w:rPr>
                <w:rFonts w:ascii="宋体" w:hAnsi="宋体" w:cs="宋体" w:eastAsia="宋体" w:hint="default"/>
                <w:sz w:val="21"/>
                <w:szCs w:val="21"/>
              </w:rPr>
              <w:t>一审判决我</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方及黑化集</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团败诉；终</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审判决裁定</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维持原判，</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我方及黑化</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集团败诉。</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影响：本次</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诉讼的结果</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不会对本公</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司本期利润</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或期后利润</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等产生负面</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影响。</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已</w:t>
            </w:r>
          </w:p>
          <w:p>
            <w:pPr>
              <w:pStyle w:val="TableParagraph"/>
              <w:spacing w:line="272" w:lineRule="exact" w:before="27"/>
              <w:ind w:left="103" w:right="251"/>
              <w:jc w:val="left"/>
              <w:rPr>
                <w:rFonts w:ascii="宋体" w:hAnsi="宋体" w:cs="宋体" w:eastAsia="宋体" w:hint="default"/>
                <w:sz w:val="21"/>
                <w:szCs w:val="21"/>
              </w:rPr>
            </w:pPr>
            <w:r>
              <w:rPr>
                <w:rFonts w:ascii="宋体" w:hAnsi="宋体" w:cs="宋体" w:eastAsia="宋体" w:hint="default"/>
                <w:sz w:val="21"/>
                <w:szCs w:val="21"/>
              </w:rPr>
              <w:t>结</w:t>
            </w:r>
            <w:r>
              <w:rPr>
                <w:rFonts w:ascii="宋体" w:hAnsi="宋体" w:cs="宋体" w:eastAsia="宋体" w:hint="default"/>
                <w:w w:val="100"/>
                <w:sz w:val="21"/>
                <w:szCs w:val="21"/>
              </w:rPr>
              <w:t> </w:t>
            </w:r>
            <w:r>
              <w:rPr>
                <w:rFonts w:ascii="宋体" w:hAnsi="宋体" w:cs="宋体" w:eastAsia="宋体" w:hint="default"/>
                <w:sz w:val="21"/>
                <w:szCs w:val="21"/>
              </w:rPr>
              <w:t>案</w:t>
            </w:r>
          </w:p>
        </w:tc>
      </w:tr>
    </w:tbl>
    <w:p>
      <w:pPr>
        <w:spacing w:after="0" w:line="272" w:lineRule="exact"/>
        <w:jc w:val="left"/>
        <w:rPr>
          <w:rFonts w:ascii="宋体" w:hAnsi="宋体" w:cs="宋体" w:eastAsia="宋体" w:hint="default"/>
          <w:sz w:val="21"/>
          <w:szCs w:val="21"/>
        </w:rPr>
        <w:sectPr>
          <w:pgSz w:w="11910" w:h="16840"/>
          <w:pgMar w:header="880" w:footer="1195" w:top="1120" w:bottom="1380" w:left="1580" w:right="1040"/>
        </w:sectPr>
      </w:pPr>
    </w:p>
    <w:p>
      <w:pPr>
        <w:spacing w:line="240" w:lineRule="auto" w:before="4"/>
        <w:rPr>
          <w:rFonts w:ascii="宋体" w:hAnsi="宋体" w:cs="宋体" w:eastAsia="宋体" w:hint="default"/>
          <w:sz w:val="25"/>
          <w:szCs w:val="25"/>
        </w:rPr>
      </w:pPr>
    </w:p>
    <w:p>
      <w:pPr>
        <w:pStyle w:val="Heading2"/>
        <w:spacing w:line="240" w:lineRule="auto" w:before="36"/>
        <w:ind w:left="138" w:right="125"/>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1"/>
        </w:rPr>
        <w:t> </w:t>
      </w:r>
      <w:r>
        <w:rPr/>
        <w:t>其他说明</w:t>
      </w:r>
      <w:r>
        <w:rPr>
          <w:b w:val="0"/>
          <w:bCs w:val="0"/>
        </w:rPr>
      </w:r>
    </w:p>
    <w:p>
      <w:pPr>
        <w:pStyle w:val="BodyText"/>
        <w:tabs>
          <w:tab w:pos="980" w:val="left" w:leader="none"/>
        </w:tabs>
        <w:spacing w:line="272" w:lineRule="exact" w:before="59"/>
        <w:ind w:left="558" w:right="148" w:hanging="420"/>
        <w:jc w:val="left"/>
      </w:pPr>
      <w:r>
        <w:rPr>
          <w:spacing w:val="-1"/>
        </w:rPr>
        <w:t>√适用</w:t>
        <w:tab/>
      </w:r>
      <w:r>
        <w:rPr>
          <w:spacing w:val="-2"/>
        </w:rPr>
        <w:t>□不适用</w:t>
      </w:r>
      <w:r>
        <w:rPr>
          <w:spacing w:val="-99"/>
        </w:rPr>
        <w:t> </w:t>
      </w:r>
      <w:r>
        <w:rPr>
          <w:spacing w:val="-99"/>
        </w:rPr>
      </w:r>
      <w:r>
        <w:rPr>
          <w:spacing w:val="-2"/>
        </w:rPr>
        <w:t>根据公司重大资产重组期间签订的重大资产重组相关协议之约定，公司已向昊华化工总公司</w:t>
      </w:r>
    </w:p>
    <w:p>
      <w:pPr>
        <w:pStyle w:val="BodyText"/>
        <w:spacing w:line="240" w:lineRule="auto" w:before="110"/>
        <w:ind w:left="138" w:right="0"/>
        <w:jc w:val="left"/>
      </w:pPr>
      <w:r>
        <w:rPr>
          <w:rFonts w:ascii="宋体" w:hAnsi="宋体" w:cs="宋体" w:eastAsia="宋体" w:hint="default"/>
        </w:rPr>
        <w:t>(</w:t>
      </w:r>
      <w:r>
        <w:rPr/>
        <w:t>以下简称“昊华化工”)指定的承接方黑化集团出售公司截至</w:t>
      </w:r>
      <w:r>
        <w:rPr>
          <w:spacing w:val="-54"/>
        </w:rPr>
        <w:t> </w:t>
      </w:r>
      <w:r>
        <w:rPr>
          <w:rFonts w:ascii="宋体" w:hAnsi="宋体" w:cs="宋体" w:eastAsia="宋体" w:hint="default"/>
        </w:rPr>
        <w:t>2015</w:t>
      </w:r>
      <w:r>
        <w:rPr>
          <w:rFonts w:ascii="宋体" w:hAnsi="宋体" w:cs="宋体" w:eastAsia="宋体" w:hint="default"/>
          <w:spacing w:val="-54"/>
        </w:rPr>
        <w:t> </w:t>
      </w:r>
      <w:r>
        <w:rPr/>
        <w:t>年</w:t>
      </w:r>
      <w:r>
        <w:rPr>
          <w:spacing w:val="-56"/>
        </w:rPr>
        <w:t> </w:t>
      </w:r>
      <w:r>
        <w:rPr>
          <w:rFonts w:ascii="宋体" w:hAnsi="宋体" w:cs="宋体" w:eastAsia="宋体" w:hint="default"/>
        </w:rPr>
        <w:t>9</w:t>
      </w:r>
      <w:r>
        <w:rPr>
          <w:rFonts w:ascii="宋体" w:hAnsi="宋体" w:cs="宋体" w:eastAsia="宋体" w:hint="default"/>
          <w:spacing w:val="-54"/>
        </w:rPr>
        <w:t> </w:t>
      </w:r>
      <w:r>
        <w:rPr/>
        <w:t>月</w:t>
      </w:r>
      <w:r>
        <w:rPr>
          <w:spacing w:val="-56"/>
        </w:rPr>
        <w:t> </w:t>
      </w:r>
      <w:r>
        <w:rPr>
          <w:rFonts w:ascii="宋体" w:hAnsi="宋体" w:cs="宋体" w:eastAsia="宋体" w:hint="default"/>
        </w:rPr>
        <w:t>30</w:t>
      </w:r>
      <w:r>
        <w:rPr>
          <w:rFonts w:ascii="宋体" w:hAnsi="宋体" w:cs="宋体" w:eastAsia="宋体" w:hint="default"/>
          <w:spacing w:val="-53"/>
        </w:rPr>
        <w:t> </w:t>
      </w:r>
      <w:r>
        <w:rPr/>
        <w:t>日的全部资产及负</w:t>
      </w:r>
    </w:p>
    <w:p>
      <w:pPr>
        <w:pStyle w:val="BodyText"/>
        <w:spacing w:line="240" w:lineRule="auto" w:before="133"/>
        <w:ind w:left="138" w:right="0"/>
        <w:jc w:val="left"/>
      </w:pPr>
      <w:r>
        <w:rPr/>
        <w:t>债，且公司已于</w:t>
      </w:r>
      <w:r>
        <w:rPr>
          <w:spacing w:val="-54"/>
        </w:rPr>
        <w:t> </w:t>
      </w:r>
      <w:r>
        <w:rPr>
          <w:rFonts w:ascii="宋体" w:hAnsi="宋体" w:cs="宋体" w:eastAsia="宋体" w:hint="default"/>
        </w:rPr>
        <w:t>2016</w:t>
      </w:r>
      <w:r>
        <w:rPr>
          <w:rFonts w:ascii="宋体" w:hAnsi="宋体" w:cs="宋体" w:eastAsia="宋体" w:hint="default"/>
          <w:spacing w:val="-54"/>
        </w:rPr>
        <w:t> </w:t>
      </w:r>
      <w:r>
        <w:rPr/>
        <w:t>年</w:t>
      </w:r>
      <w:r>
        <w:rPr>
          <w:spacing w:val="-55"/>
        </w:rPr>
        <w:t> </w:t>
      </w:r>
      <w:r>
        <w:rPr>
          <w:rFonts w:ascii="宋体" w:hAnsi="宋体" w:cs="宋体" w:eastAsia="宋体" w:hint="default"/>
        </w:rPr>
        <w:t>7</w:t>
      </w:r>
      <w:r>
        <w:rPr>
          <w:rFonts w:ascii="宋体" w:hAnsi="宋体" w:cs="宋体" w:eastAsia="宋体" w:hint="default"/>
          <w:spacing w:val="-56"/>
        </w:rPr>
        <w:t> </w:t>
      </w:r>
      <w:r>
        <w:rPr/>
        <w:t>月</w:t>
      </w:r>
      <w:r>
        <w:rPr>
          <w:spacing w:val="-54"/>
        </w:rPr>
        <w:t> </w:t>
      </w:r>
      <w:r>
        <w:rPr>
          <w:rFonts w:ascii="宋体" w:hAnsi="宋体" w:cs="宋体" w:eastAsia="宋体" w:hint="default"/>
        </w:rPr>
        <w:t>13</w:t>
      </w:r>
      <w:r>
        <w:rPr>
          <w:rFonts w:ascii="宋体" w:hAnsi="宋体" w:cs="宋体" w:eastAsia="宋体" w:hint="default"/>
          <w:spacing w:val="-56"/>
        </w:rPr>
        <w:t> </w:t>
      </w:r>
      <w:r>
        <w:rPr/>
        <w:t>日与黑化集团、昊华化工签订了《置出资产交割确认书》，约定</w:t>
      </w:r>
    </w:p>
    <w:p>
      <w:pPr>
        <w:pStyle w:val="BodyText"/>
        <w:spacing w:line="357" w:lineRule="auto" w:before="133"/>
        <w:ind w:left="138" w:right="127"/>
        <w:jc w:val="both"/>
      </w:pPr>
      <w:r>
        <w:rPr/>
        <w:t>对于黑化股份在交割日</w:t>
      </w:r>
      <w:r>
        <w:rPr>
          <w:spacing w:val="-53"/>
        </w:rPr>
        <w:t> </w:t>
      </w:r>
      <w:r>
        <w:rPr>
          <w:rFonts w:ascii="宋体" w:hAnsi="宋体" w:cs="宋体" w:eastAsia="宋体" w:hint="default"/>
        </w:rPr>
        <w:t>2016</w:t>
      </w:r>
      <w:r>
        <w:rPr>
          <w:rFonts w:ascii="宋体" w:hAnsi="宋体" w:cs="宋体" w:eastAsia="宋体" w:hint="default"/>
          <w:spacing w:val="-54"/>
        </w:rPr>
        <w:t> </w:t>
      </w:r>
      <w:r>
        <w:rPr/>
        <w:t>年</w:t>
      </w:r>
      <w:r>
        <w:rPr>
          <w:spacing w:val="-56"/>
        </w:rPr>
        <w:t> </w:t>
      </w:r>
      <w:r>
        <w:rPr>
          <w:rFonts w:ascii="宋体" w:hAnsi="宋体" w:cs="宋体" w:eastAsia="宋体" w:hint="default"/>
        </w:rPr>
        <w:t>7</w:t>
      </w:r>
      <w:r>
        <w:rPr>
          <w:rFonts w:ascii="宋体" w:hAnsi="宋体" w:cs="宋体" w:eastAsia="宋体" w:hint="default"/>
          <w:spacing w:val="-54"/>
        </w:rPr>
        <w:t> </w:t>
      </w:r>
      <w:r>
        <w:rPr/>
        <w:t>月</w:t>
      </w:r>
      <w:r>
        <w:rPr>
          <w:spacing w:val="-54"/>
        </w:rPr>
        <w:t> </w:t>
      </w:r>
      <w:r>
        <w:rPr>
          <w:rFonts w:ascii="宋体" w:hAnsi="宋体" w:cs="宋体" w:eastAsia="宋体" w:hint="default"/>
        </w:rPr>
        <w:t>13</w:t>
      </w:r>
      <w:r>
        <w:rPr>
          <w:rFonts w:ascii="宋体" w:hAnsi="宋体" w:cs="宋体" w:eastAsia="宋体" w:hint="default"/>
          <w:spacing w:val="-54"/>
        </w:rPr>
        <w:t> </w:t>
      </w:r>
      <w:r>
        <w:rPr/>
        <w:t>日前未能取得债权人同意或未能实现顺利转移的债务、担</w:t>
      </w:r>
      <w:r>
        <w:rPr>
          <w:w w:val="100"/>
        </w:rPr>
        <w:t> </w:t>
      </w:r>
      <w:r>
        <w:rPr>
          <w:spacing w:val="-2"/>
        </w:rPr>
        <w:t>保，黑化股份应预留等额现金或偿付金额，若届时黑化股份无法筹集该等现金或资金，则黑化集</w:t>
      </w:r>
      <w:r>
        <w:rPr>
          <w:spacing w:val="-25"/>
        </w:rPr>
        <w:t> </w:t>
      </w:r>
      <w:r>
        <w:rPr>
          <w:spacing w:val="-25"/>
        </w:rPr>
      </w:r>
      <w:r>
        <w:rPr>
          <w:spacing w:val="-2"/>
        </w:rPr>
        <w:t>团有义务代黑化股份履行相应的清偿或支付义务且黑化集团将无条件放弃向黑化股份进行追索的</w:t>
      </w:r>
      <w:r>
        <w:rPr>
          <w:spacing w:val="-25"/>
        </w:rPr>
        <w:t> </w:t>
      </w:r>
      <w:r>
        <w:rPr>
          <w:spacing w:val="-25"/>
        </w:rPr>
      </w:r>
      <w:r>
        <w:rPr>
          <w:spacing w:val="-4"/>
        </w:rPr>
        <w:t>权利，昊华化工对黑化集团的前述责任</w:t>
      </w:r>
      <w:r>
        <w:rPr>
          <w:rFonts w:ascii="宋体" w:hAnsi="宋体" w:cs="宋体" w:eastAsia="宋体" w:hint="default"/>
          <w:spacing w:val="-4"/>
        </w:rPr>
        <w:t>/</w:t>
      </w:r>
      <w:r>
        <w:rPr>
          <w:spacing w:val="-4"/>
        </w:rPr>
        <w:t>义务承担连带责任。同时，黑化集团、昊华化工、中国化</w:t>
      </w:r>
      <w:r>
        <w:rPr>
          <w:spacing w:val="-37"/>
        </w:rPr>
        <w:t> </w:t>
      </w:r>
      <w:r>
        <w:rPr>
          <w:spacing w:val="-37"/>
        </w:rPr>
      </w:r>
      <w:r>
        <w:rPr>
          <w:spacing w:val="-2"/>
        </w:rPr>
        <w:t>工装备总公司出具承诺如下：如任何人或实体（包括但不限于任何公司、企业、金融机构、政府</w:t>
      </w:r>
      <w:r>
        <w:rPr>
          <w:spacing w:val="-25"/>
        </w:rPr>
        <w:t> </w:t>
      </w:r>
      <w:r>
        <w:rPr>
          <w:spacing w:val="-25"/>
        </w:rPr>
      </w:r>
      <w:r>
        <w:rPr>
          <w:spacing w:val="-4"/>
        </w:rPr>
        <w:t>机构）就最迟交割日（涉及需要办理权属变更登记手续方能转移所有权</w:t>
      </w:r>
      <w:r>
        <w:rPr>
          <w:rFonts w:ascii="宋体" w:hAnsi="宋体" w:cs="宋体" w:eastAsia="宋体" w:hint="default"/>
          <w:spacing w:val="-4"/>
        </w:rPr>
        <w:t>/</w:t>
      </w:r>
      <w:r>
        <w:rPr>
          <w:spacing w:val="-4"/>
        </w:rPr>
        <w:t>使用权的资产，包括但不</w:t>
      </w:r>
      <w:r>
        <w:rPr>
          <w:spacing w:val="-33"/>
        </w:rPr>
        <w:t> </w:t>
      </w:r>
      <w:r>
        <w:rPr>
          <w:spacing w:val="-33"/>
        </w:rPr>
      </w:r>
      <w:r>
        <w:rPr>
          <w:spacing w:val="-2"/>
        </w:rPr>
        <w:t>限于土地、房产、运输工具、商标、专利、对外投资和股票等，则最迟为该等资产在有权机关办</w:t>
      </w:r>
      <w:r>
        <w:rPr>
          <w:spacing w:val="-25"/>
        </w:rPr>
        <w:t> </w:t>
      </w:r>
      <w:r>
        <w:rPr>
          <w:spacing w:val="-25"/>
        </w:rPr>
      </w:r>
      <w:r>
        <w:rPr>
          <w:spacing w:val="-2"/>
        </w:rPr>
        <w:t>理完毕变更登记手续之次日）前与黑化股份的存续、业务、运营、管理、交易、供货、采购、仓</w:t>
      </w:r>
      <w:r>
        <w:rPr>
          <w:spacing w:val="-25"/>
        </w:rPr>
        <w:t> </w:t>
      </w:r>
      <w:r>
        <w:rPr>
          <w:spacing w:val="-25"/>
        </w:rPr>
      </w:r>
      <w:r>
        <w:rPr>
          <w:spacing w:val="-2"/>
        </w:rPr>
        <w:t>储、资产（包括有形及无形资产）、融资、环境保护、雇佣、社会保险及员工福利、违约行为、</w:t>
      </w:r>
      <w:r>
        <w:rPr>
          <w:spacing w:val="-25"/>
        </w:rPr>
        <w:t> </w:t>
      </w:r>
      <w:r>
        <w:rPr>
          <w:spacing w:val="-25"/>
        </w:rPr>
      </w:r>
      <w:r>
        <w:rPr>
          <w:spacing w:val="-4"/>
        </w:rPr>
        <w:t>违法违规行为、任何债务、任何法定或约定的支付或清偿义务相关的任何事实：（</w:t>
      </w:r>
      <w:r>
        <w:rPr>
          <w:rFonts w:ascii="宋体" w:hAnsi="宋体" w:cs="宋体" w:eastAsia="宋体" w:hint="default"/>
          <w:spacing w:val="-4"/>
        </w:rPr>
        <w:t>i</w:t>
      </w:r>
      <w:r>
        <w:rPr>
          <w:spacing w:val="-4"/>
        </w:rPr>
        <w:t>）向黑化股份</w:t>
      </w:r>
      <w:r>
        <w:rPr>
          <w:spacing w:val="-38"/>
        </w:rPr>
        <w:t> </w:t>
      </w:r>
      <w:r>
        <w:rPr>
          <w:spacing w:val="-38"/>
        </w:rPr>
      </w:r>
      <w:r>
        <w:rPr>
          <w:spacing w:val="-6"/>
        </w:rPr>
        <w:t>及其关联方提出任何主张、请求、争议、索赔；或（</w:t>
      </w:r>
      <w:r>
        <w:rPr>
          <w:rFonts w:ascii="宋体" w:hAnsi="宋体" w:cs="宋体" w:eastAsia="宋体" w:hint="default"/>
          <w:spacing w:val="-6"/>
        </w:rPr>
        <w:t>ii</w:t>
      </w:r>
      <w:r>
        <w:rPr>
          <w:spacing w:val="-6"/>
        </w:rPr>
        <w:t>）针对黑化股份及其关联方启动任何司法、</w:t>
      </w:r>
      <w:r>
        <w:rPr>
          <w:spacing w:val="-46"/>
        </w:rPr>
        <w:t> </w:t>
      </w:r>
      <w:r>
        <w:rPr>
          <w:spacing w:val="-46"/>
        </w:rPr>
      </w:r>
      <w:r>
        <w:rPr>
          <w:spacing w:val="-2"/>
        </w:rPr>
        <w:t>仲裁或行政程序，黑化集团应立即采取一切现实可行的措施有效避免黑化股份及其关联方因此遭</w:t>
      </w:r>
      <w:r>
        <w:rPr>
          <w:spacing w:val="-25"/>
        </w:rPr>
        <w:t> </w:t>
      </w:r>
      <w:r>
        <w:rPr>
          <w:spacing w:val="-25"/>
        </w:rPr>
      </w:r>
      <w:r>
        <w:rPr>
          <w:spacing w:val="-2"/>
        </w:rPr>
        <w:t>受实际损失。在此情形之下，如黑化股份及其关联方因此实际负担任何赔偿或支付义务，均由黑</w:t>
      </w:r>
      <w:r>
        <w:rPr>
          <w:spacing w:val="-25"/>
        </w:rPr>
        <w:t> </w:t>
      </w:r>
      <w:r>
        <w:rPr>
          <w:spacing w:val="-25"/>
        </w:rPr>
      </w:r>
      <w:r>
        <w:rPr/>
        <w:t>化集团代为赔偿该等损失或代为偿付该等金额。</w:t>
      </w:r>
    </w:p>
    <w:p>
      <w:pPr>
        <w:pStyle w:val="BodyText"/>
        <w:spacing w:line="240" w:lineRule="auto" w:before="30"/>
        <w:ind w:left="558" w:right="0"/>
        <w:jc w:val="left"/>
      </w:pPr>
      <w:r>
        <w:rPr/>
        <w:t>（二）黑化集团针对双鸭山矿业买卖合同的履行存在争议一案的相关诉讼已于</w:t>
      </w:r>
      <w:r>
        <w:rPr>
          <w:spacing w:val="-53"/>
        </w:rPr>
        <w:t> </w:t>
      </w:r>
      <w:r>
        <w:rPr>
          <w:rFonts w:ascii="宋体" w:hAnsi="宋体" w:cs="宋体" w:eastAsia="宋体" w:hint="default"/>
        </w:rPr>
        <w:t>2016</w:t>
      </w:r>
      <w:r>
        <w:rPr>
          <w:rFonts w:ascii="宋体" w:hAnsi="宋体" w:cs="宋体" w:eastAsia="宋体" w:hint="default"/>
          <w:spacing w:val="-54"/>
        </w:rPr>
        <w:t> </w:t>
      </w:r>
      <w:r>
        <w:rPr/>
        <w:t>年</w:t>
      </w:r>
      <w:r>
        <w:rPr>
          <w:spacing w:val="-56"/>
        </w:rPr>
        <w:t> </w:t>
      </w:r>
      <w:r>
        <w:rPr>
          <w:rFonts w:ascii="宋体" w:hAnsi="宋体" w:cs="宋体" w:eastAsia="宋体" w:hint="default"/>
        </w:rPr>
        <w:t>10</w:t>
      </w:r>
      <w:r>
        <w:rPr>
          <w:rFonts w:ascii="宋体" w:hAnsi="宋体" w:cs="宋体" w:eastAsia="宋体" w:hint="default"/>
          <w:spacing w:val="-54"/>
        </w:rPr>
        <w:t> </w:t>
      </w:r>
      <w:r>
        <w:rPr/>
        <w:t>月</w:t>
      </w:r>
    </w:p>
    <w:p>
      <w:pPr>
        <w:pStyle w:val="BodyText"/>
        <w:spacing w:line="355" w:lineRule="auto" w:before="133"/>
        <w:ind w:left="138" w:right="125"/>
        <w:jc w:val="left"/>
      </w:pPr>
      <w:r>
        <w:rPr>
          <w:rFonts w:ascii="宋体" w:hAnsi="宋体" w:cs="宋体" w:eastAsia="宋体" w:hint="default"/>
        </w:rPr>
        <w:t>20</w:t>
      </w:r>
      <w:r>
        <w:rPr>
          <w:rFonts w:ascii="宋体" w:hAnsi="宋体" w:cs="宋体" w:eastAsia="宋体" w:hint="default"/>
          <w:spacing w:val="-42"/>
        </w:rPr>
        <w:t> </w:t>
      </w:r>
      <w:r>
        <w:rPr/>
        <w:t>日向本公司提供了</w:t>
      </w:r>
      <w:r>
        <w:rPr>
          <w:spacing w:val="-42"/>
        </w:rPr>
        <w:t> </w:t>
      </w:r>
      <w:r>
        <w:rPr>
          <w:rFonts w:ascii="宋体" w:hAnsi="宋体" w:cs="宋体" w:eastAsia="宋体" w:hint="default"/>
        </w:rPr>
        <w:t>1,500</w:t>
      </w:r>
      <w:r>
        <w:rPr>
          <w:rFonts w:ascii="宋体" w:hAnsi="宋体" w:cs="宋体" w:eastAsia="宋体" w:hint="default"/>
          <w:spacing w:val="-40"/>
        </w:rPr>
        <w:t> </w:t>
      </w:r>
      <w:r>
        <w:rPr>
          <w:spacing w:val="-3"/>
        </w:rPr>
        <w:t>万元的涉诉保证金，如公司因本次诉讼需负担任何偿付义务，均由前</w:t>
      </w:r>
      <w:r>
        <w:rPr>
          <w:spacing w:val="-100"/>
        </w:rPr>
        <w:t> </w:t>
      </w:r>
      <w:r>
        <w:rPr>
          <w:spacing w:val="-100"/>
        </w:rPr>
      </w:r>
      <w:r>
        <w:rPr/>
        <w:t>述保证金进行先行偿付。</w:t>
      </w:r>
    </w:p>
    <w:p>
      <w:pPr>
        <w:pStyle w:val="BodyText"/>
        <w:spacing w:line="355" w:lineRule="auto" w:before="34"/>
        <w:ind w:left="138" w:right="125" w:firstLine="419"/>
        <w:jc w:val="left"/>
      </w:pPr>
      <w:r>
        <w:rPr>
          <w:spacing w:val="-2"/>
        </w:rPr>
        <w:t>上诉诉讼事项，黑化集团已履行完赔偿责任。因此，本次诉讼不会对本公司本期利润或期后</w:t>
      </w:r>
      <w:r>
        <w:rPr>
          <w:w w:val="100"/>
        </w:rPr>
        <w:t> </w:t>
      </w:r>
      <w:r>
        <w:rPr/>
        <w:t>利润等产生负面影响。</w:t>
      </w:r>
    </w:p>
    <w:p>
      <w:pPr>
        <w:spacing w:line="240" w:lineRule="auto" w:before="0"/>
        <w:rPr>
          <w:rFonts w:ascii="宋体" w:hAnsi="宋体" w:cs="宋体" w:eastAsia="宋体" w:hint="default"/>
          <w:sz w:val="20"/>
          <w:szCs w:val="20"/>
        </w:rPr>
      </w:pPr>
    </w:p>
    <w:p>
      <w:pPr>
        <w:pStyle w:val="Heading2"/>
        <w:spacing w:line="272" w:lineRule="exact" w:before="132"/>
        <w:ind w:left="558" w:right="125" w:hanging="420"/>
        <w:jc w:val="left"/>
        <w:rPr>
          <w:b w:val="0"/>
          <w:bCs w:val="0"/>
        </w:rPr>
      </w:pPr>
      <w:r>
        <w:rPr>
          <w:spacing w:val="-1"/>
        </w:rPr>
        <w:t>十一、上市公司及其董事、监事、高级管理人员、控股股东、实际控制人、收购人处罚及整改情</w:t>
      </w:r>
      <w:r>
        <w:rPr>
          <w:spacing w:val="-82"/>
        </w:rPr>
        <w:t> </w:t>
      </w:r>
      <w:r>
        <w:rPr>
          <w:spacing w:val="-82"/>
        </w:rPr>
      </w:r>
      <w:r>
        <w:rPr/>
        <w:t>况</w:t>
      </w:r>
      <w:r>
        <w:rPr>
          <w:b w:val="0"/>
          <w:bCs w:val="0"/>
        </w:rPr>
      </w:r>
    </w:p>
    <w:p>
      <w:pPr>
        <w:pStyle w:val="BodyText"/>
        <w:spacing w:line="240" w:lineRule="auto" w:before="34"/>
        <w:ind w:left="138" w:right="125"/>
        <w:jc w:val="left"/>
      </w:pPr>
      <w:r>
        <w:rPr/>
        <w:t>□适用</w:t>
      </w:r>
      <w:r>
        <w:rPr>
          <w:spacing w:val="-1"/>
        </w:rPr>
        <w:t> </w:t>
      </w:r>
      <w:r>
        <w:rPr/>
        <w:t>√不适用</w:t>
      </w:r>
    </w:p>
    <w:p>
      <w:pPr>
        <w:spacing w:line="240" w:lineRule="auto" w:before="0"/>
        <w:rPr>
          <w:rFonts w:ascii="宋体" w:hAnsi="宋体" w:cs="宋体" w:eastAsia="宋体" w:hint="default"/>
          <w:sz w:val="25"/>
          <w:szCs w:val="25"/>
        </w:rPr>
      </w:pPr>
    </w:p>
    <w:p>
      <w:pPr>
        <w:pStyle w:val="Heading2"/>
        <w:spacing w:line="240" w:lineRule="auto"/>
        <w:ind w:left="138" w:right="125"/>
        <w:jc w:val="left"/>
        <w:rPr>
          <w:b w:val="0"/>
          <w:bCs w:val="0"/>
        </w:rPr>
      </w:pPr>
      <w:r>
        <w:rPr/>
        <w:t>十二、报告期内公司及其控股股东、实际控制人诚信状况的说明</w:t>
      </w:r>
      <w:r>
        <w:rPr>
          <w:b w:val="0"/>
          <w:bCs w:val="0"/>
        </w:rPr>
      </w:r>
    </w:p>
    <w:p>
      <w:pPr>
        <w:pStyle w:val="BodyText"/>
        <w:tabs>
          <w:tab w:pos="980" w:val="left" w:leader="none"/>
        </w:tabs>
        <w:spacing w:line="272" w:lineRule="exact" w:before="86"/>
        <w:ind w:left="558" w:right="148" w:hanging="420"/>
        <w:jc w:val="left"/>
      </w:pPr>
      <w:r>
        <w:rPr>
          <w:spacing w:val="-1"/>
        </w:rPr>
        <w:t>√适用</w:t>
        <w:tab/>
      </w:r>
      <w:r>
        <w:rPr>
          <w:spacing w:val="-2"/>
        </w:rPr>
        <w:t>□不适用</w:t>
      </w:r>
      <w:r>
        <w:rPr>
          <w:spacing w:val="-99"/>
        </w:rPr>
        <w:t> </w:t>
      </w:r>
      <w:r>
        <w:rPr>
          <w:spacing w:val="-99"/>
        </w:rPr>
      </w:r>
      <w:r>
        <w:rPr>
          <w:spacing w:val="-2"/>
        </w:rPr>
        <w:t>报告期内，公司控股股东、实际控制人不存在数额较大债务到期未清偿或未履行法院生效判</w:t>
      </w:r>
    </w:p>
    <w:p>
      <w:pPr>
        <w:pStyle w:val="BodyText"/>
        <w:spacing w:line="240" w:lineRule="auto" w:before="110"/>
        <w:ind w:left="138" w:right="125"/>
        <w:jc w:val="left"/>
      </w:pPr>
      <w:r>
        <w:rPr/>
        <w:t>决等不良诚信状况。</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Heading2"/>
        <w:spacing w:line="292" w:lineRule="auto"/>
        <w:ind w:left="138" w:right="1432"/>
        <w:jc w:val="left"/>
        <w:rPr>
          <w:b w:val="0"/>
          <w:bCs w:val="0"/>
        </w:rPr>
      </w:pPr>
      <w:r>
        <w:rPr>
          <w:spacing w:val="-1"/>
        </w:rPr>
        <w:t>十三、公司股权激励计划、员工持股计划或其他员工激励措施的情况及其影响</w:t>
      </w:r>
      <w:r>
        <w:rPr>
          <w:spacing w:val="-72"/>
        </w:rPr>
        <w:t> </w:t>
      </w:r>
      <w:r>
        <w:rPr>
          <w:spacing w:val="-72"/>
        </w:rPr>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34"/>
        </w:rPr>
        <w:t> </w:t>
      </w:r>
      <w:r>
        <w:rPr/>
        <w:t>相关激励事项已在临时公告披露且后续实施无进展或变化的</w:t>
      </w:r>
      <w:r>
        <w:rPr>
          <w:b w:val="0"/>
          <w:bCs w:val="0"/>
        </w:rPr>
      </w:r>
    </w:p>
    <w:p>
      <w:pPr>
        <w:pStyle w:val="BodyText"/>
        <w:spacing w:line="240" w:lineRule="auto" w:before="10"/>
        <w:ind w:left="138" w:right="125"/>
        <w:jc w:val="left"/>
      </w:pPr>
      <w:r>
        <w:rPr/>
        <w:t>√适用</w:t>
      </w:r>
      <w:r>
        <w:rPr>
          <w:spacing w:val="-1"/>
        </w:rPr>
        <w:t> </w:t>
      </w:r>
      <w:r>
        <w:rPr/>
        <w:t>□不适用</w:t>
      </w:r>
    </w:p>
    <w:p>
      <w:pPr>
        <w:spacing w:after="0" w:line="240" w:lineRule="auto"/>
        <w:jc w:val="left"/>
        <w:sectPr>
          <w:pgSz w:w="11910" w:h="16840"/>
          <w:pgMar w:header="880"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5070"/>
        <w:gridCol w:w="3901"/>
      </w:tblGrid>
      <w:tr>
        <w:trPr>
          <w:trHeight w:val="284" w:hRule="exact"/>
        </w:trPr>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 w:right="0"/>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390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1373" w:hRule="exact"/>
        </w:trPr>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安通控股股份有限公司（以下简称“公司”）分别于</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14</w:t>
            </w:r>
            <w:r>
              <w:rPr>
                <w:rFonts w:ascii="宋体" w:hAnsi="宋体" w:cs="宋体" w:eastAsia="宋体" w:hint="default"/>
                <w:spacing w:val="-54"/>
                <w:sz w:val="21"/>
                <w:szCs w:val="21"/>
              </w:rPr>
              <w:t> </w:t>
            </w:r>
            <w:r>
              <w:rPr>
                <w:rFonts w:ascii="宋体" w:hAnsi="宋体" w:cs="宋体" w:eastAsia="宋体" w:hint="default"/>
                <w:sz w:val="21"/>
                <w:szCs w:val="21"/>
              </w:rPr>
              <w:t>日和</w:t>
            </w:r>
            <w:r>
              <w:rPr>
                <w:rFonts w:ascii="宋体" w:hAnsi="宋体" w:cs="宋体" w:eastAsia="宋体" w:hint="default"/>
                <w:spacing w:val="-54"/>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日召开公司第六</w:t>
            </w:r>
          </w:p>
          <w:p>
            <w:pPr>
              <w:pStyle w:val="TableParagraph"/>
              <w:spacing w:line="237" w:lineRule="auto"/>
              <w:ind w:left="103" w:right="120"/>
              <w:jc w:val="both"/>
              <w:rPr>
                <w:rFonts w:ascii="宋体" w:hAnsi="宋体" w:cs="宋体" w:eastAsia="宋体" w:hint="default"/>
                <w:sz w:val="21"/>
                <w:szCs w:val="21"/>
              </w:rPr>
            </w:pPr>
            <w:r>
              <w:rPr>
                <w:rFonts w:ascii="宋体" w:hAnsi="宋体" w:cs="宋体" w:eastAsia="宋体" w:hint="default"/>
                <w:sz w:val="21"/>
                <w:szCs w:val="21"/>
              </w:rPr>
              <w:t>届董事会</w:t>
            </w:r>
            <w:r>
              <w:rPr>
                <w:rFonts w:ascii="宋体" w:hAnsi="宋体" w:cs="宋体" w:eastAsia="宋体" w:hint="default"/>
                <w:spacing w:val="-54"/>
                <w:sz w:val="21"/>
                <w:szCs w:val="21"/>
              </w:rPr>
              <w:t> </w:t>
            </w: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年第一次临时会议和</w:t>
            </w:r>
            <w:r>
              <w:rPr>
                <w:rFonts w:ascii="宋体" w:hAnsi="宋体" w:cs="宋体" w:eastAsia="宋体" w:hint="default"/>
                <w:spacing w:val="-53"/>
                <w:sz w:val="21"/>
                <w:szCs w:val="21"/>
              </w:rPr>
              <w:t> </w:t>
            </w: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年第一次临</w:t>
            </w:r>
            <w:r>
              <w:rPr>
                <w:rFonts w:ascii="宋体" w:hAnsi="宋体" w:cs="宋体" w:eastAsia="宋体" w:hint="default"/>
                <w:w w:val="100"/>
                <w:sz w:val="21"/>
                <w:szCs w:val="21"/>
              </w:rPr>
              <w:t> </w:t>
            </w:r>
            <w:r>
              <w:rPr>
                <w:rFonts w:ascii="宋体" w:hAnsi="宋体" w:cs="宋体" w:eastAsia="宋体" w:hint="default"/>
                <w:spacing w:val="-2"/>
                <w:sz w:val="21"/>
                <w:szCs w:val="21"/>
              </w:rPr>
              <w:t>时股东大会，审议通过了《安通控股股份有限公司第</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2"/>
                <w:sz w:val="21"/>
                <w:szCs w:val="21"/>
              </w:rPr>
              <w:t>一期员工持股计划（草案）及其摘要》等相关议案。</w:t>
            </w:r>
          </w:p>
        </w:tc>
        <w:tc>
          <w:tcPr>
            <w:tcW w:w="39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详情请见公司分别于</w:t>
            </w:r>
            <w:r>
              <w:rPr>
                <w:rFonts w:ascii="宋体" w:hAnsi="宋体" w:cs="宋体" w:eastAsia="宋体" w:hint="default"/>
                <w:spacing w:val="-53"/>
                <w:sz w:val="21"/>
                <w:szCs w:val="21"/>
              </w:rPr>
              <w:t> </w:t>
            </w: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15</w:t>
            </w:r>
            <w:r>
              <w:rPr>
                <w:rFonts w:ascii="宋体" w:hAnsi="宋体" w:cs="宋体" w:eastAsia="宋体" w:hint="default"/>
                <w:spacing w:val="-55"/>
                <w:sz w:val="21"/>
                <w:szCs w:val="21"/>
              </w:rPr>
              <w:t> </w:t>
            </w:r>
            <w:r>
              <w:rPr>
                <w:rFonts w:ascii="宋体" w:hAnsi="宋体" w:cs="宋体" w:eastAsia="宋体" w:hint="default"/>
                <w:sz w:val="21"/>
                <w:szCs w:val="21"/>
              </w:rPr>
              <w:t>日、</w:t>
            </w:r>
          </w:p>
          <w:p>
            <w:pPr>
              <w:pStyle w:val="TableParagraph"/>
              <w:spacing w:line="272" w:lineRule="exact"/>
              <w:ind w:left="103" w:right="-5"/>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8</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pacing w:val="-10"/>
                <w:sz w:val="21"/>
                <w:szCs w:val="21"/>
              </w:rPr>
              <w:t>日刊登在《中国证券报》、</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《上海证券报》及上海证券交易所网站</w:t>
            </w:r>
          </w:p>
          <w:p>
            <w:pPr>
              <w:pStyle w:val="TableParagraph"/>
              <w:spacing w:line="272" w:lineRule="exact" w:before="27"/>
              <w:ind w:left="103" w:right="132"/>
              <w:jc w:val="left"/>
              <w:rPr>
                <w:rFonts w:ascii="宋体" w:hAnsi="宋体" w:cs="宋体" w:eastAsia="宋体" w:hint="default"/>
                <w:sz w:val="21"/>
                <w:szCs w:val="21"/>
              </w:rPr>
            </w:pPr>
            <w:r>
              <w:rPr>
                <w:rFonts w:ascii="宋体" w:hAnsi="宋体" w:cs="宋体" w:eastAsia="宋体" w:hint="default"/>
                <w:spacing w:val="-6"/>
                <w:sz w:val="21"/>
                <w:szCs w:val="21"/>
              </w:rPr>
              <w:t>（</w:t>
            </w:r>
            <w:r>
              <w:rPr>
                <w:rFonts w:ascii="宋体" w:hAnsi="宋体" w:cs="宋体" w:eastAsia="宋体" w:hint="default"/>
                <w:spacing w:val="-6"/>
                <w:sz w:val="21"/>
                <w:szCs w:val="21"/>
              </w:rPr>
              <w:t>http</w:t>
            </w:r>
            <w:r>
              <w:rPr>
                <w:rFonts w:ascii="宋体" w:hAnsi="宋体" w:cs="宋体" w:eastAsia="宋体" w:hint="default"/>
                <w:spacing w:val="-6"/>
                <w:sz w:val="21"/>
                <w:szCs w:val="21"/>
              </w:rPr>
              <w:t>：</w:t>
            </w:r>
            <w:hyperlink r:id="rId9">
              <w:r>
                <w:rPr>
                  <w:rFonts w:ascii="宋体" w:hAnsi="宋体" w:cs="宋体" w:eastAsia="宋体" w:hint="default"/>
                  <w:spacing w:val="-6"/>
                  <w:sz w:val="21"/>
                  <w:szCs w:val="21"/>
                </w:rPr>
                <w:t>//www.sse.com.c</w:t>
              </w:r>
            </w:hyperlink>
            <w:r>
              <w:rPr>
                <w:rFonts w:ascii="宋体" w:hAnsi="宋体" w:cs="宋体" w:eastAsia="宋体" w:hint="default"/>
                <w:spacing w:val="-6"/>
                <w:sz w:val="21"/>
                <w:szCs w:val="21"/>
              </w:rPr>
              <w:t>n</w:t>
            </w:r>
            <w:r>
              <w:rPr>
                <w:rFonts w:ascii="宋体" w:hAnsi="宋体" w:cs="宋体" w:eastAsia="宋体" w:hint="default"/>
                <w:spacing w:val="-6"/>
                <w:sz w:val="21"/>
                <w:szCs w:val="21"/>
              </w:rPr>
              <w:t>）的公告，公</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告编号：</w:t>
            </w:r>
            <w:r>
              <w:rPr>
                <w:rFonts w:ascii="宋体" w:hAnsi="宋体" w:cs="宋体" w:eastAsia="宋体" w:hint="default"/>
                <w:sz w:val="21"/>
                <w:szCs w:val="21"/>
              </w:rPr>
              <w:t>2017-034</w:t>
            </w:r>
            <w:r>
              <w:rPr>
                <w:rFonts w:ascii="宋体" w:hAnsi="宋体" w:cs="宋体" w:eastAsia="宋体" w:hint="default"/>
                <w:sz w:val="21"/>
                <w:szCs w:val="21"/>
              </w:rPr>
              <w:t>、</w:t>
            </w:r>
            <w:r>
              <w:rPr>
                <w:rFonts w:ascii="宋体" w:hAnsi="宋体" w:cs="宋体" w:eastAsia="宋体" w:hint="default"/>
                <w:sz w:val="21"/>
                <w:szCs w:val="21"/>
              </w:rPr>
              <w:t>2017-041</w:t>
            </w:r>
            <w:r>
              <w:rPr>
                <w:rFonts w:ascii="宋体" w:hAnsi="宋体" w:cs="宋体" w:eastAsia="宋体" w:hint="default"/>
                <w:sz w:val="21"/>
                <w:szCs w:val="21"/>
              </w:rPr>
              <w:t>。</w:t>
            </w:r>
          </w:p>
        </w:tc>
      </w:tr>
      <w:tr>
        <w:trPr>
          <w:trHeight w:val="1916" w:hRule="exact"/>
        </w:trPr>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53"/>
                <w:sz w:val="21"/>
                <w:szCs w:val="21"/>
              </w:rPr>
              <w:t> </w:t>
            </w: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日，公司第一期员工持股计划已</w:t>
            </w: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通过“兴证资管鑫众—安通控股</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号定向资产管理计</w:t>
            </w:r>
            <w:r>
              <w:rPr>
                <w:rFonts w:ascii="宋体" w:hAnsi="宋体" w:cs="宋体" w:eastAsia="宋体" w:hint="default"/>
                <w:w w:val="100"/>
                <w:sz w:val="21"/>
                <w:szCs w:val="21"/>
              </w:rPr>
              <w:t> </w:t>
            </w:r>
            <w:r>
              <w:rPr>
                <w:rFonts w:ascii="宋体" w:hAnsi="宋体" w:cs="宋体" w:eastAsia="宋体" w:hint="default"/>
                <w:spacing w:val="-2"/>
                <w:sz w:val="21"/>
                <w:szCs w:val="21"/>
              </w:rPr>
              <w:t>划”在二级市场完成本次员工持股计划股票的购买，</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累计买入本公司股票</w:t>
            </w:r>
            <w:r>
              <w:rPr>
                <w:rFonts w:ascii="宋体" w:hAnsi="宋体" w:cs="宋体" w:eastAsia="宋体" w:hint="default"/>
                <w:spacing w:val="-49"/>
                <w:sz w:val="21"/>
                <w:szCs w:val="21"/>
              </w:rPr>
              <w:t> </w:t>
            </w:r>
            <w:r>
              <w:rPr>
                <w:rFonts w:ascii="宋体" w:hAnsi="宋体" w:cs="宋体" w:eastAsia="宋体" w:hint="default"/>
                <w:sz w:val="21"/>
                <w:szCs w:val="21"/>
              </w:rPr>
              <w:t>15,342,786</w:t>
            </w:r>
            <w:r>
              <w:rPr>
                <w:rFonts w:ascii="宋体" w:hAnsi="宋体" w:cs="宋体" w:eastAsia="宋体" w:hint="default"/>
                <w:spacing w:val="-48"/>
                <w:sz w:val="21"/>
                <w:szCs w:val="21"/>
              </w:rPr>
              <w:t> </w:t>
            </w:r>
            <w:r>
              <w:rPr>
                <w:rFonts w:ascii="宋体" w:hAnsi="宋体" w:cs="宋体" w:eastAsia="宋体" w:hint="default"/>
                <w:spacing w:val="-11"/>
                <w:sz w:val="21"/>
                <w:szCs w:val="21"/>
              </w:rPr>
              <w:t>股，成交均价约为人</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z w:val="21"/>
                <w:szCs w:val="21"/>
              </w:rPr>
              <w:t>民币</w:t>
            </w:r>
            <w:r>
              <w:rPr>
                <w:rFonts w:ascii="宋体" w:hAnsi="宋体" w:cs="宋体" w:eastAsia="宋体" w:hint="default"/>
                <w:spacing w:val="-55"/>
                <w:sz w:val="21"/>
                <w:szCs w:val="21"/>
              </w:rPr>
              <w:t> </w:t>
            </w:r>
            <w:r>
              <w:rPr>
                <w:rFonts w:ascii="宋体" w:hAnsi="宋体" w:cs="宋体" w:eastAsia="宋体" w:hint="default"/>
                <w:sz w:val="21"/>
                <w:szCs w:val="21"/>
              </w:rPr>
              <w:t>25.7230</w:t>
            </w:r>
            <w:r>
              <w:rPr>
                <w:rFonts w:ascii="宋体" w:hAnsi="宋体" w:cs="宋体" w:eastAsia="宋体" w:hint="default"/>
                <w:spacing w:val="-55"/>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股，成交金额为人民币</w:t>
            </w:r>
          </w:p>
          <w:p>
            <w:pPr>
              <w:pStyle w:val="TableParagraph"/>
              <w:spacing w:line="273" w:lineRule="exact"/>
              <w:ind w:left="103" w:right="0"/>
              <w:jc w:val="both"/>
              <w:rPr>
                <w:rFonts w:ascii="宋体" w:hAnsi="宋体" w:cs="宋体" w:eastAsia="宋体" w:hint="default"/>
                <w:sz w:val="21"/>
                <w:szCs w:val="21"/>
              </w:rPr>
            </w:pPr>
            <w:r>
              <w:rPr>
                <w:rFonts w:ascii="宋体" w:hAnsi="宋体" w:cs="宋体" w:eastAsia="宋体" w:hint="default"/>
                <w:sz w:val="21"/>
                <w:szCs w:val="21"/>
              </w:rPr>
              <w:t>394,662,005.73</w:t>
            </w:r>
            <w:r>
              <w:rPr>
                <w:rFonts w:ascii="宋体" w:hAnsi="宋体" w:cs="宋体" w:eastAsia="宋体" w:hint="default"/>
                <w:spacing w:val="-55"/>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买入股票数量占公司总股本的</w:t>
            </w:r>
          </w:p>
          <w:p>
            <w:pPr>
              <w:pStyle w:val="TableParagraph"/>
              <w:spacing w:line="275" w:lineRule="exact"/>
              <w:ind w:left="103" w:right="0"/>
              <w:jc w:val="both"/>
              <w:rPr>
                <w:rFonts w:ascii="宋体" w:hAnsi="宋体" w:cs="宋体" w:eastAsia="宋体" w:hint="default"/>
                <w:sz w:val="21"/>
                <w:szCs w:val="21"/>
              </w:rPr>
            </w:pPr>
            <w:r>
              <w:rPr>
                <w:rFonts w:ascii="宋体" w:hAnsi="宋体" w:cs="宋体" w:eastAsia="宋体" w:hint="default"/>
                <w:sz w:val="21"/>
                <w:szCs w:val="21"/>
              </w:rPr>
              <w:t>1.4445%</w:t>
            </w:r>
            <w:r>
              <w:rPr>
                <w:rFonts w:ascii="宋体" w:hAnsi="宋体" w:cs="宋体" w:eastAsia="宋体" w:hint="default"/>
                <w:sz w:val="21"/>
                <w:szCs w:val="21"/>
              </w:rPr>
              <w:t>。上述股票锁定期为</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7"/>
                <w:sz w:val="21"/>
                <w:szCs w:val="21"/>
              </w:rPr>
              <w:t> </w:t>
            </w:r>
            <w:r>
              <w:rPr>
                <w:rFonts w:ascii="宋体" w:hAnsi="宋体" w:cs="宋体" w:eastAsia="宋体" w:hint="default"/>
                <w:sz w:val="21"/>
                <w:szCs w:val="21"/>
              </w:rPr>
              <w:t>个月。</w:t>
            </w:r>
          </w:p>
        </w:tc>
        <w:tc>
          <w:tcPr>
            <w:tcW w:w="39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详情请见公司于</w:t>
            </w:r>
            <w:r>
              <w:rPr>
                <w:rFonts w:ascii="宋体" w:hAnsi="宋体" w:cs="宋体" w:eastAsia="宋体" w:hint="default"/>
                <w:spacing w:val="-70"/>
                <w:sz w:val="21"/>
                <w:szCs w:val="21"/>
              </w:rPr>
              <w:t> </w:t>
            </w:r>
            <w:r>
              <w:rPr>
                <w:rFonts w:ascii="宋体" w:hAnsi="宋体" w:cs="宋体" w:eastAsia="宋体" w:hint="default"/>
                <w:sz w:val="21"/>
                <w:szCs w:val="21"/>
              </w:rPr>
              <w:t>2018</w:t>
            </w:r>
            <w:r>
              <w:rPr>
                <w:rFonts w:ascii="宋体" w:hAnsi="宋体" w:cs="宋体" w:eastAsia="宋体" w:hint="default"/>
                <w:spacing w:val="-69"/>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宋体" w:hAnsi="宋体" w:cs="宋体" w:eastAsia="宋体" w:hint="default"/>
                <w:sz w:val="21"/>
                <w:szCs w:val="21"/>
              </w:rPr>
              <w:t>1</w:t>
            </w:r>
            <w:r>
              <w:rPr>
                <w:rFonts w:ascii="宋体" w:hAnsi="宋体" w:cs="宋体" w:eastAsia="宋体" w:hint="default"/>
                <w:spacing w:val="-72"/>
                <w:sz w:val="21"/>
                <w:szCs w:val="21"/>
              </w:rPr>
              <w:t> </w:t>
            </w:r>
            <w:r>
              <w:rPr>
                <w:rFonts w:ascii="宋体" w:hAnsi="宋体" w:cs="宋体" w:eastAsia="宋体" w:hint="default"/>
                <w:sz w:val="21"/>
                <w:szCs w:val="21"/>
              </w:rPr>
              <w:t>月</w:t>
            </w:r>
            <w:r>
              <w:rPr>
                <w:rFonts w:ascii="宋体" w:hAnsi="宋体" w:cs="宋体" w:eastAsia="宋体" w:hint="default"/>
                <w:spacing w:val="-69"/>
                <w:sz w:val="21"/>
                <w:szCs w:val="21"/>
              </w:rPr>
              <w:t> </w:t>
            </w:r>
            <w:r>
              <w:rPr>
                <w:rFonts w:ascii="宋体" w:hAnsi="宋体" w:cs="宋体" w:eastAsia="宋体" w:hint="default"/>
                <w:sz w:val="21"/>
                <w:szCs w:val="21"/>
              </w:rPr>
              <w:t>13</w:t>
            </w:r>
            <w:r>
              <w:rPr>
                <w:rFonts w:ascii="宋体" w:hAnsi="宋体" w:cs="宋体" w:eastAsia="宋体" w:hint="default"/>
                <w:spacing w:val="-69"/>
                <w:sz w:val="21"/>
                <w:szCs w:val="21"/>
              </w:rPr>
              <w:t> </w:t>
            </w:r>
            <w:r>
              <w:rPr>
                <w:rFonts w:ascii="宋体" w:hAnsi="宋体" w:cs="宋体" w:eastAsia="宋体" w:hint="default"/>
                <w:sz w:val="21"/>
                <w:szCs w:val="21"/>
              </w:rPr>
              <w:t>日刊登在</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pacing w:val="-7"/>
                <w:sz w:val="21"/>
                <w:szCs w:val="21"/>
              </w:rPr>
              <w:t>《中国证券报》、《上海证券报》及上海</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证券交易所网站（</w:t>
            </w:r>
            <w:r>
              <w:rPr>
                <w:rFonts w:ascii="宋体" w:hAnsi="宋体" w:cs="宋体" w:eastAsia="宋体" w:hint="default"/>
                <w:sz w:val="21"/>
                <w:szCs w:val="21"/>
              </w:rPr>
              <w:t>http</w:t>
            </w:r>
            <w:r>
              <w:rPr>
                <w:rFonts w:ascii="宋体" w:hAnsi="宋体" w:cs="宋体" w:eastAsia="宋体" w:hint="default"/>
                <w:sz w:val="21"/>
                <w:szCs w:val="21"/>
              </w:rPr>
              <w:t>：</w:t>
            </w:r>
          </w:p>
          <w:p>
            <w:pPr>
              <w:pStyle w:val="TableParagraph"/>
              <w:spacing w:line="274" w:lineRule="exact" w:before="22"/>
              <w:ind w:left="103" w:right="0"/>
              <w:jc w:val="left"/>
              <w:rPr>
                <w:rFonts w:ascii="宋体" w:hAnsi="宋体" w:cs="宋体" w:eastAsia="宋体" w:hint="default"/>
                <w:sz w:val="21"/>
                <w:szCs w:val="21"/>
              </w:rPr>
            </w:pPr>
            <w:hyperlink r:id="rId9">
              <w:r>
                <w:rPr>
                  <w:rFonts w:ascii="宋体" w:hAnsi="宋体" w:cs="宋体" w:eastAsia="宋体" w:hint="default"/>
                  <w:spacing w:val="-1"/>
                  <w:sz w:val="21"/>
                  <w:szCs w:val="21"/>
                </w:rPr>
                <w:t>//www.sse.com.</w:t>
              </w:r>
            </w:hyperlink>
            <w:r>
              <w:rPr>
                <w:rFonts w:ascii="宋体" w:hAnsi="宋体" w:cs="宋体" w:eastAsia="宋体" w:hint="default"/>
                <w:spacing w:val="-1"/>
                <w:sz w:val="21"/>
                <w:szCs w:val="21"/>
              </w:rPr>
              <w:t>cn</w:t>
            </w:r>
            <w:r>
              <w:rPr>
                <w:rFonts w:ascii="宋体" w:hAnsi="宋体" w:cs="宋体" w:eastAsia="宋体" w:hint="default"/>
                <w:spacing w:val="-1"/>
                <w:sz w:val="21"/>
                <w:szCs w:val="21"/>
              </w:rPr>
              <w:t>）的公告，公告编号：</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2018-004</w:t>
            </w:r>
            <w:r>
              <w:rPr>
                <w:rFonts w:ascii="宋体" w:hAnsi="宋体" w:cs="宋体" w:eastAsia="宋体" w:hint="default"/>
                <w:sz w:val="21"/>
                <w:szCs w:val="21"/>
              </w:rPr>
              <w:t>。</w:t>
            </w:r>
          </w:p>
        </w:tc>
      </w:tr>
    </w:tbl>
    <w:p>
      <w:pPr>
        <w:spacing w:line="240" w:lineRule="auto" w:before="2"/>
        <w:rPr>
          <w:rFonts w:ascii="宋体" w:hAnsi="宋体" w:cs="宋体" w:eastAsia="宋体" w:hint="default"/>
          <w:sz w:val="20"/>
          <w:szCs w:val="20"/>
        </w:rPr>
      </w:pPr>
    </w:p>
    <w:p>
      <w:pPr>
        <w:spacing w:line="290" w:lineRule="auto" w:before="36"/>
        <w:ind w:left="218" w:right="468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pacing w:val="37"/>
          <w:sz w:val="21"/>
          <w:szCs w:val="21"/>
        </w:rPr>
        <w:t> </w:t>
      </w:r>
      <w:r>
        <w:rPr>
          <w:rFonts w:ascii="宋体" w:hAnsi="宋体" w:cs="宋体" w:eastAsia="宋体" w:hint="default"/>
          <w:b/>
          <w:bCs/>
          <w:sz w:val="21"/>
          <w:szCs w:val="21"/>
        </w:rPr>
        <w:t>临时公告未披露或有后续进展的激励情况</w:t>
      </w:r>
      <w:r>
        <w:rPr>
          <w:rFonts w:ascii="宋体" w:hAnsi="宋体" w:cs="宋体" w:eastAsia="宋体" w:hint="default"/>
          <w:b/>
          <w:bCs/>
          <w:w w:val="100"/>
          <w:sz w:val="21"/>
          <w:szCs w:val="21"/>
        </w:rPr>
        <w:t> </w:t>
      </w:r>
      <w:r>
        <w:rPr>
          <w:rFonts w:ascii="宋体" w:hAnsi="宋体" w:cs="宋体" w:eastAsia="宋体" w:hint="default"/>
          <w:sz w:val="21"/>
          <w:szCs w:val="21"/>
        </w:rPr>
        <w:t>股权激励情况</w:t>
      </w:r>
    </w:p>
    <w:p>
      <w:pPr>
        <w:pStyle w:val="BodyText"/>
        <w:spacing w:line="229" w:lineRule="exact"/>
        <w:ind w:right="2497"/>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3" w:lineRule="exact"/>
        <w:ind w:right="2497"/>
        <w:jc w:val="left"/>
      </w:pPr>
      <w:r>
        <w:rPr/>
        <w:t>其他说明</w:t>
      </w:r>
    </w:p>
    <w:p>
      <w:pPr>
        <w:pStyle w:val="BodyText"/>
        <w:tabs>
          <w:tab w:pos="1060" w:val="left" w:leader="none"/>
        </w:tabs>
        <w:spacing w:line="273" w:lineRule="exact"/>
        <w:ind w:right="2497"/>
        <w:jc w:val="left"/>
      </w:pPr>
      <w:r>
        <w:rPr>
          <w:spacing w:val="-1"/>
        </w:rPr>
        <w:t>□适用</w:t>
        <w:tab/>
      </w:r>
      <w:r>
        <w:rPr>
          <w:spacing w:val="-2"/>
        </w:rPr>
        <w:t>√不适用</w:t>
      </w:r>
    </w:p>
    <w:p>
      <w:pPr>
        <w:spacing w:line="240" w:lineRule="auto" w:before="8"/>
        <w:rPr>
          <w:rFonts w:ascii="宋体" w:hAnsi="宋体" w:cs="宋体" w:eastAsia="宋体" w:hint="default"/>
          <w:sz w:val="20"/>
          <w:szCs w:val="20"/>
        </w:rPr>
      </w:pPr>
    </w:p>
    <w:p>
      <w:pPr>
        <w:pStyle w:val="BodyText"/>
        <w:spacing w:line="274" w:lineRule="exact"/>
        <w:ind w:right="2497"/>
        <w:jc w:val="left"/>
      </w:pPr>
      <w:r>
        <w:rPr/>
        <w:t>员工持股计划情况</w:t>
      </w:r>
    </w:p>
    <w:p>
      <w:pPr>
        <w:pStyle w:val="BodyText"/>
        <w:tabs>
          <w:tab w:pos="1060" w:val="left" w:leader="none"/>
        </w:tabs>
        <w:spacing w:line="274" w:lineRule="exact"/>
        <w:ind w:right="2497"/>
        <w:jc w:val="left"/>
      </w:pPr>
      <w:r>
        <w:rPr>
          <w:spacing w:val="-1"/>
        </w:rPr>
        <w:t>□适用</w:t>
        <w:tab/>
      </w:r>
      <w:r>
        <w:rPr>
          <w:spacing w:val="-2"/>
        </w:rPr>
        <w:t>√不适用</w:t>
      </w:r>
    </w:p>
    <w:p>
      <w:pPr>
        <w:spacing w:line="240" w:lineRule="auto" w:before="9"/>
        <w:rPr>
          <w:rFonts w:ascii="宋体" w:hAnsi="宋体" w:cs="宋体" w:eastAsia="宋体" w:hint="default"/>
          <w:sz w:val="20"/>
          <w:szCs w:val="20"/>
        </w:rPr>
      </w:pPr>
    </w:p>
    <w:p>
      <w:pPr>
        <w:pStyle w:val="BodyText"/>
        <w:spacing w:line="273" w:lineRule="exact"/>
        <w:ind w:right="2497"/>
        <w:jc w:val="left"/>
      </w:pPr>
      <w:r>
        <w:rPr/>
        <w:t>其他激励措施</w:t>
      </w:r>
    </w:p>
    <w:p>
      <w:pPr>
        <w:pStyle w:val="BodyText"/>
        <w:spacing w:line="273" w:lineRule="exact"/>
        <w:ind w:right="249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497"/>
        <w:jc w:val="left"/>
        <w:rPr>
          <w:b w:val="0"/>
          <w:bCs w:val="0"/>
        </w:rPr>
      </w:pPr>
      <w:r>
        <w:rPr/>
        <w:t>十四、重大关联交易</w:t>
      </w:r>
      <w:r>
        <w:rPr>
          <w:b w:val="0"/>
          <w:bCs w:val="0"/>
        </w:rPr>
      </w:r>
    </w:p>
    <w:p>
      <w:pPr>
        <w:pStyle w:val="Heading2"/>
        <w:spacing w:line="240" w:lineRule="auto" w:before="56"/>
        <w:ind w:right="2497"/>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与日常经营相关的关联交易</w:t>
      </w:r>
      <w:r>
        <w:rPr>
          <w:b w:val="0"/>
          <w:bCs w:val="0"/>
        </w:rPr>
      </w:r>
    </w:p>
    <w:p>
      <w:pPr>
        <w:pStyle w:val="Heading2"/>
        <w:spacing w:line="240" w:lineRule="auto" w:before="32"/>
        <w:ind w:right="2497"/>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6"/>
        <w:ind w:right="2497"/>
        <w:jc w:val="left"/>
      </w:pPr>
      <w:r>
        <w:rPr/>
        <w:t>□适用</w:t>
      </w:r>
      <w:r>
        <w:rPr>
          <w:spacing w:val="-1"/>
        </w:rPr>
        <w:t> </w:t>
      </w:r>
      <w:r>
        <w:rPr/>
        <w:t>√不适用</w:t>
      </w:r>
    </w:p>
    <w:p>
      <w:pPr>
        <w:pStyle w:val="Heading2"/>
        <w:spacing w:line="240" w:lineRule="auto" w:before="58"/>
        <w:ind w:right="2497"/>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tabs>
          <w:tab w:pos="1060" w:val="left" w:leader="none"/>
        </w:tabs>
        <w:spacing w:line="274" w:lineRule="exact" w:before="56"/>
        <w:ind w:right="2497"/>
        <w:jc w:val="left"/>
      </w:pPr>
      <w:r>
        <w:rPr>
          <w:spacing w:val="-1"/>
        </w:rPr>
        <w:t>√适用</w:t>
        <w:tab/>
      </w:r>
      <w:r>
        <w:rPr>
          <w:spacing w:val="-2"/>
        </w:rPr>
        <w:t>□不适用</w:t>
      </w:r>
    </w:p>
    <w:p>
      <w:pPr>
        <w:pStyle w:val="BodyText"/>
        <w:spacing w:line="274" w:lineRule="exact"/>
        <w:ind w:left="638" w:right="227"/>
        <w:jc w:val="left"/>
      </w:pP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4</w:t>
      </w:r>
      <w:r>
        <w:rPr>
          <w:rFonts w:ascii="宋体" w:hAnsi="宋体" w:cs="宋体" w:eastAsia="宋体" w:hint="default"/>
          <w:spacing w:val="-55"/>
        </w:rPr>
        <w:t> </w:t>
      </w:r>
      <w:r>
        <w:rPr/>
        <w:t>月</w:t>
      </w:r>
      <w:r>
        <w:rPr>
          <w:spacing w:val="-53"/>
        </w:rPr>
        <w:t> </w:t>
      </w:r>
      <w:r>
        <w:rPr>
          <w:rFonts w:ascii="宋体" w:hAnsi="宋体" w:cs="宋体" w:eastAsia="宋体" w:hint="default"/>
        </w:rPr>
        <w:t>2</w:t>
      </w:r>
      <w:r>
        <w:rPr>
          <w:rFonts w:ascii="宋体" w:hAnsi="宋体" w:cs="宋体" w:eastAsia="宋体" w:hint="default"/>
          <w:spacing w:val="-55"/>
        </w:rPr>
        <w:t> </w:t>
      </w:r>
      <w:r>
        <w:rPr/>
        <w:t>日公司召开了第六届董事会第五次会议审议通过了《关于</w:t>
      </w:r>
      <w:r>
        <w:rPr>
          <w:spacing w:val="-53"/>
        </w:rPr>
        <w:t> </w:t>
      </w:r>
      <w:r>
        <w:rPr>
          <w:rFonts w:ascii="宋体" w:hAnsi="宋体" w:cs="宋体" w:eastAsia="宋体" w:hint="default"/>
        </w:rPr>
        <w:t>2017</w:t>
      </w:r>
      <w:r>
        <w:rPr>
          <w:rFonts w:ascii="宋体" w:hAnsi="宋体" w:cs="宋体" w:eastAsia="宋体" w:hint="default"/>
          <w:spacing w:val="-55"/>
        </w:rPr>
        <w:t> </w:t>
      </w:r>
      <w:r>
        <w:rPr/>
        <w:t>年度公司与关</w:t>
      </w:r>
    </w:p>
    <w:p>
      <w:pPr>
        <w:pStyle w:val="BodyText"/>
        <w:spacing w:line="240" w:lineRule="auto" w:before="133"/>
        <w:ind w:right="227"/>
        <w:jc w:val="left"/>
      </w:pPr>
      <w:r>
        <w:rPr/>
        <w:t>联方日常关联交易预计的议案》；</w:t>
      </w:r>
      <w:r>
        <w:rPr>
          <w:rFonts w:ascii="宋体" w:hAnsi="宋体" w:cs="宋体" w:eastAsia="宋体" w:hint="default"/>
        </w:rPr>
        <w:t>2017</w:t>
      </w:r>
      <w:r>
        <w:rPr>
          <w:rFonts w:ascii="宋体" w:hAnsi="宋体" w:cs="宋体" w:eastAsia="宋体" w:hint="default"/>
          <w:spacing w:val="-55"/>
        </w:rPr>
        <w:t> </w:t>
      </w:r>
      <w:r>
        <w:rPr/>
        <w:t>年</w:t>
      </w:r>
      <w:r>
        <w:rPr>
          <w:spacing w:val="-52"/>
        </w:rPr>
        <w:t> </w:t>
      </w:r>
      <w:r>
        <w:rPr>
          <w:rFonts w:ascii="宋体" w:hAnsi="宋体" w:cs="宋体" w:eastAsia="宋体" w:hint="default"/>
        </w:rPr>
        <w:t>4</w:t>
      </w:r>
      <w:r>
        <w:rPr>
          <w:rFonts w:ascii="宋体" w:hAnsi="宋体" w:cs="宋体" w:eastAsia="宋体" w:hint="default"/>
          <w:spacing w:val="-55"/>
        </w:rPr>
        <w:t> </w:t>
      </w:r>
      <w:r>
        <w:rPr/>
        <w:t>月</w:t>
      </w:r>
      <w:r>
        <w:rPr>
          <w:spacing w:val="-52"/>
        </w:rPr>
        <w:t> </w:t>
      </w:r>
      <w:r>
        <w:rPr>
          <w:rFonts w:ascii="宋体" w:hAnsi="宋体" w:cs="宋体" w:eastAsia="宋体" w:hint="default"/>
        </w:rPr>
        <w:t>18</w:t>
      </w:r>
      <w:r>
        <w:rPr>
          <w:rFonts w:ascii="宋体" w:hAnsi="宋体" w:cs="宋体" w:eastAsia="宋体" w:hint="default"/>
          <w:spacing w:val="-55"/>
        </w:rPr>
        <w:t> </w:t>
      </w:r>
      <w:r>
        <w:rPr/>
        <w:t>日和</w:t>
      </w:r>
      <w:r>
        <w:rPr>
          <w:spacing w:val="-52"/>
        </w:rPr>
        <w:t> </w:t>
      </w:r>
      <w:r>
        <w:rPr>
          <w:rFonts w:ascii="宋体" w:hAnsi="宋体" w:cs="宋体" w:eastAsia="宋体" w:hint="default"/>
        </w:rPr>
        <w:t>2017</w:t>
      </w:r>
      <w:r>
        <w:rPr>
          <w:rFonts w:ascii="宋体" w:hAnsi="宋体" w:cs="宋体" w:eastAsia="宋体" w:hint="default"/>
          <w:spacing w:val="-55"/>
        </w:rPr>
        <w:t> </w:t>
      </w:r>
      <w:r>
        <w:rPr/>
        <w:t>年</w:t>
      </w:r>
      <w:r>
        <w:rPr>
          <w:spacing w:val="-52"/>
        </w:rPr>
        <w:t> </w:t>
      </w:r>
      <w:r>
        <w:rPr>
          <w:rFonts w:ascii="宋体" w:hAnsi="宋体" w:cs="宋体" w:eastAsia="宋体" w:hint="default"/>
        </w:rPr>
        <w:t>5</w:t>
      </w:r>
      <w:r>
        <w:rPr>
          <w:rFonts w:ascii="宋体" w:hAnsi="宋体" w:cs="宋体" w:eastAsia="宋体" w:hint="default"/>
          <w:spacing w:val="-55"/>
        </w:rPr>
        <w:t> </w:t>
      </w:r>
      <w:r>
        <w:rPr/>
        <w:t>月</w:t>
      </w:r>
      <w:r>
        <w:rPr>
          <w:spacing w:val="-52"/>
        </w:rPr>
        <w:t> </w:t>
      </w:r>
      <w:r>
        <w:rPr>
          <w:rFonts w:ascii="宋体" w:hAnsi="宋体" w:cs="宋体" w:eastAsia="宋体" w:hint="default"/>
        </w:rPr>
        <w:t>10</w:t>
      </w:r>
      <w:r>
        <w:rPr>
          <w:rFonts w:ascii="宋体" w:hAnsi="宋体" w:cs="宋体" w:eastAsia="宋体" w:hint="default"/>
          <w:spacing w:val="-55"/>
        </w:rPr>
        <w:t> </w:t>
      </w:r>
      <w:r>
        <w:rPr/>
        <w:t>日，公司分别召开了第六</w:t>
      </w:r>
    </w:p>
    <w:p>
      <w:pPr>
        <w:pStyle w:val="BodyText"/>
        <w:spacing w:line="357" w:lineRule="auto" w:before="133"/>
        <w:ind w:right="127"/>
        <w:jc w:val="left"/>
      </w:pPr>
      <w:r>
        <w:rPr/>
        <w:t>届董事会第六次会议和</w:t>
      </w:r>
      <w:r>
        <w:rPr>
          <w:spacing w:val="-42"/>
        </w:rPr>
        <w:t> </w:t>
      </w:r>
      <w:r>
        <w:rPr>
          <w:rFonts w:ascii="宋体" w:hAnsi="宋体" w:cs="宋体" w:eastAsia="宋体" w:hint="default"/>
        </w:rPr>
        <w:t>2016</w:t>
      </w:r>
      <w:r>
        <w:rPr>
          <w:rFonts w:ascii="宋体" w:hAnsi="宋体" w:cs="宋体" w:eastAsia="宋体" w:hint="default"/>
          <w:spacing w:val="-43"/>
        </w:rPr>
        <w:t> </w:t>
      </w:r>
      <w:r>
        <w:rPr>
          <w:spacing w:val="-5"/>
        </w:rPr>
        <w:t>年年度股东大会，审议通过了《关于拟签订重大合同暨关联交易的议</w:t>
      </w:r>
      <w:r>
        <w:rPr>
          <w:spacing w:val="-81"/>
        </w:rPr>
        <w:t> </w:t>
      </w:r>
      <w:r>
        <w:rPr>
          <w:spacing w:val="-81"/>
        </w:rPr>
      </w:r>
      <w:r>
        <w:rPr/>
        <w:t>案》。上述议案的具体内容详见公司于指定信息披露媒体《中国证券报》、《上海证券报》和上</w:t>
      </w:r>
      <w:r>
        <w:rPr>
          <w:w w:val="100"/>
        </w:rPr>
        <w:t> </w:t>
      </w:r>
      <w:r>
        <w:rPr>
          <w:spacing w:val="-9"/>
          <w:w w:val="100"/>
        </w:rPr>
        <w:t>海证券交易所网站（</w:t>
      </w:r>
      <w:hyperlink r:id="rId9">
        <w:r>
          <w:rPr>
            <w:rFonts w:ascii="宋体" w:hAnsi="宋体" w:cs="宋体" w:eastAsia="宋体" w:hint="default"/>
            <w:spacing w:val="-9"/>
            <w:w w:val="100"/>
          </w:rPr>
          <w:t>http://www.sse.com.cn/</w:t>
        </w:r>
      </w:hyperlink>
      <w:r>
        <w:rPr>
          <w:spacing w:val="-9"/>
          <w:w w:val="100"/>
        </w:rPr>
        <w:t>）披露的公告，公告编号分别为：</w:t>
      </w:r>
      <w:r>
        <w:rPr>
          <w:rFonts w:ascii="宋体" w:hAnsi="宋体" w:cs="宋体" w:eastAsia="宋体" w:hint="default"/>
          <w:spacing w:val="-9"/>
          <w:w w:val="100"/>
        </w:rPr>
        <w:t>2017-007</w:t>
      </w:r>
      <w:r>
        <w:rPr>
          <w:spacing w:val="-9"/>
          <w:w w:val="100"/>
        </w:rPr>
        <w:t>、</w:t>
      </w:r>
      <w:r>
        <w:rPr>
          <w:rFonts w:ascii="宋体" w:hAnsi="宋体" w:cs="宋体" w:eastAsia="宋体" w:hint="default"/>
          <w:spacing w:val="-9"/>
          <w:w w:val="100"/>
        </w:rPr>
        <w:t>2017-014</w:t>
      </w:r>
      <w:r>
        <w:rPr>
          <w:spacing w:val="-9"/>
          <w:w w:val="100"/>
        </w:rPr>
        <w:t>、</w:t>
      </w:r>
      <w:r>
        <w:rPr>
          <w:w w:val="100"/>
        </w:rPr>
        <w:t> </w:t>
      </w:r>
      <w:r>
        <w:rPr>
          <w:rFonts w:ascii="宋体" w:hAnsi="宋体" w:cs="宋体" w:eastAsia="宋体" w:hint="default"/>
        </w:rPr>
        <w:t>2017-024</w:t>
      </w:r>
      <w:r>
        <w:rPr/>
        <w:t>。</w:t>
      </w:r>
    </w:p>
    <w:p>
      <w:pPr>
        <w:pStyle w:val="BodyText"/>
        <w:spacing w:line="240" w:lineRule="auto" w:before="30"/>
        <w:ind w:left="638" w:right="227"/>
        <w:jc w:val="left"/>
      </w:pPr>
      <w:r>
        <w:rPr/>
        <w:t>截止本报告期末，公司与上述议案中涉及的关联方发生的关联交易具体如下：</w:t>
      </w:r>
    </w:p>
    <w:p>
      <w:pPr>
        <w:spacing w:line="240" w:lineRule="auto" w:before="10"/>
        <w:rPr>
          <w:rFonts w:ascii="宋体" w:hAnsi="宋体" w:cs="宋体" w:eastAsia="宋体" w:hint="default"/>
          <w:sz w:val="12"/>
          <w:szCs w:val="12"/>
        </w:rPr>
      </w:pPr>
    </w:p>
    <w:tbl>
      <w:tblPr>
        <w:tblW w:w="0" w:type="auto"/>
        <w:jc w:val="left"/>
        <w:tblInd w:w="100" w:type="dxa"/>
        <w:tblLayout w:type="fixed"/>
        <w:tblCellMar>
          <w:top w:w="0" w:type="dxa"/>
          <w:left w:w="0" w:type="dxa"/>
          <w:bottom w:w="0" w:type="dxa"/>
          <w:right w:w="0" w:type="dxa"/>
        </w:tblCellMar>
        <w:tblLook w:val="01E0"/>
      </w:tblPr>
      <w:tblGrid>
        <w:gridCol w:w="1524"/>
        <w:gridCol w:w="997"/>
        <w:gridCol w:w="1135"/>
        <w:gridCol w:w="1688"/>
        <w:gridCol w:w="1015"/>
        <w:gridCol w:w="1633"/>
        <w:gridCol w:w="1058"/>
      </w:tblGrid>
      <w:tr>
        <w:trPr>
          <w:trHeight w:val="293" w:hRule="exact"/>
        </w:trPr>
        <w:tc>
          <w:tcPr>
            <w:tcW w:w="1524"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436"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997" w:type="dxa"/>
            <w:vMerge w:val="restart"/>
            <w:tcBorders>
              <w:top w:val="single" w:sz="8" w:space="0" w:color="000000"/>
              <w:left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70" w:right="171"/>
              <w:jc w:val="left"/>
              <w:rPr>
                <w:rFonts w:ascii="宋体" w:hAnsi="宋体" w:cs="宋体" w:eastAsia="宋体" w:hint="default"/>
                <w:sz w:val="21"/>
                <w:szCs w:val="21"/>
              </w:rPr>
            </w:pPr>
            <w:r>
              <w:rPr>
                <w:rFonts w:ascii="宋体" w:hAnsi="宋体" w:cs="宋体" w:eastAsia="宋体" w:hint="default"/>
                <w:sz w:val="21"/>
                <w:szCs w:val="21"/>
              </w:rPr>
              <w:t>关联交</w:t>
            </w:r>
            <w:r>
              <w:rPr>
                <w:rFonts w:ascii="宋体" w:hAnsi="宋体" w:cs="宋体" w:eastAsia="宋体" w:hint="default"/>
                <w:spacing w:val="-102"/>
                <w:sz w:val="21"/>
                <w:szCs w:val="21"/>
              </w:rPr>
              <w:t> </w:t>
            </w:r>
            <w:r>
              <w:rPr>
                <w:rFonts w:ascii="宋体" w:hAnsi="宋体" w:cs="宋体" w:eastAsia="宋体" w:hint="default"/>
                <w:sz w:val="21"/>
                <w:szCs w:val="21"/>
              </w:rPr>
              <w:t>易内容</w:t>
            </w:r>
          </w:p>
        </w:tc>
        <w:tc>
          <w:tcPr>
            <w:tcW w:w="1135" w:type="dxa"/>
            <w:vMerge w:val="restart"/>
            <w:tcBorders>
              <w:top w:val="single" w:sz="8" w:space="0" w:color="000000"/>
              <w:left w:val="single" w:sz="8" w:space="0" w:color="000000"/>
              <w:right w:val="single" w:sz="8" w:space="0" w:color="000000"/>
            </w:tcBorders>
          </w:tcPr>
          <w:p>
            <w:pPr>
              <w:pStyle w:val="TableParagraph"/>
              <w:spacing w:line="237" w:lineRule="auto" w:before="117"/>
              <w:ind w:left="134" w:right="137"/>
              <w:jc w:val="center"/>
              <w:rPr>
                <w:rFonts w:ascii="宋体" w:hAnsi="宋体" w:cs="宋体" w:eastAsia="宋体" w:hint="default"/>
                <w:sz w:val="21"/>
                <w:szCs w:val="21"/>
              </w:rPr>
            </w:pPr>
            <w:r>
              <w:rPr>
                <w:rFonts w:ascii="宋体" w:hAnsi="宋体" w:cs="宋体" w:eastAsia="宋体" w:hint="default"/>
                <w:sz w:val="21"/>
                <w:szCs w:val="21"/>
              </w:rPr>
              <w:t>关联交易</w:t>
            </w:r>
            <w:r>
              <w:rPr>
                <w:rFonts w:ascii="宋体" w:hAnsi="宋体" w:cs="宋体" w:eastAsia="宋体" w:hint="default"/>
                <w:w w:val="100"/>
                <w:sz w:val="21"/>
                <w:szCs w:val="21"/>
              </w:rPr>
              <w:t> </w:t>
            </w:r>
            <w:r>
              <w:rPr>
                <w:rFonts w:ascii="宋体" w:hAnsi="宋体" w:cs="宋体" w:eastAsia="宋体" w:hint="default"/>
                <w:sz w:val="21"/>
                <w:szCs w:val="21"/>
              </w:rPr>
              <w:t>定价方式</w:t>
            </w:r>
            <w:r>
              <w:rPr>
                <w:rFonts w:ascii="宋体" w:hAnsi="宋体" w:cs="宋体" w:eastAsia="宋体" w:hint="default"/>
                <w:w w:val="100"/>
                <w:sz w:val="21"/>
                <w:szCs w:val="21"/>
              </w:rPr>
              <w:t> </w:t>
            </w:r>
            <w:r>
              <w:rPr>
                <w:rFonts w:ascii="宋体" w:hAnsi="宋体" w:cs="宋体" w:eastAsia="宋体" w:hint="default"/>
                <w:sz w:val="21"/>
                <w:szCs w:val="21"/>
              </w:rPr>
              <w:t>及决策程</w:t>
            </w:r>
            <w:r>
              <w:rPr>
                <w:rFonts w:ascii="宋体" w:hAnsi="宋体" w:cs="宋体" w:eastAsia="宋体" w:hint="default"/>
                <w:w w:val="100"/>
                <w:sz w:val="21"/>
                <w:szCs w:val="21"/>
              </w:rPr>
              <w:t> </w:t>
            </w:r>
            <w:r>
              <w:rPr>
                <w:rFonts w:ascii="宋体" w:hAnsi="宋体" w:cs="宋体" w:eastAsia="宋体" w:hint="default"/>
                <w:sz w:val="21"/>
                <w:szCs w:val="21"/>
              </w:rPr>
              <w:t>序</w:t>
            </w:r>
          </w:p>
        </w:tc>
        <w:tc>
          <w:tcPr>
            <w:tcW w:w="2703" w:type="dxa"/>
            <w:gridSpan w:val="2"/>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81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91" w:type="dxa"/>
            <w:gridSpan w:val="2"/>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8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1112" w:hRule="exact"/>
        </w:trPr>
        <w:tc>
          <w:tcPr>
            <w:tcW w:w="1524" w:type="dxa"/>
            <w:vMerge/>
            <w:tcBorders>
              <w:left w:val="single" w:sz="8" w:space="0" w:color="000000"/>
              <w:bottom w:val="single" w:sz="8" w:space="0" w:color="000000"/>
              <w:right w:val="single" w:sz="8" w:space="0" w:color="000000"/>
            </w:tcBorders>
          </w:tcPr>
          <w:p>
            <w:pPr/>
          </w:p>
        </w:tc>
        <w:tc>
          <w:tcPr>
            <w:tcW w:w="997" w:type="dxa"/>
            <w:vMerge/>
            <w:tcBorders>
              <w:left w:val="single" w:sz="8" w:space="0" w:color="000000"/>
              <w:bottom w:val="single" w:sz="8" w:space="0" w:color="000000"/>
              <w:right w:val="single" w:sz="8" w:space="0" w:color="000000"/>
            </w:tcBorders>
          </w:tcPr>
          <w:p>
            <w:pPr/>
          </w:p>
        </w:tc>
        <w:tc>
          <w:tcPr>
            <w:tcW w:w="1135" w:type="dxa"/>
            <w:vMerge/>
            <w:tcBorders>
              <w:left w:val="single" w:sz="8" w:space="0" w:color="000000"/>
              <w:bottom w:val="single" w:sz="8" w:space="0" w:color="000000"/>
              <w:right w:val="single" w:sz="8" w:space="0" w:color="000000"/>
            </w:tcBorders>
          </w:tcPr>
          <w:p>
            <w:pPr/>
          </w:p>
        </w:tc>
        <w:tc>
          <w:tcPr>
            <w:tcW w:w="16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15"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182" w:right="0"/>
              <w:jc w:val="both"/>
              <w:rPr>
                <w:rFonts w:ascii="宋体" w:hAnsi="宋体" w:cs="宋体" w:eastAsia="宋体" w:hint="default"/>
                <w:sz w:val="21"/>
                <w:szCs w:val="21"/>
              </w:rPr>
            </w:pPr>
            <w:r>
              <w:rPr>
                <w:rFonts w:ascii="宋体" w:hAnsi="宋体" w:cs="宋体" w:eastAsia="宋体" w:hint="default"/>
                <w:sz w:val="21"/>
                <w:szCs w:val="21"/>
              </w:rPr>
              <w:t>占营业</w:t>
            </w:r>
          </w:p>
          <w:p>
            <w:pPr>
              <w:pStyle w:val="TableParagraph"/>
              <w:spacing w:line="237" w:lineRule="auto" w:before="2"/>
              <w:ind w:left="129" w:right="127" w:firstLine="52"/>
              <w:jc w:val="both"/>
              <w:rPr>
                <w:rFonts w:ascii="宋体" w:hAnsi="宋体" w:cs="宋体" w:eastAsia="宋体" w:hint="default"/>
                <w:sz w:val="21"/>
                <w:szCs w:val="21"/>
              </w:rPr>
            </w:pPr>
            <w:r>
              <w:rPr>
                <w:rFonts w:ascii="宋体" w:hAnsi="宋体" w:cs="宋体" w:eastAsia="宋体" w:hint="default"/>
                <w:sz w:val="21"/>
                <w:szCs w:val="21"/>
              </w:rPr>
              <w:t>收入金</w:t>
            </w:r>
            <w:r>
              <w:rPr>
                <w:rFonts w:ascii="宋体" w:hAnsi="宋体" w:cs="宋体" w:eastAsia="宋体" w:hint="default"/>
                <w:w w:val="100"/>
                <w:sz w:val="21"/>
                <w:szCs w:val="21"/>
              </w:rPr>
              <w:t> </w:t>
            </w:r>
            <w:r>
              <w:rPr>
                <w:rFonts w:ascii="宋体" w:hAnsi="宋体" w:cs="宋体" w:eastAsia="宋体" w:hint="default"/>
                <w:sz w:val="21"/>
                <w:szCs w:val="21"/>
              </w:rPr>
              <w:t>额的比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r>
              <w:rPr>
                <w:rFonts w:ascii="宋体" w:hAnsi="宋体" w:cs="宋体" w:eastAsia="宋体" w:hint="default"/>
                <w:sz w:val="21"/>
                <w:szCs w:val="21"/>
              </w:rPr>
              <w:t>）</w:t>
            </w:r>
          </w:p>
        </w:tc>
        <w:tc>
          <w:tcPr>
            <w:tcW w:w="16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58" w:type="dxa"/>
            <w:tcBorders>
              <w:top w:val="single" w:sz="8" w:space="0" w:color="000000"/>
              <w:left w:val="single" w:sz="8" w:space="0" w:color="000000"/>
              <w:bottom w:val="single" w:sz="8" w:space="0" w:color="000000"/>
              <w:right w:val="single" w:sz="8" w:space="0" w:color="000000"/>
            </w:tcBorders>
          </w:tcPr>
          <w:p>
            <w:pPr>
              <w:pStyle w:val="TableParagraph"/>
              <w:spacing w:line="237" w:lineRule="auto" w:before="105"/>
              <w:ind w:left="98" w:right="-8"/>
              <w:jc w:val="both"/>
              <w:rPr>
                <w:rFonts w:ascii="宋体" w:hAnsi="宋体" w:cs="宋体" w:eastAsia="宋体" w:hint="default"/>
                <w:sz w:val="21"/>
                <w:szCs w:val="21"/>
              </w:rPr>
            </w:pPr>
            <w:r>
              <w:rPr>
                <w:rFonts w:ascii="宋体" w:hAnsi="宋体" w:cs="宋体" w:eastAsia="宋体" w:hint="default"/>
                <w:sz w:val="21"/>
                <w:szCs w:val="21"/>
              </w:rPr>
              <w:t>占营业收</w:t>
            </w:r>
            <w:r>
              <w:rPr>
                <w:rFonts w:ascii="宋体" w:hAnsi="宋体" w:cs="宋体" w:eastAsia="宋体" w:hint="default"/>
                <w:w w:val="100"/>
                <w:sz w:val="21"/>
                <w:szCs w:val="21"/>
              </w:rPr>
              <w:t> </w:t>
            </w:r>
            <w:r>
              <w:rPr>
                <w:rFonts w:ascii="宋体" w:hAnsi="宋体" w:cs="宋体" w:eastAsia="宋体" w:hint="default"/>
                <w:sz w:val="21"/>
                <w:szCs w:val="21"/>
              </w:rPr>
              <w:t>入金额的</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sz w:val="21"/>
                <w:szCs w:val="21"/>
              </w:rPr>
              <w:t>%</w:t>
            </w:r>
            <w:r>
              <w:rPr>
                <w:rFonts w:ascii="宋体" w:hAnsi="宋体" w:cs="宋体" w:eastAsia="宋体" w:hint="default"/>
                <w:sz w:val="21"/>
                <w:szCs w:val="21"/>
              </w:rPr>
              <w:t>）</w:t>
            </w:r>
          </w:p>
        </w:tc>
      </w:tr>
    </w:tbl>
    <w:p>
      <w:pPr>
        <w:spacing w:after="0" w:line="237" w:lineRule="auto"/>
        <w:jc w:val="both"/>
        <w:rPr>
          <w:rFonts w:ascii="宋体" w:hAnsi="宋体" w:cs="宋体" w:eastAsia="宋体" w:hint="default"/>
          <w:sz w:val="21"/>
          <w:szCs w:val="21"/>
        </w:rPr>
        <w:sectPr>
          <w:footerReference w:type="default" r:id="rId20"/>
          <w:pgSz w:w="11910" w:h="16840"/>
          <w:pgMar w:footer="1195" w:header="880" w:top="1120" w:bottom="1380" w:left="1580" w:right="1040"/>
        </w:sectPr>
      </w:pPr>
    </w:p>
    <w:p>
      <w:pPr>
        <w:spacing w:line="240" w:lineRule="auto" w:before="12"/>
        <w:rPr>
          <w:rFonts w:ascii="宋体" w:hAnsi="宋体" w:cs="宋体" w:eastAsia="宋体" w:hint="default"/>
          <w:sz w:val="29"/>
          <w:szCs w:val="29"/>
        </w:rPr>
      </w:pPr>
    </w:p>
    <w:tbl>
      <w:tblPr>
        <w:tblW w:w="0" w:type="auto"/>
        <w:jc w:val="left"/>
        <w:tblInd w:w="100" w:type="dxa"/>
        <w:tblLayout w:type="fixed"/>
        <w:tblCellMar>
          <w:top w:w="0" w:type="dxa"/>
          <w:left w:w="0" w:type="dxa"/>
          <w:bottom w:w="0" w:type="dxa"/>
          <w:right w:w="0" w:type="dxa"/>
        </w:tblCellMar>
        <w:tblLook w:val="01E0"/>
      </w:tblPr>
      <w:tblGrid>
        <w:gridCol w:w="1524"/>
        <w:gridCol w:w="997"/>
        <w:gridCol w:w="1135"/>
        <w:gridCol w:w="1688"/>
        <w:gridCol w:w="1015"/>
        <w:gridCol w:w="1633"/>
        <w:gridCol w:w="1058"/>
      </w:tblGrid>
      <w:tr>
        <w:trPr>
          <w:trHeight w:val="1047" w:hRule="exact"/>
        </w:trPr>
        <w:tc>
          <w:tcPr>
            <w:tcW w:w="1524" w:type="dxa"/>
            <w:tcBorders>
              <w:top w:val="nil" w:sz="6" w:space="0" w:color="auto"/>
              <w:left w:val="single" w:sz="8" w:space="0" w:color="000000"/>
              <w:bottom w:val="single" w:sz="8" w:space="0" w:color="000000"/>
              <w:right w:val="single" w:sz="8" w:space="0" w:color="000000"/>
            </w:tcBorders>
          </w:tcPr>
          <w:p>
            <w:pPr>
              <w:pStyle w:val="TableParagraph"/>
              <w:spacing w:line="273" w:lineRule="exact" w:before="77"/>
              <w:ind w:left="122" w:right="0"/>
              <w:jc w:val="left"/>
              <w:rPr>
                <w:rFonts w:ascii="宋体" w:hAnsi="宋体" w:cs="宋体" w:eastAsia="宋体" w:hint="default"/>
                <w:sz w:val="21"/>
                <w:szCs w:val="21"/>
              </w:rPr>
            </w:pPr>
            <w:r>
              <w:rPr>
                <w:rFonts w:ascii="宋体" w:hAnsi="宋体" w:cs="宋体" w:eastAsia="宋体" w:hint="default"/>
                <w:sz w:val="21"/>
                <w:szCs w:val="21"/>
              </w:rPr>
              <w:t>仁建国际贸易</w:t>
            </w:r>
          </w:p>
          <w:p>
            <w:pPr>
              <w:pStyle w:val="TableParagraph"/>
              <w:spacing w:line="240" w:lineRule="auto"/>
              <w:ind w:left="542" w:right="117" w:hanging="420"/>
              <w:jc w:val="left"/>
              <w:rPr>
                <w:rFonts w:ascii="宋体" w:hAnsi="宋体" w:cs="宋体" w:eastAsia="宋体" w:hint="default"/>
                <w:sz w:val="21"/>
                <w:szCs w:val="21"/>
              </w:rPr>
            </w:pPr>
            <w:r>
              <w:rPr>
                <w:rFonts w:ascii="宋体" w:hAnsi="宋体" w:cs="宋体" w:eastAsia="宋体" w:hint="default"/>
                <w:sz w:val="21"/>
                <w:szCs w:val="21"/>
              </w:rPr>
              <w:t>（上海）有限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997"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72" w:lineRule="exact"/>
              <w:ind w:left="381" w:right="171" w:hanging="212"/>
              <w:jc w:val="left"/>
              <w:rPr>
                <w:rFonts w:ascii="宋体" w:hAnsi="宋体" w:cs="宋体" w:eastAsia="宋体" w:hint="default"/>
                <w:sz w:val="21"/>
                <w:szCs w:val="21"/>
              </w:rPr>
            </w:pPr>
            <w:r>
              <w:rPr>
                <w:rFonts w:ascii="宋体" w:hAnsi="宋体" w:cs="宋体" w:eastAsia="宋体" w:hint="default"/>
                <w:sz w:val="21"/>
                <w:szCs w:val="21"/>
              </w:rPr>
              <w:t>物流服</w:t>
            </w:r>
            <w:r>
              <w:rPr>
                <w:rFonts w:ascii="宋体" w:hAnsi="宋体" w:cs="宋体" w:eastAsia="宋体" w:hint="default"/>
                <w:spacing w:val="-102"/>
                <w:sz w:val="21"/>
                <w:szCs w:val="21"/>
              </w:rPr>
              <w:t> </w:t>
            </w:r>
            <w:r>
              <w:rPr>
                <w:rFonts w:ascii="宋体" w:hAnsi="宋体" w:cs="宋体" w:eastAsia="宋体" w:hint="default"/>
                <w:sz w:val="21"/>
                <w:szCs w:val="21"/>
              </w:rPr>
              <w:t>务</w:t>
            </w:r>
          </w:p>
        </w:tc>
        <w:tc>
          <w:tcPr>
            <w:tcW w:w="1135"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24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688"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148" w:right="0"/>
              <w:jc w:val="left"/>
              <w:rPr>
                <w:rFonts w:ascii="宋体" w:hAnsi="宋体" w:cs="宋体" w:eastAsia="宋体" w:hint="default"/>
                <w:sz w:val="21"/>
                <w:szCs w:val="21"/>
              </w:rPr>
            </w:pPr>
            <w:r>
              <w:rPr>
                <w:rFonts w:ascii="宋体"/>
                <w:sz w:val="21"/>
              </w:rPr>
              <w:t>24,830,962.91</w:t>
            </w:r>
          </w:p>
        </w:tc>
        <w:tc>
          <w:tcPr>
            <w:tcW w:w="1015"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288" w:right="0"/>
              <w:jc w:val="left"/>
              <w:rPr>
                <w:rFonts w:ascii="宋体" w:hAnsi="宋体" w:cs="宋体" w:eastAsia="宋体" w:hint="default"/>
                <w:sz w:val="21"/>
                <w:szCs w:val="21"/>
              </w:rPr>
            </w:pPr>
            <w:r>
              <w:rPr>
                <w:rFonts w:ascii="宋体"/>
                <w:sz w:val="21"/>
              </w:rPr>
              <w:t>0.36</w:t>
            </w:r>
          </w:p>
        </w:tc>
        <w:tc>
          <w:tcPr>
            <w:tcW w:w="1633"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280" w:right="0"/>
              <w:jc w:val="left"/>
              <w:rPr>
                <w:rFonts w:ascii="宋体" w:hAnsi="宋体" w:cs="宋体" w:eastAsia="宋体" w:hint="default"/>
                <w:sz w:val="21"/>
                <w:szCs w:val="21"/>
              </w:rPr>
            </w:pPr>
            <w:r>
              <w:rPr>
                <w:rFonts w:ascii="宋体"/>
                <w:sz w:val="21"/>
              </w:rPr>
              <w:t>767,358.49</w:t>
            </w:r>
          </w:p>
        </w:tc>
        <w:tc>
          <w:tcPr>
            <w:tcW w:w="1058"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309" w:right="0"/>
              <w:jc w:val="left"/>
              <w:rPr>
                <w:rFonts w:ascii="宋体" w:hAnsi="宋体" w:cs="宋体" w:eastAsia="宋体" w:hint="default"/>
                <w:sz w:val="21"/>
                <w:szCs w:val="21"/>
              </w:rPr>
            </w:pPr>
            <w:r>
              <w:rPr>
                <w:rFonts w:ascii="宋体"/>
                <w:sz w:val="21"/>
              </w:rPr>
              <w:t>0.02</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tbl>
      <w:tblPr>
        <w:tblW w:w="0" w:type="auto"/>
        <w:jc w:val="left"/>
        <w:tblInd w:w="100" w:type="dxa"/>
        <w:tblLayout w:type="fixed"/>
        <w:tblCellMar>
          <w:top w:w="0" w:type="dxa"/>
          <w:left w:w="0" w:type="dxa"/>
          <w:bottom w:w="0" w:type="dxa"/>
          <w:right w:w="0" w:type="dxa"/>
        </w:tblCellMar>
        <w:tblLook w:val="01E0"/>
      </w:tblPr>
      <w:tblGrid>
        <w:gridCol w:w="1524"/>
        <w:gridCol w:w="997"/>
        <w:gridCol w:w="1135"/>
        <w:gridCol w:w="1688"/>
        <w:gridCol w:w="1015"/>
        <w:gridCol w:w="1633"/>
        <w:gridCol w:w="1058"/>
      </w:tblGrid>
      <w:tr>
        <w:trPr>
          <w:trHeight w:val="293" w:hRule="exact"/>
        </w:trPr>
        <w:tc>
          <w:tcPr>
            <w:tcW w:w="1524"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436"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997"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2"/>
              <w:ind w:left="170" w:right="171"/>
              <w:jc w:val="left"/>
              <w:rPr>
                <w:rFonts w:ascii="宋体" w:hAnsi="宋体" w:cs="宋体" w:eastAsia="宋体" w:hint="default"/>
                <w:sz w:val="21"/>
                <w:szCs w:val="21"/>
              </w:rPr>
            </w:pPr>
            <w:r>
              <w:rPr>
                <w:rFonts w:ascii="宋体" w:hAnsi="宋体" w:cs="宋体" w:eastAsia="宋体" w:hint="default"/>
                <w:sz w:val="21"/>
                <w:szCs w:val="21"/>
              </w:rPr>
              <w:t>关联交</w:t>
            </w:r>
            <w:r>
              <w:rPr>
                <w:rFonts w:ascii="宋体" w:hAnsi="宋体" w:cs="宋体" w:eastAsia="宋体" w:hint="default"/>
                <w:spacing w:val="-102"/>
                <w:sz w:val="21"/>
                <w:szCs w:val="21"/>
              </w:rPr>
              <w:t> </w:t>
            </w:r>
            <w:r>
              <w:rPr>
                <w:rFonts w:ascii="宋体" w:hAnsi="宋体" w:cs="宋体" w:eastAsia="宋体" w:hint="default"/>
                <w:sz w:val="21"/>
                <w:szCs w:val="21"/>
              </w:rPr>
              <w:t>易内容</w:t>
            </w:r>
          </w:p>
        </w:tc>
        <w:tc>
          <w:tcPr>
            <w:tcW w:w="1135" w:type="dxa"/>
            <w:vMerge w:val="restart"/>
            <w:tcBorders>
              <w:top w:val="single" w:sz="8" w:space="0" w:color="000000"/>
              <w:left w:val="single" w:sz="8" w:space="0" w:color="000000"/>
              <w:right w:val="single" w:sz="8" w:space="0" w:color="000000"/>
            </w:tcBorders>
          </w:tcPr>
          <w:p>
            <w:pPr>
              <w:pStyle w:val="TableParagraph"/>
              <w:spacing w:line="237" w:lineRule="auto" w:before="114"/>
              <w:ind w:left="134" w:right="137"/>
              <w:jc w:val="center"/>
              <w:rPr>
                <w:rFonts w:ascii="宋体" w:hAnsi="宋体" w:cs="宋体" w:eastAsia="宋体" w:hint="default"/>
                <w:sz w:val="21"/>
                <w:szCs w:val="21"/>
              </w:rPr>
            </w:pPr>
            <w:r>
              <w:rPr>
                <w:rFonts w:ascii="宋体" w:hAnsi="宋体" w:cs="宋体" w:eastAsia="宋体" w:hint="default"/>
                <w:sz w:val="21"/>
                <w:szCs w:val="21"/>
              </w:rPr>
              <w:t>关联交易</w:t>
            </w:r>
            <w:r>
              <w:rPr>
                <w:rFonts w:ascii="宋体" w:hAnsi="宋体" w:cs="宋体" w:eastAsia="宋体" w:hint="default"/>
                <w:w w:val="100"/>
                <w:sz w:val="21"/>
                <w:szCs w:val="21"/>
              </w:rPr>
              <w:t> </w:t>
            </w:r>
            <w:r>
              <w:rPr>
                <w:rFonts w:ascii="宋体" w:hAnsi="宋体" w:cs="宋体" w:eastAsia="宋体" w:hint="default"/>
                <w:sz w:val="21"/>
                <w:szCs w:val="21"/>
              </w:rPr>
              <w:t>定价方式</w:t>
            </w:r>
            <w:r>
              <w:rPr>
                <w:rFonts w:ascii="宋体" w:hAnsi="宋体" w:cs="宋体" w:eastAsia="宋体" w:hint="default"/>
                <w:w w:val="100"/>
                <w:sz w:val="21"/>
                <w:szCs w:val="21"/>
              </w:rPr>
              <w:t> </w:t>
            </w:r>
            <w:r>
              <w:rPr>
                <w:rFonts w:ascii="宋体" w:hAnsi="宋体" w:cs="宋体" w:eastAsia="宋体" w:hint="default"/>
                <w:sz w:val="21"/>
                <w:szCs w:val="21"/>
              </w:rPr>
              <w:t>及决策程</w:t>
            </w:r>
            <w:r>
              <w:rPr>
                <w:rFonts w:ascii="宋体" w:hAnsi="宋体" w:cs="宋体" w:eastAsia="宋体" w:hint="default"/>
                <w:w w:val="100"/>
                <w:sz w:val="21"/>
                <w:szCs w:val="21"/>
              </w:rPr>
              <w:t> </w:t>
            </w:r>
            <w:r>
              <w:rPr>
                <w:rFonts w:ascii="宋体" w:hAnsi="宋体" w:cs="宋体" w:eastAsia="宋体" w:hint="default"/>
                <w:sz w:val="21"/>
                <w:szCs w:val="21"/>
              </w:rPr>
              <w:t>序</w:t>
            </w:r>
          </w:p>
        </w:tc>
        <w:tc>
          <w:tcPr>
            <w:tcW w:w="2703" w:type="dxa"/>
            <w:gridSpan w:val="2"/>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81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91" w:type="dxa"/>
            <w:gridSpan w:val="2"/>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8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1109" w:hRule="exact"/>
        </w:trPr>
        <w:tc>
          <w:tcPr>
            <w:tcW w:w="1524" w:type="dxa"/>
            <w:vMerge/>
            <w:tcBorders>
              <w:left w:val="single" w:sz="8" w:space="0" w:color="000000"/>
              <w:bottom w:val="single" w:sz="8" w:space="0" w:color="000000"/>
              <w:right w:val="single" w:sz="8" w:space="0" w:color="000000"/>
            </w:tcBorders>
          </w:tcPr>
          <w:p>
            <w:pPr/>
          </w:p>
        </w:tc>
        <w:tc>
          <w:tcPr>
            <w:tcW w:w="997" w:type="dxa"/>
            <w:vMerge/>
            <w:tcBorders>
              <w:left w:val="single" w:sz="8" w:space="0" w:color="000000"/>
              <w:bottom w:val="single" w:sz="8" w:space="0" w:color="000000"/>
              <w:right w:val="single" w:sz="8" w:space="0" w:color="000000"/>
            </w:tcBorders>
          </w:tcPr>
          <w:p>
            <w:pPr/>
          </w:p>
        </w:tc>
        <w:tc>
          <w:tcPr>
            <w:tcW w:w="1135" w:type="dxa"/>
            <w:vMerge/>
            <w:tcBorders>
              <w:left w:val="single" w:sz="8" w:space="0" w:color="000000"/>
              <w:bottom w:val="single" w:sz="8" w:space="0" w:color="000000"/>
              <w:right w:val="single" w:sz="8" w:space="0" w:color="000000"/>
            </w:tcBorders>
          </w:tcPr>
          <w:p>
            <w:pPr/>
          </w:p>
        </w:tc>
        <w:tc>
          <w:tcPr>
            <w:tcW w:w="16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15"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182" w:right="0"/>
              <w:jc w:val="both"/>
              <w:rPr>
                <w:rFonts w:ascii="宋体" w:hAnsi="宋体" w:cs="宋体" w:eastAsia="宋体" w:hint="default"/>
                <w:sz w:val="21"/>
                <w:szCs w:val="21"/>
              </w:rPr>
            </w:pPr>
            <w:r>
              <w:rPr>
                <w:rFonts w:ascii="宋体" w:hAnsi="宋体" w:cs="宋体" w:eastAsia="宋体" w:hint="default"/>
                <w:sz w:val="21"/>
                <w:szCs w:val="21"/>
              </w:rPr>
              <w:t>占营业</w:t>
            </w:r>
          </w:p>
          <w:p>
            <w:pPr>
              <w:pStyle w:val="TableParagraph"/>
              <w:spacing w:line="237" w:lineRule="auto" w:before="2"/>
              <w:ind w:left="129" w:right="127" w:firstLine="52"/>
              <w:jc w:val="both"/>
              <w:rPr>
                <w:rFonts w:ascii="宋体" w:hAnsi="宋体" w:cs="宋体" w:eastAsia="宋体" w:hint="default"/>
                <w:sz w:val="21"/>
                <w:szCs w:val="21"/>
              </w:rPr>
            </w:pPr>
            <w:r>
              <w:rPr>
                <w:rFonts w:ascii="宋体" w:hAnsi="宋体" w:cs="宋体" w:eastAsia="宋体" w:hint="default"/>
                <w:sz w:val="21"/>
                <w:szCs w:val="21"/>
              </w:rPr>
              <w:t>成本金</w:t>
            </w:r>
            <w:r>
              <w:rPr>
                <w:rFonts w:ascii="宋体" w:hAnsi="宋体" w:cs="宋体" w:eastAsia="宋体" w:hint="default"/>
                <w:w w:val="100"/>
                <w:sz w:val="21"/>
                <w:szCs w:val="21"/>
              </w:rPr>
              <w:t> </w:t>
            </w:r>
            <w:r>
              <w:rPr>
                <w:rFonts w:ascii="宋体" w:hAnsi="宋体" w:cs="宋体" w:eastAsia="宋体" w:hint="default"/>
                <w:sz w:val="21"/>
                <w:szCs w:val="21"/>
              </w:rPr>
              <w:t>额的比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r>
              <w:rPr>
                <w:rFonts w:ascii="宋体" w:hAnsi="宋体" w:cs="宋体" w:eastAsia="宋体" w:hint="default"/>
                <w:sz w:val="21"/>
                <w:szCs w:val="21"/>
              </w:rPr>
              <w:t>）</w:t>
            </w:r>
          </w:p>
        </w:tc>
        <w:tc>
          <w:tcPr>
            <w:tcW w:w="16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58" w:type="dxa"/>
            <w:tcBorders>
              <w:top w:val="single" w:sz="8" w:space="0" w:color="000000"/>
              <w:left w:val="single" w:sz="8" w:space="0" w:color="000000"/>
              <w:bottom w:val="single" w:sz="8" w:space="0" w:color="000000"/>
              <w:right w:val="single" w:sz="8" w:space="0" w:color="000000"/>
            </w:tcBorders>
          </w:tcPr>
          <w:p>
            <w:pPr>
              <w:pStyle w:val="TableParagraph"/>
              <w:spacing w:line="237" w:lineRule="auto" w:before="105"/>
              <w:ind w:left="98" w:right="-8"/>
              <w:jc w:val="both"/>
              <w:rPr>
                <w:rFonts w:ascii="宋体" w:hAnsi="宋体" w:cs="宋体" w:eastAsia="宋体" w:hint="default"/>
                <w:sz w:val="21"/>
                <w:szCs w:val="21"/>
              </w:rPr>
            </w:pPr>
            <w:r>
              <w:rPr>
                <w:rFonts w:ascii="宋体" w:hAnsi="宋体" w:cs="宋体" w:eastAsia="宋体" w:hint="default"/>
                <w:sz w:val="21"/>
                <w:szCs w:val="21"/>
              </w:rPr>
              <w:t>占营业成</w:t>
            </w:r>
            <w:r>
              <w:rPr>
                <w:rFonts w:ascii="宋体" w:hAnsi="宋体" w:cs="宋体" w:eastAsia="宋体" w:hint="default"/>
                <w:w w:val="100"/>
                <w:sz w:val="21"/>
                <w:szCs w:val="21"/>
              </w:rPr>
              <w:t> </w:t>
            </w:r>
            <w:r>
              <w:rPr>
                <w:rFonts w:ascii="宋体" w:hAnsi="宋体" w:cs="宋体" w:eastAsia="宋体" w:hint="default"/>
                <w:sz w:val="21"/>
                <w:szCs w:val="21"/>
              </w:rPr>
              <w:t>本金额的</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1057" w:hRule="exact"/>
        </w:trPr>
        <w:tc>
          <w:tcPr>
            <w:tcW w:w="1524" w:type="dxa"/>
            <w:tcBorders>
              <w:top w:val="single" w:sz="8" w:space="0" w:color="000000"/>
              <w:left w:val="single" w:sz="8" w:space="0" w:color="000000"/>
              <w:bottom w:val="single" w:sz="8" w:space="0" w:color="000000"/>
              <w:right w:val="single" w:sz="8" w:space="0" w:color="000000"/>
            </w:tcBorders>
          </w:tcPr>
          <w:p>
            <w:pPr>
              <w:pStyle w:val="TableParagraph"/>
              <w:spacing w:line="237" w:lineRule="auto" w:before="78"/>
              <w:ind w:left="122" w:right="117"/>
              <w:jc w:val="center"/>
              <w:rPr>
                <w:rFonts w:ascii="宋体" w:hAnsi="宋体" w:cs="宋体" w:eastAsia="宋体" w:hint="default"/>
                <w:sz w:val="21"/>
                <w:szCs w:val="21"/>
              </w:rPr>
            </w:pPr>
            <w:r>
              <w:rPr>
                <w:rFonts w:ascii="宋体" w:hAnsi="宋体" w:cs="宋体" w:eastAsia="宋体" w:hint="default"/>
                <w:sz w:val="21"/>
                <w:szCs w:val="21"/>
              </w:rPr>
              <w:t>泉州仁建安通</w:t>
            </w:r>
            <w:r>
              <w:rPr>
                <w:rFonts w:ascii="宋体" w:hAnsi="宋体" w:cs="宋体" w:eastAsia="宋体" w:hint="default"/>
                <w:w w:val="100"/>
                <w:sz w:val="21"/>
                <w:szCs w:val="21"/>
              </w:rPr>
              <w:t> </w:t>
            </w:r>
            <w:r>
              <w:rPr>
                <w:rFonts w:ascii="宋体" w:hAnsi="宋体" w:cs="宋体" w:eastAsia="宋体" w:hint="default"/>
                <w:sz w:val="21"/>
                <w:szCs w:val="21"/>
              </w:rPr>
              <w:t>集装箱有限公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9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箱租</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市场价</w:t>
            </w:r>
          </w:p>
        </w:tc>
        <w:tc>
          <w:tcPr>
            <w:tcW w:w="16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sz w:val="21"/>
              </w:rPr>
              <w:t>7,635,952.22</w:t>
            </w:r>
          </w:p>
        </w:tc>
        <w:tc>
          <w:tcPr>
            <w:tcW w:w="10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2" w:right="0"/>
              <w:jc w:val="center"/>
              <w:rPr>
                <w:rFonts w:ascii="宋体" w:hAnsi="宋体" w:cs="宋体" w:eastAsia="宋体" w:hint="default"/>
                <w:sz w:val="21"/>
                <w:szCs w:val="21"/>
              </w:rPr>
            </w:pPr>
            <w:r>
              <w:rPr>
                <w:rFonts w:ascii="宋体"/>
                <w:sz w:val="21"/>
              </w:rPr>
              <w:t>0.13</w:t>
            </w:r>
          </w:p>
        </w:tc>
        <w:tc>
          <w:tcPr>
            <w:tcW w:w="16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sz w:val="21"/>
              </w:rPr>
              <w:t>12,655,337.80</w:t>
            </w:r>
          </w:p>
        </w:tc>
        <w:tc>
          <w:tcPr>
            <w:tcW w:w="10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2" w:right="0"/>
              <w:jc w:val="center"/>
              <w:rPr>
                <w:rFonts w:ascii="宋体" w:hAnsi="宋体" w:cs="宋体" w:eastAsia="宋体" w:hint="default"/>
                <w:sz w:val="21"/>
                <w:szCs w:val="21"/>
              </w:rPr>
            </w:pPr>
            <w:r>
              <w:rPr>
                <w:rFonts w:ascii="宋体"/>
                <w:sz w:val="21"/>
              </w:rPr>
              <w:t>0.43</w:t>
            </w:r>
          </w:p>
        </w:tc>
      </w:tr>
      <w:tr>
        <w:trPr>
          <w:trHeight w:val="799" w:hRule="exact"/>
        </w:trPr>
        <w:tc>
          <w:tcPr>
            <w:tcW w:w="1524"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before="111"/>
              <w:ind w:left="122" w:right="117"/>
              <w:jc w:val="left"/>
              <w:rPr>
                <w:rFonts w:ascii="宋体" w:hAnsi="宋体" w:cs="宋体" w:eastAsia="宋体" w:hint="default"/>
                <w:sz w:val="21"/>
                <w:szCs w:val="21"/>
              </w:rPr>
            </w:pPr>
            <w:r>
              <w:rPr>
                <w:rFonts w:ascii="宋体" w:hAnsi="宋体" w:cs="宋体" w:eastAsia="宋体" w:hint="default"/>
                <w:sz w:val="21"/>
                <w:szCs w:val="21"/>
              </w:rPr>
              <w:t>易通国际资产</w:t>
            </w:r>
            <w:r>
              <w:rPr>
                <w:rFonts w:ascii="宋体" w:hAnsi="宋体" w:cs="宋体" w:eastAsia="宋体" w:hint="default"/>
                <w:w w:val="100"/>
                <w:sz w:val="21"/>
                <w:szCs w:val="21"/>
              </w:rPr>
              <w:t> </w:t>
            </w:r>
            <w:r>
              <w:rPr>
                <w:rFonts w:ascii="宋体" w:hAnsi="宋体" w:cs="宋体" w:eastAsia="宋体" w:hint="default"/>
                <w:sz w:val="21"/>
                <w:szCs w:val="21"/>
              </w:rPr>
              <w:t>管理有限公司</w:t>
            </w:r>
          </w:p>
        </w:tc>
        <w:tc>
          <w:tcPr>
            <w:tcW w:w="9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箱租</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市场价</w:t>
            </w:r>
          </w:p>
        </w:tc>
        <w:tc>
          <w:tcPr>
            <w:tcW w:w="16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sz w:val="21"/>
              </w:rPr>
              <w:t>12,684,937.68</w:t>
            </w:r>
          </w:p>
        </w:tc>
        <w:tc>
          <w:tcPr>
            <w:tcW w:w="10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sz w:val="21"/>
              </w:rPr>
              <w:t>0.22</w:t>
            </w:r>
          </w:p>
        </w:tc>
        <w:tc>
          <w:tcPr>
            <w:tcW w:w="16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0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w:t>
            </w:r>
          </w:p>
        </w:tc>
      </w:tr>
      <w:tr>
        <w:trPr>
          <w:trHeight w:val="802" w:hRule="exact"/>
        </w:trPr>
        <w:tc>
          <w:tcPr>
            <w:tcW w:w="15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3"/>
              <w:ind w:left="122" w:right="117"/>
              <w:jc w:val="left"/>
              <w:rPr>
                <w:rFonts w:ascii="宋体" w:hAnsi="宋体" w:cs="宋体" w:eastAsia="宋体" w:hint="default"/>
                <w:sz w:val="21"/>
                <w:szCs w:val="21"/>
              </w:rPr>
            </w:pPr>
            <w:r>
              <w:rPr>
                <w:rFonts w:ascii="宋体" w:hAnsi="宋体" w:cs="宋体" w:eastAsia="宋体" w:hint="default"/>
                <w:sz w:val="21"/>
                <w:szCs w:val="21"/>
              </w:rPr>
              <w:t>上海仁建信息</w:t>
            </w:r>
            <w:r>
              <w:rPr>
                <w:rFonts w:ascii="宋体" w:hAnsi="宋体" w:cs="宋体" w:eastAsia="宋体" w:hint="default"/>
                <w:w w:val="100"/>
                <w:sz w:val="21"/>
                <w:szCs w:val="21"/>
              </w:rPr>
              <w:t> </w:t>
            </w:r>
            <w:r>
              <w:rPr>
                <w:rFonts w:ascii="宋体" w:hAnsi="宋体" w:cs="宋体" w:eastAsia="宋体" w:hint="default"/>
                <w:sz w:val="21"/>
                <w:szCs w:val="21"/>
              </w:rPr>
              <w:t>科技有限公司</w:t>
            </w:r>
          </w:p>
        </w:tc>
        <w:tc>
          <w:tcPr>
            <w:tcW w:w="9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软件费</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市场价</w:t>
            </w:r>
          </w:p>
        </w:tc>
        <w:tc>
          <w:tcPr>
            <w:tcW w:w="16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sz w:val="21"/>
              </w:rPr>
              <w:t>5,055,713.78</w:t>
            </w:r>
          </w:p>
        </w:tc>
        <w:tc>
          <w:tcPr>
            <w:tcW w:w="10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sz w:val="21"/>
              </w:rPr>
              <w:t>0.09</w:t>
            </w:r>
          </w:p>
        </w:tc>
        <w:tc>
          <w:tcPr>
            <w:tcW w:w="1633" w:type="dxa"/>
            <w:tcBorders>
              <w:top w:val="single" w:sz="8" w:space="0" w:color="000000"/>
              <w:left w:val="single" w:sz="8" w:space="0" w:color="000000"/>
              <w:bottom w:val="single" w:sz="8" w:space="0" w:color="000000"/>
              <w:right w:val="single" w:sz="8" w:space="0" w:color="000000"/>
            </w:tcBorders>
          </w:tcPr>
          <w:p>
            <w:pPr/>
          </w:p>
        </w:tc>
        <w:tc>
          <w:tcPr>
            <w:tcW w:w="1058" w:type="dxa"/>
            <w:tcBorders>
              <w:top w:val="single" w:sz="8" w:space="0" w:color="000000"/>
              <w:left w:val="single" w:sz="8" w:space="0" w:color="000000"/>
              <w:bottom w:val="single" w:sz="8" w:space="0" w:color="000000"/>
              <w:right w:val="single" w:sz="8" w:space="0" w:color="00000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spacing w:line="240" w:lineRule="auto" w:before="36"/>
        <w:ind w:right="2497"/>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spacing w:line="290" w:lineRule="auto" w:before="56"/>
        <w:ind w:left="218" w:right="5042"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z w:val="21"/>
          <w:szCs w:val="21"/>
        </w:rPr>
        <w:t>资产或股权收购、出售发生的关联交易</w:t>
      </w:r>
      <w:r>
        <w:rPr>
          <w:rFonts w:ascii="宋体" w:hAnsi="宋体" w:cs="宋体" w:eastAsia="宋体" w:hint="default"/>
          <w:sz w:val="21"/>
          <w:szCs w:val="21"/>
        </w:rPr>
      </w:r>
    </w:p>
    <w:p>
      <w:pPr>
        <w:pStyle w:val="Heading2"/>
        <w:spacing w:line="240" w:lineRule="auto" w:before="14"/>
        <w:ind w:right="2497"/>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6"/>
        <w:ind w:right="2497"/>
        <w:jc w:val="left"/>
      </w:pPr>
      <w:r>
        <w:rPr/>
        <w:t>□适用</w:t>
      </w:r>
      <w:r>
        <w:rPr>
          <w:spacing w:val="-1"/>
        </w:rPr>
        <w:t> </w:t>
      </w:r>
      <w:r>
        <w:rPr/>
        <w:t>√不适用</w:t>
      </w:r>
    </w:p>
    <w:p>
      <w:pPr>
        <w:pStyle w:val="Heading2"/>
        <w:spacing w:line="240" w:lineRule="auto" w:before="58"/>
        <w:ind w:right="2497"/>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tabs>
          <w:tab w:pos="1060" w:val="left" w:leader="none"/>
        </w:tabs>
        <w:spacing w:line="240" w:lineRule="auto" w:before="56"/>
        <w:ind w:right="2497"/>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right="2497"/>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58"/>
        <w:ind w:right="249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497"/>
        <w:jc w:val="left"/>
        <w:rPr>
          <w:b w:val="0"/>
          <w:bCs w:val="0"/>
        </w:rPr>
      </w:pPr>
      <w:r>
        <w:rPr>
          <w:rFonts w:ascii="宋体" w:hAnsi="宋体" w:cs="宋体" w:eastAsia="宋体" w:hint="default"/>
        </w:rPr>
        <w:t>4</w:t>
      </w:r>
      <w:r>
        <w:rPr/>
        <w:t>、</w:t>
      </w:r>
      <w:r>
        <w:rPr>
          <w:spacing w:val="-7"/>
        </w:rPr>
        <w:t> </w:t>
      </w:r>
      <w:r>
        <w:rPr/>
        <w:t>涉及业绩约定的，应当披露报告期内的业绩实现情况</w:t>
      </w:r>
      <w:r>
        <w:rPr>
          <w:b w:val="0"/>
          <w:bCs w:val="0"/>
        </w:rPr>
      </w:r>
    </w:p>
    <w:p>
      <w:pPr>
        <w:pStyle w:val="BodyText"/>
        <w:tabs>
          <w:tab w:pos="1060" w:val="left" w:leader="none"/>
        </w:tabs>
        <w:spacing w:line="240" w:lineRule="auto" w:before="56"/>
        <w:ind w:right="2497"/>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right="2497"/>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共同对外投资的重大关联交易</w:t>
      </w:r>
      <w:r>
        <w:rPr>
          <w:b w:val="0"/>
          <w:bCs w:val="0"/>
        </w:rPr>
      </w:r>
    </w:p>
    <w:p>
      <w:pPr>
        <w:pStyle w:val="Heading2"/>
        <w:spacing w:line="240" w:lineRule="auto" w:before="32"/>
        <w:ind w:right="2497"/>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6"/>
        <w:ind w:right="2497"/>
        <w:jc w:val="left"/>
      </w:pPr>
      <w:r>
        <w:rPr/>
        <w:t>□适用</w:t>
      </w:r>
      <w:r>
        <w:rPr>
          <w:spacing w:val="-1"/>
        </w:rPr>
        <w:t> </w:t>
      </w:r>
      <w:r>
        <w:rPr/>
        <w:t>√不适用</w:t>
      </w:r>
    </w:p>
    <w:p>
      <w:pPr>
        <w:pStyle w:val="Heading2"/>
        <w:spacing w:line="240" w:lineRule="auto" w:before="58"/>
        <w:ind w:right="2497"/>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tabs>
          <w:tab w:pos="1060" w:val="left" w:leader="none"/>
        </w:tabs>
        <w:spacing w:line="240" w:lineRule="auto" w:before="56"/>
        <w:ind w:right="2497"/>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right="2497"/>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59"/>
        <w:ind w:right="2497"/>
        <w:jc w:val="left"/>
      </w:pPr>
      <w:r>
        <w:rPr/>
        <w:t>□适用</w:t>
      </w:r>
      <w:r>
        <w:rPr>
          <w:spacing w:val="-1"/>
        </w:rPr>
        <w:t> </w:t>
      </w:r>
      <w:r>
        <w:rPr/>
        <w:t>√不适用</w:t>
      </w:r>
    </w:p>
    <w:p>
      <w:pPr>
        <w:spacing w:after="0" w:line="240" w:lineRule="auto"/>
        <w:jc w:val="left"/>
        <w:sectPr>
          <w:footerReference w:type="default" r:id="rId21"/>
          <w:pgSz w:w="11910" w:h="16840"/>
          <w:pgMar w:footer="1195" w:header="880" w:top="1120" w:bottom="1380" w:left="1580" w:right="1040"/>
          <w:pgNumType w:start="41"/>
        </w:sectPr>
      </w:pPr>
    </w:p>
    <w:p>
      <w:pPr>
        <w:spacing w:line="240" w:lineRule="auto" w:before="4"/>
        <w:rPr>
          <w:rFonts w:ascii="宋体" w:hAnsi="宋体" w:cs="宋体" w:eastAsia="宋体" w:hint="default"/>
          <w:sz w:val="25"/>
          <w:szCs w:val="25"/>
        </w:rPr>
      </w:pPr>
    </w:p>
    <w:p>
      <w:pPr>
        <w:pStyle w:val="Heading2"/>
        <w:spacing w:line="240" w:lineRule="auto" w:before="36"/>
        <w:ind w:left="138" w:right="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2"/>
        </w:rPr>
        <w:t> </w:t>
      </w:r>
      <w:r>
        <w:rPr/>
        <w:t>关联债权债务往来</w:t>
      </w:r>
      <w:r>
        <w:rPr>
          <w:b w:val="0"/>
          <w:bCs w:val="0"/>
        </w:rPr>
      </w:r>
    </w:p>
    <w:p>
      <w:pPr>
        <w:pStyle w:val="Heading2"/>
        <w:spacing w:line="240" w:lineRule="auto" w:before="32"/>
        <w:ind w:left="138" w:right="0"/>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6"/>
        <w:ind w:left="138" w:right="0"/>
        <w:jc w:val="left"/>
      </w:pPr>
      <w:r>
        <w:rPr/>
        <w:t>□适用</w:t>
      </w:r>
      <w:r>
        <w:rPr>
          <w:spacing w:val="-1"/>
        </w:rPr>
        <w:t> </w:t>
      </w:r>
      <w:r>
        <w:rPr/>
        <w:t>√不适用</w:t>
      </w:r>
    </w:p>
    <w:p>
      <w:pPr>
        <w:pStyle w:val="Heading2"/>
        <w:spacing w:line="240" w:lineRule="auto" w:before="58"/>
        <w:ind w:left="138" w:right="0"/>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tabs>
          <w:tab w:pos="980" w:val="left" w:leader="none"/>
        </w:tabs>
        <w:spacing w:line="240" w:lineRule="auto" w:before="56"/>
        <w:ind w:left="138"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58"/>
        <w:ind w:left="138" w:right="0"/>
        <w:jc w:val="left"/>
      </w:pPr>
      <w:r>
        <w:rPr/>
        <w:t>□适用</w:t>
      </w:r>
      <w:r>
        <w:rPr>
          <w:spacing w:val="-1"/>
        </w:rPr>
        <w:t> </w:t>
      </w:r>
      <w:r>
        <w:rPr/>
        <w:t>√不适用</w:t>
      </w:r>
    </w:p>
    <w:p>
      <w:pPr>
        <w:pStyle w:val="Heading2"/>
        <w:spacing w:line="240" w:lineRule="auto" w:before="56"/>
        <w:ind w:left="138" w:right="0"/>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30"/>
        </w:rPr>
        <w:t> </w:t>
      </w:r>
      <w:r>
        <w:rPr/>
        <w:t>其他</w:t>
      </w:r>
      <w:r>
        <w:rPr>
          <w:b w:val="0"/>
          <w:bCs w:val="0"/>
        </w:rPr>
      </w:r>
    </w:p>
    <w:p>
      <w:pPr>
        <w:pStyle w:val="BodyText"/>
        <w:tabs>
          <w:tab w:pos="980" w:val="left" w:leader="none"/>
        </w:tabs>
        <w:spacing w:line="240" w:lineRule="auto" w:before="32"/>
        <w:ind w:left="138"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tabs>
          <w:tab w:pos="977" w:val="left" w:leader="none"/>
        </w:tabs>
        <w:spacing w:line="290" w:lineRule="auto"/>
        <w:ind w:left="138" w:right="6316"/>
        <w:jc w:val="left"/>
        <w:rPr>
          <w:b w:val="0"/>
          <w:bCs w:val="0"/>
        </w:rPr>
      </w:pPr>
      <w:r>
        <w:rPr/>
        <w:t>十五、重大合同及其履行情况</w:t>
      </w:r>
      <w:r>
        <w:rPr>
          <w:w w:val="100"/>
        </w:rPr>
        <w:t> </w:t>
      </w:r>
      <w:r>
        <w:rPr>
          <w:rFonts w:ascii="宋体" w:hAnsi="宋体" w:cs="宋体" w:eastAsia="宋体" w:hint="default"/>
          <w:spacing w:val="-1"/>
        </w:rPr>
        <w:t>(</w:t>
      </w:r>
      <w:r>
        <w:rPr>
          <w:spacing w:val="-1"/>
        </w:rPr>
        <w:t>一</w:t>
      </w:r>
      <w:r>
        <w:rPr>
          <w:rFonts w:ascii="宋体" w:hAnsi="宋体" w:cs="宋体" w:eastAsia="宋体" w:hint="default"/>
          <w:spacing w:val="-1"/>
        </w:rPr>
        <w:t>)</w:t>
        <w:tab/>
      </w:r>
      <w:r>
        <w:rPr>
          <w:spacing w:val="-1"/>
        </w:rPr>
        <w:t>托管、承包、租赁事项</w:t>
      </w:r>
      <w:r>
        <w:rPr>
          <w:spacing w:val="-96"/>
        </w:rPr>
        <w:t> </w:t>
      </w:r>
      <w:r>
        <w:rPr>
          <w:spacing w:val="-96"/>
        </w:rPr>
      </w:r>
      <w:r>
        <w:rPr>
          <w:rFonts w:ascii="宋体" w:hAnsi="宋体" w:cs="宋体" w:eastAsia="宋体" w:hint="default"/>
        </w:rPr>
        <w:t>1</w:t>
      </w:r>
      <w:r>
        <w:rPr/>
        <w:t>、</w:t>
      </w:r>
      <w:r>
        <w:rPr>
          <w:spacing w:val="-2"/>
        </w:rPr>
        <w:t> </w:t>
      </w:r>
      <w:r>
        <w:rPr/>
        <w:t>托管情况</w:t>
      </w:r>
      <w:r>
        <w:rPr>
          <w:b w:val="0"/>
          <w:bCs w:val="0"/>
        </w:rPr>
      </w:r>
    </w:p>
    <w:p>
      <w:pPr>
        <w:pStyle w:val="BodyText"/>
        <w:spacing w:line="240" w:lineRule="auto" w:before="12"/>
        <w:ind w:left="13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left"/>
        <w:rPr>
          <w:b w:val="0"/>
          <w:bCs w:val="0"/>
        </w:rPr>
      </w:pPr>
      <w:r>
        <w:rPr>
          <w:rFonts w:ascii="宋体" w:hAnsi="宋体" w:cs="宋体" w:eastAsia="宋体" w:hint="default"/>
        </w:rPr>
        <w:t>2</w:t>
      </w:r>
      <w:r>
        <w:rPr/>
        <w:t>、</w:t>
      </w:r>
      <w:r>
        <w:rPr>
          <w:spacing w:val="-2"/>
        </w:rPr>
        <w:t> </w:t>
      </w:r>
      <w:r>
        <w:rPr/>
        <w:t>承包情况</w:t>
      </w:r>
      <w:r>
        <w:rPr>
          <w:b w:val="0"/>
          <w:bCs w:val="0"/>
        </w:rPr>
      </w:r>
    </w:p>
    <w:p>
      <w:pPr>
        <w:pStyle w:val="BodyText"/>
        <w:spacing w:line="240" w:lineRule="auto" w:before="58"/>
        <w:ind w:left="138" w:right="0"/>
        <w:jc w:val="left"/>
      </w:pPr>
      <w:r>
        <w:rPr/>
        <w:t>□适用</w:t>
      </w:r>
      <w:r>
        <w:rPr>
          <w:spacing w:val="-1"/>
        </w:rPr>
        <w:t> </w:t>
      </w:r>
      <w:r>
        <w:rPr/>
        <w:t>√不适用</w:t>
      </w:r>
    </w:p>
    <w:p>
      <w:pPr>
        <w:spacing w:line="240" w:lineRule="auto" w:before="0"/>
        <w:rPr>
          <w:rFonts w:ascii="宋体" w:hAnsi="宋体" w:cs="宋体" w:eastAsia="宋体" w:hint="default"/>
          <w:sz w:val="25"/>
          <w:szCs w:val="25"/>
        </w:rPr>
      </w:pPr>
    </w:p>
    <w:p>
      <w:pPr>
        <w:pStyle w:val="Heading2"/>
        <w:spacing w:line="240" w:lineRule="auto"/>
        <w:ind w:left="138" w:right="0"/>
        <w:jc w:val="left"/>
        <w:rPr>
          <w:b w:val="0"/>
          <w:bCs w:val="0"/>
        </w:rPr>
      </w:pPr>
      <w:r>
        <w:rPr>
          <w:rFonts w:ascii="宋体" w:hAnsi="宋体" w:cs="宋体" w:eastAsia="宋体" w:hint="default"/>
        </w:rPr>
        <w:t>3</w:t>
      </w:r>
      <w:r>
        <w:rPr/>
        <w:t>、</w:t>
      </w:r>
      <w:r>
        <w:rPr>
          <w:spacing w:val="-2"/>
        </w:rPr>
        <w:t> </w:t>
      </w:r>
      <w:r>
        <w:rPr/>
        <w:t>租赁情况</w:t>
      </w:r>
      <w:r>
        <w:rPr>
          <w:b w:val="0"/>
          <w:bCs w:val="0"/>
        </w:rPr>
      </w:r>
    </w:p>
    <w:p>
      <w:pPr>
        <w:pStyle w:val="BodyText"/>
        <w:spacing w:line="240" w:lineRule="auto" w:before="59"/>
        <w:ind w:left="138" w:right="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0" w:footer="1195" w:top="1120" w:bottom="1380" w:left="1660" w:right="840"/>
        </w:sectPr>
      </w:pPr>
    </w:p>
    <w:p>
      <w:pPr>
        <w:pStyle w:val="Heading2"/>
        <w:tabs>
          <w:tab w:pos="977" w:val="left" w:leader="none"/>
        </w:tabs>
        <w:spacing w:line="240" w:lineRule="auto" w:before="36"/>
        <w:ind w:left="138" w:right="-18"/>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担保情况</w:t>
      </w:r>
      <w:r>
        <w:rPr>
          <w:b w:val="0"/>
          <w:bCs w:val="0"/>
        </w:rPr>
      </w:r>
    </w:p>
    <w:p>
      <w:pPr>
        <w:pStyle w:val="BodyText"/>
        <w:spacing w:line="240" w:lineRule="auto" w:before="56"/>
        <w:ind w:left="13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89" w:val="left" w:leader="none"/>
        </w:tabs>
        <w:spacing w:line="240" w:lineRule="auto"/>
        <w:ind w:left="138" w:right="0"/>
        <w:jc w:val="left"/>
      </w:pPr>
      <w:r>
        <w:rPr/>
        <w:t>单位</w:t>
      </w:r>
      <w:r>
        <w:rPr>
          <w:rFonts w:ascii="宋体" w:hAnsi="宋体" w:cs="宋体" w:eastAsia="宋体" w:hint="default"/>
        </w:rPr>
        <w:t>:</w:t>
      </w:r>
      <w:r>
        <w:rPr>
          <w:rFonts w:ascii="宋体" w:hAnsi="宋体" w:cs="宋体" w:eastAsia="宋体" w:hint="default"/>
          <w:spacing w:val="2"/>
        </w:rPr>
        <w:t> </w:t>
      </w:r>
      <w:r>
        <w:rPr/>
        <w:t>元</w:t>
        <w:tab/>
        <w:t>币种</w:t>
      </w:r>
      <w:r>
        <w:rPr>
          <w:rFonts w:ascii="宋体" w:hAnsi="宋体" w:cs="宋体" w:eastAsia="宋体" w:hint="default"/>
        </w:rPr>
        <w:t>: </w:t>
      </w:r>
      <w:r>
        <w:rPr/>
        <w:t>人民币</w:t>
      </w:r>
    </w:p>
    <w:p>
      <w:pPr>
        <w:spacing w:after="0" w:line="240" w:lineRule="auto"/>
        <w:jc w:val="left"/>
        <w:sectPr>
          <w:type w:val="continuous"/>
          <w:pgSz w:w="11910" w:h="16840"/>
          <w:pgMar w:top="1120" w:bottom="1380" w:left="1660" w:right="840"/>
          <w:cols w:num="2" w:equalWidth="0">
            <w:col w:w="1823" w:space="5015"/>
            <w:col w:w="2572"/>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626"/>
        <w:gridCol w:w="624"/>
        <w:gridCol w:w="624"/>
        <w:gridCol w:w="701"/>
        <w:gridCol w:w="624"/>
        <w:gridCol w:w="629"/>
        <w:gridCol w:w="624"/>
        <w:gridCol w:w="624"/>
        <w:gridCol w:w="624"/>
        <w:gridCol w:w="624"/>
        <w:gridCol w:w="701"/>
        <w:gridCol w:w="625"/>
        <w:gridCol w:w="624"/>
        <w:gridCol w:w="622"/>
      </w:tblGrid>
      <w:tr>
        <w:trPr>
          <w:trHeight w:val="305" w:hRule="exact"/>
        </w:trPr>
        <w:tc>
          <w:tcPr>
            <w:tcW w:w="889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340" w:right="0"/>
              <w:jc w:val="left"/>
              <w:rPr>
                <w:rFonts w:ascii="宋体" w:hAnsi="宋体" w:cs="宋体" w:eastAsia="宋体" w:hint="default"/>
                <w:sz w:val="21"/>
                <w:szCs w:val="21"/>
              </w:rPr>
            </w:pPr>
            <w:r>
              <w:rPr>
                <w:rFonts w:ascii="宋体" w:hAnsi="宋体" w:cs="宋体" w:eastAsia="宋体" w:hint="default"/>
                <w:sz w:val="21"/>
                <w:szCs w:val="21"/>
              </w:rPr>
              <w:t>公司对外担保情况（不包括对子公司的担保）</w:t>
            </w:r>
          </w:p>
        </w:tc>
      </w:tr>
      <w:tr>
        <w:trPr>
          <w:trHeight w:val="1644" w:hRule="exact"/>
        </w:trPr>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201" w:right="93" w:hanging="104"/>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方</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95" w:right="0"/>
              <w:jc w:val="both"/>
              <w:rPr>
                <w:rFonts w:ascii="宋体" w:hAnsi="宋体" w:cs="宋体" w:eastAsia="宋体" w:hint="default"/>
                <w:sz w:val="21"/>
                <w:szCs w:val="21"/>
              </w:rPr>
            </w:pPr>
            <w:r>
              <w:rPr>
                <w:rFonts w:ascii="宋体" w:hAnsi="宋体" w:cs="宋体" w:eastAsia="宋体" w:hint="default"/>
                <w:sz w:val="21"/>
                <w:szCs w:val="21"/>
              </w:rPr>
              <w:t>担保</w:t>
            </w:r>
          </w:p>
          <w:p>
            <w:pPr>
              <w:pStyle w:val="TableParagraph"/>
              <w:spacing w:line="237" w:lineRule="auto"/>
              <w:ind w:left="95" w:right="95"/>
              <w:jc w:val="both"/>
              <w:rPr>
                <w:rFonts w:ascii="宋体" w:hAnsi="宋体" w:cs="宋体" w:eastAsia="宋体" w:hint="default"/>
                <w:sz w:val="21"/>
                <w:szCs w:val="21"/>
              </w:rPr>
            </w:pPr>
            <w:r>
              <w:rPr>
                <w:rFonts w:ascii="宋体" w:hAnsi="宋体" w:cs="宋体" w:eastAsia="宋体" w:hint="default"/>
                <w:sz w:val="21"/>
                <w:szCs w:val="21"/>
              </w:rPr>
              <w:t>方与</w:t>
            </w:r>
            <w:r>
              <w:rPr>
                <w:rFonts w:ascii="宋体" w:hAnsi="宋体" w:cs="宋体" w:eastAsia="宋体" w:hint="default"/>
                <w:spacing w:val="-103"/>
                <w:sz w:val="21"/>
                <w:szCs w:val="21"/>
              </w:rPr>
              <w:t> </w:t>
            </w:r>
            <w:r>
              <w:rPr>
                <w:rFonts w:ascii="宋体" w:hAnsi="宋体" w:cs="宋体" w:eastAsia="宋体" w:hint="default"/>
                <w:sz w:val="21"/>
                <w:szCs w:val="21"/>
              </w:rPr>
              <w:t>上市</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pacing w:val="-103"/>
                <w:sz w:val="21"/>
                <w:szCs w:val="21"/>
              </w:rPr>
              <w:t> </w:t>
            </w:r>
            <w:r>
              <w:rPr>
                <w:rFonts w:ascii="宋体" w:hAnsi="宋体" w:cs="宋体" w:eastAsia="宋体" w:hint="default"/>
                <w:sz w:val="21"/>
                <w:szCs w:val="21"/>
              </w:rPr>
              <w:t>的关</w:t>
            </w:r>
            <w:r>
              <w:rPr>
                <w:rFonts w:ascii="宋体" w:hAnsi="宋体" w:cs="宋体" w:eastAsia="宋体" w:hint="default"/>
                <w:spacing w:val="-103"/>
                <w:sz w:val="21"/>
                <w:szCs w:val="21"/>
              </w:rPr>
              <w:t> </w:t>
            </w:r>
            <w:r>
              <w:rPr>
                <w:rFonts w:ascii="宋体" w:hAnsi="宋体" w:cs="宋体" w:eastAsia="宋体" w:hint="default"/>
                <w:sz w:val="21"/>
                <w:szCs w:val="21"/>
              </w:rPr>
              <w:t>系</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98" w:right="91"/>
              <w:jc w:val="left"/>
              <w:rPr>
                <w:rFonts w:ascii="宋体" w:hAnsi="宋体" w:cs="宋体" w:eastAsia="宋体" w:hint="default"/>
                <w:sz w:val="21"/>
                <w:szCs w:val="21"/>
              </w:rPr>
            </w:pPr>
            <w:r>
              <w:rPr>
                <w:rFonts w:ascii="宋体" w:hAnsi="宋体" w:cs="宋体" w:eastAsia="宋体" w:hint="default"/>
                <w:sz w:val="21"/>
                <w:szCs w:val="21"/>
              </w:rPr>
              <w:t>被担</w:t>
            </w:r>
            <w:r>
              <w:rPr>
                <w:rFonts w:ascii="宋体" w:hAnsi="宋体" w:cs="宋体" w:eastAsia="宋体" w:hint="default"/>
                <w:spacing w:val="-103"/>
                <w:sz w:val="21"/>
                <w:szCs w:val="21"/>
              </w:rPr>
              <w:t> </w:t>
            </w:r>
            <w:r>
              <w:rPr>
                <w:rFonts w:ascii="宋体" w:hAnsi="宋体" w:cs="宋体" w:eastAsia="宋体" w:hint="default"/>
                <w:sz w:val="21"/>
                <w:szCs w:val="21"/>
              </w:rPr>
              <w:t>保方</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240" w:right="26" w:hanging="210"/>
              <w:jc w:val="left"/>
              <w:rPr>
                <w:rFonts w:ascii="宋体" w:hAnsi="宋体" w:cs="宋体" w:eastAsia="宋体" w:hint="default"/>
                <w:sz w:val="21"/>
                <w:szCs w:val="21"/>
              </w:rPr>
            </w:pPr>
            <w:r>
              <w:rPr>
                <w:rFonts w:ascii="宋体" w:hAnsi="宋体" w:cs="宋体" w:eastAsia="宋体" w:hint="default"/>
                <w:sz w:val="21"/>
                <w:szCs w:val="21"/>
              </w:rPr>
              <w:t>担保金</w:t>
            </w:r>
            <w:r>
              <w:rPr>
                <w:rFonts w:ascii="宋体" w:hAnsi="宋体" w:cs="宋体" w:eastAsia="宋体" w:hint="default"/>
                <w:spacing w:val="-102"/>
                <w:sz w:val="21"/>
                <w:szCs w:val="21"/>
              </w:rPr>
              <w:t> </w:t>
            </w:r>
            <w:r>
              <w:rPr>
                <w:rFonts w:ascii="宋体" w:hAnsi="宋体" w:cs="宋体" w:eastAsia="宋体" w:hint="default"/>
                <w:sz w:val="21"/>
                <w:szCs w:val="21"/>
              </w:rPr>
              <w:t>额</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98" w:right="0"/>
              <w:jc w:val="both"/>
              <w:rPr>
                <w:rFonts w:ascii="宋体" w:hAnsi="宋体" w:cs="宋体" w:eastAsia="宋体" w:hint="default"/>
                <w:sz w:val="21"/>
                <w:szCs w:val="21"/>
              </w:rPr>
            </w:pPr>
            <w:r>
              <w:rPr>
                <w:rFonts w:ascii="宋体" w:hAnsi="宋体" w:cs="宋体" w:eastAsia="宋体" w:hint="default"/>
                <w:sz w:val="21"/>
                <w:szCs w:val="21"/>
              </w:rPr>
              <w:t>担保</w:t>
            </w:r>
          </w:p>
          <w:p>
            <w:pPr>
              <w:pStyle w:val="TableParagraph"/>
              <w:spacing w:line="237" w:lineRule="auto"/>
              <w:ind w:left="45" w:right="38" w:firstLine="52"/>
              <w:jc w:val="both"/>
              <w:rPr>
                <w:rFonts w:ascii="宋体" w:hAnsi="宋体" w:cs="宋体" w:eastAsia="宋体" w:hint="default"/>
                <w:sz w:val="21"/>
                <w:szCs w:val="21"/>
              </w:rPr>
            </w:pPr>
            <w:r>
              <w:rPr>
                <w:rFonts w:ascii="宋体" w:hAnsi="宋体" w:cs="宋体" w:eastAsia="宋体" w:hint="default"/>
                <w:sz w:val="21"/>
                <w:szCs w:val="21"/>
              </w:rPr>
              <w:t>发生</w:t>
            </w:r>
            <w:r>
              <w:rPr>
                <w:rFonts w:ascii="宋体" w:hAnsi="宋体" w:cs="宋体" w:eastAsia="宋体" w:hint="default"/>
                <w:w w:val="100"/>
                <w:sz w:val="21"/>
                <w:szCs w:val="21"/>
              </w:rPr>
              <w:t> </w:t>
            </w:r>
            <w:r>
              <w:rPr>
                <w:rFonts w:ascii="宋体" w:hAnsi="宋体" w:cs="宋体" w:eastAsia="宋体" w:hint="default"/>
                <w:sz w:val="21"/>
                <w:szCs w:val="21"/>
              </w:rPr>
              <w:t>日期</w:t>
            </w:r>
            <w:r>
              <w:rPr>
                <w:rFonts w:ascii="宋体" w:hAnsi="宋体" w:cs="宋体" w:eastAsia="宋体" w:hint="default"/>
                <w:spacing w:val="-103"/>
                <w:sz w:val="21"/>
                <w:szCs w:val="21"/>
              </w:rPr>
              <w:t> </w:t>
            </w:r>
            <w:r>
              <w:rPr>
                <w:rFonts w:ascii="宋体" w:hAnsi="宋体" w:cs="宋体" w:eastAsia="宋体" w:hint="default"/>
                <w:sz w:val="21"/>
                <w:szCs w:val="21"/>
              </w:rPr>
              <w:t>(</w:t>
            </w:r>
            <w:r>
              <w:rPr>
                <w:rFonts w:ascii="宋体" w:hAnsi="宋体" w:cs="宋体" w:eastAsia="宋体" w:hint="default"/>
                <w:sz w:val="21"/>
                <w:szCs w:val="21"/>
              </w:rPr>
              <w:t>协议</w:t>
            </w:r>
            <w:r>
              <w:rPr>
                <w:rFonts w:ascii="宋体" w:hAnsi="宋体" w:cs="宋体" w:eastAsia="宋体" w:hint="default"/>
                <w:spacing w:val="-102"/>
                <w:sz w:val="21"/>
                <w:szCs w:val="21"/>
              </w:rPr>
              <w:t> </w:t>
            </w:r>
            <w:r>
              <w:rPr>
                <w:rFonts w:ascii="宋体" w:hAnsi="宋体" w:cs="宋体" w:eastAsia="宋体" w:hint="default"/>
                <w:sz w:val="21"/>
                <w:szCs w:val="21"/>
              </w:rPr>
              <w:t>签署</w:t>
            </w:r>
            <w:r>
              <w:rPr>
                <w:rFonts w:ascii="宋体" w:hAnsi="宋体" w:cs="宋体" w:eastAsia="宋体" w:hint="default"/>
                <w:spacing w:val="-103"/>
                <w:sz w:val="21"/>
                <w:szCs w:val="21"/>
              </w:rPr>
              <w:t> </w:t>
            </w:r>
            <w:r>
              <w:rPr>
                <w:rFonts w:ascii="宋体" w:hAnsi="宋体" w:cs="宋体" w:eastAsia="宋体" w:hint="default"/>
                <w:sz w:val="21"/>
                <w:szCs w:val="21"/>
              </w:rPr>
              <w:t>日</w:t>
            </w:r>
            <w:r>
              <w:rPr>
                <w:rFonts w:ascii="宋体" w:hAnsi="宋体" w:cs="宋体" w:eastAsia="宋体" w:hint="default"/>
                <w:sz w:val="21"/>
                <w:szCs w:val="21"/>
              </w:rPr>
              <w:t>)</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00" w:right="95"/>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起始</w:t>
            </w:r>
            <w:r>
              <w:rPr>
                <w:rFonts w:ascii="宋体" w:hAnsi="宋体" w:cs="宋体" w:eastAsia="宋体" w:hint="default"/>
                <w:spacing w:val="-103"/>
                <w:sz w:val="21"/>
                <w:szCs w:val="21"/>
              </w:rPr>
              <w:t> </w:t>
            </w:r>
            <w:r>
              <w:rPr>
                <w:rFonts w:ascii="宋体" w:hAnsi="宋体" w:cs="宋体" w:eastAsia="宋体" w:hint="default"/>
                <w:sz w:val="21"/>
                <w:szCs w:val="21"/>
              </w:rPr>
              <w:t>日</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96" w:right="95"/>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到期</w:t>
            </w:r>
            <w:r>
              <w:rPr>
                <w:rFonts w:ascii="宋体" w:hAnsi="宋体" w:cs="宋体" w:eastAsia="宋体" w:hint="default"/>
                <w:spacing w:val="-103"/>
                <w:sz w:val="21"/>
                <w:szCs w:val="21"/>
              </w:rPr>
              <w:t> </w:t>
            </w:r>
            <w:r>
              <w:rPr>
                <w:rFonts w:ascii="宋体" w:hAnsi="宋体" w:cs="宋体" w:eastAsia="宋体" w:hint="default"/>
                <w:sz w:val="21"/>
                <w:szCs w:val="21"/>
              </w:rPr>
              <w:t>日</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95" w:right="94"/>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类型</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2"/>
              <w:ind w:left="95" w:right="95"/>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已经</w:t>
            </w:r>
            <w:r>
              <w:rPr>
                <w:rFonts w:ascii="宋体" w:hAnsi="宋体" w:cs="宋体" w:eastAsia="宋体" w:hint="default"/>
                <w:spacing w:val="-103"/>
                <w:sz w:val="21"/>
                <w:szCs w:val="21"/>
              </w:rPr>
              <w:t> </w:t>
            </w:r>
            <w:r>
              <w:rPr>
                <w:rFonts w:ascii="宋体" w:hAnsi="宋体" w:cs="宋体" w:eastAsia="宋体" w:hint="default"/>
                <w:sz w:val="21"/>
                <w:szCs w:val="21"/>
              </w:rPr>
              <w:t>履行</w:t>
            </w:r>
            <w:r>
              <w:rPr>
                <w:rFonts w:ascii="宋体" w:hAnsi="宋体" w:cs="宋体" w:eastAsia="宋体" w:hint="default"/>
                <w:spacing w:val="-103"/>
                <w:sz w:val="21"/>
                <w:szCs w:val="21"/>
              </w:rPr>
              <w:t> </w:t>
            </w:r>
            <w:r>
              <w:rPr>
                <w:rFonts w:ascii="宋体" w:hAnsi="宋体" w:cs="宋体" w:eastAsia="宋体" w:hint="default"/>
                <w:sz w:val="21"/>
                <w:szCs w:val="21"/>
              </w:rPr>
              <w:t>完毕</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96" w:right="95"/>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逾期</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28" w:right="26"/>
              <w:jc w:val="left"/>
              <w:rPr>
                <w:rFonts w:ascii="宋体" w:hAnsi="宋体" w:cs="宋体" w:eastAsia="宋体" w:hint="default"/>
                <w:sz w:val="21"/>
                <w:szCs w:val="21"/>
              </w:rPr>
            </w:pPr>
            <w:r>
              <w:rPr>
                <w:rFonts w:ascii="宋体" w:hAnsi="宋体" w:cs="宋体" w:eastAsia="宋体" w:hint="default"/>
                <w:sz w:val="21"/>
                <w:szCs w:val="21"/>
              </w:rPr>
              <w:t>担保逾</w:t>
            </w:r>
            <w:r>
              <w:rPr>
                <w:rFonts w:ascii="宋体" w:hAnsi="宋体" w:cs="宋体" w:eastAsia="宋体" w:hint="default"/>
                <w:spacing w:val="-102"/>
                <w:sz w:val="21"/>
                <w:szCs w:val="21"/>
              </w:rPr>
              <w:t> </w:t>
            </w:r>
            <w:r>
              <w:rPr>
                <w:rFonts w:ascii="宋体" w:hAnsi="宋体" w:cs="宋体" w:eastAsia="宋体" w:hint="default"/>
                <w:sz w:val="21"/>
                <w:szCs w:val="21"/>
              </w:rPr>
              <w:t>期金额</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96" w:right="95"/>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存在</w:t>
            </w:r>
            <w:r>
              <w:rPr>
                <w:rFonts w:ascii="宋体" w:hAnsi="宋体" w:cs="宋体" w:eastAsia="宋体" w:hint="default"/>
                <w:spacing w:val="-103"/>
                <w:sz w:val="21"/>
                <w:szCs w:val="21"/>
              </w:rPr>
              <w:t> </w:t>
            </w:r>
            <w:r>
              <w:rPr>
                <w:rFonts w:ascii="宋体" w:hAnsi="宋体" w:cs="宋体" w:eastAsia="宋体" w:hint="default"/>
                <w:sz w:val="21"/>
                <w:szCs w:val="21"/>
              </w:rPr>
              <w:t>反担</w:t>
            </w:r>
            <w:r>
              <w:rPr>
                <w:rFonts w:ascii="宋体" w:hAnsi="宋体" w:cs="宋体" w:eastAsia="宋体" w:hint="default"/>
                <w:spacing w:val="-103"/>
                <w:sz w:val="21"/>
                <w:szCs w:val="21"/>
              </w:rPr>
              <w:t> </w:t>
            </w:r>
            <w:r>
              <w:rPr>
                <w:rFonts w:ascii="宋体" w:hAnsi="宋体" w:cs="宋体" w:eastAsia="宋体" w:hint="default"/>
                <w:sz w:val="21"/>
                <w:szCs w:val="21"/>
              </w:rPr>
              <w:t>保</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95" w:right="95"/>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为关</w:t>
            </w:r>
            <w:r>
              <w:rPr>
                <w:rFonts w:ascii="宋体" w:hAnsi="宋体" w:cs="宋体" w:eastAsia="宋体" w:hint="default"/>
                <w:spacing w:val="-103"/>
                <w:sz w:val="21"/>
                <w:szCs w:val="21"/>
              </w:rPr>
              <w:t> </w:t>
            </w:r>
            <w:r>
              <w:rPr>
                <w:rFonts w:ascii="宋体" w:hAnsi="宋体" w:cs="宋体" w:eastAsia="宋体" w:hint="default"/>
                <w:sz w:val="21"/>
                <w:szCs w:val="21"/>
              </w:rPr>
              <w:t>联方</w:t>
            </w:r>
            <w:r>
              <w:rPr>
                <w:rFonts w:ascii="宋体" w:hAnsi="宋体" w:cs="宋体" w:eastAsia="宋体" w:hint="default"/>
                <w:spacing w:val="-103"/>
                <w:sz w:val="21"/>
                <w:szCs w:val="21"/>
              </w:rPr>
              <w:t> </w:t>
            </w:r>
            <w:r>
              <w:rPr>
                <w:rFonts w:ascii="宋体" w:hAnsi="宋体" w:cs="宋体" w:eastAsia="宋体" w:hint="default"/>
                <w:sz w:val="21"/>
                <w:szCs w:val="21"/>
              </w:rPr>
              <w:t>担保</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93" w:right="95"/>
              <w:jc w:val="left"/>
              <w:rPr>
                <w:rFonts w:ascii="宋体" w:hAnsi="宋体" w:cs="宋体" w:eastAsia="宋体" w:hint="default"/>
                <w:sz w:val="21"/>
                <w:szCs w:val="21"/>
              </w:rPr>
            </w:pPr>
            <w:r>
              <w:rPr>
                <w:rFonts w:ascii="宋体" w:hAnsi="宋体" w:cs="宋体" w:eastAsia="宋体" w:hint="default"/>
                <w:sz w:val="21"/>
                <w:szCs w:val="21"/>
              </w:rPr>
              <w:t>关联</w:t>
            </w:r>
            <w:r>
              <w:rPr>
                <w:rFonts w:ascii="宋体" w:hAnsi="宋体" w:cs="宋体" w:eastAsia="宋体" w:hint="default"/>
                <w:spacing w:val="-103"/>
                <w:sz w:val="21"/>
                <w:szCs w:val="21"/>
              </w:rPr>
              <w:t> </w:t>
            </w:r>
            <w:r>
              <w:rPr>
                <w:rFonts w:ascii="宋体" w:hAnsi="宋体" w:cs="宋体" w:eastAsia="宋体" w:hint="default"/>
                <w:sz w:val="21"/>
                <w:szCs w:val="21"/>
              </w:rPr>
              <w:t>关系</w:t>
            </w:r>
          </w:p>
        </w:tc>
      </w:tr>
      <w:tr>
        <w:trPr>
          <w:trHeight w:val="303" w:hRule="exact"/>
        </w:trPr>
        <w:tc>
          <w:tcPr>
            <w:tcW w:w="62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r>
      <w:tr>
        <w:trPr>
          <w:trHeight w:val="302" w:hRule="exact"/>
        </w:trPr>
        <w:tc>
          <w:tcPr>
            <w:tcW w:w="62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82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报告期内担保发生额合计（不包括对子公</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司的担保）</w:t>
            </w:r>
          </w:p>
        </w:tc>
        <w:tc>
          <w:tcPr>
            <w:tcW w:w="506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w w:val="100"/>
                <w:sz w:val="21"/>
              </w:rPr>
              <w:t>0</w:t>
            </w:r>
          </w:p>
        </w:tc>
      </w:tr>
      <w:tr>
        <w:trPr>
          <w:trHeight w:val="554" w:hRule="exact"/>
        </w:trPr>
        <w:tc>
          <w:tcPr>
            <w:tcW w:w="382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报告期末担保余额合计（</w:t>
            </w:r>
            <w:r>
              <w:rPr>
                <w:rFonts w:ascii="宋体" w:hAnsi="宋体" w:cs="宋体" w:eastAsia="宋体" w:hint="default"/>
                <w:sz w:val="21"/>
                <w:szCs w:val="21"/>
              </w:rPr>
              <w:t>A</w:t>
            </w:r>
            <w:r>
              <w:rPr>
                <w:rFonts w:ascii="宋体" w:hAnsi="宋体" w:cs="宋体" w:eastAsia="宋体" w:hint="default"/>
                <w:sz w:val="21"/>
                <w:szCs w:val="21"/>
              </w:rPr>
              <w:t>）（不包括对</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子公司的担保）</w:t>
            </w:r>
          </w:p>
        </w:tc>
        <w:tc>
          <w:tcPr>
            <w:tcW w:w="506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w w:val="100"/>
                <w:sz w:val="21"/>
              </w:rPr>
              <w:t>0</w:t>
            </w:r>
          </w:p>
        </w:tc>
      </w:tr>
      <w:tr>
        <w:trPr>
          <w:trHeight w:val="319" w:hRule="exact"/>
        </w:trPr>
        <w:tc>
          <w:tcPr>
            <w:tcW w:w="889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719" w:right="0"/>
              <w:jc w:val="left"/>
              <w:rPr>
                <w:rFonts w:ascii="宋体" w:hAnsi="宋体" w:cs="宋体" w:eastAsia="宋体" w:hint="default"/>
                <w:sz w:val="21"/>
                <w:szCs w:val="21"/>
              </w:rPr>
            </w:pPr>
            <w:r>
              <w:rPr>
                <w:rFonts w:ascii="宋体" w:hAnsi="宋体" w:cs="宋体" w:eastAsia="宋体" w:hint="default"/>
                <w:sz w:val="21"/>
                <w:szCs w:val="21"/>
              </w:rPr>
              <w:t>公司及其子公司对子公司的担保情况</w:t>
            </w:r>
          </w:p>
        </w:tc>
      </w:tr>
      <w:tr>
        <w:trPr>
          <w:trHeight w:val="317" w:hRule="exact"/>
        </w:trPr>
        <w:tc>
          <w:tcPr>
            <w:tcW w:w="382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报告期内对子公司担保发生额合计</w:t>
            </w:r>
          </w:p>
        </w:tc>
        <w:tc>
          <w:tcPr>
            <w:tcW w:w="506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66" w:right="0"/>
              <w:jc w:val="left"/>
              <w:rPr>
                <w:rFonts w:ascii="宋体" w:hAnsi="宋体" w:cs="宋体" w:eastAsia="宋体" w:hint="default"/>
                <w:sz w:val="21"/>
                <w:szCs w:val="21"/>
              </w:rPr>
            </w:pPr>
            <w:r>
              <w:rPr>
                <w:rFonts w:ascii="宋体"/>
                <w:sz w:val="21"/>
              </w:rPr>
              <w:t>3,200,280,000.00</w:t>
            </w:r>
          </w:p>
        </w:tc>
      </w:tr>
      <w:tr>
        <w:trPr>
          <w:trHeight w:val="319" w:hRule="exact"/>
        </w:trPr>
        <w:tc>
          <w:tcPr>
            <w:tcW w:w="382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报告期末对子公司担保余额合计（</w:t>
            </w:r>
            <w:r>
              <w:rPr>
                <w:rFonts w:ascii="宋体" w:hAnsi="宋体" w:cs="宋体" w:eastAsia="宋体" w:hint="default"/>
                <w:sz w:val="21"/>
                <w:szCs w:val="21"/>
              </w:rPr>
              <w:t>B</w:t>
            </w:r>
            <w:r>
              <w:rPr>
                <w:rFonts w:ascii="宋体" w:hAnsi="宋体" w:cs="宋体" w:eastAsia="宋体" w:hint="default"/>
                <w:sz w:val="21"/>
                <w:szCs w:val="21"/>
              </w:rPr>
              <w:t>）</w:t>
            </w:r>
          </w:p>
        </w:tc>
        <w:tc>
          <w:tcPr>
            <w:tcW w:w="506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266" w:right="0"/>
              <w:jc w:val="left"/>
              <w:rPr>
                <w:rFonts w:ascii="宋体" w:hAnsi="宋体" w:cs="宋体" w:eastAsia="宋体" w:hint="default"/>
                <w:sz w:val="21"/>
                <w:szCs w:val="21"/>
              </w:rPr>
            </w:pPr>
            <w:r>
              <w:rPr>
                <w:rFonts w:ascii="宋体"/>
                <w:sz w:val="21"/>
              </w:rPr>
              <w:t>1,962,280,000.00</w:t>
            </w:r>
          </w:p>
        </w:tc>
      </w:tr>
      <w:tr>
        <w:trPr>
          <w:trHeight w:val="317" w:hRule="exact"/>
        </w:trPr>
        <w:tc>
          <w:tcPr>
            <w:tcW w:w="889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405" w:right="0"/>
              <w:jc w:val="left"/>
              <w:rPr>
                <w:rFonts w:ascii="宋体" w:hAnsi="宋体" w:cs="宋体" w:eastAsia="宋体" w:hint="default"/>
                <w:sz w:val="21"/>
                <w:szCs w:val="21"/>
              </w:rPr>
            </w:pPr>
            <w:r>
              <w:rPr>
                <w:rFonts w:ascii="宋体" w:hAnsi="宋体" w:cs="宋体" w:eastAsia="宋体" w:hint="default"/>
                <w:sz w:val="21"/>
                <w:szCs w:val="21"/>
              </w:rPr>
              <w:t>公司担保总额情况（包括对子公司的担保）</w:t>
            </w:r>
          </w:p>
        </w:tc>
      </w:tr>
      <w:tr>
        <w:trPr>
          <w:trHeight w:val="480" w:hRule="exact"/>
        </w:trPr>
        <w:tc>
          <w:tcPr>
            <w:tcW w:w="382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担保总额（</w:t>
            </w:r>
            <w:r>
              <w:rPr>
                <w:rFonts w:ascii="宋体" w:hAnsi="宋体" w:cs="宋体" w:eastAsia="宋体" w:hint="default"/>
                <w:sz w:val="21"/>
                <w:szCs w:val="21"/>
              </w:rPr>
              <w:t>A+B</w:t>
            </w:r>
            <w:r>
              <w:rPr>
                <w:rFonts w:ascii="宋体" w:hAnsi="宋体" w:cs="宋体" w:eastAsia="宋体" w:hint="default"/>
                <w:sz w:val="21"/>
                <w:szCs w:val="21"/>
              </w:rPr>
              <w:t>）</w:t>
            </w:r>
          </w:p>
        </w:tc>
        <w:tc>
          <w:tcPr>
            <w:tcW w:w="506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266" w:right="0"/>
              <w:jc w:val="left"/>
              <w:rPr>
                <w:rFonts w:ascii="宋体" w:hAnsi="宋体" w:cs="宋体" w:eastAsia="宋体" w:hint="default"/>
                <w:sz w:val="21"/>
                <w:szCs w:val="21"/>
              </w:rPr>
            </w:pPr>
            <w:r>
              <w:rPr>
                <w:rFonts w:ascii="宋体"/>
                <w:sz w:val="21"/>
              </w:rPr>
              <w:t>1,962,280,000.00</w:t>
            </w:r>
          </w:p>
        </w:tc>
      </w:tr>
      <w:tr>
        <w:trPr>
          <w:trHeight w:val="319" w:hRule="exact"/>
        </w:trPr>
        <w:tc>
          <w:tcPr>
            <w:tcW w:w="382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担保总额占公司净资产的比例</w:t>
            </w:r>
            <w:r>
              <w:rPr>
                <w:rFonts w:ascii="宋体" w:hAnsi="宋体" w:cs="宋体" w:eastAsia="宋体" w:hint="default"/>
                <w:sz w:val="21"/>
                <w:szCs w:val="21"/>
              </w:rPr>
              <w:t>(%)</w:t>
            </w:r>
          </w:p>
        </w:tc>
        <w:tc>
          <w:tcPr>
            <w:tcW w:w="506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8"/>
              <w:jc w:val="right"/>
              <w:rPr>
                <w:rFonts w:ascii="宋体" w:hAnsi="宋体" w:cs="宋体" w:eastAsia="宋体" w:hint="default"/>
                <w:sz w:val="21"/>
                <w:szCs w:val="21"/>
              </w:rPr>
            </w:pPr>
            <w:r>
              <w:rPr>
                <w:rFonts w:ascii="宋体"/>
                <w:w w:val="100"/>
                <w:sz w:val="21"/>
              </w:rPr>
              <w:t>0</w:t>
            </w:r>
          </w:p>
        </w:tc>
      </w:tr>
    </w:tbl>
    <w:p>
      <w:pPr>
        <w:spacing w:after="0" w:line="243" w:lineRule="exact"/>
        <w:jc w:val="right"/>
        <w:rPr>
          <w:rFonts w:ascii="宋体" w:hAnsi="宋体" w:cs="宋体" w:eastAsia="宋体" w:hint="default"/>
          <w:sz w:val="21"/>
          <w:szCs w:val="21"/>
        </w:rPr>
        <w:sectPr>
          <w:type w:val="continuous"/>
          <w:pgSz w:w="11910" w:h="16840"/>
          <w:pgMar w:top="1120" w:bottom="1380" w:left="1660" w:right="8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829"/>
        <w:gridCol w:w="5067"/>
      </w:tblGrid>
      <w:tr>
        <w:trPr>
          <w:trHeight w:val="320" w:hRule="exact"/>
        </w:trPr>
        <w:tc>
          <w:tcPr>
            <w:tcW w:w="88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554"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为股东、实际控制人及其关联方提供担保</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的金额（</w:t>
            </w:r>
            <w:r>
              <w:rPr>
                <w:rFonts w:ascii="宋体" w:hAnsi="宋体" w:cs="宋体" w:eastAsia="宋体" w:hint="default"/>
                <w:sz w:val="21"/>
                <w:szCs w:val="21"/>
              </w:rPr>
              <w:t>C</w:t>
            </w:r>
            <w:r>
              <w:rPr>
                <w:rFonts w:ascii="宋体" w:hAnsi="宋体" w:cs="宋体" w:eastAsia="宋体" w:hint="default"/>
                <w:sz w:val="21"/>
                <w:szCs w:val="21"/>
              </w:rPr>
              <w:t>）</w:t>
            </w:r>
          </w:p>
        </w:tc>
        <w:tc>
          <w:tcPr>
            <w:tcW w:w="50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w w:val="100"/>
                <w:sz w:val="21"/>
              </w:rPr>
              <w:t>0</w:t>
            </w:r>
          </w:p>
        </w:tc>
      </w:tr>
      <w:tr>
        <w:trPr>
          <w:trHeight w:val="554"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直接或间接为资产负债率超过</w:t>
            </w:r>
            <w:r>
              <w:rPr>
                <w:rFonts w:ascii="宋体" w:hAnsi="宋体" w:cs="宋体" w:eastAsia="宋体" w:hint="default"/>
                <w:sz w:val="21"/>
                <w:szCs w:val="21"/>
              </w:rPr>
              <w:t>70%</w:t>
            </w:r>
            <w:r>
              <w:rPr>
                <w:rFonts w:ascii="宋体" w:hAnsi="宋体" w:cs="宋体" w:eastAsia="宋体" w:hint="default"/>
                <w:sz w:val="21"/>
                <w:szCs w:val="21"/>
              </w:rPr>
              <w:t>的被担</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保对象提供的债务担保金额（</w:t>
            </w:r>
            <w:r>
              <w:rPr>
                <w:rFonts w:ascii="宋体" w:hAnsi="宋体" w:cs="宋体" w:eastAsia="宋体" w:hint="default"/>
                <w:sz w:val="21"/>
                <w:szCs w:val="21"/>
              </w:rPr>
              <w:t>D</w:t>
            </w:r>
            <w:r>
              <w:rPr>
                <w:rFonts w:ascii="宋体" w:hAnsi="宋体" w:cs="宋体" w:eastAsia="宋体" w:hint="default"/>
                <w:sz w:val="21"/>
                <w:szCs w:val="21"/>
              </w:rPr>
              <w:t>）</w:t>
            </w:r>
          </w:p>
        </w:tc>
        <w:tc>
          <w:tcPr>
            <w:tcW w:w="50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w w:val="100"/>
                <w:sz w:val="21"/>
              </w:rPr>
              <w:t>0</w:t>
            </w:r>
          </w:p>
        </w:tc>
      </w:tr>
      <w:tr>
        <w:trPr>
          <w:trHeight w:val="319"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担保总额超过净资产</w:t>
            </w:r>
            <w:r>
              <w:rPr>
                <w:rFonts w:ascii="宋体" w:hAnsi="宋体" w:cs="宋体" w:eastAsia="宋体" w:hint="default"/>
                <w:spacing w:val="-2"/>
                <w:sz w:val="21"/>
                <w:szCs w:val="21"/>
              </w:rPr>
              <w:t>50%</w:t>
            </w:r>
            <w:r>
              <w:rPr>
                <w:rFonts w:ascii="宋体" w:hAnsi="宋体" w:cs="宋体" w:eastAsia="宋体" w:hint="default"/>
                <w:spacing w:val="-2"/>
                <w:sz w:val="21"/>
                <w:szCs w:val="21"/>
              </w:rPr>
              <w:t>部分的金额（</w:t>
            </w:r>
            <w:r>
              <w:rPr>
                <w:rFonts w:ascii="宋体" w:hAnsi="宋体" w:cs="宋体" w:eastAsia="宋体" w:hint="default"/>
                <w:spacing w:val="-2"/>
                <w:sz w:val="21"/>
                <w:szCs w:val="21"/>
              </w:rPr>
              <w:t>E</w:t>
            </w:r>
            <w:r>
              <w:rPr>
                <w:rFonts w:ascii="宋体" w:hAnsi="宋体" w:cs="宋体" w:eastAsia="宋体" w:hint="default"/>
                <w:spacing w:val="-2"/>
                <w:sz w:val="21"/>
                <w:szCs w:val="21"/>
              </w:rPr>
              <w:t>）</w:t>
            </w:r>
          </w:p>
        </w:tc>
        <w:tc>
          <w:tcPr>
            <w:tcW w:w="50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w w:val="100"/>
                <w:sz w:val="21"/>
              </w:rPr>
              <w:t>0</w:t>
            </w:r>
          </w:p>
        </w:tc>
      </w:tr>
      <w:tr>
        <w:trPr>
          <w:trHeight w:val="317"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6" w:right="0"/>
              <w:jc w:val="left"/>
              <w:rPr>
                <w:rFonts w:ascii="宋体" w:hAnsi="宋体" w:cs="宋体" w:eastAsia="宋体" w:hint="default"/>
                <w:sz w:val="21"/>
                <w:szCs w:val="21"/>
              </w:rPr>
            </w:pPr>
            <w:r>
              <w:rPr>
                <w:rFonts w:ascii="宋体" w:hAnsi="宋体" w:cs="宋体" w:eastAsia="宋体" w:hint="default"/>
                <w:sz w:val="21"/>
                <w:szCs w:val="21"/>
              </w:rPr>
              <w:t>上述三项担保金额合计（</w:t>
            </w:r>
            <w:r>
              <w:rPr>
                <w:rFonts w:ascii="宋体" w:hAnsi="宋体" w:cs="宋体" w:eastAsia="宋体" w:hint="default"/>
                <w:sz w:val="21"/>
                <w:szCs w:val="21"/>
              </w:rPr>
              <w:t>C+D+E</w:t>
            </w:r>
            <w:r>
              <w:rPr>
                <w:rFonts w:ascii="宋体" w:hAnsi="宋体" w:cs="宋体" w:eastAsia="宋体" w:hint="default"/>
                <w:sz w:val="21"/>
                <w:szCs w:val="21"/>
              </w:rPr>
              <w:t>）</w:t>
            </w:r>
          </w:p>
        </w:tc>
        <w:tc>
          <w:tcPr>
            <w:tcW w:w="50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w w:val="100"/>
                <w:sz w:val="21"/>
              </w:rPr>
              <w:t>0</w:t>
            </w:r>
          </w:p>
        </w:tc>
      </w:tr>
      <w:tr>
        <w:trPr>
          <w:trHeight w:val="319"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6" w:right="0"/>
              <w:jc w:val="left"/>
              <w:rPr>
                <w:rFonts w:ascii="宋体" w:hAnsi="宋体" w:cs="宋体" w:eastAsia="宋体" w:hint="default"/>
                <w:sz w:val="21"/>
                <w:szCs w:val="21"/>
              </w:rPr>
            </w:pPr>
            <w:r>
              <w:rPr>
                <w:rFonts w:ascii="宋体" w:hAnsi="宋体" w:cs="宋体" w:eastAsia="宋体" w:hint="default"/>
                <w:sz w:val="21"/>
                <w:szCs w:val="21"/>
              </w:rPr>
              <w:t>未到期担保可能承担连带清偿责任说明</w:t>
            </w:r>
          </w:p>
        </w:tc>
        <w:tc>
          <w:tcPr>
            <w:tcW w:w="50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826"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担保情况说明</w:t>
            </w:r>
          </w:p>
        </w:tc>
        <w:tc>
          <w:tcPr>
            <w:tcW w:w="506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报告期末对子公司担保余额合计全部为公司为子公司</w:t>
            </w:r>
          </w:p>
          <w:p>
            <w:pPr>
              <w:pStyle w:val="TableParagraph"/>
              <w:spacing w:line="240" w:lineRule="auto"/>
              <w:ind w:left="24" w:right="197"/>
              <w:jc w:val="left"/>
              <w:rPr>
                <w:rFonts w:ascii="宋体" w:hAnsi="宋体" w:cs="宋体" w:eastAsia="宋体" w:hint="default"/>
                <w:sz w:val="21"/>
                <w:szCs w:val="21"/>
              </w:rPr>
            </w:pPr>
            <w:r>
              <w:rPr>
                <w:rFonts w:ascii="宋体" w:hAnsi="宋体" w:cs="宋体" w:eastAsia="宋体" w:hint="default"/>
                <w:spacing w:val="-2"/>
                <w:sz w:val="21"/>
                <w:szCs w:val="21"/>
              </w:rPr>
              <w:t>安通物流和安盛船务因银行授信和融资业务需要而进</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行的担保。</w:t>
            </w:r>
          </w:p>
        </w:tc>
      </w:tr>
    </w:tbl>
    <w:p>
      <w:pPr>
        <w:spacing w:line="240" w:lineRule="auto" w:before="2"/>
        <w:rPr>
          <w:rFonts w:ascii="宋体" w:hAnsi="宋体" w:cs="宋体" w:eastAsia="宋体" w:hint="default"/>
          <w:sz w:val="20"/>
          <w:szCs w:val="20"/>
        </w:rPr>
      </w:pPr>
    </w:p>
    <w:p>
      <w:pPr>
        <w:pStyle w:val="Heading2"/>
        <w:tabs>
          <w:tab w:pos="977" w:val="left" w:leader="none"/>
        </w:tabs>
        <w:spacing w:line="290" w:lineRule="auto" w:before="36"/>
        <w:ind w:left="138" w:right="4983"/>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spacing w:val="-1"/>
        </w:rPr>
        <w:t>委托他人进行现金资产管理的情况</w:t>
      </w:r>
      <w:r>
        <w:rPr>
          <w:spacing w:val="-92"/>
        </w:rPr>
        <w:t> </w:t>
      </w:r>
      <w:r>
        <w:rPr>
          <w:spacing w:val="-92"/>
        </w:rPr>
      </w:r>
      <w:r>
        <w:rPr>
          <w:rFonts w:ascii="宋体" w:hAnsi="宋体" w:cs="宋体" w:eastAsia="宋体" w:hint="default"/>
        </w:rPr>
        <w:t>1</w:t>
      </w:r>
      <w:r>
        <w:rPr/>
        <w:t>、</w:t>
      </w:r>
      <w:r>
        <w:rPr>
          <w:spacing w:val="1"/>
        </w:rPr>
        <w:t> </w:t>
      </w:r>
      <w:r>
        <w:rPr/>
        <w:t>委托理财情况</w:t>
      </w:r>
      <w:r>
        <w:rPr>
          <w:b w:val="0"/>
          <w:bCs w:val="0"/>
        </w:rPr>
      </w:r>
    </w:p>
    <w:p>
      <w:pPr>
        <w:pStyle w:val="Heading2"/>
        <w:spacing w:line="273" w:lineRule="exact" w:before="14"/>
        <w:ind w:left="138" w:right="4983"/>
        <w:jc w:val="left"/>
        <w:rPr>
          <w:b w:val="0"/>
          <w:bCs w:val="0"/>
        </w:rPr>
      </w:pPr>
      <w:r>
        <w:rPr>
          <w:rFonts w:ascii="宋体" w:hAnsi="宋体" w:cs="宋体" w:eastAsia="宋体" w:hint="default"/>
        </w:rPr>
        <w:t>(1).</w:t>
      </w:r>
      <w:r>
        <w:rPr/>
        <w:t>委托理财总体情况</w:t>
      </w:r>
      <w:r>
        <w:rPr>
          <w:b w:val="0"/>
          <w:bCs w:val="0"/>
        </w:rPr>
      </w:r>
    </w:p>
    <w:p>
      <w:pPr>
        <w:tabs>
          <w:tab w:pos="980" w:val="left" w:leader="none"/>
        </w:tabs>
        <w:spacing w:before="0"/>
        <w:ind w:left="138" w:right="7303"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其他情况</w:t>
      </w:r>
      <w:r>
        <w:rPr>
          <w:rFonts w:ascii="宋体" w:hAnsi="宋体" w:cs="宋体" w:eastAsia="宋体" w:hint="default"/>
          <w:sz w:val="21"/>
          <w:szCs w:val="21"/>
        </w:rPr>
      </w:r>
    </w:p>
    <w:p>
      <w:pPr>
        <w:pStyle w:val="BodyText"/>
        <w:tabs>
          <w:tab w:pos="980" w:val="left" w:leader="none"/>
        </w:tabs>
        <w:spacing w:line="271" w:lineRule="exact"/>
        <w:ind w:left="138" w:right="4983"/>
        <w:jc w:val="left"/>
      </w:pPr>
      <w:r>
        <w:rPr>
          <w:spacing w:val="-1"/>
        </w:rPr>
        <w:t>□适用</w:t>
        <w:tab/>
      </w:r>
      <w:r>
        <w:rPr>
          <w:spacing w:val="-2"/>
        </w:rPr>
        <w:t>√不适用</w:t>
      </w:r>
    </w:p>
    <w:p>
      <w:pPr>
        <w:spacing w:line="240" w:lineRule="auto" w:before="8"/>
        <w:rPr>
          <w:rFonts w:ascii="宋体" w:hAnsi="宋体" w:cs="宋体" w:eastAsia="宋体" w:hint="default"/>
          <w:sz w:val="20"/>
          <w:szCs w:val="20"/>
        </w:rPr>
      </w:pPr>
    </w:p>
    <w:p>
      <w:pPr>
        <w:pStyle w:val="Heading2"/>
        <w:spacing w:line="274" w:lineRule="exact"/>
        <w:ind w:left="138" w:right="4983"/>
        <w:jc w:val="left"/>
        <w:rPr>
          <w:b w:val="0"/>
          <w:bCs w:val="0"/>
        </w:rPr>
      </w:pPr>
      <w:r>
        <w:rPr>
          <w:rFonts w:ascii="宋体" w:hAnsi="宋体" w:cs="宋体" w:eastAsia="宋体" w:hint="default"/>
        </w:rPr>
        <w:t>(2).</w:t>
      </w:r>
      <w:r>
        <w:rPr/>
        <w:t>单项委托理财情况</w:t>
      </w:r>
      <w:r>
        <w:rPr>
          <w:b w:val="0"/>
          <w:bCs w:val="0"/>
        </w:rPr>
      </w:r>
    </w:p>
    <w:p>
      <w:pPr>
        <w:tabs>
          <w:tab w:pos="980" w:val="left" w:leader="none"/>
        </w:tabs>
        <w:spacing w:line="272" w:lineRule="exact" w:before="27"/>
        <w:ind w:left="138" w:right="7303"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其他情况</w:t>
      </w:r>
      <w:r>
        <w:rPr>
          <w:rFonts w:ascii="宋体" w:hAnsi="宋体" w:cs="宋体" w:eastAsia="宋体" w:hint="default"/>
          <w:sz w:val="21"/>
          <w:szCs w:val="21"/>
        </w:rPr>
      </w:r>
    </w:p>
    <w:p>
      <w:pPr>
        <w:pStyle w:val="BodyText"/>
        <w:tabs>
          <w:tab w:pos="980" w:val="left" w:leader="none"/>
        </w:tabs>
        <w:spacing w:line="249" w:lineRule="exact"/>
        <w:ind w:left="138" w:right="4983"/>
        <w:jc w:val="left"/>
      </w:pPr>
      <w:r>
        <w:rPr>
          <w:spacing w:val="-1"/>
        </w:rPr>
        <w:t>□适用</w:t>
        <w:tab/>
      </w:r>
      <w:r>
        <w:rPr>
          <w:spacing w:val="-2"/>
        </w:rPr>
        <w:t>√不适用</w:t>
      </w:r>
    </w:p>
    <w:p>
      <w:pPr>
        <w:spacing w:line="240" w:lineRule="auto" w:before="9"/>
        <w:rPr>
          <w:rFonts w:ascii="宋体" w:hAnsi="宋体" w:cs="宋体" w:eastAsia="宋体" w:hint="default"/>
          <w:sz w:val="20"/>
          <w:szCs w:val="20"/>
        </w:rPr>
      </w:pPr>
    </w:p>
    <w:p>
      <w:pPr>
        <w:pStyle w:val="Heading2"/>
        <w:spacing w:line="273" w:lineRule="exact"/>
        <w:ind w:left="138" w:right="4983"/>
        <w:jc w:val="left"/>
        <w:rPr>
          <w:b w:val="0"/>
          <w:bCs w:val="0"/>
        </w:rPr>
      </w:pPr>
      <w:r>
        <w:rPr>
          <w:rFonts w:ascii="宋体" w:hAnsi="宋体" w:cs="宋体" w:eastAsia="宋体" w:hint="default"/>
        </w:rPr>
        <w:t>(3).</w:t>
      </w:r>
      <w:r>
        <w:rPr/>
        <w:t>委托理财减值准备</w:t>
      </w:r>
      <w:r>
        <w:rPr>
          <w:b w:val="0"/>
          <w:bCs w:val="0"/>
        </w:rPr>
      </w:r>
    </w:p>
    <w:p>
      <w:pPr>
        <w:pStyle w:val="BodyText"/>
        <w:tabs>
          <w:tab w:pos="980" w:val="left" w:leader="none"/>
        </w:tabs>
        <w:spacing w:line="273" w:lineRule="exact"/>
        <w:ind w:left="138" w:right="4983"/>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90" w:lineRule="auto"/>
        <w:ind w:left="138" w:right="6858"/>
        <w:jc w:val="left"/>
        <w:rPr>
          <w:b w:val="0"/>
          <w:bCs w:val="0"/>
        </w:rPr>
      </w:pPr>
      <w:r>
        <w:rPr>
          <w:rFonts w:ascii="宋体" w:hAnsi="宋体" w:cs="宋体" w:eastAsia="宋体" w:hint="default"/>
        </w:rPr>
        <w:t>2</w:t>
      </w:r>
      <w:r>
        <w:rPr/>
        <w:t>、</w:t>
      </w:r>
      <w:r>
        <w:rPr>
          <w:spacing w:val="-3"/>
        </w:rPr>
        <w:t> </w:t>
      </w:r>
      <w:r>
        <w:rPr/>
        <w:t>委托贷款情况</w:t>
      </w:r>
      <w:r>
        <w:rPr>
          <w:w w:val="100"/>
        </w:rPr>
        <w:t> </w:t>
      </w:r>
      <w:r>
        <w:rPr>
          <w:rFonts w:ascii="宋体" w:hAnsi="宋体" w:cs="宋体" w:eastAsia="宋体" w:hint="default"/>
        </w:rPr>
        <w:t>(1).</w:t>
      </w:r>
      <w:r>
        <w:rPr/>
        <w:t>委托贷款总体情况</w:t>
      </w:r>
      <w:r>
        <w:rPr>
          <w:b w:val="0"/>
          <w:bCs w:val="0"/>
        </w:rPr>
      </w:r>
    </w:p>
    <w:p>
      <w:pPr>
        <w:pStyle w:val="BodyText"/>
        <w:tabs>
          <w:tab w:pos="980" w:val="left" w:leader="none"/>
        </w:tabs>
        <w:spacing w:line="225" w:lineRule="exact"/>
        <w:ind w:left="138" w:right="4983"/>
        <w:jc w:val="left"/>
      </w:pPr>
      <w:r>
        <w:rPr>
          <w:spacing w:val="-1"/>
        </w:rPr>
        <w:t>□适用</w:t>
        <w:tab/>
      </w:r>
      <w:r>
        <w:rPr>
          <w:spacing w:val="-2"/>
        </w:rPr>
        <w:t>√不适用</w:t>
      </w:r>
    </w:p>
    <w:p>
      <w:pPr>
        <w:pStyle w:val="Heading2"/>
        <w:spacing w:line="272" w:lineRule="exact"/>
        <w:ind w:left="138" w:right="4983"/>
        <w:jc w:val="left"/>
        <w:rPr>
          <w:b w:val="0"/>
          <w:bCs w:val="0"/>
        </w:rPr>
      </w:pPr>
      <w:r>
        <w:rPr/>
        <w:t>其他情况</w:t>
      </w:r>
      <w:r>
        <w:rPr>
          <w:b w:val="0"/>
          <w:bCs w:val="0"/>
        </w:rPr>
      </w:r>
    </w:p>
    <w:p>
      <w:pPr>
        <w:pStyle w:val="BodyText"/>
        <w:tabs>
          <w:tab w:pos="980" w:val="left" w:leader="none"/>
        </w:tabs>
        <w:spacing w:line="274" w:lineRule="exact"/>
        <w:ind w:left="138" w:right="4983"/>
        <w:jc w:val="left"/>
      </w:pPr>
      <w:r>
        <w:rPr>
          <w:spacing w:val="-1"/>
        </w:rPr>
        <w:t>□适用</w:t>
        <w:tab/>
      </w:r>
      <w:r>
        <w:rPr>
          <w:spacing w:val="-2"/>
        </w:rPr>
        <w:t>√不适用</w:t>
      </w:r>
    </w:p>
    <w:p>
      <w:pPr>
        <w:spacing w:line="240" w:lineRule="auto" w:before="8"/>
        <w:rPr>
          <w:rFonts w:ascii="宋体" w:hAnsi="宋体" w:cs="宋体" w:eastAsia="宋体" w:hint="default"/>
          <w:sz w:val="20"/>
          <w:szCs w:val="20"/>
        </w:rPr>
      </w:pPr>
    </w:p>
    <w:p>
      <w:pPr>
        <w:pStyle w:val="Heading2"/>
        <w:spacing w:line="273" w:lineRule="exact"/>
        <w:ind w:left="138" w:right="4983"/>
        <w:jc w:val="left"/>
        <w:rPr>
          <w:b w:val="0"/>
          <w:bCs w:val="0"/>
        </w:rPr>
      </w:pPr>
      <w:r>
        <w:rPr>
          <w:rFonts w:ascii="宋体" w:hAnsi="宋体" w:cs="宋体" w:eastAsia="宋体" w:hint="default"/>
        </w:rPr>
        <w:t>(2).</w:t>
      </w:r>
      <w:r>
        <w:rPr/>
        <w:t>单项委托贷款情况</w:t>
      </w:r>
      <w:r>
        <w:rPr>
          <w:b w:val="0"/>
          <w:bCs w:val="0"/>
        </w:rPr>
      </w:r>
    </w:p>
    <w:p>
      <w:pPr>
        <w:tabs>
          <w:tab w:pos="980" w:val="left" w:leader="none"/>
        </w:tabs>
        <w:spacing w:before="0"/>
        <w:ind w:left="138" w:right="7303"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其他情况</w:t>
      </w:r>
      <w:r>
        <w:rPr>
          <w:rFonts w:ascii="宋体" w:hAnsi="宋体" w:cs="宋体" w:eastAsia="宋体" w:hint="default"/>
          <w:sz w:val="21"/>
          <w:szCs w:val="21"/>
        </w:rPr>
      </w:r>
    </w:p>
    <w:p>
      <w:pPr>
        <w:pStyle w:val="BodyText"/>
        <w:tabs>
          <w:tab w:pos="980" w:val="left" w:leader="none"/>
        </w:tabs>
        <w:spacing w:line="271" w:lineRule="exact"/>
        <w:ind w:left="138" w:right="4983"/>
        <w:jc w:val="left"/>
      </w:pPr>
      <w:r>
        <w:rPr>
          <w:spacing w:val="-1"/>
        </w:rPr>
        <w:t>□适用</w:t>
        <w:tab/>
      </w:r>
      <w:r>
        <w:rPr>
          <w:spacing w:val="-2"/>
        </w:rPr>
        <w:t>√不适用</w:t>
      </w:r>
    </w:p>
    <w:p>
      <w:pPr>
        <w:spacing w:line="240" w:lineRule="auto" w:before="8"/>
        <w:rPr>
          <w:rFonts w:ascii="宋体" w:hAnsi="宋体" w:cs="宋体" w:eastAsia="宋体" w:hint="default"/>
          <w:sz w:val="20"/>
          <w:szCs w:val="20"/>
        </w:rPr>
      </w:pPr>
    </w:p>
    <w:p>
      <w:pPr>
        <w:pStyle w:val="Heading2"/>
        <w:spacing w:line="274" w:lineRule="exact"/>
        <w:ind w:left="138" w:right="4983"/>
        <w:jc w:val="left"/>
        <w:rPr>
          <w:b w:val="0"/>
          <w:bCs w:val="0"/>
        </w:rPr>
      </w:pPr>
      <w:r>
        <w:rPr>
          <w:rFonts w:ascii="宋体" w:hAnsi="宋体" w:cs="宋体" w:eastAsia="宋体" w:hint="default"/>
        </w:rPr>
        <w:t>(3).</w:t>
      </w:r>
      <w:r>
        <w:rPr/>
        <w:t>委托贷款减值准备</w:t>
      </w:r>
      <w:r>
        <w:rPr>
          <w:b w:val="0"/>
          <w:bCs w:val="0"/>
        </w:rPr>
      </w:r>
    </w:p>
    <w:p>
      <w:pPr>
        <w:pStyle w:val="BodyText"/>
        <w:tabs>
          <w:tab w:pos="980" w:val="left" w:leader="none"/>
        </w:tabs>
        <w:spacing w:line="274" w:lineRule="exact"/>
        <w:ind w:left="138" w:right="4983"/>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left="138" w:right="4983"/>
        <w:jc w:val="left"/>
        <w:rPr>
          <w:b w:val="0"/>
          <w:bCs w:val="0"/>
        </w:rPr>
      </w:pPr>
      <w:r>
        <w:rPr>
          <w:rFonts w:ascii="宋体" w:hAnsi="宋体" w:cs="宋体" w:eastAsia="宋体" w:hint="default"/>
        </w:rPr>
        <w:t>3</w:t>
      </w:r>
      <w:r>
        <w:rPr/>
        <w:t>、</w:t>
      </w:r>
      <w:r>
        <w:rPr>
          <w:spacing w:val="-2"/>
        </w:rPr>
        <w:t> </w:t>
      </w:r>
      <w:r>
        <w:rPr/>
        <w:t>其他情况</w:t>
      </w:r>
      <w:r>
        <w:rPr>
          <w:b w:val="0"/>
          <w:bCs w:val="0"/>
        </w:rPr>
      </w:r>
    </w:p>
    <w:p>
      <w:pPr>
        <w:pStyle w:val="BodyText"/>
        <w:tabs>
          <w:tab w:pos="980" w:val="left" w:leader="none"/>
        </w:tabs>
        <w:spacing w:line="240" w:lineRule="auto" w:before="56"/>
        <w:ind w:left="138" w:right="4983"/>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tabs>
          <w:tab w:pos="977" w:val="left" w:leader="none"/>
        </w:tabs>
        <w:spacing w:line="240" w:lineRule="auto"/>
        <w:ind w:left="138" w:right="4983"/>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其他重大合同</w:t>
      </w:r>
      <w:r>
        <w:rPr>
          <w:b w:val="0"/>
          <w:bCs w:val="0"/>
        </w:rPr>
      </w:r>
    </w:p>
    <w:p>
      <w:pPr>
        <w:pStyle w:val="BodyText"/>
        <w:tabs>
          <w:tab w:pos="980" w:val="left" w:leader="none"/>
        </w:tabs>
        <w:spacing w:line="240" w:lineRule="auto" w:before="59"/>
        <w:ind w:left="138" w:right="4983"/>
        <w:jc w:val="left"/>
      </w:pPr>
      <w:r>
        <w:rPr>
          <w:spacing w:val="-1"/>
        </w:rPr>
        <w:t>□适用</w:t>
        <w:tab/>
      </w:r>
      <w:r>
        <w:rPr>
          <w:spacing w:val="-2"/>
        </w:rPr>
        <w:t>√不适用</w:t>
      </w:r>
    </w:p>
    <w:p>
      <w:pPr>
        <w:spacing w:after="0" w:line="240" w:lineRule="auto"/>
        <w:jc w:val="left"/>
        <w:sectPr>
          <w:pgSz w:w="11910" w:h="16840"/>
          <w:pgMar w:header="880" w:footer="1195" w:top="1120" w:bottom="1380" w:left="1660" w:right="1120"/>
        </w:sectPr>
      </w:pPr>
    </w:p>
    <w:p>
      <w:pPr>
        <w:spacing w:line="240" w:lineRule="auto" w:before="4"/>
        <w:rPr>
          <w:rFonts w:ascii="宋体" w:hAnsi="宋体" w:cs="宋体" w:eastAsia="宋体" w:hint="default"/>
          <w:sz w:val="25"/>
          <w:szCs w:val="25"/>
        </w:rPr>
      </w:pPr>
    </w:p>
    <w:p>
      <w:pPr>
        <w:pStyle w:val="Heading2"/>
        <w:spacing w:line="240" w:lineRule="auto" w:before="36"/>
        <w:ind w:left="138" w:right="0"/>
        <w:jc w:val="both"/>
        <w:rPr>
          <w:b w:val="0"/>
          <w:bCs w:val="0"/>
        </w:rPr>
      </w:pPr>
      <w:r>
        <w:rPr/>
        <w:t>十六、其他重大事项的说明</w:t>
      </w:r>
      <w:r>
        <w:rPr>
          <w:b w:val="0"/>
          <w:bCs w:val="0"/>
        </w:rPr>
      </w:r>
    </w:p>
    <w:p>
      <w:pPr>
        <w:pStyle w:val="BodyText"/>
        <w:spacing w:line="240" w:lineRule="auto" w:before="58"/>
        <w:ind w:left="138"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tabs>
          <w:tab w:pos="781" w:val="left" w:leader="none"/>
        </w:tabs>
        <w:spacing w:line="290" w:lineRule="auto"/>
        <w:ind w:left="138" w:right="5591"/>
        <w:jc w:val="left"/>
        <w:rPr>
          <w:b w:val="0"/>
          <w:bCs w:val="0"/>
        </w:rPr>
      </w:pPr>
      <w:r>
        <w:rPr>
          <w:spacing w:val="-1"/>
        </w:rPr>
        <w:t>十七、积极履行社会责任的工作情况</w:t>
      </w:r>
      <w:r>
        <w:rPr>
          <w:spacing w:val="-91"/>
        </w:rPr>
        <w:t> </w:t>
      </w:r>
      <w:r>
        <w:rPr>
          <w:spacing w:val="-91"/>
        </w:rPr>
      </w:r>
      <w:r>
        <w:rPr>
          <w:rFonts w:ascii="宋体" w:hAnsi="宋体" w:cs="宋体" w:eastAsia="宋体" w:hint="default"/>
          <w:spacing w:val="-1"/>
        </w:rPr>
        <w:t>(</w:t>
      </w:r>
      <w:r>
        <w:rPr>
          <w:spacing w:val="-1"/>
        </w:rPr>
        <w:t>一</w:t>
      </w:r>
      <w:r>
        <w:rPr>
          <w:rFonts w:ascii="宋体" w:hAnsi="宋体" w:cs="宋体" w:eastAsia="宋体" w:hint="default"/>
          <w:spacing w:val="-1"/>
        </w:rPr>
        <w:t>)</w:t>
        <w:tab/>
      </w:r>
      <w:r>
        <w:rPr>
          <w:spacing w:val="-1"/>
        </w:rPr>
        <w:t>上市公司扶贫工作情况</w:t>
      </w:r>
      <w:r>
        <w:rPr>
          <w:b w:val="0"/>
          <w:bCs w:val="0"/>
          <w:spacing w:val="-1"/>
        </w:rPr>
      </w:r>
    </w:p>
    <w:p>
      <w:pPr>
        <w:pStyle w:val="BodyText"/>
        <w:spacing w:line="240" w:lineRule="auto" w:before="14"/>
        <w:ind w:left="138"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both"/>
        <w:rPr>
          <w:b w:val="0"/>
          <w:bCs w:val="0"/>
        </w:rPr>
      </w:pPr>
      <w:r>
        <w:rPr>
          <w:rFonts w:ascii="宋体" w:hAnsi="宋体" w:cs="宋体" w:eastAsia="宋体" w:hint="default"/>
        </w:rPr>
        <w:t>(</w:t>
      </w:r>
      <w:r>
        <w:rPr/>
        <w:t>二</w:t>
      </w:r>
      <w:r>
        <w:rPr>
          <w:rFonts w:ascii="宋体" w:hAnsi="宋体" w:cs="宋体" w:eastAsia="宋体" w:hint="default"/>
        </w:rPr>
        <w:t>) </w:t>
      </w:r>
      <w:r>
        <w:rPr>
          <w:rFonts w:ascii="宋体" w:hAnsi="宋体" w:cs="宋体" w:eastAsia="宋体" w:hint="default"/>
          <w:spacing w:val="10"/>
        </w:rPr>
        <w:t> </w:t>
      </w:r>
      <w:r>
        <w:rPr/>
        <w:t>社会责任工作情况</w:t>
      </w:r>
      <w:r>
        <w:rPr>
          <w:b w:val="0"/>
          <w:bCs w:val="0"/>
        </w:rPr>
      </w:r>
    </w:p>
    <w:p>
      <w:pPr>
        <w:pStyle w:val="BodyText"/>
        <w:spacing w:line="240" w:lineRule="auto" w:before="56"/>
        <w:ind w:left="138" w:right="0"/>
        <w:jc w:val="both"/>
      </w:pPr>
      <w:r>
        <w:rPr/>
        <w:t>□适用</w:t>
      </w:r>
      <w:r>
        <w:rPr>
          <w:spacing w:val="104"/>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both"/>
        <w:rPr>
          <w:b w:val="0"/>
          <w:bCs w:val="0"/>
        </w:rPr>
      </w:pPr>
      <w:r>
        <w:rPr>
          <w:rFonts w:ascii="宋体" w:hAnsi="宋体" w:cs="宋体" w:eastAsia="宋体" w:hint="default"/>
        </w:rPr>
        <w:t>(</w:t>
      </w:r>
      <w:r>
        <w:rPr/>
        <w:t>三</w:t>
      </w:r>
      <w:r>
        <w:rPr>
          <w:rFonts w:ascii="宋体" w:hAnsi="宋体" w:cs="宋体" w:eastAsia="宋体" w:hint="default"/>
        </w:rPr>
        <w:t>) </w:t>
      </w:r>
      <w:r>
        <w:rPr>
          <w:rFonts w:ascii="宋体" w:hAnsi="宋体" w:cs="宋体" w:eastAsia="宋体" w:hint="default"/>
          <w:spacing w:val="10"/>
        </w:rPr>
        <w:t> </w:t>
      </w:r>
      <w:r>
        <w:rPr/>
        <w:t>环境信息情况</w:t>
      </w:r>
      <w:r>
        <w:rPr>
          <w:b w:val="0"/>
          <w:bCs w:val="0"/>
        </w:rPr>
      </w:r>
    </w:p>
    <w:p>
      <w:pPr>
        <w:pStyle w:val="Heading2"/>
        <w:spacing w:line="240" w:lineRule="auto" w:before="59"/>
        <w:ind w:left="138" w:right="0"/>
        <w:jc w:val="both"/>
        <w:rPr>
          <w:b w:val="0"/>
          <w:bCs w:val="0"/>
        </w:rPr>
      </w:pPr>
      <w:r>
        <w:rPr>
          <w:rFonts w:ascii="宋体" w:hAnsi="宋体" w:cs="宋体" w:eastAsia="宋体" w:hint="default"/>
        </w:rPr>
        <w:t>1.</w:t>
      </w:r>
      <w:r>
        <w:rPr>
          <w:rFonts w:ascii="宋体" w:hAnsi="宋体" w:cs="宋体" w:eastAsia="宋体" w:hint="default"/>
          <w:spacing w:val="101"/>
        </w:rPr>
        <w:t> </w:t>
      </w:r>
      <w:r>
        <w:rPr/>
        <w:t>属于环境保护部门公布的重点排污单位的公司及其重要子公司的环保情况说明</w:t>
      </w:r>
      <w:r>
        <w:rPr>
          <w:b w:val="0"/>
          <w:bCs w:val="0"/>
        </w:rPr>
      </w:r>
    </w:p>
    <w:p>
      <w:pPr>
        <w:pStyle w:val="BodyText"/>
        <w:spacing w:line="240" w:lineRule="auto" w:before="56"/>
        <w:ind w:left="138" w:right="0"/>
        <w:jc w:val="both"/>
      </w:pPr>
      <w:r>
        <w:rPr/>
        <w:t>□适用</w:t>
      </w:r>
      <w:r>
        <w:rPr>
          <w:spacing w:val="104"/>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both"/>
        <w:rPr>
          <w:b w:val="0"/>
          <w:bCs w:val="0"/>
        </w:rPr>
      </w:pPr>
      <w:r>
        <w:rPr>
          <w:rFonts w:ascii="宋体" w:hAnsi="宋体" w:cs="宋体" w:eastAsia="宋体" w:hint="default"/>
        </w:rPr>
        <w:t>2. </w:t>
      </w:r>
      <w:r>
        <w:rPr>
          <w:rFonts w:ascii="宋体" w:hAnsi="宋体" w:cs="宋体" w:eastAsia="宋体" w:hint="default"/>
          <w:spacing w:val="1"/>
        </w:rPr>
        <w:t> </w:t>
      </w:r>
      <w:r>
        <w:rPr/>
        <w:t>重点排污单位之外的公司</w:t>
      </w:r>
      <w:r>
        <w:rPr>
          <w:b w:val="0"/>
          <w:bCs w:val="0"/>
        </w:rPr>
      </w:r>
    </w:p>
    <w:p>
      <w:pPr>
        <w:pStyle w:val="BodyText"/>
        <w:tabs>
          <w:tab w:pos="980" w:val="left" w:leader="none"/>
        </w:tabs>
        <w:spacing w:line="340" w:lineRule="auto" w:before="58"/>
        <w:ind w:left="558" w:right="148" w:hanging="420"/>
        <w:jc w:val="left"/>
      </w:pPr>
      <w:r>
        <w:rPr>
          <w:spacing w:val="-1"/>
        </w:rPr>
        <w:t>√适用</w:t>
        <w:tab/>
      </w:r>
      <w:r>
        <w:rPr>
          <w:spacing w:val="-2"/>
        </w:rPr>
        <w:t>□不适用</w:t>
      </w:r>
      <w:r>
        <w:rPr>
          <w:spacing w:val="-99"/>
        </w:rPr>
        <w:t> </w:t>
      </w:r>
      <w:r>
        <w:rPr>
          <w:spacing w:val="-99"/>
        </w:rPr>
      </w:r>
      <w:r>
        <w:rPr>
          <w:spacing w:val="-2"/>
        </w:rPr>
        <w:t>公司作为国内内贸航运的龙头企业之一，一直注重承担企业社会责任，大力倡导绿色航运理</w:t>
      </w:r>
    </w:p>
    <w:p>
      <w:pPr>
        <w:pStyle w:val="BodyText"/>
        <w:spacing w:line="357" w:lineRule="auto" w:before="45"/>
        <w:ind w:left="138" w:right="127"/>
        <w:jc w:val="both"/>
      </w:pPr>
      <w:r>
        <w:rPr>
          <w:spacing w:val="-6"/>
        </w:rPr>
        <w:t>念，以最大限度地减少对环境的污染和破坏。公司根据《中华人民共和国海洋环境保护法》、《中</w:t>
      </w:r>
      <w:r>
        <w:rPr>
          <w:spacing w:val="-53"/>
        </w:rPr>
        <w:t> </w:t>
      </w:r>
      <w:r>
        <w:rPr>
          <w:spacing w:val="-53"/>
        </w:rPr>
      </w:r>
      <w:r>
        <w:rPr>
          <w:spacing w:val="-2"/>
        </w:rPr>
        <w:t>华人民共和国防治船舶污染海洋环境管理条例》和我国缔结或者加入的国际公约制定了《船舶防</w:t>
      </w:r>
      <w:r>
        <w:rPr>
          <w:spacing w:val="-25"/>
        </w:rPr>
        <w:t> </w:t>
      </w:r>
      <w:r>
        <w:rPr>
          <w:spacing w:val="-25"/>
        </w:rPr>
      </w:r>
      <w:r>
        <w:rPr>
          <w:spacing w:val="-6"/>
        </w:rPr>
        <w:t>污染操作须知》，对船舶油料供受作业、船舶在航行、停泊、作业期间以及船舶垃圾、生活污水、</w:t>
      </w:r>
      <w:r>
        <w:rPr>
          <w:spacing w:val="-50"/>
        </w:rPr>
        <w:t> </w:t>
      </w:r>
      <w:r>
        <w:rPr>
          <w:spacing w:val="-50"/>
        </w:rPr>
      </w:r>
      <w:r>
        <w:rPr>
          <w:spacing w:val="-2"/>
        </w:rPr>
        <w:t>含油污水和废气排放等方面作了严格规定，并按规定执行操作，防止船舶及其有关作业活动污染</w:t>
      </w:r>
      <w:r>
        <w:rPr>
          <w:spacing w:val="-25"/>
        </w:rPr>
        <w:t> </w:t>
      </w:r>
      <w:r>
        <w:rPr>
          <w:spacing w:val="-25"/>
        </w:rPr>
      </w:r>
      <w:r>
        <w:rPr/>
        <w:t>海洋环境；公司合作车队在尾气排放等方面亦需符合国家相关法律法规的规定。</w:t>
      </w:r>
    </w:p>
    <w:p>
      <w:pPr>
        <w:pStyle w:val="BodyText"/>
        <w:spacing w:line="357" w:lineRule="auto" w:before="30"/>
        <w:ind w:left="138" w:right="127" w:firstLine="419"/>
        <w:jc w:val="both"/>
      </w:pPr>
      <w:r>
        <w:rPr>
          <w:spacing w:val="-7"/>
        </w:rPr>
        <w:t>同时，公司于 </w:t>
      </w:r>
      <w:r>
        <w:rPr>
          <w:rFonts w:ascii="宋体" w:hAnsi="宋体" w:cs="宋体" w:eastAsia="宋体" w:hint="default"/>
        </w:rPr>
        <w:t>2017</w:t>
      </w:r>
      <w:r>
        <w:rPr>
          <w:rFonts w:ascii="宋体" w:hAnsi="宋体" w:cs="宋体" w:eastAsia="宋体" w:hint="default"/>
          <w:spacing w:val="-39"/>
        </w:rPr>
        <w:t> </w:t>
      </w:r>
      <w:r>
        <w:rPr>
          <w:spacing w:val="-4"/>
        </w:rPr>
        <w:t>年开始加大力度实施船舶的更新换代计划，加速老旧船舶淘汰进度，采取</w:t>
      </w:r>
      <w:r>
        <w:rPr>
          <w:w w:val="100"/>
        </w:rPr>
        <w:t> </w:t>
      </w:r>
      <w:r>
        <w:rPr>
          <w:spacing w:val="-2"/>
        </w:rPr>
        <w:t>拆解和转让的方式处置了一批旧船。根据公司的战略规划和航线布局，计划经过一定时期的船舶</w:t>
      </w:r>
      <w:r>
        <w:rPr>
          <w:spacing w:val="-25"/>
        </w:rPr>
        <w:t> </w:t>
      </w:r>
      <w:r>
        <w:rPr>
          <w:spacing w:val="-25"/>
        </w:rPr>
      </w:r>
      <w:r>
        <w:rPr>
          <w:spacing w:val="-2"/>
        </w:rPr>
        <w:t>更新换代，建造一批高性能、经济适用、低能耗的绿色环保型船舶，服务于内贸主干线和支线，</w:t>
      </w:r>
      <w:r>
        <w:rPr>
          <w:spacing w:val="-25"/>
        </w:rPr>
        <w:t> </w:t>
      </w:r>
      <w:r>
        <w:rPr>
          <w:spacing w:val="-25"/>
        </w:rPr>
      </w:r>
      <w:r>
        <w:rPr/>
        <w:t>替换原有的部分性能技术相对落后的船舶，提高公司船队的整体运营效益和环境保护的责任。</w:t>
      </w:r>
    </w:p>
    <w:p>
      <w:pPr>
        <w:spacing w:line="240" w:lineRule="auto" w:before="11"/>
        <w:rPr>
          <w:rFonts w:ascii="宋体" w:hAnsi="宋体" w:cs="宋体" w:eastAsia="宋体" w:hint="default"/>
          <w:sz w:val="27"/>
          <w:szCs w:val="27"/>
        </w:rPr>
      </w:pPr>
    </w:p>
    <w:p>
      <w:pPr>
        <w:pStyle w:val="Heading2"/>
        <w:spacing w:line="240" w:lineRule="auto"/>
        <w:ind w:left="138" w:right="0"/>
        <w:jc w:val="both"/>
        <w:rPr>
          <w:b w:val="0"/>
          <w:bCs w:val="0"/>
        </w:rPr>
      </w:pPr>
      <w:r>
        <w:rPr>
          <w:rFonts w:ascii="宋体" w:hAnsi="宋体" w:cs="宋体" w:eastAsia="宋体" w:hint="default"/>
        </w:rPr>
        <w:t>3. </w:t>
      </w:r>
      <w:r>
        <w:rPr>
          <w:rFonts w:ascii="宋体" w:hAnsi="宋体" w:cs="宋体" w:eastAsia="宋体" w:hint="default"/>
          <w:spacing w:val="2"/>
        </w:rPr>
        <w:t> </w:t>
      </w:r>
      <w:r>
        <w:rPr/>
        <w:t>其他说明</w:t>
      </w:r>
      <w:r>
        <w:rPr>
          <w:b w:val="0"/>
          <w:bCs w:val="0"/>
        </w:rPr>
      </w:r>
    </w:p>
    <w:p>
      <w:pPr>
        <w:pStyle w:val="BodyText"/>
        <w:spacing w:line="240" w:lineRule="auto" w:before="57"/>
        <w:ind w:left="138" w:right="0"/>
        <w:jc w:val="both"/>
      </w:pPr>
      <w:r>
        <w:rPr/>
        <w:t>□适用</w:t>
      </w:r>
      <w:r>
        <w:rPr>
          <w:spacing w:val="104"/>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both"/>
        <w:rPr>
          <w:b w:val="0"/>
          <w:bCs w:val="0"/>
        </w:rPr>
      </w:pPr>
      <w:r>
        <w:rPr>
          <w:rFonts w:ascii="宋体" w:hAnsi="宋体" w:cs="宋体" w:eastAsia="宋体" w:hint="default"/>
        </w:rPr>
        <w:t>(</w:t>
      </w:r>
      <w:r>
        <w:rPr/>
        <w:t>四</w:t>
      </w:r>
      <w:r>
        <w:rPr>
          <w:rFonts w:ascii="宋体" w:hAnsi="宋体" w:cs="宋体" w:eastAsia="宋体" w:hint="default"/>
        </w:rPr>
        <w:t>) </w:t>
      </w:r>
      <w:r>
        <w:rPr>
          <w:rFonts w:ascii="宋体" w:hAnsi="宋体" w:cs="宋体" w:eastAsia="宋体" w:hint="default"/>
          <w:spacing w:val="9"/>
        </w:rPr>
        <w:t> </w:t>
      </w:r>
      <w:r>
        <w:rPr/>
        <w:t>其他说明</w:t>
      </w:r>
      <w:r>
        <w:rPr>
          <w:b w:val="0"/>
          <w:bCs w:val="0"/>
        </w:rPr>
      </w:r>
    </w:p>
    <w:p>
      <w:pPr>
        <w:pStyle w:val="BodyText"/>
        <w:spacing w:line="240" w:lineRule="auto" w:before="58"/>
        <w:ind w:left="138" w:right="0"/>
        <w:jc w:val="both"/>
      </w:pPr>
      <w:r>
        <w:rPr/>
        <w:t>□适用</w:t>
      </w:r>
      <w:r>
        <w:rPr>
          <w:spacing w:val="104"/>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both"/>
        <w:rPr>
          <w:b w:val="0"/>
          <w:bCs w:val="0"/>
        </w:rPr>
      </w:pPr>
      <w:r>
        <w:rPr/>
        <w:t>十八、可转换公司债券情况</w:t>
      </w:r>
      <w:r>
        <w:rPr>
          <w:b w:val="0"/>
          <w:bCs w:val="0"/>
        </w:rPr>
      </w:r>
    </w:p>
    <w:p>
      <w:pPr>
        <w:pStyle w:val="Heading2"/>
        <w:spacing w:line="240" w:lineRule="auto" w:before="56"/>
        <w:ind w:left="138" w:right="0"/>
        <w:jc w:val="both"/>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转债发行情况</w:t>
      </w:r>
      <w:r>
        <w:rPr>
          <w:b w:val="0"/>
          <w:bCs w:val="0"/>
        </w:rPr>
      </w:r>
    </w:p>
    <w:p>
      <w:pPr>
        <w:pStyle w:val="BodyText"/>
        <w:spacing w:line="240" w:lineRule="auto" w:before="29"/>
        <w:ind w:left="138" w:right="0"/>
        <w:jc w:val="both"/>
      </w:pPr>
      <w:r>
        <w:rPr/>
        <w:t>□适用</w:t>
      </w:r>
      <w:r>
        <w:rPr>
          <w:spacing w:val="104"/>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both"/>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8"/>
        </w:rPr>
        <w:t> </w:t>
      </w:r>
      <w:r>
        <w:rPr/>
        <w:t>报告期转债持有人及担保人情况</w:t>
      </w:r>
      <w:r>
        <w:rPr>
          <w:b w:val="0"/>
          <w:bCs w:val="0"/>
        </w:rPr>
      </w:r>
    </w:p>
    <w:p>
      <w:pPr>
        <w:pStyle w:val="BodyText"/>
        <w:spacing w:line="240" w:lineRule="auto" w:before="32"/>
        <w:ind w:left="138" w:right="0"/>
        <w:jc w:val="both"/>
      </w:pPr>
      <w:r>
        <w:rPr/>
        <w:t>□适用</w:t>
      </w:r>
      <w:r>
        <w:rPr>
          <w:spacing w:val="-1"/>
        </w:rPr>
        <w:t> </w:t>
      </w:r>
      <w:r>
        <w:rPr/>
        <w:t>√不适用</w:t>
      </w:r>
    </w:p>
    <w:p>
      <w:pPr>
        <w:spacing w:after="0" w:line="240" w:lineRule="auto"/>
        <w:jc w:val="both"/>
        <w:sectPr>
          <w:pgSz w:w="11910" w:h="16840"/>
          <w:pgMar w:header="880" w:footer="1195" w:top="1120" w:bottom="1380" w:left="1660" w:right="1140"/>
        </w:sectPr>
      </w:pPr>
    </w:p>
    <w:p>
      <w:pPr>
        <w:spacing w:line="240" w:lineRule="auto" w:before="4"/>
        <w:rPr>
          <w:rFonts w:ascii="宋体" w:hAnsi="宋体" w:cs="宋体" w:eastAsia="宋体" w:hint="default"/>
          <w:sz w:val="25"/>
          <w:szCs w:val="25"/>
        </w:rPr>
      </w:pPr>
    </w:p>
    <w:p>
      <w:pPr>
        <w:pStyle w:val="Heading2"/>
        <w:spacing w:line="240" w:lineRule="auto" w:before="36"/>
        <w:ind w:right="2497"/>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3"/>
        </w:rPr>
        <w:t> </w:t>
      </w:r>
      <w:r>
        <w:rPr/>
        <w:t>报告期转债变动情况</w:t>
      </w:r>
      <w:r>
        <w:rPr>
          <w:b w:val="0"/>
          <w:bCs w:val="0"/>
        </w:rPr>
      </w:r>
    </w:p>
    <w:p>
      <w:pPr>
        <w:pStyle w:val="BodyText"/>
        <w:spacing w:line="272" w:lineRule="exact" w:before="59"/>
        <w:ind w:right="6323"/>
        <w:jc w:val="left"/>
      </w:pPr>
      <w:r>
        <w:rPr/>
        <w:t>□适用</w:t>
      </w:r>
      <w:r>
        <w:rPr>
          <w:spacing w:val="-2"/>
        </w:rPr>
        <w:t> </w:t>
      </w:r>
      <w:r>
        <w:rPr/>
        <w:t>√不适用</w:t>
      </w:r>
      <w:r>
        <w:rPr>
          <w:w w:val="100"/>
        </w:rPr>
        <w:t> </w:t>
      </w:r>
      <w:r>
        <w:rPr>
          <w:spacing w:val="-2"/>
        </w:rPr>
        <w:t>报告期转债累计转股情况</w:t>
      </w:r>
    </w:p>
    <w:p>
      <w:pPr>
        <w:pStyle w:val="BodyText"/>
        <w:spacing w:line="249" w:lineRule="exact"/>
        <w:ind w:right="2497"/>
        <w:jc w:val="left"/>
      </w:pPr>
      <w:r>
        <w:rPr/>
        <w:t>□适用</w:t>
      </w:r>
      <w:r>
        <w:rPr>
          <w:spacing w:val="-1"/>
        </w:rPr>
        <w:t> </w:t>
      </w:r>
      <w:r>
        <w:rPr/>
        <w:t>√不适用</w:t>
      </w:r>
    </w:p>
    <w:p>
      <w:pPr>
        <w:pStyle w:val="Heading2"/>
        <w:spacing w:line="240" w:lineRule="auto" w:before="56"/>
        <w:ind w:right="2497"/>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0"/>
        </w:rPr>
        <w:t> </w:t>
      </w:r>
      <w:r>
        <w:rPr/>
        <w:t>转股价格历次调整情况</w:t>
      </w:r>
      <w:r>
        <w:rPr>
          <w:b w:val="0"/>
          <w:bCs w:val="0"/>
        </w:rPr>
      </w:r>
    </w:p>
    <w:p>
      <w:pPr>
        <w:pStyle w:val="BodyText"/>
        <w:spacing w:line="240" w:lineRule="auto" w:before="32"/>
        <w:ind w:right="2497"/>
        <w:jc w:val="left"/>
      </w:pPr>
      <w:r>
        <w:rPr/>
        <w:t>□适用</w:t>
      </w:r>
      <w:r>
        <w:rPr>
          <w:spacing w:val="-1"/>
        </w:rPr>
        <w:t> </w:t>
      </w:r>
      <w:r>
        <w:rPr/>
        <w:t>√不适用</w:t>
      </w:r>
    </w:p>
    <w:p>
      <w:pPr>
        <w:pStyle w:val="Heading2"/>
        <w:spacing w:line="240" w:lineRule="auto" w:before="56"/>
        <w:ind w:right="2497"/>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27"/>
        </w:rPr>
        <w:t> </w:t>
      </w:r>
      <w:r>
        <w:rPr/>
        <w:t>公司的负债情况、资信变化情况及在未来年度还债的现金安排</w:t>
      </w:r>
      <w:r>
        <w:rPr>
          <w:b w:val="0"/>
          <w:bCs w:val="0"/>
        </w:rPr>
      </w:r>
    </w:p>
    <w:p>
      <w:pPr>
        <w:pStyle w:val="BodyText"/>
        <w:tabs>
          <w:tab w:pos="1060" w:val="left" w:leader="none"/>
        </w:tabs>
        <w:spacing w:line="240" w:lineRule="auto" w:before="32"/>
        <w:ind w:right="2497"/>
        <w:jc w:val="left"/>
      </w:pPr>
      <w:r>
        <w:rPr>
          <w:spacing w:val="-1"/>
        </w:rPr>
        <w:t>□适用</w:t>
        <w:tab/>
      </w:r>
      <w:r>
        <w:rPr>
          <w:spacing w:val="-2"/>
        </w:rPr>
        <w:t>√不适用</w:t>
      </w:r>
    </w:p>
    <w:p>
      <w:pPr>
        <w:pStyle w:val="Heading2"/>
        <w:spacing w:line="240" w:lineRule="auto" w:before="56"/>
        <w:ind w:right="2497"/>
        <w:jc w:val="left"/>
        <w:rPr>
          <w:b w:val="0"/>
          <w:bCs w:val="0"/>
        </w:rPr>
      </w:pPr>
      <w:r>
        <w:rPr>
          <w:rFonts w:ascii="Calibri" w:hAnsi="Calibri" w:cs="Calibri" w:eastAsia="Calibri" w:hint="default"/>
        </w:rPr>
        <w:t>(</w:t>
      </w:r>
      <w:r>
        <w:rPr/>
        <w:t>六</w:t>
      </w:r>
      <w:r>
        <w:rPr>
          <w:rFonts w:ascii="Calibri" w:hAnsi="Calibri" w:cs="Calibri" w:eastAsia="Calibri" w:hint="default"/>
        </w:rPr>
        <w:t>)</w:t>
      </w:r>
      <w:r>
        <w:rPr>
          <w:rFonts w:ascii="Calibri" w:hAnsi="Calibri" w:cs="Calibri" w:eastAsia="Calibri" w:hint="default"/>
          <w:spacing w:val="32"/>
        </w:rPr>
        <w:t> </w:t>
      </w:r>
      <w:r>
        <w:rPr/>
        <w:t>转债其他情况说明</w:t>
      </w:r>
      <w:r>
        <w:rPr>
          <w:b w:val="0"/>
          <w:bCs w:val="0"/>
        </w:rPr>
      </w:r>
    </w:p>
    <w:p>
      <w:pPr>
        <w:pStyle w:val="BodyText"/>
        <w:tabs>
          <w:tab w:pos="1060" w:val="left" w:leader="none"/>
        </w:tabs>
        <w:spacing w:line="240" w:lineRule="auto" w:before="32"/>
        <w:ind w:right="2497"/>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pStyle w:val="Heading1"/>
        <w:tabs>
          <w:tab w:pos="1259" w:val="left" w:leader="none"/>
        </w:tabs>
        <w:spacing w:line="240" w:lineRule="auto"/>
        <w:ind w:right="17"/>
        <w:jc w:val="center"/>
        <w:rPr>
          <w:b w:val="0"/>
          <w:bCs w:val="0"/>
        </w:rPr>
      </w:pPr>
      <w:bookmarkStart w:name="_TOC_250006" w:id="6"/>
      <w:r>
        <w:rPr>
          <w:w w:val="95"/>
        </w:rPr>
        <w:t>第六节</w:t>
        <w:tab/>
      </w:r>
      <w:r>
        <w:rPr/>
        <w:t>普通股股份变动及股东情况</w:t>
      </w:r>
      <w:bookmarkEnd w:id="6"/>
      <w:r>
        <w:rPr>
          <w:b w:val="0"/>
          <w:bCs w:val="0"/>
        </w:rPr>
      </w:r>
    </w:p>
    <w:p>
      <w:pPr>
        <w:spacing w:line="240" w:lineRule="auto" w:before="4"/>
        <w:rPr>
          <w:rFonts w:ascii="黑体" w:hAnsi="黑体" w:cs="黑体" w:eastAsia="黑体" w:hint="default"/>
          <w:b/>
          <w:bCs/>
          <w:sz w:val="19"/>
          <w:szCs w:val="19"/>
        </w:rPr>
      </w:pPr>
    </w:p>
    <w:p>
      <w:pPr>
        <w:pStyle w:val="Heading2"/>
        <w:tabs>
          <w:tab w:pos="784" w:val="left" w:leader="none"/>
        </w:tabs>
        <w:spacing w:line="278" w:lineRule="auto"/>
        <w:ind w:right="6390"/>
        <w:jc w:val="left"/>
        <w:rPr>
          <w:b w:val="0"/>
          <w:bCs w:val="0"/>
        </w:rPr>
      </w:pPr>
      <w:r>
        <w:rPr/>
        <w:t>一、</w:t>
      </w:r>
      <w:r>
        <w:rPr>
          <w:spacing w:val="-78"/>
        </w:rPr>
        <w:t> </w:t>
      </w:r>
      <w:r>
        <w:rPr/>
        <w:t>普通股股本变动情况</w:t>
      </w:r>
      <w:r>
        <w:rPr>
          <w:spacing w:val="-102"/>
        </w:rPr>
        <w:t> </w:t>
      </w:r>
      <w:r>
        <w:rPr>
          <w:spacing w:val="-102"/>
        </w:rPr>
      </w:r>
      <w:r>
        <w:rPr>
          <w:rFonts w:ascii="Calibri" w:hAnsi="Calibri" w:cs="Calibri" w:eastAsia="Calibri" w:hint="default"/>
        </w:rPr>
        <w:t>(</w:t>
      </w:r>
      <w:r>
        <w:rPr/>
        <w:t>一</w:t>
      </w:r>
      <w:r>
        <w:rPr>
          <w:rFonts w:ascii="Calibri" w:hAnsi="Calibri" w:cs="Calibri" w:eastAsia="Calibri" w:hint="default"/>
        </w:rPr>
        <w:t>)</w:t>
        <w:tab/>
      </w:r>
      <w:r>
        <w:rPr/>
        <w:t>普通股股份变动情况表</w:t>
      </w:r>
      <w:r>
        <w:rPr>
          <w:w w:val="100"/>
        </w:rPr>
        <w:t> </w:t>
      </w:r>
      <w:r>
        <w:rPr>
          <w:rFonts w:ascii="宋体" w:hAnsi="宋体" w:cs="宋体" w:eastAsia="宋体" w:hint="default"/>
        </w:rPr>
        <w:t>1</w:t>
      </w:r>
      <w:r>
        <w:rPr/>
        <w:t>、</w:t>
      </w:r>
      <w:r>
        <w:rPr>
          <w:spacing w:val="-3"/>
        </w:rPr>
        <w:t> </w:t>
      </w:r>
      <w:r>
        <w:rPr/>
        <w:t>普通股股份变动情况表</w:t>
      </w:r>
      <w:r>
        <w:rPr>
          <w:b w:val="0"/>
          <w:bCs w:val="0"/>
        </w:rPr>
      </w:r>
    </w:p>
    <w:p>
      <w:pPr>
        <w:spacing w:line="290" w:lineRule="auto" w:before="25"/>
        <w:ind w:left="218" w:right="3600" w:firstLine="0"/>
        <w:jc w:val="left"/>
        <w:rPr>
          <w:rFonts w:ascii="宋体" w:hAnsi="宋体" w:cs="宋体" w:eastAsia="宋体" w:hint="default"/>
          <w:sz w:val="21"/>
          <w:szCs w:val="21"/>
        </w:rPr>
      </w:pPr>
      <w:r>
        <w:rPr>
          <w:rFonts w:ascii="宋体" w:hAnsi="宋体" w:cs="宋体" w:eastAsia="宋体" w:hint="default"/>
          <w:spacing w:val="-2"/>
          <w:sz w:val="21"/>
          <w:szCs w:val="21"/>
        </w:rPr>
        <w:t>报告期内，公司普通股股份总数及股本结构未发生变化。</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普通股股份变动情况说明</w:t>
      </w:r>
      <w:r>
        <w:rPr>
          <w:rFonts w:ascii="宋体" w:hAnsi="宋体" w:cs="宋体" w:eastAsia="宋体" w:hint="default"/>
          <w:sz w:val="21"/>
          <w:szCs w:val="21"/>
        </w:rPr>
      </w:r>
    </w:p>
    <w:p>
      <w:pPr>
        <w:pStyle w:val="BodyText"/>
        <w:tabs>
          <w:tab w:pos="1060" w:val="left" w:leader="none"/>
        </w:tabs>
        <w:spacing w:line="240" w:lineRule="auto" w:before="12"/>
        <w:ind w:right="2497"/>
        <w:jc w:val="left"/>
      </w:pPr>
      <w:r>
        <w:rPr>
          <w:spacing w:val="-1"/>
        </w:rPr>
        <w:t>□适用</w:t>
        <w:tab/>
      </w:r>
      <w:r>
        <w:rPr>
          <w:spacing w:val="-2"/>
        </w:rPr>
        <w:t>√不适用</w:t>
      </w:r>
    </w:p>
    <w:p>
      <w:pPr>
        <w:pStyle w:val="Heading2"/>
        <w:spacing w:line="240" w:lineRule="auto" w:before="58"/>
        <w:ind w:right="227"/>
        <w:jc w:val="left"/>
        <w:rPr>
          <w:b w:val="0"/>
          <w:bCs w:val="0"/>
        </w:rPr>
      </w:pPr>
      <w:r>
        <w:rPr>
          <w:rFonts w:ascii="宋体" w:hAnsi="宋体" w:cs="宋体" w:eastAsia="宋体" w:hint="default"/>
        </w:rPr>
        <w:t>3</w:t>
      </w:r>
      <w:r>
        <w:rPr/>
        <w:t>、</w:t>
      </w:r>
      <w:r>
        <w:rPr>
          <w:spacing w:val="-6"/>
        </w:rPr>
        <w:t> </w:t>
      </w:r>
      <w:r>
        <w:rPr/>
        <w:t>普通股股份变动对最近一年和最近一期每股收益、每股净资产等财务指标的影响（如有）</w:t>
      </w:r>
      <w:r>
        <w:rPr>
          <w:b w:val="0"/>
          <w:bCs w:val="0"/>
        </w:rPr>
      </w:r>
    </w:p>
    <w:p>
      <w:pPr>
        <w:pStyle w:val="BodyText"/>
        <w:tabs>
          <w:tab w:pos="1060" w:val="left" w:leader="none"/>
        </w:tabs>
        <w:spacing w:line="240" w:lineRule="auto" w:before="56"/>
        <w:ind w:right="2497"/>
        <w:jc w:val="left"/>
      </w:pPr>
      <w:r>
        <w:rPr>
          <w:spacing w:val="-1"/>
        </w:rPr>
        <w:t>□适用</w:t>
        <w:tab/>
      </w:r>
      <w:r>
        <w:rPr>
          <w:spacing w:val="-2"/>
        </w:rPr>
        <w:t>√不适用</w:t>
      </w:r>
    </w:p>
    <w:p>
      <w:pPr>
        <w:pStyle w:val="Heading2"/>
        <w:spacing w:line="240" w:lineRule="auto" w:before="58"/>
        <w:ind w:right="2497"/>
        <w:jc w:val="left"/>
        <w:rPr>
          <w:b w:val="0"/>
          <w:bCs w:val="0"/>
        </w:rPr>
      </w:pPr>
      <w:r>
        <w:rPr>
          <w:rFonts w:ascii="宋体" w:hAnsi="宋体" w:cs="宋体" w:eastAsia="宋体" w:hint="default"/>
        </w:rPr>
        <w:t>4</w:t>
      </w:r>
      <w:r>
        <w:rPr/>
        <w:t>、</w:t>
      </w:r>
      <w:r>
        <w:rPr>
          <w:spacing w:val="-4"/>
        </w:rPr>
        <w:t> </w:t>
      </w:r>
      <w:r>
        <w:rPr/>
        <w:t>公司认为必要或证券监管机构要求披露的其他内容</w:t>
      </w:r>
      <w:r>
        <w:rPr>
          <w:b w:val="0"/>
          <w:bCs w:val="0"/>
        </w:rPr>
      </w:r>
    </w:p>
    <w:p>
      <w:pPr>
        <w:pStyle w:val="BodyText"/>
        <w:tabs>
          <w:tab w:pos="1060" w:val="left" w:leader="none"/>
        </w:tabs>
        <w:spacing w:line="240" w:lineRule="auto" w:before="56"/>
        <w:ind w:right="2497"/>
        <w:jc w:val="left"/>
      </w:pPr>
      <w:r>
        <w:rPr>
          <w:spacing w:val="-1"/>
        </w:rPr>
        <w:t>□适用</w:t>
        <w:tab/>
      </w:r>
      <w:r>
        <w:rPr>
          <w:spacing w:val="-2"/>
        </w:rPr>
        <w:t>√不适用</w:t>
      </w:r>
    </w:p>
    <w:p>
      <w:pPr>
        <w:pStyle w:val="Heading2"/>
        <w:tabs>
          <w:tab w:pos="784" w:val="left" w:leader="none"/>
        </w:tabs>
        <w:spacing w:line="240" w:lineRule="auto" w:before="58"/>
        <w:ind w:right="2497"/>
        <w:jc w:val="left"/>
        <w:rPr>
          <w:b w:val="0"/>
          <w:bCs w:val="0"/>
        </w:rPr>
      </w:pPr>
      <w:r>
        <w:rPr>
          <w:rFonts w:ascii="Calibri" w:hAnsi="Calibri" w:cs="Calibri" w:eastAsia="Calibri" w:hint="default"/>
        </w:rPr>
        <w:t>(</w:t>
      </w:r>
      <w:r>
        <w:rPr/>
        <w:t>二</w:t>
      </w:r>
      <w:r>
        <w:rPr>
          <w:rFonts w:ascii="Calibri" w:hAnsi="Calibri" w:cs="Calibri" w:eastAsia="Calibri" w:hint="default"/>
        </w:rPr>
        <w:t>)</w:t>
        <w:tab/>
      </w:r>
      <w:r>
        <w:rPr/>
        <w:t>限售股份变动情况</w:t>
      </w:r>
      <w:r>
        <w:rPr>
          <w:b w:val="0"/>
          <w:bCs w:val="0"/>
        </w:rPr>
      </w:r>
    </w:p>
    <w:p>
      <w:pPr>
        <w:pStyle w:val="BodyText"/>
        <w:spacing w:line="240" w:lineRule="auto" w:before="29"/>
        <w:ind w:right="2497"/>
        <w:jc w:val="left"/>
      </w:pPr>
      <w:r>
        <w:rPr/>
        <w:t>√适用</w:t>
      </w:r>
      <w:r>
        <w:rPr>
          <w:spacing w:val="-1"/>
        </w:rPr>
        <w:t> </w:t>
      </w:r>
      <w:r>
        <w:rPr/>
        <w:t>□不适用</w:t>
      </w:r>
    </w:p>
    <w:p>
      <w:pPr>
        <w:pStyle w:val="BodyText"/>
        <w:spacing w:line="274" w:lineRule="exact"/>
        <w:ind w:left="0" w:right="230"/>
        <w:jc w:val="right"/>
      </w:pPr>
      <w:r>
        <w:rPr/>
        <w:t>单位</w:t>
      </w:r>
      <w:r>
        <w:rPr>
          <w:rFonts w:ascii="宋体" w:hAnsi="宋体" w:cs="宋体" w:eastAsia="宋体" w:hint="default"/>
        </w:rPr>
        <w:t>:</w:t>
      </w:r>
      <w:r>
        <w:rPr>
          <w:rFonts w:ascii="宋体" w:hAnsi="宋体" w:cs="宋体" w:eastAsia="宋体" w:hint="default"/>
          <w:spacing w:val="2"/>
        </w:rPr>
        <w:t> </w:t>
      </w:r>
      <w:r>
        <w:rPr/>
        <w:t>股</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291"/>
        <w:gridCol w:w="1294"/>
        <w:gridCol w:w="1291"/>
        <w:gridCol w:w="1294"/>
        <w:gridCol w:w="1294"/>
        <w:gridCol w:w="1292"/>
        <w:gridCol w:w="1294"/>
      </w:tblGrid>
      <w:tr>
        <w:trPr>
          <w:trHeight w:val="554"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0"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年初限售股</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数</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本年解除限</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售股数</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本年增加限</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售股数</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年末限售股</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数</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限售原因</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解除限售日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期</w:t>
            </w:r>
          </w:p>
        </w:tc>
      </w:tr>
      <w:tr>
        <w:trPr>
          <w:trHeight w:val="557"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王强</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69,085,139</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1" w:right="0"/>
              <w:jc w:val="center"/>
              <w:rPr>
                <w:rFonts w:ascii="宋体" w:hAnsi="宋体" w:cs="宋体" w:eastAsia="宋体" w:hint="default"/>
                <w:sz w:val="21"/>
                <w:szCs w:val="21"/>
              </w:rPr>
            </w:pPr>
            <w:r>
              <w:rPr>
                <w:rFonts w:ascii="宋体"/>
                <w:sz w:val="21"/>
              </w:rPr>
              <w:t>69,085,139</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非公开发行</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限售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7</w:t>
            </w:r>
            <w:r>
              <w:rPr>
                <w:rFonts w:ascii="宋体" w:hAnsi="宋体" w:cs="宋体" w:eastAsia="宋体" w:hint="default"/>
                <w:spacing w:val="-61"/>
                <w:sz w:val="21"/>
                <w:szCs w:val="21"/>
              </w:rPr>
              <w:t> </w:t>
            </w:r>
            <w:r>
              <w:rPr>
                <w:rFonts w:ascii="宋体" w:hAnsi="宋体" w:cs="宋体" w:eastAsia="宋体" w:hint="default"/>
                <w:sz w:val="21"/>
                <w:szCs w:val="21"/>
              </w:rPr>
              <w:t>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18</w:t>
            </w:r>
            <w:r>
              <w:rPr>
                <w:rFonts w:ascii="宋体" w:hAnsi="宋体" w:cs="宋体" w:eastAsia="宋体" w:hint="default"/>
                <w:spacing w:val="-51"/>
                <w:sz w:val="21"/>
                <w:szCs w:val="21"/>
              </w:rPr>
              <w:t> </w:t>
            </w:r>
            <w:r>
              <w:rPr>
                <w:rFonts w:ascii="宋体" w:hAnsi="宋体" w:cs="宋体" w:eastAsia="宋体" w:hint="default"/>
                <w:sz w:val="21"/>
                <w:szCs w:val="21"/>
              </w:rPr>
              <w:t>日</w:t>
            </w:r>
          </w:p>
        </w:tc>
      </w:tr>
      <w:tr>
        <w:trPr>
          <w:trHeight w:val="555"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纪世贤</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18,754,653</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center"/>
              <w:rPr>
                <w:rFonts w:ascii="宋体" w:hAnsi="宋体" w:cs="宋体" w:eastAsia="宋体" w:hint="default"/>
                <w:sz w:val="21"/>
                <w:szCs w:val="21"/>
              </w:rPr>
            </w:pPr>
            <w:r>
              <w:rPr>
                <w:rFonts w:ascii="宋体"/>
                <w:sz w:val="21"/>
              </w:rPr>
              <w:t>18,754,653</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非公开发行</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限售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7</w:t>
            </w:r>
            <w:r>
              <w:rPr>
                <w:rFonts w:ascii="宋体" w:hAnsi="宋体" w:cs="宋体" w:eastAsia="宋体" w:hint="default"/>
                <w:spacing w:val="-61"/>
                <w:sz w:val="21"/>
                <w:szCs w:val="21"/>
              </w:rPr>
              <w:t> </w:t>
            </w:r>
            <w:r>
              <w:rPr>
                <w:rFonts w:ascii="宋体" w:hAnsi="宋体" w:cs="宋体" w:eastAsia="宋体" w:hint="default"/>
                <w:sz w:val="21"/>
                <w:szCs w:val="21"/>
              </w:rPr>
              <w:t>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18</w:t>
            </w:r>
            <w:r>
              <w:rPr>
                <w:rFonts w:ascii="宋体" w:hAnsi="宋体" w:cs="宋体" w:eastAsia="宋体" w:hint="default"/>
                <w:spacing w:val="-51"/>
                <w:sz w:val="21"/>
                <w:szCs w:val="21"/>
              </w:rPr>
              <w:t> </w:t>
            </w:r>
            <w:r>
              <w:rPr>
                <w:rFonts w:ascii="宋体" w:hAnsi="宋体" w:cs="宋体" w:eastAsia="宋体" w:hint="default"/>
                <w:sz w:val="21"/>
                <w:szCs w:val="21"/>
              </w:rPr>
              <w:t>日</w:t>
            </w:r>
          </w:p>
        </w:tc>
      </w:tr>
      <w:tr>
        <w:trPr>
          <w:trHeight w:val="554"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卢天赠</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3,331,230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7" w:right="0"/>
              <w:jc w:val="center"/>
              <w:rPr>
                <w:rFonts w:ascii="宋体" w:hAnsi="宋体" w:cs="宋体" w:eastAsia="宋体" w:hint="default"/>
                <w:sz w:val="21"/>
                <w:szCs w:val="21"/>
              </w:rPr>
            </w:pPr>
            <w:r>
              <w:rPr>
                <w:rFonts w:ascii="宋体"/>
                <w:sz w:val="21"/>
              </w:rPr>
              <w:t>3,331,230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非公开发行</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限售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7</w:t>
            </w:r>
            <w:r>
              <w:rPr>
                <w:rFonts w:ascii="宋体" w:hAnsi="宋体" w:cs="宋体" w:eastAsia="宋体" w:hint="default"/>
                <w:spacing w:val="-61"/>
                <w:sz w:val="21"/>
                <w:szCs w:val="21"/>
              </w:rPr>
              <w:t> </w:t>
            </w:r>
            <w:r>
              <w:rPr>
                <w:rFonts w:ascii="宋体" w:hAnsi="宋体" w:cs="宋体" w:eastAsia="宋体" w:hint="default"/>
                <w:sz w:val="21"/>
                <w:szCs w:val="21"/>
              </w:rPr>
              <w:t>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18</w:t>
            </w:r>
            <w:r>
              <w:rPr>
                <w:rFonts w:ascii="宋体" w:hAnsi="宋体" w:cs="宋体" w:eastAsia="宋体" w:hint="default"/>
                <w:spacing w:val="-51"/>
                <w:sz w:val="21"/>
                <w:szCs w:val="21"/>
              </w:rPr>
              <w:t> </w:t>
            </w:r>
            <w:r>
              <w:rPr>
                <w:rFonts w:ascii="宋体" w:hAnsi="宋体" w:cs="宋体" w:eastAsia="宋体" w:hint="default"/>
                <w:sz w:val="21"/>
                <w:szCs w:val="21"/>
              </w:rPr>
              <w:t>日</w:t>
            </w:r>
          </w:p>
        </w:tc>
      </w:tr>
      <w:tr>
        <w:trPr>
          <w:trHeight w:val="283"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91,171,022</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center"/>
              <w:rPr>
                <w:rFonts w:ascii="宋体" w:hAnsi="宋体" w:cs="宋体" w:eastAsia="宋体" w:hint="default"/>
                <w:sz w:val="21"/>
                <w:szCs w:val="21"/>
              </w:rPr>
            </w:pPr>
            <w:r>
              <w:rPr>
                <w:rFonts w:ascii="宋体"/>
                <w:sz w:val="21"/>
              </w:rPr>
              <w:t>91,171,022</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w w:val="100"/>
                <w:sz w:val="21"/>
              </w:rPr>
              <w:t>/</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12"/>
        <w:rPr>
          <w:rFonts w:ascii="宋体" w:hAnsi="宋体" w:cs="宋体" w:eastAsia="宋体" w:hint="default"/>
          <w:sz w:val="19"/>
          <w:szCs w:val="19"/>
        </w:rPr>
      </w:pPr>
    </w:p>
    <w:p>
      <w:pPr>
        <w:pStyle w:val="Heading2"/>
        <w:spacing w:line="290" w:lineRule="auto" w:before="36"/>
        <w:ind w:right="6096"/>
        <w:jc w:val="left"/>
        <w:rPr>
          <w:b w:val="0"/>
          <w:bCs w:val="0"/>
        </w:rPr>
      </w:pPr>
      <w:r>
        <w:rPr/>
        <w:t>二、</w:t>
      </w:r>
      <w:r>
        <w:rPr>
          <w:spacing w:val="-78"/>
        </w:rPr>
        <w:t> </w:t>
      </w:r>
      <w:r>
        <w:rPr/>
        <w:t>证券发行与上市情况</w:t>
      </w:r>
      <w:r>
        <w:rPr>
          <w:spacing w:val="-102"/>
        </w:rPr>
        <w:t> </w:t>
      </w:r>
      <w:r>
        <w:rPr>
          <w:spacing w:val="-102"/>
        </w:rPr>
      </w:r>
      <w:r>
        <w:rPr>
          <w:rFonts w:ascii="宋体" w:hAnsi="宋体" w:cs="宋体" w:eastAsia="宋体" w:hint="default"/>
        </w:rPr>
        <w:t>(</w:t>
      </w:r>
      <w:r>
        <w:rPr/>
        <w:t>一</w:t>
      </w:r>
      <w:r>
        <w:rPr>
          <w:rFonts w:ascii="宋体" w:hAnsi="宋体" w:cs="宋体" w:eastAsia="宋体" w:hint="default"/>
        </w:rPr>
        <w:t>)</w:t>
      </w:r>
      <w:r>
        <w:rPr/>
        <w:t>截至报告期内证券发行情况</w:t>
      </w:r>
      <w:r>
        <w:rPr>
          <w:b w:val="0"/>
          <w:bCs w:val="0"/>
        </w:rPr>
      </w:r>
    </w:p>
    <w:p>
      <w:pPr>
        <w:pStyle w:val="BodyText"/>
        <w:spacing w:line="272" w:lineRule="exact" w:before="40"/>
        <w:ind w:right="248"/>
        <w:jc w:val="left"/>
      </w:pPr>
      <w:r>
        <w:rPr/>
        <w:t>□适用</w:t>
      </w:r>
      <w:r>
        <w:rPr>
          <w:spacing w:val="-2"/>
        </w:rPr>
        <w:t> </w:t>
      </w:r>
      <w:r>
        <w:rPr/>
        <w:t>√不适用</w:t>
      </w:r>
      <w:r>
        <w:rPr>
          <w:w w:val="100"/>
        </w:rPr>
        <w:t> </w:t>
      </w:r>
      <w:r>
        <w:rPr>
          <w:spacing w:val="-2"/>
        </w:rPr>
        <w:t>截至报告期内证券发行情况的说明（存续期内利率不同的债券，请分别说明）：</w:t>
      </w:r>
    </w:p>
    <w:p>
      <w:pPr>
        <w:pStyle w:val="BodyText"/>
        <w:tabs>
          <w:tab w:pos="1060" w:val="left" w:leader="none"/>
        </w:tabs>
        <w:spacing w:line="249" w:lineRule="exact"/>
        <w:ind w:right="2497"/>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right="227"/>
        <w:jc w:val="left"/>
        <w:rPr>
          <w:b w:val="0"/>
          <w:bCs w:val="0"/>
        </w:rPr>
      </w:pPr>
      <w:r>
        <w:rPr>
          <w:rFonts w:ascii="宋体" w:hAnsi="宋体" w:cs="宋体" w:eastAsia="宋体" w:hint="default"/>
        </w:rPr>
        <w:t>(</w:t>
      </w:r>
      <w:r>
        <w:rPr/>
        <w:t>二</w:t>
      </w:r>
      <w:r>
        <w:rPr>
          <w:rFonts w:ascii="宋体" w:hAnsi="宋体" w:cs="宋体" w:eastAsia="宋体" w:hint="default"/>
        </w:rPr>
        <w:t>)</w:t>
      </w:r>
      <w:r>
        <w:rPr/>
        <w:t>公司普通股股份总数及股东结构变动及公司资产和负债结构的变动情况</w:t>
      </w:r>
      <w:r>
        <w:rPr>
          <w:b w:val="0"/>
          <w:bCs w:val="0"/>
        </w:rPr>
      </w:r>
    </w:p>
    <w:p>
      <w:pPr>
        <w:pStyle w:val="BodyText"/>
        <w:tabs>
          <w:tab w:pos="1060" w:val="left" w:leader="none"/>
        </w:tabs>
        <w:spacing w:line="240" w:lineRule="auto" w:before="56"/>
        <w:ind w:right="2497"/>
        <w:jc w:val="left"/>
      </w:pPr>
      <w:r>
        <w:rPr>
          <w:spacing w:val="-1"/>
        </w:rPr>
        <w:t>□适用</w:t>
        <w:tab/>
      </w:r>
      <w:r>
        <w:rPr>
          <w:spacing w:val="-2"/>
        </w:rPr>
        <w:t>√不适用</w:t>
      </w:r>
    </w:p>
    <w:p>
      <w:pPr>
        <w:spacing w:after="0" w:line="240" w:lineRule="auto"/>
        <w:jc w:val="left"/>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77"/>
        <w:ind w:right="2497"/>
        <w:jc w:val="left"/>
        <w:rPr>
          <w:b w:val="0"/>
          <w:bCs w:val="0"/>
        </w:rPr>
      </w:pPr>
      <w:r>
        <w:rPr>
          <w:rFonts w:ascii="宋体" w:hAnsi="宋体" w:cs="宋体" w:eastAsia="宋体" w:hint="default"/>
        </w:rPr>
        <w:t>(</w:t>
      </w:r>
      <w:r>
        <w:rPr/>
        <w:t>三</w:t>
      </w:r>
      <w:r>
        <w:rPr>
          <w:rFonts w:ascii="宋体" w:hAnsi="宋体" w:cs="宋体" w:eastAsia="宋体" w:hint="default"/>
        </w:rPr>
        <w:t>)</w:t>
      </w:r>
      <w:r>
        <w:rPr/>
        <w:t>现存的内部职工股情况</w:t>
      </w:r>
      <w:r>
        <w:rPr>
          <w:b w:val="0"/>
          <w:bCs w:val="0"/>
        </w:rPr>
      </w:r>
    </w:p>
    <w:p>
      <w:pPr>
        <w:pStyle w:val="BodyText"/>
        <w:spacing w:line="240" w:lineRule="auto" w:before="56"/>
        <w:ind w:right="2497"/>
        <w:jc w:val="left"/>
      </w:pPr>
      <w:r>
        <w:rPr/>
        <w:t>□适用</w:t>
      </w:r>
      <w:r>
        <w:rPr>
          <w:spacing w:val="-1"/>
        </w:rPr>
        <w:t> </w:t>
      </w:r>
      <w:r>
        <w:rPr/>
        <w:t>√不适用</w:t>
      </w:r>
    </w:p>
    <w:p>
      <w:pPr>
        <w:pStyle w:val="Heading2"/>
        <w:spacing w:line="240" w:lineRule="auto" w:before="58"/>
        <w:ind w:right="2497"/>
        <w:jc w:val="left"/>
        <w:rPr>
          <w:b w:val="0"/>
          <w:bCs w:val="0"/>
        </w:rPr>
      </w:pPr>
      <w:r>
        <w:rPr/>
        <w:t>三、</w:t>
      </w:r>
      <w:r>
        <w:rPr>
          <w:spacing w:val="-80"/>
        </w:rPr>
        <w:t> </w:t>
      </w:r>
      <w:r>
        <w:rPr/>
        <w:t>股东和实际控制人情况</w:t>
      </w:r>
      <w:r>
        <w:rPr>
          <w:b w:val="0"/>
          <w:bCs w:val="0"/>
        </w:rPr>
      </w:r>
    </w:p>
    <w:p>
      <w:pPr>
        <w:pStyle w:val="Heading2"/>
        <w:spacing w:line="240" w:lineRule="auto" w:before="56"/>
        <w:ind w:right="2497"/>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9"/>
        </w:rPr>
        <w:t> </w:t>
      </w:r>
      <w:r>
        <w:rPr/>
        <w:t>股东总数</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截止报告期末普通股股东总数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12,845</w:t>
            </w:r>
          </w:p>
        </w:tc>
      </w:tr>
      <w:tr>
        <w:trPr>
          <w:trHeight w:val="557"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年度报告披露日前上一月末的普通股股东总数</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13,120</w:t>
            </w:r>
          </w:p>
        </w:tc>
      </w:tr>
      <w:tr>
        <w:trPr>
          <w:trHeight w:val="55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截止报告期末表决权恢复的优先股股东总数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（户）</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r>
        <w:trPr>
          <w:trHeight w:val="555"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年度报告披露日前上一月末表决权恢复的优先</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股股东总数（户）</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bl>
    <w:p>
      <w:pPr>
        <w:spacing w:line="240" w:lineRule="auto" w:before="12"/>
        <w:rPr>
          <w:rFonts w:ascii="宋体" w:hAnsi="宋体" w:cs="宋体" w:eastAsia="宋体" w:hint="default"/>
          <w:b/>
          <w:bCs/>
          <w:sz w:val="19"/>
          <w:szCs w:val="19"/>
        </w:rPr>
      </w:pPr>
    </w:p>
    <w:p>
      <w:pPr>
        <w:spacing w:after="0" w:line="240" w:lineRule="auto"/>
        <w:rPr>
          <w:rFonts w:ascii="宋体" w:hAnsi="宋体" w:cs="宋体" w:eastAsia="宋体" w:hint="default"/>
          <w:sz w:val="19"/>
          <w:szCs w:val="19"/>
        </w:rPr>
        <w:sectPr>
          <w:pgSz w:w="11910" w:h="16840"/>
          <w:pgMar w:header="880" w:footer="1195" w:top="1120" w:bottom="1380" w:left="1580" w:right="1040"/>
        </w:sectPr>
      </w:pPr>
    </w:p>
    <w:p>
      <w:pPr>
        <w:pStyle w:val="Heading2"/>
        <w:spacing w:line="240" w:lineRule="auto" w:before="36"/>
        <w:ind w:right="-1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2"/>
        </w:rPr>
        <w:t> </w:t>
      </w:r>
      <w:r>
        <w:rPr/>
        <w:t>截止报告期末前十名股东、前十名流通股东（或无限售条件股东）持股情况表</w:t>
      </w:r>
      <w:r>
        <w:rPr>
          <w:b w:val="0"/>
          <w:bCs w:val="0"/>
        </w:rPr>
      </w:r>
    </w:p>
    <w:p>
      <w:pPr>
        <w:spacing w:line="240" w:lineRule="auto" w:before="3"/>
        <w:rPr>
          <w:rFonts w:ascii="宋体" w:hAnsi="宋体" w:cs="宋体" w:eastAsia="宋体" w:hint="default"/>
          <w:b/>
          <w:bCs/>
          <w:sz w:val="28"/>
          <w:szCs w:val="28"/>
        </w:rPr>
      </w:pPr>
      <w:r>
        <w:rPr/>
        <w:br w:type="column"/>
      </w:r>
      <w:r>
        <w:rPr>
          <w:rFonts w:ascii="宋体"/>
          <w:b/>
          <w:sz w:val="28"/>
        </w:rPr>
      </w:r>
    </w:p>
    <w:p>
      <w:pPr>
        <w:pStyle w:val="BodyText"/>
        <w:spacing w:line="240" w:lineRule="auto"/>
        <w:ind w:right="0"/>
        <w:jc w:val="left"/>
      </w:pPr>
      <w:r>
        <w:rPr/>
        <w:t>单位</w:t>
      </w:r>
      <w:r>
        <w:rPr>
          <w:rFonts w:ascii="宋体" w:hAnsi="宋体" w:cs="宋体" w:eastAsia="宋体" w:hint="default"/>
        </w:rPr>
        <w:t>:</w:t>
      </w:r>
      <w:r>
        <w:rPr/>
        <w:t>股</w:t>
      </w:r>
    </w:p>
    <w:p>
      <w:pPr>
        <w:spacing w:after="0" w:line="240" w:lineRule="auto"/>
        <w:jc w:val="left"/>
        <w:sectPr>
          <w:type w:val="continuous"/>
          <w:pgSz w:w="11910" w:h="16840"/>
          <w:pgMar w:top="1120" w:bottom="1380" w:left="1580" w:right="1040"/>
          <w:cols w:num="2" w:equalWidth="0">
            <w:col w:w="7813" w:space="287"/>
            <w:col w:w="1190"/>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375"/>
        <w:gridCol w:w="1421"/>
        <w:gridCol w:w="1356"/>
        <w:gridCol w:w="754"/>
        <w:gridCol w:w="1474"/>
        <w:gridCol w:w="576"/>
        <w:gridCol w:w="1448"/>
        <w:gridCol w:w="646"/>
      </w:tblGrid>
      <w:tr>
        <w:trPr>
          <w:trHeight w:val="283"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前十名股东持股情况</w:t>
            </w:r>
          </w:p>
        </w:tc>
      </w:tr>
      <w:tr>
        <w:trPr>
          <w:trHeight w:val="283" w:hRule="exact"/>
        </w:trPr>
        <w:tc>
          <w:tcPr>
            <w:tcW w:w="1375"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73" w:lineRule="exact"/>
              <w:ind w:left="261" w:right="0"/>
              <w:jc w:val="left"/>
              <w:rPr>
                <w:rFonts w:ascii="宋体" w:hAnsi="宋体" w:cs="宋体" w:eastAsia="宋体" w:hint="default"/>
                <w:sz w:val="21"/>
                <w:szCs w:val="21"/>
              </w:rPr>
            </w:pPr>
            <w:r>
              <w:rPr>
                <w:rFonts w:ascii="宋体" w:hAnsi="宋体" w:cs="宋体" w:eastAsia="宋体" w:hint="default"/>
                <w:sz w:val="21"/>
                <w:szCs w:val="21"/>
              </w:rPr>
              <w:t>股东名称</w:t>
            </w:r>
          </w:p>
          <w:p>
            <w:pPr>
              <w:pStyle w:val="TableParagraph"/>
              <w:spacing w:line="273" w:lineRule="exact"/>
              <w:ind w:left="261" w:right="0"/>
              <w:jc w:val="left"/>
              <w:rPr>
                <w:rFonts w:ascii="宋体" w:hAnsi="宋体" w:cs="宋体" w:eastAsia="宋体" w:hint="default"/>
                <w:sz w:val="21"/>
                <w:szCs w:val="21"/>
              </w:rPr>
            </w:pPr>
            <w:r>
              <w:rPr>
                <w:rFonts w:ascii="宋体" w:hAnsi="宋体" w:cs="宋体" w:eastAsia="宋体" w:hint="default"/>
                <w:sz w:val="21"/>
                <w:szCs w:val="21"/>
              </w:rPr>
              <w:t>（全称）</w:t>
            </w:r>
          </w:p>
        </w:tc>
        <w:tc>
          <w:tcPr>
            <w:tcW w:w="14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7"/>
              <w:ind w:left="600" w:right="176" w:hanging="420"/>
              <w:jc w:val="left"/>
              <w:rPr>
                <w:rFonts w:ascii="宋体" w:hAnsi="宋体" w:cs="宋体" w:eastAsia="宋体" w:hint="default"/>
                <w:sz w:val="21"/>
                <w:szCs w:val="21"/>
              </w:rPr>
            </w:pPr>
            <w:r>
              <w:rPr>
                <w:rFonts w:ascii="宋体" w:hAnsi="宋体" w:cs="宋体" w:eastAsia="宋体" w:hint="default"/>
                <w:sz w:val="21"/>
                <w:szCs w:val="21"/>
              </w:rPr>
              <w:t>报告期内增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减</w:t>
            </w:r>
          </w:p>
        </w:tc>
        <w:tc>
          <w:tcPr>
            <w:tcW w:w="135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7"/>
              <w:ind w:left="566" w:right="144" w:hanging="420"/>
              <w:jc w:val="left"/>
              <w:rPr>
                <w:rFonts w:ascii="宋体" w:hAnsi="宋体" w:cs="宋体" w:eastAsia="宋体" w:hint="default"/>
                <w:sz w:val="21"/>
                <w:szCs w:val="21"/>
              </w:rPr>
            </w:pPr>
            <w:r>
              <w:rPr>
                <w:rFonts w:ascii="宋体" w:hAnsi="宋体" w:cs="宋体" w:eastAsia="宋体" w:hint="default"/>
                <w:sz w:val="21"/>
                <w:szCs w:val="21"/>
              </w:rPr>
              <w:t>期末持股数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量</w:t>
            </w:r>
          </w:p>
        </w:tc>
        <w:tc>
          <w:tcPr>
            <w:tcW w:w="75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7"/>
              <w:ind w:left="211" w:right="161"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47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37" w:lineRule="auto"/>
              <w:ind w:left="206" w:right="201"/>
              <w:jc w:val="center"/>
              <w:rPr>
                <w:rFonts w:ascii="宋体" w:hAnsi="宋体" w:cs="宋体" w:eastAsia="宋体" w:hint="default"/>
                <w:sz w:val="21"/>
                <w:szCs w:val="21"/>
              </w:rPr>
            </w:pPr>
            <w:r>
              <w:rPr>
                <w:rFonts w:ascii="宋体" w:hAnsi="宋体" w:cs="宋体" w:eastAsia="宋体" w:hint="default"/>
                <w:sz w:val="21"/>
                <w:szCs w:val="21"/>
              </w:rPr>
              <w:t>持有有限售</w:t>
            </w:r>
            <w:r>
              <w:rPr>
                <w:rFonts w:ascii="宋体" w:hAnsi="宋体" w:cs="宋体" w:eastAsia="宋体" w:hint="default"/>
                <w:w w:val="100"/>
                <w:sz w:val="21"/>
                <w:szCs w:val="21"/>
              </w:rPr>
              <w:t> </w:t>
            </w:r>
            <w:r>
              <w:rPr>
                <w:rFonts w:ascii="宋体" w:hAnsi="宋体" w:cs="宋体" w:eastAsia="宋体" w:hint="default"/>
                <w:sz w:val="21"/>
                <w:szCs w:val="21"/>
              </w:rPr>
              <w:t>条件股份数</w:t>
            </w:r>
            <w:r>
              <w:rPr>
                <w:rFonts w:ascii="宋体" w:hAnsi="宋体" w:cs="宋体" w:eastAsia="宋体" w:hint="default"/>
                <w:w w:val="100"/>
                <w:sz w:val="21"/>
                <w:szCs w:val="21"/>
              </w:rPr>
              <w:t> </w:t>
            </w:r>
            <w:r>
              <w:rPr>
                <w:rFonts w:ascii="宋体" w:hAnsi="宋体" w:cs="宋体" w:eastAsia="宋体" w:hint="default"/>
                <w:sz w:val="21"/>
                <w:szCs w:val="21"/>
              </w:rPr>
              <w:t>量</w:t>
            </w:r>
          </w:p>
        </w:tc>
        <w:tc>
          <w:tcPr>
            <w:tcW w:w="20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71" w:right="0"/>
              <w:jc w:val="left"/>
              <w:rPr>
                <w:rFonts w:ascii="宋体" w:hAnsi="宋体" w:cs="宋体" w:eastAsia="宋体" w:hint="default"/>
                <w:sz w:val="21"/>
                <w:szCs w:val="21"/>
              </w:rPr>
            </w:pPr>
            <w:r>
              <w:rPr>
                <w:rFonts w:ascii="宋体" w:hAnsi="宋体" w:cs="宋体" w:eastAsia="宋体" w:hint="default"/>
                <w:sz w:val="21"/>
                <w:szCs w:val="21"/>
              </w:rPr>
              <w:t>质押或冻结情况</w:t>
            </w:r>
          </w:p>
        </w:tc>
        <w:tc>
          <w:tcPr>
            <w:tcW w:w="64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7"/>
              <w:ind w:left="107" w:right="103"/>
              <w:jc w:val="left"/>
              <w:rPr>
                <w:rFonts w:ascii="宋体" w:hAnsi="宋体" w:cs="宋体" w:eastAsia="宋体" w:hint="default"/>
                <w:sz w:val="21"/>
                <w:szCs w:val="21"/>
              </w:rPr>
            </w:pPr>
            <w:r>
              <w:rPr>
                <w:rFonts w:ascii="宋体" w:hAnsi="宋体" w:cs="宋体" w:eastAsia="宋体" w:hint="default"/>
                <w:sz w:val="21"/>
                <w:szCs w:val="21"/>
              </w:rPr>
              <w:t>股东</w:t>
            </w:r>
            <w:r>
              <w:rPr>
                <w:rFonts w:ascii="宋体" w:hAnsi="宋体" w:cs="宋体" w:eastAsia="宋体" w:hint="default"/>
                <w:spacing w:val="-103"/>
                <w:sz w:val="21"/>
                <w:szCs w:val="21"/>
              </w:rPr>
              <w:t> </w:t>
            </w:r>
            <w:r>
              <w:rPr>
                <w:rFonts w:ascii="宋体" w:hAnsi="宋体" w:cs="宋体" w:eastAsia="宋体" w:hint="default"/>
                <w:sz w:val="21"/>
                <w:szCs w:val="21"/>
              </w:rPr>
              <w:t>性质</w:t>
            </w:r>
          </w:p>
        </w:tc>
      </w:tr>
      <w:tr>
        <w:trPr>
          <w:trHeight w:val="1099" w:hRule="exact"/>
        </w:trPr>
        <w:tc>
          <w:tcPr>
            <w:tcW w:w="1375" w:type="dxa"/>
            <w:vMerge/>
            <w:tcBorders>
              <w:left w:val="single" w:sz="4" w:space="0" w:color="000000"/>
              <w:bottom w:val="single" w:sz="4" w:space="0" w:color="000000"/>
              <w:right w:val="single" w:sz="4" w:space="0" w:color="000000"/>
            </w:tcBorders>
          </w:tcPr>
          <w:p>
            <w:pPr/>
          </w:p>
        </w:tc>
        <w:tc>
          <w:tcPr>
            <w:tcW w:w="1421" w:type="dxa"/>
            <w:vMerge/>
            <w:tcBorders>
              <w:left w:val="single" w:sz="4" w:space="0" w:color="000000"/>
              <w:bottom w:val="single" w:sz="4" w:space="0" w:color="000000"/>
              <w:right w:val="single" w:sz="4" w:space="0" w:color="000000"/>
            </w:tcBorders>
          </w:tcPr>
          <w:p>
            <w:pPr/>
          </w:p>
        </w:tc>
        <w:tc>
          <w:tcPr>
            <w:tcW w:w="1356" w:type="dxa"/>
            <w:vMerge/>
            <w:tcBorders>
              <w:left w:val="single" w:sz="4" w:space="0" w:color="000000"/>
              <w:bottom w:val="single" w:sz="4" w:space="0" w:color="000000"/>
              <w:right w:val="single" w:sz="4" w:space="0" w:color="000000"/>
            </w:tcBorders>
          </w:tcPr>
          <w:p>
            <w:pPr/>
          </w:p>
        </w:tc>
        <w:tc>
          <w:tcPr>
            <w:tcW w:w="754" w:type="dxa"/>
            <w:vMerge/>
            <w:tcBorders>
              <w:left w:val="single" w:sz="4" w:space="0" w:color="000000"/>
              <w:bottom w:val="single" w:sz="4" w:space="0" w:color="000000"/>
              <w:right w:val="single" w:sz="4" w:space="0" w:color="000000"/>
            </w:tcBorders>
          </w:tcPr>
          <w:p>
            <w:pPr/>
          </w:p>
        </w:tc>
        <w:tc>
          <w:tcPr>
            <w:tcW w:w="1474" w:type="dxa"/>
            <w:vMerge/>
            <w:tcBorders>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7" w:right="0"/>
              <w:jc w:val="both"/>
              <w:rPr>
                <w:rFonts w:ascii="宋体" w:hAnsi="宋体" w:cs="宋体" w:eastAsia="宋体" w:hint="default"/>
                <w:sz w:val="21"/>
                <w:szCs w:val="21"/>
              </w:rPr>
            </w:pPr>
            <w:r>
              <w:rPr>
                <w:rFonts w:ascii="宋体" w:hAnsi="宋体" w:cs="宋体" w:eastAsia="宋体" w:hint="default"/>
                <w:w w:val="100"/>
                <w:sz w:val="21"/>
                <w:szCs w:val="21"/>
              </w:rPr>
              <w:t>股</w:t>
            </w:r>
          </w:p>
          <w:p>
            <w:pPr>
              <w:pStyle w:val="TableParagraph"/>
              <w:spacing w:line="237" w:lineRule="auto"/>
              <w:ind w:left="177" w:right="175"/>
              <w:jc w:val="both"/>
              <w:rPr>
                <w:rFonts w:ascii="宋体" w:hAnsi="宋体" w:cs="宋体" w:eastAsia="宋体" w:hint="default"/>
                <w:sz w:val="21"/>
                <w:szCs w:val="21"/>
              </w:rPr>
            </w:pPr>
            <w:r>
              <w:rPr>
                <w:rFonts w:ascii="宋体" w:hAnsi="宋体" w:cs="宋体" w:eastAsia="宋体" w:hint="default"/>
                <w:sz w:val="21"/>
                <w:szCs w:val="21"/>
              </w:rPr>
              <w:t>份</w:t>
            </w:r>
            <w:r>
              <w:rPr>
                <w:rFonts w:ascii="宋体" w:hAnsi="宋体" w:cs="宋体" w:eastAsia="宋体" w:hint="default"/>
                <w:w w:val="100"/>
                <w:sz w:val="21"/>
                <w:szCs w:val="21"/>
              </w:rPr>
              <w:t> </w:t>
            </w:r>
            <w:r>
              <w:rPr>
                <w:rFonts w:ascii="宋体" w:hAnsi="宋体" w:cs="宋体" w:eastAsia="宋体" w:hint="default"/>
                <w:sz w:val="21"/>
                <w:szCs w:val="21"/>
              </w:rPr>
              <w:t>状</w:t>
            </w:r>
            <w:r>
              <w:rPr>
                <w:rFonts w:ascii="宋体" w:hAnsi="宋体" w:cs="宋体" w:eastAsia="宋体" w:hint="default"/>
                <w:w w:val="100"/>
                <w:sz w:val="21"/>
                <w:szCs w:val="21"/>
              </w:rPr>
              <w:t> </w:t>
            </w:r>
            <w:r>
              <w:rPr>
                <w:rFonts w:ascii="宋体" w:hAnsi="宋体" w:cs="宋体" w:eastAsia="宋体" w:hint="default"/>
                <w:sz w:val="21"/>
                <w:szCs w:val="21"/>
              </w:rPr>
              <w:t>态</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646" w:type="dxa"/>
            <w:vMerge/>
            <w:tcBorders>
              <w:left w:val="single" w:sz="4" w:space="0" w:color="000000"/>
              <w:bottom w:val="single" w:sz="4" w:space="0" w:color="000000"/>
              <w:right w:val="single" w:sz="4" w:space="0" w:color="000000"/>
            </w:tcBorders>
          </w:tcPr>
          <w:p>
            <w:pPr/>
          </w:p>
        </w:tc>
      </w:tr>
      <w:tr>
        <w:trPr>
          <w:trHeight w:val="826" w:hRule="exact"/>
        </w:trPr>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郭东泽</w:t>
            </w:r>
          </w:p>
        </w:tc>
        <w:tc>
          <w:tcPr>
            <w:tcW w:w="1421"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3"/>
              <w:jc w:val="right"/>
              <w:rPr>
                <w:rFonts w:ascii="宋体" w:hAnsi="宋体" w:cs="宋体" w:eastAsia="宋体" w:hint="default"/>
                <w:sz w:val="20"/>
                <w:szCs w:val="20"/>
              </w:rPr>
            </w:pPr>
            <w:r>
              <w:rPr>
                <w:rFonts w:ascii="宋体"/>
                <w:w w:val="95"/>
                <w:sz w:val="20"/>
              </w:rPr>
              <w:t>373,798,524</w:t>
            </w:r>
            <w:r>
              <w:rPr>
                <w:rFonts w:ascii="宋体"/>
                <w:sz w:val="20"/>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3"/>
              <w:jc w:val="right"/>
              <w:rPr>
                <w:rFonts w:ascii="宋体" w:hAnsi="宋体" w:cs="宋体" w:eastAsia="宋体" w:hint="default"/>
                <w:sz w:val="20"/>
                <w:szCs w:val="20"/>
              </w:rPr>
            </w:pPr>
            <w:r>
              <w:rPr>
                <w:rFonts w:ascii="宋体"/>
                <w:w w:val="95"/>
                <w:sz w:val="20"/>
              </w:rPr>
              <w:t>35.19</w:t>
            </w:r>
            <w:r>
              <w:rPr>
                <w:rFonts w:ascii="宋体"/>
                <w:sz w:val="20"/>
              </w:rPr>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373,798,524</w:t>
            </w:r>
            <w:r>
              <w:rPr>
                <w:rFonts w:ascii="宋体"/>
                <w:sz w:val="20"/>
              </w:rPr>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77" w:right="175"/>
              <w:jc w:val="left"/>
              <w:rPr>
                <w:rFonts w:ascii="宋体" w:hAnsi="宋体" w:cs="宋体" w:eastAsia="宋体" w:hint="default"/>
                <w:sz w:val="21"/>
                <w:szCs w:val="21"/>
              </w:rPr>
            </w:pPr>
            <w:r>
              <w:rPr>
                <w:rFonts w:ascii="宋体" w:hAnsi="宋体" w:cs="宋体" w:eastAsia="宋体" w:hint="default"/>
                <w:sz w:val="21"/>
                <w:szCs w:val="21"/>
              </w:rPr>
              <w:t>质</w:t>
            </w:r>
            <w:r>
              <w:rPr>
                <w:rFonts w:ascii="宋体" w:hAnsi="宋体" w:cs="宋体" w:eastAsia="宋体" w:hint="default"/>
                <w:w w:val="100"/>
                <w:sz w:val="21"/>
                <w:szCs w:val="21"/>
              </w:rPr>
              <w:t> </w:t>
            </w:r>
            <w:r>
              <w:rPr>
                <w:rFonts w:ascii="宋体" w:hAnsi="宋体" w:cs="宋体" w:eastAsia="宋体" w:hint="default"/>
                <w:sz w:val="21"/>
                <w:szCs w:val="21"/>
              </w:rPr>
              <w:t>押</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352,130,000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w:t>
            </w:r>
          </w:p>
          <w:p>
            <w:pPr>
              <w:pStyle w:val="TableParagraph"/>
              <w:spacing w:line="240" w:lineRule="auto"/>
              <w:ind w:left="103" w:right="108"/>
              <w:jc w:val="left"/>
              <w:rPr>
                <w:rFonts w:ascii="宋体" w:hAnsi="宋体" w:cs="宋体" w:eastAsia="宋体" w:hint="default"/>
                <w:sz w:val="21"/>
                <w:szCs w:val="21"/>
              </w:rPr>
            </w:pPr>
            <w:r>
              <w:rPr>
                <w:rFonts w:ascii="宋体" w:hAnsi="宋体" w:cs="宋体" w:eastAsia="宋体" w:hint="default"/>
                <w:sz w:val="21"/>
                <w:szCs w:val="21"/>
              </w:rPr>
              <w:t>自然</w:t>
            </w:r>
            <w:r>
              <w:rPr>
                <w:rFonts w:ascii="宋体" w:hAnsi="宋体" w:cs="宋体" w:eastAsia="宋体" w:hint="default"/>
                <w:spacing w:val="-103"/>
                <w:sz w:val="21"/>
                <w:szCs w:val="21"/>
              </w:rPr>
              <w:t> </w:t>
            </w:r>
            <w:r>
              <w:rPr>
                <w:rFonts w:ascii="宋体" w:hAnsi="宋体" w:cs="宋体" w:eastAsia="宋体" w:hint="default"/>
                <w:sz w:val="21"/>
                <w:szCs w:val="21"/>
              </w:rPr>
              <w:t>人</w:t>
            </w:r>
          </w:p>
        </w:tc>
      </w:tr>
      <w:tr>
        <w:trPr>
          <w:trHeight w:val="828" w:hRule="exact"/>
        </w:trPr>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郭东圣</w:t>
            </w:r>
          </w:p>
        </w:tc>
        <w:tc>
          <w:tcPr>
            <w:tcW w:w="1421"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3"/>
              <w:jc w:val="right"/>
              <w:rPr>
                <w:rFonts w:ascii="宋体" w:hAnsi="宋体" w:cs="宋体" w:eastAsia="宋体" w:hint="default"/>
                <w:sz w:val="20"/>
                <w:szCs w:val="20"/>
              </w:rPr>
            </w:pPr>
            <w:r>
              <w:rPr>
                <w:rFonts w:ascii="宋体"/>
                <w:w w:val="95"/>
                <w:sz w:val="20"/>
              </w:rPr>
              <w:t>197,158,965</w:t>
            </w:r>
            <w:r>
              <w:rPr>
                <w:rFonts w:ascii="宋体"/>
                <w:sz w:val="20"/>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3"/>
              <w:jc w:val="right"/>
              <w:rPr>
                <w:rFonts w:ascii="宋体" w:hAnsi="宋体" w:cs="宋体" w:eastAsia="宋体" w:hint="default"/>
                <w:sz w:val="20"/>
                <w:szCs w:val="20"/>
              </w:rPr>
            </w:pPr>
            <w:r>
              <w:rPr>
                <w:rFonts w:ascii="宋体"/>
                <w:w w:val="95"/>
                <w:sz w:val="20"/>
              </w:rPr>
              <w:t>18.56</w:t>
            </w:r>
            <w:r>
              <w:rPr>
                <w:rFonts w:ascii="宋体"/>
                <w:sz w:val="20"/>
              </w:rPr>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20"/>
                <w:szCs w:val="20"/>
              </w:rPr>
            </w:pPr>
            <w:r>
              <w:rPr>
                <w:rFonts w:ascii="宋体"/>
                <w:w w:val="95"/>
                <w:sz w:val="20"/>
              </w:rPr>
              <w:t>197,158,965</w:t>
            </w:r>
            <w:r>
              <w:rPr>
                <w:rFonts w:ascii="宋体"/>
                <w:sz w:val="20"/>
              </w:rPr>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7" w:right="175"/>
              <w:jc w:val="left"/>
              <w:rPr>
                <w:rFonts w:ascii="宋体" w:hAnsi="宋体" w:cs="宋体" w:eastAsia="宋体" w:hint="default"/>
                <w:sz w:val="21"/>
                <w:szCs w:val="21"/>
              </w:rPr>
            </w:pPr>
            <w:r>
              <w:rPr>
                <w:rFonts w:ascii="宋体" w:hAnsi="宋体" w:cs="宋体" w:eastAsia="宋体" w:hint="default"/>
                <w:sz w:val="21"/>
                <w:szCs w:val="21"/>
              </w:rPr>
              <w:t>质</w:t>
            </w:r>
            <w:r>
              <w:rPr>
                <w:rFonts w:ascii="宋体" w:hAnsi="宋体" w:cs="宋体" w:eastAsia="宋体" w:hint="default"/>
                <w:w w:val="100"/>
                <w:sz w:val="21"/>
                <w:szCs w:val="21"/>
              </w:rPr>
              <w:t> </w:t>
            </w:r>
            <w:r>
              <w:rPr>
                <w:rFonts w:ascii="宋体" w:hAnsi="宋体" w:cs="宋体" w:eastAsia="宋体" w:hint="default"/>
                <w:sz w:val="21"/>
                <w:szCs w:val="21"/>
              </w:rPr>
              <w:t>押</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9"/>
              <w:jc w:val="right"/>
              <w:rPr>
                <w:rFonts w:ascii="宋体" w:hAnsi="宋体" w:cs="宋体" w:eastAsia="宋体" w:hint="default"/>
                <w:sz w:val="22"/>
                <w:szCs w:val="22"/>
              </w:rPr>
            </w:pPr>
            <w:r>
              <w:rPr>
                <w:rFonts w:ascii="宋体"/>
                <w:spacing w:val="-1"/>
                <w:sz w:val="22"/>
              </w:rPr>
              <w:t>159,890,000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w:t>
            </w:r>
          </w:p>
          <w:p>
            <w:pPr>
              <w:pStyle w:val="TableParagraph"/>
              <w:spacing w:line="272" w:lineRule="exact" w:before="26"/>
              <w:ind w:left="103" w:right="108"/>
              <w:jc w:val="left"/>
              <w:rPr>
                <w:rFonts w:ascii="宋体" w:hAnsi="宋体" w:cs="宋体" w:eastAsia="宋体" w:hint="default"/>
                <w:sz w:val="21"/>
                <w:szCs w:val="21"/>
              </w:rPr>
            </w:pPr>
            <w:r>
              <w:rPr>
                <w:rFonts w:ascii="宋体" w:hAnsi="宋体" w:cs="宋体" w:eastAsia="宋体" w:hint="default"/>
                <w:sz w:val="21"/>
                <w:szCs w:val="21"/>
              </w:rPr>
              <w:t>自然</w:t>
            </w:r>
            <w:r>
              <w:rPr>
                <w:rFonts w:ascii="宋体" w:hAnsi="宋体" w:cs="宋体" w:eastAsia="宋体" w:hint="default"/>
                <w:spacing w:val="-103"/>
                <w:sz w:val="21"/>
                <w:szCs w:val="21"/>
              </w:rPr>
              <w:t> </w:t>
            </w:r>
            <w:r>
              <w:rPr>
                <w:rFonts w:ascii="宋体" w:hAnsi="宋体" w:cs="宋体" w:eastAsia="宋体" w:hint="default"/>
                <w:sz w:val="21"/>
                <w:szCs w:val="21"/>
              </w:rPr>
              <w:t>人</w:t>
            </w:r>
          </w:p>
        </w:tc>
      </w:tr>
      <w:tr>
        <w:trPr>
          <w:trHeight w:val="1099" w:hRule="exact"/>
        </w:trPr>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北京宏图昌</w:t>
            </w:r>
          </w:p>
          <w:p>
            <w:pPr>
              <w:pStyle w:val="TableParagraph"/>
              <w:spacing w:line="237" w:lineRule="auto" w:before="2"/>
              <w:ind w:left="103" w:right="98"/>
              <w:jc w:val="left"/>
              <w:rPr>
                <w:rFonts w:ascii="宋体" w:hAnsi="宋体" w:cs="宋体" w:eastAsia="宋体" w:hint="default"/>
                <w:sz w:val="21"/>
                <w:szCs w:val="21"/>
              </w:rPr>
            </w:pPr>
            <w:r>
              <w:rPr>
                <w:rFonts w:ascii="宋体" w:hAnsi="宋体" w:cs="宋体" w:eastAsia="宋体" w:hint="default"/>
                <w:sz w:val="21"/>
                <w:szCs w:val="21"/>
              </w:rPr>
              <w:t>历投资基金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8"/>
                <w:w w:val="100"/>
                <w:sz w:val="21"/>
                <w:szCs w:val="21"/>
              </w:rPr>
              <w:t>管理中心（有</w:t>
            </w:r>
            <w:r>
              <w:rPr>
                <w:rFonts w:ascii="宋体" w:hAnsi="宋体" w:cs="宋体" w:eastAsia="宋体" w:hint="default"/>
                <w:w w:val="100"/>
                <w:sz w:val="21"/>
                <w:szCs w:val="21"/>
              </w:rPr>
              <w:t> </w:t>
            </w:r>
            <w:r>
              <w:rPr>
                <w:rFonts w:ascii="宋体" w:hAnsi="宋体" w:cs="宋体" w:eastAsia="宋体" w:hint="default"/>
                <w:sz w:val="21"/>
                <w:szCs w:val="21"/>
              </w:rPr>
              <w:t>限合伙）</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59,220,706</w:t>
            </w:r>
            <w:r>
              <w:rPr>
                <w:rFonts w:ascii="宋体"/>
                <w:sz w:val="20"/>
              </w:rPr>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3"/>
              <w:jc w:val="right"/>
              <w:rPr>
                <w:rFonts w:ascii="宋体" w:hAnsi="宋体" w:cs="宋体" w:eastAsia="宋体" w:hint="default"/>
                <w:sz w:val="20"/>
                <w:szCs w:val="20"/>
              </w:rPr>
            </w:pPr>
            <w:r>
              <w:rPr>
                <w:rFonts w:ascii="宋体"/>
                <w:w w:val="95"/>
                <w:sz w:val="20"/>
              </w:rPr>
              <w:t>59,220,706</w:t>
            </w:r>
            <w:r>
              <w:rPr>
                <w:rFonts w:ascii="宋体"/>
                <w:sz w:val="20"/>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z w:val="20"/>
              </w:rPr>
              <w:t>5.58</w:t>
            </w:r>
          </w:p>
        </w:tc>
        <w:tc>
          <w:tcPr>
            <w:tcW w:w="1474"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448"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境内</w:t>
            </w:r>
          </w:p>
          <w:p>
            <w:pPr>
              <w:pStyle w:val="TableParagraph"/>
              <w:spacing w:line="237" w:lineRule="auto" w:before="2"/>
              <w:ind w:left="103" w:right="108"/>
              <w:jc w:val="both"/>
              <w:rPr>
                <w:rFonts w:ascii="宋体" w:hAnsi="宋体" w:cs="宋体" w:eastAsia="宋体" w:hint="default"/>
                <w:sz w:val="21"/>
                <w:szCs w:val="21"/>
              </w:rPr>
            </w:pPr>
            <w:r>
              <w:rPr>
                <w:rFonts w:ascii="宋体" w:hAnsi="宋体" w:cs="宋体" w:eastAsia="宋体" w:hint="default"/>
                <w:sz w:val="21"/>
                <w:szCs w:val="21"/>
              </w:rPr>
              <w:t>非国</w:t>
            </w:r>
            <w:r>
              <w:rPr>
                <w:rFonts w:ascii="宋体" w:hAnsi="宋体" w:cs="宋体" w:eastAsia="宋体" w:hint="default"/>
                <w:spacing w:val="-103"/>
                <w:sz w:val="21"/>
                <w:szCs w:val="21"/>
              </w:rPr>
              <w:t> </w:t>
            </w:r>
            <w:r>
              <w:rPr>
                <w:rFonts w:ascii="宋体" w:hAnsi="宋体" w:cs="宋体" w:eastAsia="宋体" w:hint="default"/>
                <w:sz w:val="21"/>
                <w:szCs w:val="21"/>
              </w:rPr>
              <w:t>有法</w:t>
            </w:r>
            <w:r>
              <w:rPr>
                <w:rFonts w:ascii="宋体" w:hAnsi="宋体" w:cs="宋体" w:eastAsia="宋体" w:hint="default"/>
                <w:spacing w:val="-103"/>
                <w:sz w:val="21"/>
                <w:szCs w:val="21"/>
              </w:rPr>
              <w:t> </w:t>
            </w:r>
            <w:r>
              <w:rPr>
                <w:rFonts w:ascii="宋体" w:hAnsi="宋体" w:cs="宋体" w:eastAsia="宋体" w:hint="default"/>
                <w:sz w:val="21"/>
                <w:szCs w:val="21"/>
              </w:rPr>
              <w:t>人</w:t>
            </w:r>
          </w:p>
        </w:tc>
      </w:tr>
      <w:tr>
        <w:trPr>
          <w:trHeight w:val="1645" w:hRule="exact"/>
        </w:trPr>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平安信托有</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限责任公司</w:t>
            </w:r>
          </w:p>
          <w:p>
            <w:pPr>
              <w:pStyle w:val="TableParagraph"/>
              <w:spacing w:line="237" w:lineRule="auto"/>
              <w:ind w:left="103" w:right="103"/>
              <w:jc w:val="left"/>
              <w:rPr>
                <w:rFonts w:ascii="宋体" w:hAnsi="宋体" w:cs="宋体" w:eastAsia="宋体" w:hint="default"/>
                <w:sz w:val="21"/>
                <w:szCs w:val="21"/>
              </w:rPr>
            </w:pPr>
            <w:r>
              <w:rPr>
                <w:rFonts w:ascii="宋体" w:hAnsi="宋体" w:cs="宋体" w:eastAsia="宋体" w:hint="default"/>
                <w:sz w:val="21"/>
                <w:szCs w:val="21"/>
              </w:rPr>
              <w:t>－平安信托</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汇安</w:t>
            </w:r>
            <w:r>
              <w:rPr>
                <w:rFonts w:ascii="宋体" w:hAnsi="宋体" w:cs="宋体" w:eastAsia="宋体" w:hint="default"/>
                <w:spacing w:val="-53"/>
                <w:sz w:val="21"/>
                <w:szCs w:val="21"/>
              </w:rPr>
              <w:t> </w:t>
            </w:r>
            <w:r>
              <w:rPr>
                <w:rFonts w:ascii="宋体" w:hAnsi="宋体" w:cs="宋体" w:eastAsia="宋体" w:hint="default"/>
                <w:sz w:val="21"/>
                <w:szCs w:val="21"/>
              </w:rPr>
              <w:t>990</w:t>
            </w:r>
            <w:r>
              <w:rPr>
                <w:rFonts w:ascii="宋体" w:hAnsi="宋体" w:cs="宋体" w:eastAsia="宋体" w:hint="default"/>
                <w:spacing w:val="-53"/>
                <w:sz w:val="21"/>
                <w:szCs w:val="21"/>
              </w:rPr>
              <w:t> </w:t>
            </w:r>
            <w:r>
              <w:rPr>
                <w:rFonts w:ascii="宋体" w:hAnsi="宋体" w:cs="宋体" w:eastAsia="宋体" w:hint="default"/>
                <w:sz w:val="21"/>
                <w:szCs w:val="21"/>
              </w:rPr>
              <w:t>号</w:t>
            </w:r>
            <w:r>
              <w:rPr>
                <w:rFonts w:ascii="宋体" w:hAnsi="宋体" w:cs="宋体" w:eastAsia="宋体" w:hint="default"/>
                <w:w w:val="100"/>
                <w:sz w:val="21"/>
                <w:szCs w:val="21"/>
              </w:rPr>
              <w:t> </w:t>
            </w:r>
            <w:r>
              <w:rPr>
                <w:rFonts w:ascii="宋体" w:hAnsi="宋体" w:cs="宋体" w:eastAsia="宋体" w:hint="default"/>
                <w:sz w:val="21"/>
                <w:szCs w:val="21"/>
              </w:rPr>
              <w:t>集合资金信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托</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55,000,000</w:t>
            </w:r>
            <w:r>
              <w:rPr>
                <w:rFonts w:ascii="宋体"/>
                <w:sz w:val="20"/>
              </w:rPr>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3"/>
              <w:jc w:val="right"/>
              <w:rPr>
                <w:rFonts w:ascii="宋体" w:hAnsi="宋体" w:cs="宋体" w:eastAsia="宋体" w:hint="default"/>
                <w:sz w:val="20"/>
                <w:szCs w:val="20"/>
              </w:rPr>
            </w:pPr>
            <w:r>
              <w:rPr>
                <w:rFonts w:ascii="宋体"/>
                <w:w w:val="95"/>
                <w:sz w:val="20"/>
              </w:rPr>
              <w:t>55,000,000</w:t>
            </w:r>
            <w:r>
              <w:rPr>
                <w:rFonts w:ascii="宋体"/>
                <w:sz w:val="20"/>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z w:val="20"/>
              </w:rPr>
              <w:t>5.18</w:t>
            </w:r>
          </w:p>
        </w:tc>
        <w:tc>
          <w:tcPr>
            <w:tcW w:w="1474"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448"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境内</w:t>
            </w:r>
          </w:p>
          <w:p>
            <w:pPr>
              <w:pStyle w:val="TableParagraph"/>
              <w:spacing w:line="237" w:lineRule="auto" w:before="2"/>
              <w:ind w:left="103" w:right="108"/>
              <w:jc w:val="both"/>
              <w:rPr>
                <w:rFonts w:ascii="宋体" w:hAnsi="宋体" w:cs="宋体" w:eastAsia="宋体" w:hint="default"/>
                <w:sz w:val="21"/>
                <w:szCs w:val="21"/>
              </w:rPr>
            </w:pPr>
            <w:r>
              <w:rPr>
                <w:rFonts w:ascii="宋体" w:hAnsi="宋体" w:cs="宋体" w:eastAsia="宋体" w:hint="default"/>
                <w:sz w:val="21"/>
                <w:szCs w:val="21"/>
              </w:rPr>
              <w:t>非国</w:t>
            </w:r>
            <w:r>
              <w:rPr>
                <w:rFonts w:ascii="宋体" w:hAnsi="宋体" w:cs="宋体" w:eastAsia="宋体" w:hint="default"/>
                <w:spacing w:val="-103"/>
                <w:sz w:val="21"/>
                <w:szCs w:val="21"/>
              </w:rPr>
              <w:t> </w:t>
            </w:r>
            <w:r>
              <w:rPr>
                <w:rFonts w:ascii="宋体" w:hAnsi="宋体" w:cs="宋体" w:eastAsia="宋体" w:hint="default"/>
                <w:sz w:val="21"/>
                <w:szCs w:val="21"/>
              </w:rPr>
              <w:t>有法</w:t>
            </w:r>
            <w:r>
              <w:rPr>
                <w:rFonts w:ascii="宋体" w:hAnsi="宋体" w:cs="宋体" w:eastAsia="宋体" w:hint="default"/>
                <w:spacing w:val="-103"/>
                <w:sz w:val="21"/>
                <w:szCs w:val="21"/>
              </w:rPr>
              <w:t> </w:t>
            </w:r>
            <w:r>
              <w:rPr>
                <w:rFonts w:ascii="宋体" w:hAnsi="宋体" w:cs="宋体" w:eastAsia="宋体" w:hint="default"/>
                <w:sz w:val="21"/>
                <w:szCs w:val="21"/>
              </w:rPr>
              <w:t>人</w:t>
            </w:r>
          </w:p>
        </w:tc>
      </w:tr>
      <w:tr>
        <w:trPr>
          <w:trHeight w:val="828" w:hRule="exact"/>
        </w:trPr>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王强</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-34,275,643</w:t>
            </w:r>
            <w:r>
              <w:rPr>
                <w:rFonts w:ascii="宋体"/>
                <w:sz w:val="20"/>
              </w:rPr>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3"/>
              <w:jc w:val="right"/>
              <w:rPr>
                <w:rFonts w:ascii="宋体" w:hAnsi="宋体" w:cs="宋体" w:eastAsia="宋体" w:hint="default"/>
                <w:sz w:val="20"/>
                <w:szCs w:val="20"/>
              </w:rPr>
            </w:pPr>
            <w:r>
              <w:rPr>
                <w:rFonts w:ascii="宋体"/>
                <w:w w:val="95"/>
                <w:sz w:val="20"/>
              </w:rPr>
              <w:t>34,809,496</w:t>
            </w:r>
            <w:r>
              <w:rPr>
                <w:rFonts w:ascii="宋体"/>
                <w:sz w:val="20"/>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z w:val="20"/>
              </w:rPr>
              <w:t>3.28</w:t>
            </w:r>
          </w:p>
        </w:tc>
        <w:tc>
          <w:tcPr>
            <w:tcW w:w="1474"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77" w:right="175"/>
              <w:jc w:val="left"/>
              <w:rPr>
                <w:rFonts w:ascii="宋体" w:hAnsi="宋体" w:cs="宋体" w:eastAsia="宋体" w:hint="default"/>
                <w:sz w:val="21"/>
                <w:szCs w:val="21"/>
              </w:rPr>
            </w:pPr>
            <w:r>
              <w:rPr>
                <w:rFonts w:ascii="宋体" w:hAnsi="宋体" w:cs="宋体" w:eastAsia="宋体" w:hint="default"/>
                <w:sz w:val="21"/>
                <w:szCs w:val="21"/>
              </w:rPr>
              <w:t>质</w:t>
            </w:r>
            <w:r>
              <w:rPr>
                <w:rFonts w:ascii="宋体" w:hAnsi="宋体" w:cs="宋体" w:eastAsia="宋体" w:hint="default"/>
                <w:w w:val="100"/>
                <w:sz w:val="21"/>
                <w:szCs w:val="21"/>
              </w:rPr>
              <w:t> </w:t>
            </w:r>
            <w:r>
              <w:rPr>
                <w:rFonts w:ascii="宋体" w:hAnsi="宋体" w:cs="宋体" w:eastAsia="宋体" w:hint="default"/>
                <w:sz w:val="21"/>
                <w:szCs w:val="21"/>
              </w:rPr>
              <w:t>押</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22,667,250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w:t>
            </w:r>
          </w:p>
          <w:p>
            <w:pPr>
              <w:pStyle w:val="TableParagraph"/>
              <w:spacing w:line="272" w:lineRule="exact" w:before="27"/>
              <w:ind w:left="103" w:right="108"/>
              <w:jc w:val="left"/>
              <w:rPr>
                <w:rFonts w:ascii="宋体" w:hAnsi="宋体" w:cs="宋体" w:eastAsia="宋体" w:hint="default"/>
                <w:sz w:val="21"/>
                <w:szCs w:val="21"/>
              </w:rPr>
            </w:pPr>
            <w:r>
              <w:rPr>
                <w:rFonts w:ascii="宋体" w:hAnsi="宋体" w:cs="宋体" w:eastAsia="宋体" w:hint="default"/>
                <w:sz w:val="21"/>
                <w:szCs w:val="21"/>
              </w:rPr>
              <w:t>自然</w:t>
            </w:r>
            <w:r>
              <w:rPr>
                <w:rFonts w:ascii="宋体" w:hAnsi="宋体" w:cs="宋体" w:eastAsia="宋体" w:hint="default"/>
                <w:spacing w:val="-103"/>
                <w:sz w:val="21"/>
                <w:szCs w:val="21"/>
              </w:rPr>
              <w:t> </w:t>
            </w:r>
            <w:r>
              <w:rPr>
                <w:rFonts w:ascii="宋体" w:hAnsi="宋体" w:cs="宋体" w:eastAsia="宋体" w:hint="default"/>
                <w:sz w:val="21"/>
                <w:szCs w:val="21"/>
              </w:rPr>
              <w:t>人</w:t>
            </w:r>
          </w:p>
        </w:tc>
      </w:tr>
      <w:tr>
        <w:trPr>
          <w:trHeight w:val="826" w:hRule="exact"/>
        </w:trPr>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黑龙江黑化</w:t>
            </w:r>
          </w:p>
          <w:p>
            <w:pPr>
              <w:pStyle w:val="TableParagraph"/>
              <w:spacing w:line="240" w:lineRule="auto"/>
              <w:ind w:left="103" w:right="206"/>
              <w:jc w:val="left"/>
              <w:rPr>
                <w:rFonts w:ascii="宋体" w:hAnsi="宋体" w:cs="宋体" w:eastAsia="宋体" w:hint="default"/>
                <w:sz w:val="21"/>
                <w:szCs w:val="21"/>
              </w:rPr>
            </w:pPr>
            <w:r>
              <w:rPr>
                <w:rFonts w:ascii="宋体" w:hAnsi="宋体" w:cs="宋体" w:eastAsia="宋体" w:hint="default"/>
                <w:sz w:val="21"/>
                <w:szCs w:val="21"/>
              </w:rPr>
              <w:t>集团有限公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-146,300,000</w:t>
            </w:r>
            <w:r>
              <w:rPr>
                <w:rFonts w:ascii="宋体"/>
                <w:sz w:val="20"/>
              </w:rPr>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3"/>
              <w:jc w:val="right"/>
              <w:rPr>
                <w:rFonts w:ascii="宋体" w:hAnsi="宋体" w:cs="宋体" w:eastAsia="宋体" w:hint="default"/>
                <w:sz w:val="20"/>
                <w:szCs w:val="20"/>
              </w:rPr>
            </w:pPr>
            <w:r>
              <w:rPr>
                <w:rFonts w:ascii="宋体"/>
                <w:w w:val="95"/>
                <w:sz w:val="20"/>
              </w:rPr>
              <w:t>28,991,133</w:t>
            </w:r>
            <w:r>
              <w:rPr>
                <w:rFonts w:ascii="宋体"/>
                <w:sz w:val="20"/>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z w:val="20"/>
              </w:rPr>
              <w:t>2.73</w:t>
            </w:r>
          </w:p>
        </w:tc>
        <w:tc>
          <w:tcPr>
            <w:tcW w:w="1474"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77" w:right="175"/>
              <w:jc w:val="left"/>
              <w:rPr>
                <w:rFonts w:ascii="宋体" w:hAnsi="宋体" w:cs="宋体" w:eastAsia="宋体" w:hint="default"/>
                <w:sz w:val="21"/>
                <w:szCs w:val="21"/>
              </w:rPr>
            </w:pPr>
            <w:r>
              <w:rPr>
                <w:rFonts w:ascii="宋体" w:hAnsi="宋体" w:cs="宋体" w:eastAsia="宋体" w:hint="default"/>
                <w:sz w:val="21"/>
                <w:szCs w:val="21"/>
              </w:rPr>
              <w:t>冻</w:t>
            </w:r>
            <w:r>
              <w:rPr>
                <w:rFonts w:ascii="宋体" w:hAnsi="宋体" w:cs="宋体" w:eastAsia="宋体" w:hint="default"/>
                <w:w w:val="100"/>
                <w:sz w:val="21"/>
                <w:szCs w:val="21"/>
              </w:rPr>
              <w:t> </w:t>
            </w:r>
            <w:r>
              <w:rPr>
                <w:rFonts w:ascii="宋体" w:hAnsi="宋体" w:cs="宋体" w:eastAsia="宋体" w:hint="default"/>
                <w:sz w:val="21"/>
                <w:szCs w:val="21"/>
              </w:rPr>
              <w:t>结</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28,990,000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国有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法人</w:t>
            </w:r>
          </w:p>
        </w:tc>
      </w:tr>
      <w:tr>
        <w:trPr>
          <w:trHeight w:val="1373" w:hRule="exact"/>
        </w:trPr>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宁波梅山保</w:t>
            </w:r>
          </w:p>
          <w:p>
            <w:pPr>
              <w:pStyle w:val="TableParagraph"/>
              <w:spacing w:line="237" w:lineRule="auto" w:before="2"/>
              <w:ind w:left="103" w:right="98"/>
              <w:jc w:val="left"/>
              <w:rPr>
                <w:rFonts w:ascii="宋体" w:hAnsi="宋体" w:cs="宋体" w:eastAsia="宋体" w:hint="default"/>
                <w:sz w:val="21"/>
                <w:szCs w:val="21"/>
              </w:rPr>
            </w:pPr>
            <w:r>
              <w:rPr>
                <w:rFonts w:ascii="宋体" w:hAnsi="宋体" w:cs="宋体" w:eastAsia="宋体" w:hint="default"/>
                <w:sz w:val="21"/>
                <w:szCs w:val="21"/>
              </w:rPr>
              <w:t>税港区航懿</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投资咨询合</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8"/>
                <w:w w:val="100"/>
                <w:sz w:val="21"/>
                <w:szCs w:val="21"/>
              </w:rPr>
              <w:t>伙企业（有限</w:t>
            </w:r>
            <w:r>
              <w:rPr>
                <w:rFonts w:ascii="宋体" w:hAnsi="宋体" w:cs="宋体" w:eastAsia="宋体" w:hint="default"/>
                <w:w w:val="100"/>
                <w:sz w:val="21"/>
                <w:szCs w:val="21"/>
              </w:rPr>
              <w:t> </w:t>
            </w:r>
            <w:r>
              <w:rPr>
                <w:rFonts w:ascii="宋体" w:hAnsi="宋体" w:cs="宋体" w:eastAsia="宋体" w:hint="default"/>
                <w:sz w:val="21"/>
                <w:szCs w:val="21"/>
              </w:rPr>
              <w:t>合伙）</w:t>
            </w:r>
          </w:p>
        </w:tc>
        <w:tc>
          <w:tcPr>
            <w:tcW w:w="1421"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3"/>
              <w:jc w:val="right"/>
              <w:rPr>
                <w:rFonts w:ascii="宋体" w:hAnsi="宋体" w:cs="宋体" w:eastAsia="宋体" w:hint="default"/>
                <w:sz w:val="20"/>
                <w:szCs w:val="20"/>
              </w:rPr>
            </w:pPr>
            <w:r>
              <w:rPr>
                <w:rFonts w:ascii="宋体"/>
                <w:w w:val="95"/>
                <w:sz w:val="20"/>
              </w:rPr>
              <w:t>26,000,000</w:t>
            </w:r>
            <w:r>
              <w:rPr>
                <w:rFonts w:ascii="宋体"/>
                <w:sz w:val="20"/>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z w:val="20"/>
              </w:rPr>
              <w:t>2.45</w:t>
            </w:r>
          </w:p>
        </w:tc>
        <w:tc>
          <w:tcPr>
            <w:tcW w:w="1474"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448"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境内</w:t>
            </w:r>
          </w:p>
          <w:p>
            <w:pPr>
              <w:pStyle w:val="TableParagraph"/>
              <w:spacing w:line="237" w:lineRule="auto" w:before="2"/>
              <w:ind w:left="103" w:right="108"/>
              <w:jc w:val="both"/>
              <w:rPr>
                <w:rFonts w:ascii="宋体" w:hAnsi="宋体" w:cs="宋体" w:eastAsia="宋体" w:hint="default"/>
                <w:sz w:val="21"/>
                <w:szCs w:val="21"/>
              </w:rPr>
            </w:pPr>
            <w:r>
              <w:rPr>
                <w:rFonts w:ascii="宋体" w:hAnsi="宋体" w:cs="宋体" w:eastAsia="宋体" w:hint="default"/>
                <w:sz w:val="21"/>
                <w:szCs w:val="21"/>
              </w:rPr>
              <w:t>非国</w:t>
            </w:r>
            <w:r>
              <w:rPr>
                <w:rFonts w:ascii="宋体" w:hAnsi="宋体" w:cs="宋体" w:eastAsia="宋体" w:hint="default"/>
                <w:spacing w:val="-103"/>
                <w:sz w:val="21"/>
                <w:szCs w:val="21"/>
              </w:rPr>
              <w:t> </w:t>
            </w:r>
            <w:r>
              <w:rPr>
                <w:rFonts w:ascii="宋体" w:hAnsi="宋体" w:cs="宋体" w:eastAsia="宋体" w:hint="default"/>
                <w:sz w:val="21"/>
                <w:szCs w:val="21"/>
              </w:rPr>
              <w:t>有法</w:t>
            </w:r>
            <w:r>
              <w:rPr>
                <w:rFonts w:ascii="宋体" w:hAnsi="宋体" w:cs="宋体" w:eastAsia="宋体" w:hint="default"/>
                <w:spacing w:val="-103"/>
                <w:sz w:val="21"/>
                <w:szCs w:val="21"/>
              </w:rPr>
              <w:t> </w:t>
            </w:r>
            <w:r>
              <w:rPr>
                <w:rFonts w:ascii="宋体" w:hAnsi="宋体" w:cs="宋体" w:eastAsia="宋体" w:hint="default"/>
                <w:sz w:val="21"/>
                <w:szCs w:val="21"/>
              </w:rPr>
              <w:t>人</w:t>
            </w:r>
          </w:p>
        </w:tc>
      </w:tr>
    </w:tbl>
    <w:p>
      <w:pPr>
        <w:spacing w:after="0" w:line="237" w:lineRule="auto"/>
        <w:jc w:val="both"/>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375"/>
        <w:gridCol w:w="1421"/>
        <w:gridCol w:w="1356"/>
        <w:gridCol w:w="754"/>
        <w:gridCol w:w="1474"/>
        <w:gridCol w:w="576"/>
        <w:gridCol w:w="725"/>
        <w:gridCol w:w="722"/>
        <w:gridCol w:w="646"/>
      </w:tblGrid>
      <w:tr>
        <w:trPr>
          <w:trHeight w:val="2189" w:hRule="exact"/>
        </w:trPr>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z w:val="21"/>
                <w:szCs w:val="21"/>
              </w:rPr>
              <w:t>红塔红土基</w:t>
            </w:r>
          </w:p>
          <w:p>
            <w:pPr>
              <w:pStyle w:val="TableParagraph"/>
              <w:spacing w:line="237" w:lineRule="auto"/>
              <w:ind w:left="103" w:right="158"/>
              <w:jc w:val="both"/>
              <w:rPr>
                <w:rFonts w:ascii="宋体" w:hAnsi="宋体" w:cs="宋体" w:eastAsia="宋体" w:hint="default"/>
                <w:sz w:val="21"/>
                <w:szCs w:val="21"/>
              </w:rPr>
            </w:pPr>
            <w:r>
              <w:rPr>
                <w:rFonts w:ascii="宋体" w:hAnsi="宋体" w:cs="宋体" w:eastAsia="宋体" w:hint="default"/>
                <w:sz w:val="21"/>
                <w:szCs w:val="21"/>
              </w:rPr>
              <w:t>金－中信证</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券－万向信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托－万向信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托－星辰</w:t>
            </w:r>
            <w:r>
              <w:rPr>
                <w:rFonts w:ascii="宋体" w:hAnsi="宋体" w:cs="宋体" w:eastAsia="宋体" w:hint="default"/>
                <w:spacing w:val="-51"/>
                <w:sz w:val="21"/>
                <w:szCs w:val="21"/>
              </w:rPr>
              <w:t> </w:t>
            </w:r>
            <w:r>
              <w:rPr>
                <w:rFonts w:ascii="宋体" w:hAnsi="宋体" w:cs="宋体" w:eastAsia="宋体" w:hint="default"/>
                <w:spacing w:val="-3"/>
                <w:sz w:val="21"/>
                <w:szCs w:val="21"/>
              </w:rPr>
              <w:t>82</w:t>
            </w:r>
            <w:r>
              <w:rPr>
                <w:rFonts w:ascii="宋体" w:hAnsi="宋体" w:cs="宋体" w:eastAsia="宋体" w:hint="default"/>
                <w:spacing w:val="-3"/>
                <w:w w:val="100"/>
                <w:sz w:val="21"/>
                <w:szCs w:val="21"/>
              </w:rPr>
              <w:t> </w:t>
            </w:r>
            <w:r>
              <w:rPr>
                <w:rFonts w:ascii="宋体" w:hAnsi="宋体" w:cs="宋体" w:eastAsia="宋体" w:hint="default"/>
                <w:sz w:val="21"/>
                <w:szCs w:val="21"/>
              </w:rPr>
              <w:t>号事务管理</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类单一资金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信托</w:t>
            </w:r>
          </w:p>
        </w:tc>
        <w:tc>
          <w:tcPr>
            <w:tcW w:w="1421"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3"/>
              <w:jc w:val="right"/>
              <w:rPr>
                <w:rFonts w:ascii="宋体" w:hAnsi="宋体" w:cs="宋体" w:eastAsia="宋体" w:hint="default"/>
                <w:sz w:val="20"/>
                <w:szCs w:val="20"/>
              </w:rPr>
            </w:pPr>
            <w:r>
              <w:rPr>
                <w:rFonts w:ascii="宋体"/>
                <w:w w:val="95"/>
                <w:sz w:val="20"/>
              </w:rPr>
              <w:t>20,414,653</w:t>
            </w:r>
            <w:r>
              <w:rPr>
                <w:rFonts w:ascii="宋体"/>
                <w:sz w:val="20"/>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1"/>
              <w:jc w:val="right"/>
              <w:rPr>
                <w:rFonts w:ascii="宋体" w:hAnsi="宋体" w:cs="宋体" w:eastAsia="宋体" w:hint="default"/>
                <w:sz w:val="20"/>
                <w:szCs w:val="20"/>
              </w:rPr>
            </w:pPr>
            <w:r>
              <w:rPr>
                <w:rFonts w:ascii="宋体"/>
                <w:sz w:val="20"/>
              </w:rPr>
              <w:t>1.92</w:t>
            </w:r>
          </w:p>
        </w:tc>
        <w:tc>
          <w:tcPr>
            <w:tcW w:w="1474"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448" w:type="dxa"/>
            <w:gridSpan w:val="2"/>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z w:val="21"/>
                <w:szCs w:val="21"/>
              </w:rPr>
              <w:t>境内</w:t>
            </w:r>
          </w:p>
          <w:p>
            <w:pPr>
              <w:pStyle w:val="TableParagraph"/>
              <w:spacing w:line="237" w:lineRule="auto"/>
              <w:ind w:left="103" w:right="108"/>
              <w:jc w:val="both"/>
              <w:rPr>
                <w:rFonts w:ascii="宋体" w:hAnsi="宋体" w:cs="宋体" w:eastAsia="宋体" w:hint="default"/>
                <w:sz w:val="21"/>
                <w:szCs w:val="21"/>
              </w:rPr>
            </w:pPr>
            <w:r>
              <w:rPr>
                <w:rFonts w:ascii="宋体" w:hAnsi="宋体" w:cs="宋体" w:eastAsia="宋体" w:hint="default"/>
                <w:sz w:val="21"/>
                <w:szCs w:val="21"/>
              </w:rPr>
              <w:t>非国</w:t>
            </w:r>
            <w:r>
              <w:rPr>
                <w:rFonts w:ascii="宋体" w:hAnsi="宋体" w:cs="宋体" w:eastAsia="宋体" w:hint="default"/>
                <w:spacing w:val="-103"/>
                <w:sz w:val="21"/>
                <w:szCs w:val="21"/>
              </w:rPr>
              <w:t> </w:t>
            </w:r>
            <w:r>
              <w:rPr>
                <w:rFonts w:ascii="宋体" w:hAnsi="宋体" w:cs="宋体" w:eastAsia="宋体" w:hint="default"/>
                <w:sz w:val="21"/>
                <w:szCs w:val="21"/>
              </w:rPr>
              <w:t>有法</w:t>
            </w:r>
            <w:r>
              <w:rPr>
                <w:rFonts w:ascii="宋体" w:hAnsi="宋体" w:cs="宋体" w:eastAsia="宋体" w:hint="default"/>
                <w:spacing w:val="-103"/>
                <w:sz w:val="21"/>
                <w:szCs w:val="21"/>
              </w:rPr>
              <w:t> </w:t>
            </w:r>
            <w:r>
              <w:rPr>
                <w:rFonts w:ascii="宋体" w:hAnsi="宋体" w:cs="宋体" w:eastAsia="宋体" w:hint="default"/>
                <w:sz w:val="21"/>
                <w:szCs w:val="21"/>
              </w:rPr>
              <w:t>人</w:t>
            </w:r>
          </w:p>
        </w:tc>
      </w:tr>
      <w:tr>
        <w:trPr>
          <w:trHeight w:val="1099" w:hRule="exact"/>
        </w:trPr>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中信证券股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份有限公司</w:t>
            </w:r>
          </w:p>
        </w:tc>
        <w:tc>
          <w:tcPr>
            <w:tcW w:w="1421"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3"/>
              <w:jc w:val="right"/>
              <w:rPr>
                <w:rFonts w:ascii="宋体" w:hAnsi="宋体" w:cs="宋体" w:eastAsia="宋体" w:hint="default"/>
                <w:sz w:val="20"/>
                <w:szCs w:val="20"/>
              </w:rPr>
            </w:pPr>
            <w:r>
              <w:rPr>
                <w:rFonts w:ascii="宋体"/>
                <w:w w:val="95"/>
                <w:sz w:val="20"/>
              </w:rPr>
              <w:t>11,534,702</w:t>
            </w:r>
            <w:r>
              <w:rPr>
                <w:rFonts w:ascii="宋体"/>
                <w:sz w:val="20"/>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20"/>
                <w:szCs w:val="20"/>
              </w:rPr>
            </w:pPr>
            <w:r>
              <w:rPr>
                <w:rFonts w:ascii="宋体"/>
                <w:sz w:val="20"/>
              </w:rPr>
              <w:t>1.09</w:t>
            </w:r>
          </w:p>
        </w:tc>
        <w:tc>
          <w:tcPr>
            <w:tcW w:w="1474"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448" w:type="dxa"/>
            <w:gridSpan w:val="2"/>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境内</w:t>
            </w:r>
          </w:p>
          <w:p>
            <w:pPr>
              <w:pStyle w:val="TableParagraph"/>
              <w:spacing w:line="237" w:lineRule="auto"/>
              <w:ind w:left="103" w:right="108"/>
              <w:jc w:val="both"/>
              <w:rPr>
                <w:rFonts w:ascii="宋体" w:hAnsi="宋体" w:cs="宋体" w:eastAsia="宋体" w:hint="default"/>
                <w:sz w:val="21"/>
                <w:szCs w:val="21"/>
              </w:rPr>
            </w:pPr>
            <w:r>
              <w:rPr>
                <w:rFonts w:ascii="宋体" w:hAnsi="宋体" w:cs="宋体" w:eastAsia="宋体" w:hint="default"/>
                <w:sz w:val="21"/>
                <w:szCs w:val="21"/>
              </w:rPr>
              <w:t>非国</w:t>
            </w:r>
            <w:r>
              <w:rPr>
                <w:rFonts w:ascii="宋体" w:hAnsi="宋体" w:cs="宋体" w:eastAsia="宋体" w:hint="default"/>
                <w:spacing w:val="-103"/>
                <w:sz w:val="21"/>
                <w:szCs w:val="21"/>
              </w:rPr>
              <w:t> </w:t>
            </w:r>
            <w:r>
              <w:rPr>
                <w:rFonts w:ascii="宋体" w:hAnsi="宋体" w:cs="宋体" w:eastAsia="宋体" w:hint="default"/>
                <w:sz w:val="21"/>
                <w:szCs w:val="21"/>
              </w:rPr>
              <w:t>有法</w:t>
            </w:r>
            <w:r>
              <w:rPr>
                <w:rFonts w:ascii="宋体" w:hAnsi="宋体" w:cs="宋体" w:eastAsia="宋体" w:hint="default"/>
                <w:spacing w:val="-103"/>
                <w:sz w:val="21"/>
                <w:szCs w:val="21"/>
              </w:rPr>
              <w:t> </w:t>
            </w:r>
            <w:r>
              <w:rPr>
                <w:rFonts w:ascii="宋体" w:hAnsi="宋体" w:cs="宋体" w:eastAsia="宋体" w:hint="default"/>
                <w:sz w:val="21"/>
                <w:szCs w:val="21"/>
              </w:rPr>
              <w:t>人</w:t>
            </w:r>
          </w:p>
        </w:tc>
      </w:tr>
      <w:tr>
        <w:trPr>
          <w:trHeight w:val="829" w:hRule="exact"/>
        </w:trPr>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长城国融投</w:t>
            </w:r>
          </w:p>
          <w:p>
            <w:pPr>
              <w:pStyle w:val="TableParagraph"/>
              <w:spacing w:line="240" w:lineRule="auto"/>
              <w:ind w:left="103" w:right="206"/>
              <w:jc w:val="left"/>
              <w:rPr>
                <w:rFonts w:ascii="宋体" w:hAnsi="宋体" w:cs="宋体" w:eastAsia="宋体" w:hint="default"/>
                <w:sz w:val="21"/>
                <w:szCs w:val="21"/>
              </w:rPr>
            </w:pPr>
            <w:r>
              <w:rPr>
                <w:rFonts w:ascii="宋体" w:hAnsi="宋体" w:cs="宋体" w:eastAsia="宋体" w:hint="default"/>
                <w:sz w:val="21"/>
                <w:szCs w:val="21"/>
              </w:rPr>
              <w:t>资管理有限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421"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3"/>
              <w:jc w:val="right"/>
              <w:rPr>
                <w:rFonts w:ascii="宋体" w:hAnsi="宋体" w:cs="宋体" w:eastAsia="宋体" w:hint="default"/>
                <w:sz w:val="20"/>
                <w:szCs w:val="20"/>
              </w:rPr>
            </w:pPr>
            <w:r>
              <w:rPr>
                <w:rFonts w:ascii="宋体"/>
                <w:w w:val="95"/>
                <w:sz w:val="20"/>
              </w:rPr>
              <w:t>10,000,000</w:t>
            </w:r>
            <w:r>
              <w:rPr>
                <w:rFonts w:ascii="宋体"/>
                <w:sz w:val="20"/>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1"/>
              <w:jc w:val="right"/>
              <w:rPr>
                <w:rFonts w:ascii="宋体" w:hAnsi="宋体" w:cs="宋体" w:eastAsia="宋体" w:hint="default"/>
                <w:sz w:val="20"/>
                <w:szCs w:val="20"/>
              </w:rPr>
            </w:pPr>
            <w:r>
              <w:rPr>
                <w:rFonts w:ascii="宋体"/>
                <w:sz w:val="20"/>
              </w:rPr>
              <w:t>0.94</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360" w:right="0"/>
              <w:jc w:val="left"/>
              <w:rPr>
                <w:rFonts w:ascii="宋体" w:hAnsi="宋体" w:cs="宋体" w:eastAsia="宋体" w:hint="default"/>
                <w:sz w:val="20"/>
                <w:szCs w:val="20"/>
              </w:rPr>
            </w:pPr>
            <w:r>
              <w:rPr>
                <w:rFonts w:ascii="宋体"/>
                <w:sz w:val="20"/>
              </w:rPr>
              <w:t>10,000,000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448" w:type="dxa"/>
            <w:gridSpan w:val="2"/>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国有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法人</w:t>
            </w:r>
          </w:p>
        </w:tc>
      </w:tr>
      <w:tr>
        <w:trPr>
          <w:trHeight w:val="283" w:hRule="exact"/>
        </w:trPr>
        <w:tc>
          <w:tcPr>
            <w:tcW w:w="9050" w:type="dxa"/>
            <w:gridSpan w:val="9"/>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前十名无限售条件股东持股情况</w:t>
            </w:r>
          </w:p>
        </w:tc>
      </w:tr>
      <w:tr>
        <w:trPr>
          <w:trHeight w:val="281" w:hRule="exact"/>
        </w:trPr>
        <w:tc>
          <w:tcPr>
            <w:tcW w:w="2797" w:type="dxa"/>
            <w:gridSpan w:val="2"/>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3584" w:type="dxa"/>
            <w:gridSpan w:val="3"/>
            <w:vMerge w:val="restart"/>
            <w:tcBorders>
              <w:top w:val="single" w:sz="4" w:space="0" w:color="000000"/>
              <w:left w:val="single" w:sz="4" w:space="0" w:color="000000"/>
              <w:right w:val="single" w:sz="4" w:space="0" w:color="000000"/>
            </w:tcBorders>
          </w:tcPr>
          <w:p>
            <w:pPr>
              <w:pStyle w:val="TableParagraph"/>
              <w:spacing w:line="240" w:lineRule="auto" w:before="107"/>
              <w:ind w:left="419" w:right="0"/>
              <w:jc w:val="left"/>
              <w:rPr>
                <w:rFonts w:ascii="宋体" w:hAnsi="宋体" w:cs="宋体" w:eastAsia="宋体" w:hint="default"/>
                <w:sz w:val="21"/>
                <w:szCs w:val="21"/>
              </w:rPr>
            </w:pPr>
            <w:r>
              <w:rPr>
                <w:rFonts w:ascii="宋体" w:hAnsi="宋体" w:cs="宋体" w:eastAsia="宋体" w:hint="default"/>
                <w:sz w:val="21"/>
                <w:szCs w:val="21"/>
              </w:rPr>
              <w:t>持有无限售条件流通股的数量</w:t>
            </w:r>
          </w:p>
        </w:tc>
        <w:tc>
          <w:tcPr>
            <w:tcW w:w="266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92" w:right="0"/>
              <w:jc w:val="left"/>
              <w:rPr>
                <w:rFonts w:ascii="宋体" w:hAnsi="宋体" w:cs="宋体" w:eastAsia="宋体" w:hint="default"/>
                <w:sz w:val="21"/>
                <w:szCs w:val="21"/>
              </w:rPr>
            </w:pPr>
            <w:r>
              <w:rPr>
                <w:rFonts w:ascii="宋体" w:hAnsi="宋体" w:cs="宋体" w:eastAsia="宋体" w:hint="default"/>
                <w:sz w:val="21"/>
                <w:szCs w:val="21"/>
              </w:rPr>
              <w:t>股份种类及数量</w:t>
            </w:r>
          </w:p>
        </w:tc>
      </w:tr>
      <w:tr>
        <w:trPr>
          <w:trHeight w:val="283" w:hRule="exact"/>
        </w:trPr>
        <w:tc>
          <w:tcPr>
            <w:tcW w:w="2797" w:type="dxa"/>
            <w:gridSpan w:val="2"/>
            <w:vMerge/>
            <w:tcBorders>
              <w:left w:val="single" w:sz="4" w:space="0" w:color="000000"/>
              <w:bottom w:val="single" w:sz="4" w:space="0" w:color="000000"/>
              <w:right w:val="single" w:sz="4" w:space="0" w:color="000000"/>
            </w:tcBorders>
          </w:tcPr>
          <w:p>
            <w:pPr/>
          </w:p>
        </w:tc>
        <w:tc>
          <w:tcPr>
            <w:tcW w:w="3584" w:type="dxa"/>
            <w:gridSpan w:val="3"/>
            <w:vMerge/>
            <w:tcBorders>
              <w:left w:val="single" w:sz="4" w:space="0" w:color="000000"/>
              <w:bottom w:val="single" w:sz="4" w:space="0" w:color="000000"/>
              <w:right w:val="single" w:sz="4" w:space="0" w:color="000000"/>
            </w:tcBorders>
          </w:tcPr>
          <w:p>
            <w:pPr/>
          </w:p>
        </w:tc>
        <w:tc>
          <w:tcPr>
            <w:tcW w:w="1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554" w:hRule="exact"/>
        </w:trPr>
        <w:tc>
          <w:tcPr>
            <w:tcW w:w="2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北京宏图昌历投资基金管理</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中心（有限合伙）</w:t>
            </w:r>
          </w:p>
        </w:tc>
        <w:tc>
          <w:tcPr>
            <w:tcW w:w="35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59,220,706</w:t>
            </w:r>
            <w:r>
              <w:rPr>
                <w:rFonts w:ascii="宋体"/>
                <w:sz w:val="20"/>
              </w:rPr>
            </w:r>
          </w:p>
        </w:tc>
        <w:tc>
          <w:tcPr>
            <w:tcW w:w="1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人民币普通</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54" w:right="0"/>
              <w:jc w:val="left"/>
              <w:rPr>
                <w:rFonts w:ascii="宋体" w:hAnsi="宋体" w:cs="宋体" w:eastAsia="宋体" w:hint="default"/>
                <w:sz w:val="20"/>
                <w:szCs w:val="20"/>
              </w:rPr>
            </w:pPr>
            <w:r>
              <w:rPr>
                <w:rFonts w:ascii="宋体"/>
                <w:sz w:val="20"/>
              </w:rPr>
              <w:t>59,220,706</w:t>
            </w:r>
          </w:p>
        </w:tc>
      </w:tr>
      <w:tr>
        <w:trPr>
          <w:trHeight w:val="790" w:hRule="exact"/>
        </w:trPr>
        <w:tc>
          <w:tcPr>
            <w:tcW w:w="2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平安信托有限责任公司－平</w:t>
            </w:r>
          </w:p>
          <w:p>
            <w:pPr>
              <w:pStyle w:val="TableParagraph"/>
              <w:spacing w:line="260" w:lineRule="exact" w:before="24"/>
              <w:ind w:left="103" w:right="183"/>
              <w:jc w:val="left"/>
              <w:rPr>
                <w:rFonts w:ascii="宋体" w:hAnsi="宋体" w:cs="宋体" w:eastAsia="宋体" w:hint="default"/>
                <w:sz w:val="20"/>
                <w:szCs w:val="20"/>
              </w:rPr>
            </w:pPr>
            <w:r>
              <w:rPr>
                <w:rFonts w:ascii="宋体" w:hAnsi="宋体" w:cs="宋体" w:eastAsia="宋体" w:hint="default"/>
                <w:sz w:val="20"/>
                <w:szCs w:val="20"/>
              </w:rPr>
              <w:t>安信托</w:t>
            </w:r>
            <w:r>
              <w:rPr>
                <w:rFonts w:ascii="宋体" w:hAnsi="宋体" w:cs="宋体" w:eastAsia="宋体" w:hint="default"/>
                <w:sz w:val="20"/>
                <w:szCs w:val="20"/>
              </w:rPr>
              <w:t>*</w:t>
            </w:r>
            <w:r>
              <w:rPr>
                <w:rFonts w:ascii="宋体" w:hAnsi="宋体" w:cs="宋体" w:eastAsia="宋体" w:hint="default"/>
                <w:sz w:val="20"/>
                <w:szCs w:val="20"/>
              </w:rPr>
              <w:t>汇安</w:t>
            </w:r>
            <w:r>
              <w:rPr>
                <w:rFonts w:ascii="宋体" w:hAnsi="宋体" w:cs="宋体" w:eastAsia="宋体" w:hint="default"/>
                <w:spacing w:val="-53"/>
                <w:sz w:val="20"/>
                <w:szCs w:val="20"/>
              </w:rPr>
              <w:t> </w:t>
            </w:r>
            <w:r>
              <w:rPr>
                <w:rFonts w:ascii="宋体" w:hAnsi="宋体" w:cs="宋体" w:eastAsia="宋体" w:hint="default"/>
                <w:sz w:val="20"/>
                <w:szCs w:val="20"/>
              </w:rPr>
              <w:t>990</w:t>
            </w:r>
            <w:r>
              <w:rPr>
                <w:rFonts w:ascii="宋体" w:hAnsi="宋体" w:cs="宋体" w:eastAsia="宋体" w:hint="default"/>
                <w:spacing w:val="-52"/>
                <w:sz w:val="20"/>
                <w:szCs w:val="20"/>
              </w:rPr>
              <w:t> </w:t>
            </w:r>
            <w:r>
              <w:rPr>
                <w:rFonts w:ascii="宋体" w:hAnsi="宋体" w:cs="宋体" w:eastAsia="宋体" w:hint="default"/>
                <w:sz w:val="20"/>
                <w:szCs w:val="20"/>
              </w:rPr>
              <w:t>号集合资金</w:t>
            </w:r>
            <w:r>
              <w:rPr>
                <w:rFonts w:ascii="宋体" w:hAnsi="宋体" w:cs="宋体" w:eastAsia="宋体" w:hint="default"/>
                <w:w w:val="99"/>
                <w:sz w:val="20"/>
                <w:szCs w:val="20"/>
              </w:rPr>
              <w:t> </w:t>
            </w:r>
            <w:r>
              <w:rPr>
                <w:rFonts w:ascii="宋体" w:hAnsi="宋体" w:cs="宋体" w:eastAsia="宋体" w:hint="default"/>
                <w:sz w:val="20"/>
                <w:szCs w:val="20"/>
              </w:rPr>
              <w:t>信托</w:t>
            </w:r>
          </w:p>
        </w:tc>
        <w:tc>
          <w:tcPr>
            <w:tcW w:w="35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55,000,000</w:t>
            </w:r>
            <w:r>
              <w:rPr>
                <w:rFonts w:ascii="宋体"/>
                <w:sz w:val="20"/>
              </w:rPr>
            </w:r>
          </w:p>
        </w:tc>
        <w:tc>
          <w:tcPr>
            <w:tcW w:w="1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72" w:lineRule="exact" w:before="111"/>
              <w:ind w:left="539" w:right="116" w:hanging="420"/>
              <w:jc w:val="left"/>
              <w:rPr>
                <w:rFonts w:ascii="宋体" w:hAnsi="宋体" w:cs="宋体" w:eastAsia="宋体" w:hint="default"/>
                <w:sz w:val="21"/>
                <w:szCs w:val="21"/>
              </w:rPr>
            </w:pPr>
            <w:r>
              <w:rPr>
                <w:rFonts w:ascii="宋体" w:hAnsi="宋体" w:cs="宋体" w:eastAsia="宋体" w:hint="default"/>
                <w:sz w:val="21"/>
                <w:szCs w:val="21"/>
              </w:rPr>
              <w:t>人民币普通</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54" w:right="0"/>
              <w:jc w:val="left"/>
              <w:rPr>
                <w:rFonts w:ascii="宋体" w:hAnsi="宋体" w:cs="宋体" w:eastAsia="宋体" w:hint="default"/>
                <w:sz w:val="20"/>
                <w:szCs w:val="20"/>
              </w:rPr>
            </w:pPr>
            <w:r>
              <w:rPr>
                <w:rFonts w:ascii="宋体"/>
                <w:sz w:val="20"/>
              </w:rPr>
              <w:t>55,000,000</w:t>
            </w:r>
          </w:p>
        </w:tc>
      </w:tr>
      <w:tr>
        <w:trPr>
          <w:trHeight w:val="555" w:hRule="exact"/>
        </w:trPr>
        <w:tc>
          <w:tcPr>
            <w:tcW w:w="2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王强</w:t>
            </w:r>
          </w:p>
        </w:tc>
        <w:tc>
          <w:tcPr>
            <w:tcW w:w="35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34,809,496</w:t>
            </w:r>
            <w:r>
              <w:rPr>
                <w:rFonts w:ascii="宋体"/>
                <w:sz w:val="20"/>
              </w:rPr>
            </w:r>
          </w:p>
        </w:tc>
        <w:tc>
          <w:tcPr>
            <w:tcW w:w="1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人民币普通</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54" w:right="0"/>
              <w:jc w:val="left"/>
              <w:rPr>
                <w:rFonts w:ascii="宋体" w:hAnsi="宋体" w:cs="宋体" w:eastAsia="宋体" w:hint="default"/>
                <w:sz w:val="20"/>
                <w:szCs w:val="20"/>
              </w:rPr>
            </w:pPr>
            <w:r>
              <w:rPr>
                <w:rFonts w:ascii="宋体"/>
                <w:sz w:val="20"/>
              </w:rPr>
              <w:t>34,809,496</w:t>
            </w:r>
          </w:p>
        </w:tc>
      </w:tr>
      <w:tr>
        <w:trPr>
          <w:trHeight w:val="554" w:hRule="exact"/>
        </w:trPr>
        <w:tc>
          <w:tcPr>
            <w:tcW w:w="2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黑龙江黑化集团有限公司</w:t>
            </w:r>
          </w:p>
        </w:tc>
        <w:tc>
          <w:tcPr>
            <w:tcW w:w="35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28,991,133</w:t>
            </w:r>
            <w:r>
              <w:rPr>
                <w:rFonts w:ascii="宋体"/>
                <w:sz w:val="20"/>
              </w:rPr>
            </w:r>
          </w:p>
        </w:tc>
        <w:tc>
          <w:tcPr>
            <w:tcW w:w="1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人民币普通</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54" w:right="0"/>
              <w:jc w:val="left"/>
              <w:rPr>
                <w:rFonts w:ascii="宋体" w:hAnsi="宋体" w:cs="宋体" w:eastAsia="宋体" w:hint="default"/>
                <w:sz w:val="20"/>
                <w:szCs w:val="20"/>
              </w:rPr>
            </w:pPr>
            <w:r>
              <w:rPr>
                <w:rFonts w:ascii="宋体"/>
                <w:sz w:val="20"/>
              </w:rPr>
              <w:t>28,991,133</w:t>
            </w:r>
          </w:p>
        </w:tc>
      </w:tr>
      <w:tr>
        <w:trPr>
          <w:trHeight w:val="554" w:hRule="exact"/>
        </w:trPr>
        <w:tc>
          <w:tcPr>
            <w:tcW w:w="2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宁波梅山保税港区航懿投资</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咨询合伙企业（有限合伙）</w:t>
            </w:r>
          </w:p>
        </w:tc>
        <w:tc>
          <w:tcPr>
            <w:tcW w:w="35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26,000,000</w:t>
            </w:r>
            <w:r>
              <w:rPr>
                <w:rFonts w:ascii="宋体"/>
                <w:sz w:val="20"/>
              </w:rPr>
            </w:r>
          </w:p>
        </w:tc>
        <w:tc>
          <w:tcPr>
            <w:tcW w:w="1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人民币普通</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54" w:right="0"/>
              <w:jc w:val="left"/>
              <w:rPr>
                <w:rFonts w:ascii="宋体" w:hAnsi="宋体" w:cs="宋体" w:eastAsia="宋体" w:hint="default"/>
                <w:sz w:val="20"/>
                <w:szCs w:val="20"/>
              </w:rPr>
            </w:pPr>
            <w:r>
              <w:rPr>
                <w:rFonts w:ascii="宋体"/>
                <w:sz w:val="20"/>
              </w:rPr>
              <w:t>26,000,000</w:t>
            </w:r>
          </w:p>
        </w:tc>
      </w:tr>
      <w:tr>
        <w:trPr>
          <w:trHeight w:val="1046" w:hRule="exact"/>
        </w:trPr>
        <w:tc>
          <w:tcPr>
            <w:tcW w:w="2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both"/>
              <w:rPr>
                <w:rFonts w:ascii="宋体" w:hAnsi="宋体" w:cs="宋体" w:eastAsia="宋体" w:hint="default"/>
                <w:sz w:val="20"/>
                <w:szCs w:val="20"/>
              </w:rPr>
            </w:pPr>
            <w:r>
              <w:rPr>
                <w:rFonts w:ascii="宋体" w:hAnsi="宋体" w:cs="宋体" w:eastAsia="宋体" w:hint="default"/>
                <w:sz w:val="20"/>
                <w:szCs w:val="20"/>
              </w:rPr>
              <w:t>红塔红土基金－中信证券－</w:t>
            </w:r>
          </w:p>
          <w:p>
            <w:pPr>
              <w:pStyle w:val="TableParagraph"/>
              <w:spacing w:line="260" w:lineRule="exact" w:before="24"/>
              <w:ind w:left="103" w:right="234"/>
              <w:jc w:val="both"/>
              <w:rPr>
                <w:rFonts w:ascii="宋体" w:hAnsi="宋体" w:cs="宋体" w:eastAsia="宋体" w:hint="default"/>
                <w:sz w:val="20"/>
                <w:szCs w:val="20"/>
              </w:rPr>
            </w:pPr>
            <w:r>
              <w:rPr>
                <w:rFonts w:ascii="宋体" w:hAnsi="宋体" w:cs="宋体" w:eastAsia="宋体" w:hint="default"/>
                <w:sz w:val="20"/>
                <w:szCs w:val="20"/>
              </w:rPr>
              <w:t>万向信托－万向信托－星辰</w:t>
            </w:r>
            <w:r>
              <w:rPr>
                <w:rFonts w:ascii="宋体" w:hAnsi="宋体" w:cs="宋体" w:eastAsia="宋体" w:hint="default"/>
                <w:w w:val="99"/>
                <w:sz w:val="20"/>
                <w:szCs w:val="20"/>
              </w:rPr>
              <w:t> </w:t>
            </w:r>
            <w:r>
              <w:rPr>
                <w:rFonts w:ascii="宋体" w:hAnsi="宋体" w:cs="宋体" w:eastAsia="宋体" w:hint="default"/>
                <w:sz w:val="20"/>
                <w:szCs w:val="20"/>
              </w:rPr>
              <w:t>82</w:t>
            </w:r>
            <w:r>
              <w:rPr>
                <w:rFonts w:ascii="宋体" w:hAnsi="宋体" w:cs="宋体" w:eastAsia="宋体" w:hint="default"/>
                <w:spacing w:val="-53"/>
                <w:sz w:val="20"/>
                <w:szCs w:val="20"/>
              </w:rPr>
              <w:t> </w:t>
            </w:r>
            <w:r>
              <w:rPr>
                <w:rFonts w:ascii="宋体" w:hAnsi="宋体" w:cs="宋体" w:eastAsia="宋体" w:hint="default"/>
                <w:sz w:val="20"/>
                <w:szCs w:val="20"/>
              </w:rPr>
              <w:t>号事务管理类单一资金信</w:t>
            </w:r>
            <w:r>
              <w:rPr>
                <w:rFonts w:ascii="宋体" w:hAnsi="宋体" w:cs="宋体" w:eastAsia="宋体" w:hint="default"/>
                <w:w w:val="99"/>
                <w:sz w:val="20"/>
                <w:szCs w:val="20"/>
              </w:rPr>
              <w:t> </w:t>
            </w:r>
            <w:r>
              <w:rPr>
                <w:rFonts w:ascii="宋体" w:hAnsi="宋体" w:cs="宋体" w:eastAsia="宋体" w:hint="default"/>
                <w:sz w:val="20"/>
                <w:szCs w:val="20"/>
              </w:rPr>
              <w:t>托</w:t>
            </w:r>
          </w:p>
        </w:tc>
        <w:tc>
          <w:tcPr>
            <w:tcW w:w="35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20,414,653</w:t>
            </w:r>
            <w:r>
              <w:rPr>
                <w:rFonts w:ascii="宋体"/>
                <w:sz w:val="20"/>
              </w:rPr>
            </w:r>
          </w:p>
        </w:tc>
        <w:tc>
          <w:tcPr>
            <w:tcW w:w="1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72" w:lineRule="exact"/>
              <w:ind w:left="539" w:right="116" w:hanging="420"/>
              <w:jc w:val="left"/>
              <w:rPr>
                <w:rFonts w:ascii="宋体" w:hAnsi="宋体" w:cs="宋体" w:eastAsia="宋体" w:hint="default"/>
                <w:sz w:val="21"/>
                <w:szCs w:val="21"/>
              </w:rPr>
            </w:pPr>
            <w:r>
              <w:rPr>
                <w:rFonts w:ascii="宋体" w:hAnsi="宋体" w:cs="宋体" w:eastAsia="宋体" w:hint="default"/>
                <w:sz w:val="21"/>
                <w:szCs w:val="21"/>
              </w:rPr>
              <w:t>人民币普通</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54" w:right="0"/>
              <w:jc w:val="left"/>
              <w:rPr>
                <w:rFonts w:ascii="宋体" w:hAnsi="宋体" w:cs="宋体" w:eastAsia="宋体" w:hint="default"/>
                <w:sz w:val="20"/>
                <w:szCs w:val="20"/>
              </w:rPr>
            </w:pPr>
            <w:r>
              <w:rPr>
                <w:rFonts w:ascii="宋体"/>
                <w:sz w:val="20"/>
              </w:rPr>
              <w:t>20,414,653</w:t>
            </w:r>
          </w:p>
        </w:tc>
      </w:tr>
      <w:tr>
        <w:trPr>
          <w:trHeight w:val="554" w:hRule="exact"/>
        </w:trPr>
        <w:tc>
          <w:tcPr>
            <w:tcW w:w="2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中信证券股份有限公司</w:t>
            </w:r>
          </w:p>
        </w:tc>
        <w:tc>
          <w:tcPr>
            <w:tcW w:w="35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11,534,702</w:t>
            </w:r>
            <w:r>
              <w:rPr>
                <w:rFonts w:ascii="宋体"/>
                <w:sz w:val="20"/>
              </w:rPr>
            </w:r>
          </w:p>
        </w:tc>
        <w:tc>
          <w:tcPr>
            <w:tcW w:w="1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人民币普通</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54" w:right="0"/>
              <w:jc w:val="left"/>
              <w:rPr>
                <w:rFonts w:ascii="宋体" w:hAnsi="宋体" w:cs="宋体" w:eastAsia="宋体" w:hint="default"/>
                <w:sz w:val="20"/>
                <w:szCs w:val="20"/>
              </w:rPr>
            </w:pPr>
            <w:r>
              <w:rPr>
                <w:rFonts w:ascii="宋体"/>
                <w:sz w:val="20"/>
              </w:rPr>
              <w:t>11,534,702</w:t>
            </w:r>
          </w:p>
        </w:tc>
      </w:tr>
      <w:tr>
        <w:trPr>
          <w:trHeight w:val="790" w:hRule="exact"/>
        </w:trPr>
        <w:tc>
          <w:tcPr>
            <w:tcW w:w="2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z w:val="20"/>
                <w:szCs w:val="20"/>
              </w:rPr>
              <w:t>兴业国际信托有限公司－兴</w:t>
            </w:r>
          </w:p>
          <w:p>
            <w:pPr>
              <w:pStyle w:val="TableParagraph"/>
              <w:spacing w:line="260" w:lineRule="exact" w:before="24"/>
              <w:ind w:left="103" w:right="102"/>
              <w:jc w:val="left"/>
              <w:rPr>
                <w:rFonts w:ascii="宋体" w:hAnsi="宋体" w:cs="宋体" w:eastAsia="宋体" w:hint="default"/>
                <w:sz w:val="20"/>
                <w:szCs w:val="20"/>
              </w:rPr>
            </w:pPr>
            <w:r>
              <w:rPr>
                <w:rFonts w:ascii="宋体" w:hAnsi="宋体" w:cs="宋体" w:eastAsia="宋体" w:hint="default"/>
                <w:sz w:val="20"/>
                <w:szCs w:val="20"/>
              </w:rPr>
              <w:t>业信托·安通控股</w:t>
            </w:r>
            <w:r>
              <w:rPr>
                <w:rFonts w:ascii="宋体" w:hAnsi="宋体" w:cs="宋体" w:eastAsia="宋体" w:hint="default"/>
                <w:spacing w:val="-62"/>
                <w:sz w:val="20"/>
                <w:szCs w:val="20"/>
              </w:rPr>
              <w:t> </w:t>
            </w:r>
            <w:r>
              <w:rPr>
                <w:rFonts w:ascii="宋体" w:hAnsi="宋体" w:cs="宋体" w:eastAsia="宋体" w:hint="default"/>
                <w:sz w:val="20"/>
                <w:szCs w:val="20"/>
              </w:rPr>
              <w:t>1</w:t>
            </w:r>
            <w:r>
              <w:rPr>
                <w:rFonts w:ascii="宋体" w:hAnsi="宋体" w:cs="宋体" w:eastAsia="宋体" w:hint="default"/>
                <w:spacing w:val="-61"/>
                <w:sz w:val="20"/>
                <w:szCs w:val="20"/>
              </w:rPr>
              <w:t> </w:t>
            </w:r>
            <w:r>
              <w:rPr>
                <w:rFonts w:ascii="宋体" w:hAnsi="宋体" w:cs="宋体" w:eastAsia="宋体" w:hint="default"/>
                <w:sz w:val="20"/>
                <w:szCs w:val="20"/>
              </w:rPr>
              <w:t>号员工持</w:t>
            </w:r>
            <w:r>
              <w:rPr>
                <w:rFonts w:ascii="宋体" w:hAnsi="宋体" w:cs="宋体" w:eastAsia="宋体" w:hint="default"/>
                <w:w w:val="99"/>
                <w:sz w:val="20"/>
                <w:szCs w:val="20"/>
              </w:rPr>
              <w:t> </w:t>
            </w:r>
            <w:r>
              <w:rPr>
                <w:rFonts w:ascii="宋体" w:hAnsi="宋体" w:cs="宋体" w:eastAsia="宋体" w:hint="default"/>
                <w:sz w:val="20"/>
                <w:szCs w:val="20"/>
              </w:rPr>
              <w:t>股集合资金信托计划</w:t>
            </w:r>
          </w:p>
        </w:tc>
        <w:tc>
          <w:tcPr>
            <w:tcW w:w="35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20"/>
                <w:szCs w:val="20"/>
              </w:rPr>
            </w:pPr>
            <w:r>
              <w:rPr>
                <w:rFonts w:ascii="宋体"/>
                <w:w w:val="95"/>
                <w:sz w:val="20"/>
              </w:rPr>
              <w:t>8,187,798</w:t>
            </w:r>
            <w:r>
              <w:rPr>
                <w:rFonts w:ascii="宋体"/>
                <w:sz w:val="20"/>
              </w:rPr>
            </w:r>
          </w:p>
        </w:tc>
        <w:tc>
          <w:tcPr>
            <w:tcW w:w="1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539" w:right="116" w:hanging="420"/>
              <w:jc w:val="left"/>
              <w:rPr>
                <w:rFonts w:ascii="宋体" w:hAnsi="宋体" w:cs="宋体" w:eastAsia="宋体" w:hint="default"/>
                <w:sz w:val="21"/>
                <w:szCs w:val="21"/>
              </w:rPr>
            </w:pPr>
            <w:r>
              <w:rPr>
                <w:rFonts w:ascii="宋体" w:hAnsi="宋体" w:cs="宋体" w:eastAsia="宋体" w:hint="default"/>
                <w:sz w:val="21"/>
                <w:szCs w:val="21"/>
              </w:rPr>
              <w:t>人民币普通</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355" w:right="0"/>
              <w:jc w:val="left"/>
              <w:rPr>
                <w:rFonts w:ascii="宋体" w:hAnsi="宋体" w:cs="宋体" w:eastAsia="宋体" w:hint="default"/>
                <w:sz w:val="20"/>
                <w:szCs w:val="20"/>
              </w:rPr>
            </w:pPr>
            <w:r>
              <w:rPr>
                <w:rFonts w:ascii="宋体"/>
                <w:sz w:val="20"/>
              </w:rPr>
              <w:t>8,187,798</w:t>
            </w:r>
          </w:p>
        </w:tc>
      </w:tr>
      <w:tr>
        <w:trPr>
          <w:trHeight w:val="787" w:hRule="exact"/>
        </w:trPr>
        <w:tc>
          <w:tcPr>
            <w:tcW w:w="2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中国人寿保险股份有限公司</w:t>
            </w:r>
          </w:p>
          <w:p>
            <w:pPr>
              <w:pStyle w:val="TableParagraph"/>
              <w:spacing w:line="260" w:lineRule="exact" w:before="24"/>
              <w:ind w:left="103" w:right="483"/>
              <w:jc w:val="left"/>
              <w:rPr>
                <w:rFonts w:ascii="宋体" w:hAnsi="宋体" w:cs="宋体" w:eastAsia="宋体" w:hint="default"/>
                <w:sz w:val="20"/>
                <w:szCs w:val="20"/>
              </w:rPr>
            </w:pPr>
            <w:r>
              <w:rPr>
                <w:rFonts w:ascii="宋体" w:hAnsi="宋体" w:cs="宋体" w:eastAsia="宋体" w:hint="default"/>
                <w:sz w:val="20"/>
                <w:szCs w:val="20"/>
              </w:rPr>
              <w:t>－传统－普通保险产品－</w:t>
            </w:r>
            <w:r>
              <w:rPr>
                <w:rFonts w:ascii="宋体" w:hAnsi="宋体" w:cs="宋体" w:eastAsia="宋体" w:hint="default"/>
                <w:w w:val="99"/>
                <w:sz w:val="20"/>
                <w:szCs w:val="20"/>
              </w:rPr>
              <w:t> </w:t>
            </w:r>
            <w:r>
              <w:rPr>
                <w:rFonts w:ascii="宋体" w:hAnsi="宋体" w:cs="宋体" w:eastAsia="宋体" w:hint="default"/>
                <w:sz w:val="20"/>
                <w:szCs w:val="20"/>
              </w:rPr>
              <w:t>005L</w:t>
            </w:r>
            <w:r>
              <w:rPr>
                <w:rFonts w:ascii="宋体" w:hAnsi="宋体" w:cs="宋体" w:eastAsia="宋体" w:hint="default"/>
                <w:sz w:val="20"/>
                <w:szCs w:val="20"/>
              </w:rPr>
              <w:t>－</w:t>
            </w:r>
            <w:r>
              <w:rPr>
                <w:rFonts w:ascii="宋体" w:hAnsi="宋体" w:cs="宋体" w:eastAsia="宋体" w:hint="default"/>
                <w:sz w:val="20"/>
                <w:szCs w:val="20"/>
              </w:rPr>
              <w:t>CT001</w:t>
            </w:r>
            <w:r>
              <w:rPr>
                <w:rFonts w:ascii="宋体" w:hAnsi="宋体" w:cs="宋体" w:eastAsia="宋体" w:hint="default"/>
                <w:spacing w:val="-52"/>
                <w:sz w:val="20"/>
                <w:szCs w:val="20"/>
              </w:rPr>
              <w:t> </w:t>
            </w:r>
            <w:r>
              <w:rPr>
                <w:rFonts w:ascii="宋体" w:hAnsi="宋体" w:cs="宋体" w:eastAsia="宋体" w:hint="default"/>
                <w:sz w:val="20"/>
                <w:szCs w:val="20"/>
              </w:rPr>
              <w:t>沪</w:t>
            </w:r>
          </w:p>
        </w:tc>
        <w:tc>
          <w:tcPr>
            <w:tcW w:w="35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5,710,192</w:t>
            </w:r>
            <w:r>
              <w:rPr>
                <w:rFonts w:ascii="宋体"/>
                <w:sz w:val="20"/>
              </w:rPr>
            </w:r>
          </w:p>
        </w:tc>
        <w:tc>
          <w:tcPr>
            <w:tcW w:w="1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72" w:lineRule="exact" w:before="111"/>
              <w:ind w:left="539" w:right="116" w:hanging="420"/>
              <w:jc w:val="left"/>
              <w:rPr>
                <w:rFonts w:ascii="宋体" w:hAnsi="宋体" w:cs="宋体" w:eastAsia="宋体" w:hint="default"/>
                <w:sz w:val="21"/>
                <w:szCs w:val="21"/>
              </w:rPr>
            </w:pPr>
            <w:r>
              <w:rPr>
                <w:rFonts w:ascii="宋体" w:hAnsi="宋体" w:cs="宋体" w:eastAsia="宋体" w:hint="default"/>
                <w:sz w:val="21"/>
                <w:szCs w:val="21"/>
              </w:rPr>
              <w:t>人民币普通</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55" w:right="0"/>
              <w:jc w:val="left"/>
              <w:rPr>
                <w:rFonts w:ascii="宋体" w:hAnsi="宋体" w:cs="宋体" w:eastAsia="宋体" w:hint="default"/>
                <w:sz w:val="20"/>
                <w:szCs w:val="20"/>
              </w:rPr>
            </w:pPr>
            <w:r>
              <w:rPr>
                <w:rFonts w:ascii="宋体"/>
                <w:sz w:val="20"/>
              </w:rPr>
              <w:t>5,710,192</w:t>
            </w:r>
          </w:p>
        </w:tc>
      </w:tr>
      <w:tr>
        <w:trPr>
          <w:trHeight w:val="554" w:hRule="exact"/>
        </w:trPr>
        <w:tc>
          <w:tcPr>
            <w:tcW w:w="2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林素娥</w:t>
            </w:r>
          </w:p>
        </w:tc>
        <w:tc>
          <w:tcPr>
            <w:tcW w:w="35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4,886,002</w:t>
            </w:r>
            <w:r>
              <w:rPr>
                <w:rFonts w:ascii="宋体"/>
                <w:sz w:val="20"/>
              </w:rPr>
            </w:r>
          </w:p>
        </w:tc>
        <w:tc>
          <w:tcPr>
            <w:tcW w:w="1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人民币普通</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55" w:right="0"/>
              <w:jc w:val="left"/>
              <w:rPr>
                <w:rFonts w:ascii="宋体" w:hAnsi="宋体" w:cs="宋体" w:eastAsia="宋体" w:hint="default"/>
                <w:sz w:val="20"/>
                <w:szCs w:val="20"/>
              </w:rPr>
            </w:pPr>
            <w:r>
              <w:rPr>
                <w:rFonts w:ascii="宋体"/>
                <w:sz w:val="20"/>
              </w:rPr>
              <w:t>4,886,002</w:t>
            </w:r>
          </w:p>
        </w:tc>
      </w:tr>
      <w:tr>
        <w:trPr>
          <w:trHeight w:val="828" w:hRule="exact"/>
        </w:trPr>
        <w:tc>
          <w:tcPr>
            <w:tcW w:w="2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动的说明</w:t>
            </w:r>
          </w:p>
        </w:tc>
        <w:tc>
          <w:tcPr>
            <w:tcW w:w="6253"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、公司第一大股东郭东泽先生和第二大股东郭东圣先生为兄弟关</w:t>
            </w:r>
          </w:p>
          <w:p>
            <w:pPr>
              <w:pStyle w:val="TableParagraph"/>
              <w:spacing w:line="272" w:lineRule="exact" w:before="27"/>
              <w:ind w:left="103" w:right="-5"/>
              <w:jc w:val="left"/>
              <w:rPr>
                <w:rFonts w:ascii="宋体" w:hAnsi="宋体" w:cs="宋体" w:eastAsia="宋体" w:hint="default"/>
                <w:sz w:val="21"/>
                <w:szCs w:val="21"/>
              </w:rPr>
            </w:pPr>
            <w:r>
              <w:rPr>
                <w:rFonts w:ascii="宋体" w:hAnsi="宋体" w:cs="宋体" w:eastAsia="宋体" w:hint="default"/>
                <w:sz w:val="21"/>
                <w:szCs w:val="21"/>
              </w:rPr>
              <w:t>系，作为一致行动人为公司的控股股东、实际控制人；</w:t>
            </w:r>
            <w:r>
              <w:rPr>
                <w:rFonts w:ascii="宋体" w:hAnsi="宋体" w:cs="宋体" w:eastAsia="宋体" w:hint="default"/>
                <w:w w:val="100"/>
                <w:sz w:val="21"/>
                <w:szCs w:val="21"/>
              </w:rPr>
              <w:t> </w:t>
            </w:r>
            <w:r>
              <w:rPr>
                <w:rFonts w:ascii="宋体" w:hAnsi="宋体" w:cs="宋体" w:eastAsia="宋体" w:hint="default"/>
                <w:spacing w:val="-4"/>
                <w:sz w:val="21"/>
                <w:szCs w:val="21"/>
              </w:rPr>
              <w:t>2</w:t>
            </w:r>
            <w:r>
              <w:rPr>
                <w:rFonts w:ascii="宋体" w:hAnsi="宋体" w:cs="宋体" w:eastAsia="宋体" w:hint="default"/>
                <w:spacing w:val="-4"/>
                <w:sz w:val="21"/>
                <w:szCs w:val="21"/>
              </w:rPr>
              <w:t>、公司未知其他股东之间是否存在关联关系或是否为一致行动人。</w:t>
            </w:r>
          </w:p>
        </w:tc>
      </w:tr>
      <w:tr>
        <w:trPr>
          <w:trHeight w:val="554" w:hRule="exact"/>
        </w:trPr>
        <w:tc>
          <w:tcPr>
            <w:tcW w:w="2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表决权恢复的优先股股东及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持股数量的说明</w:t>
            </w:r>
          </w:p>
        </w:tc>
        <w:tc>
          <w:tcPr>
            <w:tcW w:w="6253" w:type="dxa"/>
            <w:gridSpan w:val="7"/>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5"/>
          <w:szCs w:val="15"/>
        </w:rPr>
      </w:pPr>
    </w:p>
    <w:p>
      <w:pPr>
        <w:pStyle w:val="BodyText"/>
        <w:spacing w:line="240" w:lineRule="auto" w:before="36"/>
        <w:ind w:right="2497"/>
        <w:jc w:val="left"/>
      </w:pPr>
      <w:r>
        <w:rPr/>
        <w:t>前十名有限售条件股东持股数量及限售条件</w:t>
      </w:r>
    </w:p>
    <w:p>
      <w:pPr>
        <w:spacing w:after="0" w:line="240" w:lineRule="auto"/>
        <w:jc w:val="left"/>
        <w:sectPr>
          <w:pgSz w:w="11910" w:h="16840"/>
          <w:pgMar w:header="880" w:footer="1195" w:top="1120" w:bottom="1380" w:left="1580" w:right="1040"/>
        </w:sectPr>
      </w:pPr>
    </w:p>
    <w:p>
      <w:pPr>
        <w:spacing w:line="240" w:lineRule="auto" w:before="4"/>
        <w:rPr>
          <w:rFonts w:ascii="宋体" w:hAnsi="宋体" w:cs="宋体" w:eastAsia="宋体" w:hint="default"/>
          <w:sz w:val="25"/>
          <w:szCs w:val="25"/>
        </w:rPr>
      </w:pPr>
    </w:p>
    <w:p>
      <w:pPr>
        <w:pStyle w:val="BodyText"/>
        <w:spacing w:line="274" w:lineRule="exact" w:before="36"/>
        <w:ind w:right="2497"/>
        <w:jc w:val="left"/>
      </w:pPr>
      <w:r>
        <w:rPr/>
        <w:t>√适用</w:t>
      </w:r>
      <w:r>
        <w:rPr>
          <w:spacing w:val="-1"/>
        </w:rPr>
        <w:t> </w:t>
      </w:r>
      <w:r>
        <w:rPr/>
        <w:t>□不适用</w:t>
      </w:r>
    </w:p>
    <w:p>
      <w:pPr>
        <w:pStyle w:val="BodyText"/>
        <w:spacing w:line="274" w:lineRule="exact"/>
        <w:ind w:left="0" w:right="230"/>
        <w:jc w:val="right"/>
      </w:pPr>
      <w:r>
        <w:rPr>
          <w:spacing w:val="-1"/>
        </w:rPr>
        <w:t>单位：股</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650"/>
        <w:gridCol w:w="3322"/>
        <w:gridCol w:w="1640"/>
        <w:gridCol w:w="1202"/>
        <w:gridCol w:w="1191"/>
        <w:gridCol w:w="1044"/>
      </w:tblGrid>
      <w:tr>
        <w:trPr>
          <w:trHeight w:val="554" w:hRule="exact"/>
        </w:trPr>
        <w:tc>
          <w:tcPr>
            <w:tcW w:w="6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33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710" w:right="0"/>
              <w:jc w:val="left"/>
              <w:rPr>
                <w:rFonts w:ascii="宋体" w:hAnsi="宋体" w:cs="宋体" w:eastAsia="宋体" w:hint="default"/>
                <w:sz w:val="21"/>
                <w:szCs w:val="21"/>
              </w:rPr>
            </w:pPr>
            <w:r>
              <w:rPr>
                <w:rFonts w:ascii="宋体" w:hAnsi="宋体" w:cs="宋体" w:eastAsia="宋体" w:hint="default"/>
                <w:sz w:val="21"/>
                <w:szCs w:val="21"/>
              </w:rPr>
              <w:t>有限售条件股东名称</w:t>
            </w:r>
          </w:p>
        </w:tc>
        <w:tc>
          <w:tcPr>
            <w:tcW w:w="16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7"/>
              <w:ind w:left="184" w:right="180"/>
              <w:jc w:val="left"/>
              <w:rPr>
                <w:rFonts w:ascii="宋体" w:hAnsi="宋体" w:cs="宋体" w:eastAsia="宋体" w:hint="default"/>
                <w:sz w:val="21"/>
                <w:szCs w:val="21"/>
              </w:rPr>
            </w:pPr>
            <w:r>
              <w:rPr>
                <w:rFonts w:ascii="宋体" w:hAnsi="宋体" w:cs="宋体" w:eastAsia="宋体" w:hint="default"/>
                <w:sz w:val="21"/>
                <w:szCs w:val="21"/>
              </w:rPr>
              <w:t>持有的有限售</w:t>
            </w:r>
            <w:r>
              <w:rPr>
                <w:rFonts w:ascii="宋体" w:hAnsi="宋体" w:cs="宋体" w:eastAsia="宋体" w:hint="default"/>
                <w:w w:val="100"/>
                <w:sz w:val="21"/>
                <w:szCs w:val="21"/>
              </w:rPr>
              <w:t> </w:t>
            </w:r>
            <w:r>
              <w:rPr>
                <w:rFonts w:ascii="宋体" w:hAnsi="宋体" w:cs="宋体" w:eastAsia="宋体" w:hint="default"/>
                <w:sz w:val="21"/>
                <w:szCs w:val="21"/>
              </w:rPr>
              <w:t>条件股份数量</w:t>
            </w:r>
          </w:p>
        </w:tc>
        <w:tc>
          <w:tcPr>
            <w:tcW w:w="23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有限售条件股份可上市</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交易情况</w:t>
            </w:r>
          </w:p>
        </w:tc>
        <w:tc>
          <w:tcPr>
            <w:tcW w:w="104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7"/>
              <w:ind w:left="410" w:right="197" w:hanging="209"/>
              <w:jc w:val="left"/>
              <w:rPr>
                <w:rFonts w:ascii="宋体" w:hAnsi="宋体" w:cs="宋体" w:eastAsia="宋体" w:hint="default"/>
                <w:sz w:val="21"/>
                <w:szCs w:val="21"/>
              </w:rPr>
            </w:pPr>
            <w:r>
              <w:rPr>
                <w:rFonts w:ascii="宋体" w:hAnsi="宋体" w:cs="宋体" w:eastAsia="宋体" w:hint="default"/>
                <w:sz w:val="21"/>
                <w:szCs w:val="21"/>
              </w:rPr>
              <w:t>限售条</w:t>
            </w:r>
            <w:r>
              <w:rPr>
                <w:rFonts w:ascii="宋体" w:hAnsi="宋体" w:cs="宋体" w:eastAsia="宋体" w:hint="default"/>
                <w:spacing w:val="-102"/>
                <w:sz w:val="21"/>
                <w:szCs w:val="21"/>
              </w:rPr>
              <w:t> </w:t>
            </w:r>
            <w:r>
              <w:rPr>
                <w:rFonts w:ascii="宋体" w:hAnsi="宋体" w:cs="宋体" w:eastAsia="宋体" w:hint="default"/>
                <w:sz w:val="21"/>
                <w:szCs w:val="21"/>
              </w:rPr>
              <w:t>件</w:t>
            </w:r>
          </w:p>
        </w:tc>
      </w:tr>
      <w:tr>
        <w:trPr>
          <w:trHeight w:val="828" w:hRule="exact"/>
        </w:trPr>
        <w:tc>
          <w:tcPr>
            <w:tcW w:w="650" w:type="dxa"/>
            <w:vMerge/>
            <w:tcBorders>
              <w:left w:val="single" w:sz="4" w:space="0" w:color="000000"/>
              <w:bottom w:val="single" w:sz="4" w:space="0" w:color="000000"/>
              <w:right w:val="single" w:sz="4" w:space="0" w:color="000000"/>
            </w:tcBorders>
          </w:tcPr>
          <w:p>
            <w:pPr/>
          </w:p>
        </w:tc>
        <w:tc>
          <w:tcPr>
            <w:tcW w:w="3322" w:type="dxa"/>
            <w:vMerge/>
            <w:tcBorders>
              <w:left w:val="single" w:sz="4" w:space="0" w:color="000000"/>
              <w:bottom w:val="single" w:sz="4" w:space="0" w:color="000000"/>
              <w:right w:val="single" w:sz="4" w:space="0" w:color="000000"/>
            </w:tcBorders>
          </w:tcPr>
          <w:p>
            <w:pPr/>
          </w:p>
        </w:tc>
        <w:tc>
          <w:tcPr>
            <w:tcW w:w="1640" w:type="dxa"/>
            <w:vMerge/>
            <w:tcBorders>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78" w:right="173" w:hanging="104"/>
              <w:jc w:val="left"/>
              <w:rPr>
                <w:rFonts w:ascii="宋体" w:hAnsi="宋体" w:cs="宋体" w:eastAsia="宋体" w:hint="default"/>
                <w:sz w:val="21"/>
                <w:szCs w:val="21"/>
              </w:rPr>
            </w:pPr>
            <w:r>
              <w:rPr>
                <w:rFonts w:ascii="宋体" w:hAnsi="宋体" w:cs="宋体" w:eastAsia="宋体" w:hint="default"/>
                <w:sz w:val="21"/>
                <w:szCs w:val="21"/>
              </w:rPr>
              <w:t>可上市交</w:t>
            </w:r>
            <w:r>
              <w:rPr>
                <w:rFonts w:ascii="宋体" w:hAnsi="宋体" w:cs="宋体" w:eastAsia="宋体" w:hint="default"/>
                <w:w w:val="100"/>
                <w:sz w:val="21"/>
                <w:szCs w:val="21"/>
              </w:rPr>
              <w:t> </w:t>
            </w:r>
            <w:r>
              <w:rPr>
                <w:rFonts w:ascii="宋体" w:hAnsi="宋体" w:cs="宋体" w:eastAsia="宋体" w:hint="default"/>
                <w:sz w:val="21"/>
                <w:szCs w:val="21"/>
              </w:rPr>
              <w:t>易时间</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0" w:right="0"/>
              <w:jc w:val="left"/>
              <w:rPr>
                <w:rFonts w:ascii="宋体" w:hAnsi="宋体" w:cs="宋体" w:eastAsia="宋体" w:hint="default"/>
                <w:sz w:val="21"/>
                <w:szCs w:val="21"/>
              </w:rPr>
            </w:pPr>
            <w:r>
              <w:rPr>
                <w:rFonts w:ascii="宋体" w:hAnsi="宋体" w:cs="宋体" w:eastAsia="宋体" w:hint="default"/>
                <w:sz w:val="21"/>
                <w:szCs w:val="21"/>
              </w:rPr>
              <w:t>新增可上</w:t>
            </w:r>
          </w:p>
          <w:p>
            <w:pPr>
              <w:pStyle w:val="TableParagraph"/>
              <w:spacing w:line="240" w:lineRule="auto"/>
              <w:ind w:left="273" w:right="166" w:hanging="104"/>
              <w:jc w:val="left"/>
              <w:rPr>
                <w:rFonts w:ascii="宋体" w:hAnsi="宋体" w:cs="宋体" w:eastAsia="宋体" w:hint="default"/>
                <w:sz w:val="21"/>
                <w:szCs w:val="21"/>
              </w:rPr>
            </w:pPr>
            <w:r>
              <w:rPr>
                <w:rFonts w:ascii="宋体" w:hAnsi="宋体" w:cs="宋体" w:eastAsia="宋体" w:hint="default"/>
                <w:sz w:val="21"/>
                <w:szCs w:val="21"/>
              </w:rPr>
              <w:t>市交易股</w:t>
            </w:r>
            <w:r>
              <w:rPr>
                <w:rFonts w:ascii="宋体" w:hAnsi="宋体" w:cs="宋体" w:eastAsia="宋体" w:hint="default"/>
                <w:w w:val="100"/>
                <w:sz w:val="21"/>
                <w:szCs w:val="21"/>
              </w:rPr>
              <w:t> </w:t>
            </w:r>
            <w:r>
              <w:rPr>
                <w:rFonts w:ascii="宋体" w:hAnsi="宋体" w:cs="宋体" w:eastAsia="宋体" w:hint="default"/>
                <w:sz w:val="21"/>
                <w:szCs w:val="21"/>
              </w:rPr>
              <w:t>份数量</w:t>
            </w:r>
          </w:p>
        </w:tc>
        <w:tc>
          <w:tcPr>
            <w:tcW w:w="1044" w:type="dxa"/>
            <w:vMerge/>
            <w:tcBorders>
              <w:left w:val="single" w:sz="4" w:space="0" w:color="000000"/>
              <w:bottom w:val="single" w:sz="4" w:space="0" w:color="000000"/>
              <w:right w:val="single" w:sz="4" w:space="0" w:color="000000"/>
            </w:tcBorders>
          </w:tcPr>
          <w:p>
            <w:pPr/>
          </w:p>
        </w:tc>
      </w:tr>
      <w:tr>
        <w:trPr>
          <w:trHeight w:val="828" w:hRule="exact"/>
        </w:trPr>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1</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郭东泽</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287,379,792</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7</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287,379,7</w:t>
            </w:r>
          </w:p>
          <w:p>
            <w:pPr>
              <w:pStyle w:val="TableParagraph"/>
              <w:spacing w:line="274" w:lineRule="exact"/>
              <w:ind w:right="101"/>
              <w:jc w:val="right"/>
              <w:rPr>
                <w:rFonts w:ascii="宋体" w:hAnsi="宋体" w:cs="宋体" w:eastAsia="宋体" w:hint="default"/>
                <w:sz w:val="21"/>
                <w:szCs w:val="21"/>
              </w:rPr>
            </w:pPr>
            <w:r>
              <w:rPr>
                <w:rFonts w:ascii="宋体"/>
                <w:sz w:val="21"/>
              </w:rPr>
              <w:t>92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非公开</w:t>
            </w:r>
          </w:p>
          <w:p>
            <w:pPr>
              <w:pStyle w:val="TableParagraph"/>
              <w:spacing w:line="272" w:lineRule="exact" w:before="27"/>
              <w:ind w:left="103" w:right="295"/>
              <w:jc w:val="left"/>
              <w:rPr>
                <w:rFonts w:ascii="宋体" w:hAnsi="宋体" w:cs="宋体" w:eastAsia="宋体" w:hint="default"/>
                <w:sz w:val="21"/>
                <w:szCs w:val="21"/>
              </w:rPr>
            </w:pPr>
            <w:r>
              <w:rPr>
                <w:rFonts w:ascii="宋体" w:hAnsi="宋体" w:cs="宋体" w:eastAsia="宋体" w:hint="default"/>
                <w:sz w:val="21"/>
                <w:szCs w:val="21"/>
              </w:rPr>
              <w:t>发行限</w:t>
            </w:r>
            <w:r>
              <w:rPr>
                <w:rFonts w:ascii="宋体" w:hAnsi="宋体" w:cs="宋体" w:eastAsia="宋体" w:hint="default"/>
                <w:spacing w:val="-102"/>
                <w:sz w:val="21"/>
                <w:szCs w:val="21"/>
              </w:rPr>
              <w:t> </w:t>
            </w:r>
            <w:r>
              <w:rPr>
                <w:rFonts w:ascii="宋体" w:hAnsi="宋体" w:cs="宋体" w:eastAsia="宋体" w:hint="default"/>
                <w:sz w:val="21"/>
                <w:szCs w:val="21"/>
              </w:rPr>
              <w:t>售</w:t>
            </w:r>
          </w:p>
        </w:tc>
      </w:tr>
      <w:tr>
        <w:trPr>
          <w:trHeight w:val="826" w:hRule="exact"/>
        </w:trPr>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2</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郭东圣</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197,158,965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7</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9"/>
              <w:jc w:val="right"/>
              <w:rPr>
                <w:rFonts w:ascii="宋体" w:hAnsi="宋体" w:cs="宋体" w:eastAsia="宋体" w:hint="default"/>
                <w:sz w:val="21"/>
                <w:szCs w:val="21"/>
              </w:rPr>
            </w:pPr>
            <w:r>
              <w:rPr>
                <w:rFonts w:ascii="宋体"/>
                <w:spacing w:val="-1"/>
                <w:sz w:val="21"/>
              </w:rPr>
              <w:t>197,158,9</w:t>
            </w:r>
          </w:p>
          <w:p>
            <w:pPr>
              <w:pStyle w:val="TableParagraph"/>
              <w:spacing w:line="273" w:lineRule="exact"/>
              <w:ind w:right="101"/>
              <w:jc w:val="right"/>
              <w:rPr>
                <w:rFonts w:ascii="宋体" w:hAnsi="宋体" w:cs="宋体" w:eastAsia="宋体" w:hint="default"/>
                <w:sz w:val="21"/>
                <w:szCs w:val="21"/>
              </w:rPr>
            </w:pPr>
            <w:r>
              <w:rPr>
                <w:rFonts w:ascii="宋体"/>
                <w:sz w:val="21"/>
              </w:rPr>
              <w:t>65</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非公开</w:t>
            </w:r>
          </w:p>
          <w:p>
            <w:pPr>
              <w:pStyle w:val="TableParagraph"/>
              <w:spacing w:line="240" w:lineRule="auto"/>
              <w:ind w:left="103" w:right="295"/>
              <w:jc w:val="left"/>
              <w:rPr>
                <w:rFonts w:ascii="宋体" w:hAnsi="宋体" w:cs="宋体" w:eastAsia="宋体" w:hint="default"/>
                <w:sz w:val="21"/>
                <w:szCs w:val="21"/>
              </w:rPr>
            </w:pPr>
            <w:r>
              <w:rPr>
                <w:rFonts w:ascii="宋体" w:hAnsi="宋体" w:cs="宋体" w:eastAsia="宋体" w:hint="default"/>
                <w:sz w:val="21"/>
                <w:szCs w:val="21"/>
              </w:rPr>
              <w:t>发行限</w:t>
            </w:r>
            <w:r>
              <w:rPr>
                <w:rFonts w:ascii="宋体" w:hAnsi="宋体" w:cs="宋体" w:eastAsia="宋体" w:hint="default"/>
                <w:spacing w:val="-102"/>
                <w:sz w:val="21"/>
                <w:szCs w:val="21"/>
              </w:rPr>
              <w:t> </w:t>
            </w:r>
            <w:r>
              <w:rPr>
                <w:rFonts w:ascii="宋体" w:hAnsi="宋体" w:cs="宋体" w:eastAsia="宋体" w:hint="default"/>
                <w:sz w:val="21"/>
                <w:szCs w:val="21"/>
              </w:rPr>
              <w:t>售</w:t>
            </w:r>
          </w:p>
        </w:tc>
      </w:tr>
      <w:tr>
        <w:trPr>
          <w:trHeight w:val="828" w:hRule="exact"/>
        </w:trPr>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3</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郭东泽</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86,418,732</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86,418,73</w:t>
            </w:r>
          </w:p>
          <w:p>
            <w:pPr>
              <w:pStyle w:val="TableParagraph"/>
              <w:spacing w:line="274" w:lineRule="exact"/>
              <w:ind w:right="101"/>
              <w:jc w:val="right"/>
              <w:rPr>
                <w:rFonts w:ascii="宋体" w:hAnsi="宋体" w:cs="宋体" w:eastAsia="宋体" w:hint="default"/>
                <w:sz w:val="21"/>
                <w:szCs w:val="21"/>
              </w:rPr>
            </w:pPr>
            <w:r>
              <w:rPr>
                <w:rFonts w:ascii="宋体"/>
                <w:w w:val="100"/>
                <w:sz w:val="21"/>
              </w:rPr>
              <w:t>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非公开</w:t>
            </w:r>
          </w:p>
          <w:p>
            <w:pPr>
              <w:pStyle w:val="TableParagraph"/>
              <w:spacing w:line="272" w:lineRule="exact" w:before="27"/>
              <w:ind w:left="103" w:right="295"/>
              <w:jc w:val="left"/>
              <w:rPr>
                <w:rFonts w:ascii="宋体" w:hAnsi="宋体" w:cs="宋体" w:eastAsia="宋体" w:hint="default"/>
                <w:sz w:val="21"/>
                <w:szCs w:val="21"/>
              </w:rPr>
            </w:pPr>
            <w:r>
              <w:rPr>
                <w:rFonts w:ascii="宋体" w:hAnsi="宋体" w:cs="宋体" w:eastAsia="宋体" w:hint="default"/>
                <w:sz w:val="21"/>
                <w:szCs w:val="21"/>
              </w:rPr>
              <w:t>发行限</w:t>
            </w:r>
            <w:r>
              <w:rPr>
                <w:rFonts w:ascii="宋体" w:hAnsi="宋体" w:cs="宋体" w:eastAsia="宋体" w:hint="default"/>
                <w:spacing w:val="-102"/>
                <w:sz w:val="21"/>
                <w:szCs w:val="21"/>
              </w:rPr>
              <w:t> </w:t>
            </w:r>
            <w:r>
              <w:rPr>
                <w:rFonts w:ascii="宋体" w:hAnsi="宋体" w:cs="宋体" w:eastAsia="宋体" w:hint="default"/>
                <w:sz w:val="21"/>
                <w:szCs w:val="21"/>
              </w:rPr>
              <w:t>售</w:t>
            </w:r>
          </w:p>
        </w:tc>
      </w:tr>
      <w:tr>
        <w:trPr>
          <w:trHeight w:val="826" w:hRule="exact"/>
        </w:trPr>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4</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长城国融投资管理有限公司</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10,000,000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10,000,00</w:t>
            </w:r>
          </w:p>
          <w:p>
            <w:pPr>
              <w:pStyle w:val="TableParagraph"/>
              <w:spacing w:line="274" w:lineRule="exact"/>
              <w:ind w:right="101"/>
              <w:jc w:val="right"/>
              <w:rPr>
                <w:rFonts w:ascii="宋体" w:hAnsi="宋体" w:cs="宋体" w:eastAsia="宋体" w:hint="default"/>
                <w:sz w:val="21"/>
                <w:szCs w:val="21"/>
              </w:rPr>
            </w:pPr>
            <w:r>
              <w:rPr>
                <w:rFonts w:ascii="宋体"/>
                <w:w w:val="100"/>
                <w:sz w:val="21"/>
              </w:rPr>
              <w:t>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非公开</w:t>
            </w:r>
          </w:p>
          <w:p>
            <w:pPr>
              <w:pStyle w:val="TableParagraph"/>
              <w:spacing w:line="272" w:lineRule="exact" w:before="27"/>
              <w:ind w:left="103" w:right="295"/>
              <w:jc w:val="left"/>
              <w:rPr>
                <w:rFonts w:ascii="宋体" w:hAnsi="宋体" w:cs="宋体" w:eastAsia="宋体" w:hint="default"/>
                <w:sz w:val="21"/>
                <w:szCs w:val="21"/>
              </w:rPr>
            </w:pPr>
            <w:r>
              <w:rPr>
                <w:rFonts w:ascii="宋体" w:hAnsi="宋体" w:cs="宋体" w:eastAsia="宋体" w:hint="default"/>
                <w:sz w:val="21"/>
                <w:szCs w:val="21"/>
              </w:rPr>
              <w:t>发行限</w:t>
            </w:r>
            <w:r>
              <w:rPr>
                <w:rFonts w:ascii="宋体" w:hAnsi="宋体" w:cs="宋体" w:eastAsia="宋体" w:hint="default"/>
                <w:spacing w:val="-102"/>
                <w:sz w:val="21"/>
                <w:szCs w:val="21"/>
              </w:rPr>
              <w:t> </w:t>
            </w:r>
            <w:r>
              <w:rPr>
                <w:rFonts w:ascii="宋体" w:hAnsi="宋体" w:cs="宋体" w:eastAsia="宋体" w:hint="default"/>
                <w:sz w:val="21"/>
                <w:szCs w:val="21"/>
              </w:rPr>
              <w:t>售</w:t>
            </w:r>
          </w:p>
        </w:tc>
      </w:tr>
      <w:tr>
        <w:trPr>
          <w:trHeight w:val="828" w:hRule="exact"/>
        </w:trPr>
        <w:tc>
          <w:tcPr>
            <w:tcW w:w="39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上述股东关联关系或一致行动的说明</w:t>
            </w:r>
          </w:p>
        </w:tc>
        <w:tc>
          <w:tcPr>
            <w:tcW w:w="507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公司第一大股东郭东泽先生和第二大股东郭东圣先生</w:t>
            </w:r>
          </w:p>
          <w:p>
            <w:pPr>
              <w:pStyle w:val="TableParagraph"/>
              <w:spacing w:line="240" w:lineRule="auto"/>
              <w:ind w:left="103" w:right="127"/>
              <w:jc w:val="left"/>
              <w:rPr>
                <w:rFonts w:ascii="宋体" w:hAnsi="宋体" w:cs="宋体" w:eastAsia="宋体" w:hint="default"/>
                <w:sz w:val="21"/>
                <w:szCs w:val="21"/>
              </w:rPr>
            </w:pPr>
            <w:r>
              <w:rPr>
                <w:rFonts w:ascii="宋体" w:hAnsi="宋体" w:cs="宋体" w:eastAsia="宋体" w:hint="default"/>
                <w:spacing w:val="-2"/>
                <w:sz w:val="21"/>
                <w:szCs w:val="21"/>
              </w:rPr>
              <w:t>为兄弟关系，作为一致行动人为公司的控股股东、实</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际控制人。</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tabs>
          <w:tab w:pos="784" w:val="left" w:leader="none"/>
        </w:tabs>
        <w:spacing w:line="240" w:lineRule="auto" w:before="36"/>
        <w:ind w:right="2497"/>
        <w:jc w:val="left"/>
        <w:rPr>
          <w:b w:val="0"/>
          <w:bCs w:val="0"/>
        </w:rPr>
      </w:pPr>
      <w:r>
        <w:rPr>
          <w:rFonts w:ascii="Calibri" w:hAnsi="Calibri" w:cs="Calibri" w:eastAsia="Calibri" w:hint="default"/>
        </w:rPr>
        <w:t>(</w:t>
      </w:r>
      <w:r>
        <w:rPr/>
        <w:t>三</w:t>
      </w:r>
      <w:r>
        <w:rPr>
          <w:rFonts w:ascii="Calibri" w:hAnsi="Calibri" w:cs="Calibri" w:eastAsia="Calibri" w:hint="default"/>
        </w:rPr>
        <w:t>)</w:t>
        <w:tab/>
      </w:r>
      <w:r>
        <w:rPr/>
        <w:t>战略投资者或一般法人因配售新股成为前</w:t>
      </w:r>
      <w:r>
        <w:rPr>
          <w:spacing w:val="-53"/>
        </w:rPr>
        <w:t> </w:t>
      </w:r>
      <w:r>
        <w:rPr>
          <w:rFonts w:ascii="Calibri" w:hAnsi="Calibri" w:cs="Calibri" w:eastAsia="Calibri" w:hint="default"/>
        </w:rPr>
        <w:t>10</w:t>
      </w:r>
      <w:r>
        <w:rPr>
          <w:rFonts w:ascii="Calibri" w:hAnsi="Calibri" w:cs="Calibri" w:eastAsia="Calibri" w:hint="default"/>
          <w:spacing w:val="4"/>
        </w:rPr>
        <w:t> </w:t>
      </w:r>
      <w:r>
        <w:rPr/>
        <w:t>名股东</w:t>
      </w:r>
      <w:r>
        <w:rPr>
          <w:b w:val="0"/>
          <w:bCs w:val="0"/>
        </w:rPr>
      </w:r>
    </w:p>
    <w:p>
      <w:pPr>
        <w:pStyle w:val="BodyText"/>
        <w:spacing w:line="240" w:lineRule="auto" w:before="32"/>
        <w:ind w:right="2497"/>
        <w:jc w:val="left"/>
      </w:pPr>
      <w:r>
        <w:rPr/>
        <w:t>□适用</w:t>
      </w:r>
      <w:r>
        <w:rPr>
          <w:spacing w:val="-1"/>
        </w:rPr>
        <w:t> </w:t>
      </w:r>
      <w:r>
        <w:rPr/>
        <w:t>√不适用</w:t>
      </w:r>
    </w:p>
    <w:p>
      <w:pPr>
        <w:pStyle w:val="Heading2"/>
        <w:spacing w:line="240" w:lineRule="auto" w:before="56"/>
        <w:ind w:right="2497"/>
        <w:jc w:val="left"/>
        <w:rPr>
          <w:b w:val="0"/>
          <w:bCs w:val="0"/>
        </w:rPr>
      </w:pPr>
      <w:r>
        <w:rPr/>
        <w:t>四、</w:t>
      </w:r>
      <w:r>
        <w:rPr>
          <w:spacing w:val="-79"/>
        </w:rPr>
        <w:t> </w:t>
      </w:r>
      <w:r>
        <w:rPr/>
        <w:t>控股股东及实际控制人情况</w:t>
      </w:r>
      <w:r>
        <w:rPr>
          <w:b w:val="0"/>
          <w:bCs w:val="0"/>
        </w:rPr>
      </w:r>
    </w:p>
    <w:p>
      <w:pPr>
        <w:pStyle w:val="Heading2"/>
        <w:tabs>
          <w:tab w:pos="637" w:val="left" w:leader="none"/>
        </w:tabs>
        <w:spacing w:line="264" w:lineRule="auto" w:before="58"/>
        <w:ind w:right="7379"/>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控股股东情况</w:t>
      </w:r>
      <w:r>
        <w:rPr>
          <w:w w:val="100"/>
        </w:rPr>
        <w:t> </w:t>
      </w:r>
      <w:r>
        <w:rPr>
          <w:rFonts w:ascii="宋体" w:hAnsi="宋体" w:cs="宋体" w:eastAsia="宋体" w:hint="default"/>
          <w:w w:val="95"/>
        </w:rPr>
        <w:t>1</w:t>
        <w:tab/>
      </w:r>
      <w:r>
        <w:rPr/>
        <w:t>法人</w:t>
      </w:r>
      <w:r>
        <w:rPr>
          <w:b w:val="0"/>
          <w:bCs w:val="0"/>
        </w:rPr>
      </w:r>
    </w:p>
    <w:p>
      <w:pPr>
        <w:tabs>
          <w:tab w:pos="637" w:val="left" w:leader="none"/>
        </w:tabs>
        <w:spacing w:line="290" w:lineRule="auto" w:before="37"/>
        <w:ind w:left="218" w:right="7492"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7"/>
          <w:sz w:val="21"/>
          <w:szCs w:val="21"/>
        </w:rPr>
        <w:t> </w:t>
      </w:r>
      <w:r>
        <w:rPr>
          <w:rFonts w:ascii="宋体" w:hAnsi="宋体" w:cs="宋体" w:eastAsia="宋体" w:hint="default"/>
          <w:spacing w:val="-3"/>
          <w:sz w:val="21"/>
          <w:szCs w:val="21"/>
        </w:rPr>
        <w:t>√不适用</w:t>
      </w:r>
      <w:r>
        <w:rPr>
          <w:rFonts w:ascii="宋体" w:hAnsi="宋体" w:cs="宋体" w:eastAsia="宋体" w:hint="default"/>
          <w:spacing w:val="-3"/>
          <w:w w:val="100"/>
          <w:sz w:val="21"/>
          <w:szCs w:val="21"/>
        </w:rPr>
        <w:t> </w:t>
      </w:r>
      <w:r>
        <w:rPr>
          <w:rFonts w:ascii="宋体" w:hAnsi="宋体" w:cs="宋体" w:eastAsia="宋体" w:hint="default"/>
          <w:b/>
          <w:bCs/>
          <w:w w:val="95"/>
          <w:sz w:val="21"/>
          <w:szCs w:val="21"/>
        </w:rPr>
        <w:t>2</w:t>
        <w:tab/>
      </w:r>
      <w:r>
        <w:rPr>
          <w:rFonts w:ascii="宋体" w:hAnsi="宋体" w:cs="宋体" w:eastAsia="宋体" w:hint="default"/>
          <w:b/>
          <w:bCs/>
          <w:sz w:val="21"/>
          <w:szCs w:val="21"/>
        </w:rPr>
        <w:t>自然人</w:t>
      </w:r>
      <w:r>
        <w:rPr>
          <w:rFonts w:ascii="宋体" w:hAnsi="宋体" w:cs="宋体" w:eastAsia="宋体" w:hint="default"/>
          <w:sz w:val="21"/>
          <w:szCs w:val="21"/>
        </w:rPr>
      </w:r>
    </w:p>
    <w:p>
      <w:pPr>
        <w:pStyle w:val="BodyText"/>
        <w:spacing w:line="240" w:lineRule="auto" w:before="14"/>
        <w:ind w:right="2497"/>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70"/>
        <w:gridCol w:w="5679"/>
      </w:tblGrid>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郭东泽、郭东圣</w:t>
            </w:r>
          </w:p>
        </w:tc>
      </w:tr>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国籍</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w:t>
            </w:r>
          </w:p>
        </w:tc>
      </w:tr>
      <w:tr>
        <w:trPr>
          <w:trHeight w:val="28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是否取得其他国家或地区居留权</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主要职业及职务</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郭东泽先生现担任上海仁建企业发展集团有限公司董事长，</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郭东圣先生现担任公司董事长、总经理。</w:t>
            </w:r>
          </w:p>
        </w:tc>
      </w:tr>
    </w:tbl>
    <w:p>
      <w:pPr>
        <w:spacing w:line="240" w:lineRule="auto" w:before="2"/>
        <w:rPr>
          <w:rFonts w:ascii="宋体" w:hAnsi="宋体" w:cs="宋体" w:eastAsia="宋体" w:hint="default"/>
          <w:sz w:val="20"/>
          <w:szCs w:val="20"/>
        </w:rPr>
      </w:pPr>
    </w:p>
    <w:p>
      <w:pPr>
        <w:pStyle w:val="Heading2"/>
        <w:tabs>
          <w:tab w:pos="637" w:val="left" w:leader="none"/>
        </w:tabs>
        <w:spacing w:line="240" w:lineRule="auto" w:before="36"/>
        <w:ind w:right="2497"/>
        <w:jc w:val="left"/>
        <w:rPr>
          <w:b w:val="0"/>
          <w:bCs w:val="0"/>
        </w:rPr>
      </w:pPr>
      <w:r>
        <w:rPr>
          <w:rFonts w:ascii="宋体" w:hAnsi="宋体" w:cs="宋体" w:eastAsia="宋体" w:hint="default"/>
          <w:w w:val="95"/>
        </w:rPr>
        <w:t>3</w:t>
        <w:tab/>
      </w:r>
      <w:r>
        <w:rPr/>
        <w:t>公司不存在控股股东情况的特别说明</w:t>
      </w:r>
      <w:r>
        <w:rPr>
          <w:b w:val="0"/>
          <w:bCs w:val="0"/>
        </w:rPr>
      </w:r>
    </w:p>
    <w:p>
      <w:pPr>
        <w:pStyle w:val="BodyText"/>
        <w:tabs>
          <w:tab w:pos="1060" w:val="left" w:leader="none"/>
        </w:tabs>
        <w:spacing w:line="240" w:lineRule="auto" w:before="56"/>
        <w:ind w:right="2497"/>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tabs>
          <w:tab w:pos="637" w:val="left" w:leader="none"/>
        </w:tabs>
        <w:spacing w:line="240" w:lineRule="auto"/>
        <w:ind w:right="2497"/>
        <w:jc w:val="left"/>
        <w:rPr>
          <w:b w:val="0"/>
          <w:bCs w:val="0"/>
        </w:rPr>
      </w:pPr>
      <w:r>
        <w:rPr>
          <w:rFonts w:ascii="宋体" w:hAnsi="宋体" w:cs="宋体" w:eastAsia="宋体" w:hint="default"/>
          <w:w w:val="95"/>
        </w:rPr>
        <w:t>4</w:t>
        <w:tab/>
      </w:r>
      <w:r>
        <w:rPr/>
        <w:t>报告期内控股股东变更情况索引及日期</w:t>
      </w:r>
      <w:r>
        <w:rPr>
          <w:b w:val="0"/>
          <w:bCs w:val="0"/>
        </w:rPr>
      </w:r>
    </w:p>
    <w:p>
      <w:pPr>
        <w:pStyle w:val="BodyText"/>
        <w:tabs>
          <w:tab w:pos="1060" w:val="left" w:leader="none"/>
        </w:tabs>
        <w:spacing w:line="240" w:lineRule="auto" w:before="58"/>
        <w:ind w:right="2497"/>
        <w:jc w:val="left"/>
      </w:pPr>
      <w:r>
        <w:rPr>
          <w:spacing w:val="-1"/>
        </w:rPr>
        <w:t>□适用</w:t>
        <w:tab/>
      </w:r>
      <w:r>
        <w:rPr>
          <w:spacing w:val="-2"/>
        </w:rPr>
        <w:t>√不适用</w:t>
      </w:r>
    </w:p>
    <w:p>
      <w:pPr>
        <w:pStyle w:val="Heading2"/>
        <w:tabs>
          <w:tab w:pos="637" w:val="left" w:leader="none"/>
        </w:tabs>
        <w:spacing w:line="240" w:lineRule="auto" w:before="56"/>
        <w:ind w:right="2497"/>
        <w:jc w:val="left"/>
        <w:rPr>
          <w:b w:val="0"/>
          <w:bCs w:val="0"/>
        </w:rPr>
      </w:pPr>
      <w:r>
        <w:rPr>
          <w:rFonts w:ascii="宋体" w:hAnsi="宋体" w:cs="宋体" w:eastAsia="宋体" w:hint="default"/>
          <w:w w:val="95"/>
        </w:rPr>
        <w:t>5</w:t>
        <w:tab/>
      </w:r>
      <w:r>
        <w:rPr/>
        <w:t>公司与控股股东之间的产权及控制关系的方框图</w:t>
      </w:r>
      <w:r>
        <w:rPr>
          <w:b w:val="0"/>
          <w:bCs w:val="0"/>
        </w:rPr>
      </w:r>
    </w:p>
    <w:p>
      <w:pPr>
        <w:pStyle w:val="BodyText"/>
        <w:tabs>
          <w:tab w:pos="1060" w:val="left" w:leader="none"/>
        </w:tabs>
        <w:spacing w:line="240" w:lineRule="auto" w:before="59"/>
        <w:ind w:right="2497"/>
        <w:jc w:val="left"/>
      </w:pPr>
      <w:r>
        <w:rPr>
          <w:spacing w:val="-1"/>
        </w:rPr>
        <w:t>√适用</w:t>
        <w:tab/>
      </w:r>
      <w:r>
        <w:rPr>
          <w:spacing w:val="-2"/>
        </w:rPr>
        <w:t>□不适用</w:t>
      </w:r>
    </w:p>
    <w:p>
      <w:pPr>
        <w:spacing w:after="0" w:line="240" w:lineRule="auto"/>
        <w:jc w:val="left"/>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p>
      <w:pPr>
        <w:spacing w:line="4476" w:lineRule="exact"/>
        <w:ind w:left="448" w:right="0" w:firstLine="0"/>
        <w:rPr>
          <w:rFonts w:ascii="宋体" w:hAnsi="宋体" w:cs="宋体" w:eastAsia="宋体" w:hint="default"/>
          <w:sz w:val="20"/>
          <w:szCs w:val="20"/>
        </w:rPr>
      </w:pPr>
      <w:r>
        <w:rPr>
          <w:rFonts w:ascii="宋体" w:hAnsi="宋体" w:cs="宋体" w:eastAsia="宋体" w:hint="default"/>
          <w:position w:val="-89"/>
          <w:sz w:val="20"/>
          <w:szCs w:val="20"/>
        </w:rPr>
        <w:drawing>
          <wp:inline distT="0" distB="0" distL="0" distR="0">
            <wp:extent cx="5296996" cy="2842355"/>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22" cstate="print"/>
                    <a:stretch>
                      <a:fillRect/>
                    </a:stretch>
                  </pic:blipFill>
                  <pic:spPr>
                    <a:xfrm>
                      <a:off x="0" y="0"/>
                      <a:ext cx="5296996" cy="2842355"/>
                    </a:xfrm>
                    <a:prstGeom prst="rect">
                      <a:avLst/>
                    </a:prstGeom>
                  </pic:spPr>
                </pic:pic>
              </a:graphicData>
            </a:graphic>
          </wp:inline>
        </w:drawing>
      </w:r>
      <w:r>
        <w:rPr>
          <w:rFonts w:ascii="宋体" w:hAnsi="宋体" w:cs="宋体" w:eastAsia="宋体" w:hint="default"/>
          <w:position w:val="-89"/>
          <w:sz w:val="20"/>
          <w:szCs w:val="20"/>
        </w:rPr>
      </w:r>
    </w:p>
    <w:p>
      <w:pPr>
        <w:spacing w:line="240" w:lineRule="auto" w:before="7"/>
        <w:rPr>
          <w:rFonts w:ascii="宋体" w:hAnsi="宋体" w:cs="宋体" w:eastAsia="宋体" w:hint="default"/>
          <w:sz w:val="22"/>
          <w:szCs w:val="22"/>
        </w:rPr>
      </w:pPr>
    </w:p>
    <w:p>
      <w:pPr>
        <w:pStyle w:val="Heading2"/>
        <w:tabs>
          <w:tab w:pos="642" w:val="left" w:leader="none"/>
        </w:tabs>
        <w:spacing w:line="266" w:lineRule="auto" w:before="36"/>
        <w:ind w:right="7168"/>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1"/>
        </w:rPr>
        <w:t> </w:t>
      </w:r>
      <w:r>
        <w:rPr/>
        <w:t>实际控制人情况</w:t>
      </w:r>
      <w:r>
        <w:rPr>
          <w:w w:val="100"/>
        </w:rPr>
        <w:t> </w:t>
      </w:r>
      <w:r>
        <w:rPr>
          <w:rFonts w:ascii="宋体" w:hAnsi="宋体" w:cs="宋体" w:eastAsia="宋体" w:hint="default"/>
          <w:w w:val="95"/>
        </w:rPr>
        <w:t>1</w:t>
        <w:tab/>
      </w:r>
      <w:r>
        <w:rPr/>
        <w:t>法人</w:t>
      </w:r>
      <w:r>
        <w:rPr>
          <w:b w:val="0"/>
          <w:bCs w:val="0"/>
        </w:rPr>
      </w:r>
    </w:p>
    <w:p>
      <w:pPr>
        <w:tabs>
          <w:tab w:pos="642" w:val="left" w:leader="none"/>
        </w:tabs>
        <w:spacing w:line="290" w:lineRule="auto" w:before="33"/>
        <w:ind w:left="218" w:right="748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w w:val="95"/>
          <w:sz w:val="21"/>
          <w:szCs w:val="21"/>
        </w:rPr>
        <w:t>2</w:t>
        <w:tab/>
      </w:r>
      <w:r>
        <w:rPr>
          <w:rFonts w:ascii="宋体" w:hAnsi="宋体" w:cs="宋体" w:eastAsia="宋体" w:hint="default"/>
          <w:b/>
          <w:bCs/>
          <w:sz w:val="21"/>
          <w:szCs w:val="21"/>
        </w:rPr>
        <w:t>自然人</w:t>
      </w:r>
      <w:r>
        <w:rPr>
          <w:rFonts w:ascii="宋体" w:hAnsi="宋体" w:cs="宋体" w:eastAsia="宋体" w:hint="default"/>
          <w:sz w:val="21"/>
          <w:szCs w:val="21"/>
        </w:rPr>
      </w:r>
    </w:p>
    <w:p>
      <w:pPr>
        <w:pStyle w:val="BodyText"/>
        <w:spacing w:line="240" w:lineRule="auto" w:before="12"/>
        <w:ind w:right="2497"/>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2"/>
        <w:gridCol w:w="5658"/>
      </w:tblGrid>
      <w:tr>
        <w:trPr>
          <w:trHeight w:val="281"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郭东泽、郭东圣</w:t>
            </w:r>
          </w:p>
        </w:tc>
      </w:tr>
      <w:tr>
        <w:trPr>
          <w:trHeight w:val="283"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国籍</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w:t>
            </w:r>
          </w:p>
        </w:tc>
      </w:tr>
      <w:tr>
        <w:trPr>
          <w:trHeight w:val="281"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是否取得其他国家或地区居留权</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7"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主要职业及职务</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郭东泽先生现担任上海仁建企业发展集团有限公司董事长，</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郭东圣先生现担任公司董事长、总经理。</w:t>
            </w:r>
          </w:p>
        </w:tc>
      </w:tr>
      <w:tr>
        <w:trPr>
          <w:trHeight w:val="554"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过去 </w:t>
            </w:r>
            <w:r>
              <w:rPr>
                <w:rFonts w:ascii="宋体" w:hAnsi="宋体" w:cs="宋体" w:eastAsia="宋体" w:hint="default"/>
                <w:sz w:val="21"/>
                <w:szCs w:val="21"/>
              </w:rPr>
              <w:t>10</w:t>
            </w:r>
            <w:r>
              <w:rPr>
                <w:rFonts w:ascii="宋体" w:hAnsi="宋体" w:cs="宋体" w:eastAsia="宋体" w:hint="default"/>
                <w:spacing w:val="22"/>
                <w:sz w:val="21"/>
                <w:szCs w:val="21"/>
              </w:rPr>
              <w:t> </w:t>
            </w:r>
            <w:r>
              <w:rPr>
                <w:rFonts w:ascii="宋体" w:hAnsi="宋体" w:cs="宋体" w:eastAsia="宋体" w:hint="default"/>
                <w:sz w:val="21"/>
                <w:szCs w:val="21"/>
              </w:rPr>
              <w:t>年曾控股的境内外上市公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司情况</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12"/>
        <w:rPr>
          <w:rFonts w:ascii="宋体" w:hAnsi="宋体" w:cs="宋体" w:eastAsia="宋体" w:hint="default"/>
          <w:sz w:val="19"/>
          <w:szCs w:val="19"/>
        </w:rPr>
      </w:pPr>
    </w:p>
    <w:p>
      <w:pPr>
        <w:pStyle w:val="Heading2"/>
        <w:tabs>
          <w:tab w:pos="642" w:val="left" w:leader="none"/>
        </w:tabs>
        <w:spacing w:line="240" w:lineRule="auto" w:before="36"/>
        <w:ind w:right="2497"/>
        <w:jc w:val="left"/>
        <w:rPr>
          <w:b w:val="0"/>
          <w:bCs w:val="0"/>
        </w:rPr>
      </w:pPr>
      <w:r>
        <w:rPr>
          <w:rFonts w:ascii="宋体" w:hAnsi="宋体" w:cs="宋体" w:eastAsia="宋体" w:hint="default"/>
          <w:w w:val="95"/>
        </w:rPr>
        <w:t>3</w:t>
        <w:tab/>
      </w:r>
      <w:r>
        <w:rPr/>
        <w:t>公司不存在实际控制人情况的特别说明</w:t>
      </w:r>
      <w:r>
        <w:rPr>
          <w:b w:val="0"/>
          <w:bCs w:val="0"/>
        </w:rPr>
      </w:r>
    </w:p>
    <w:p>
      <w:pPr>
        <w:pStyle w:val="BodyText"/>
        <w:tabs>
          <w:tab w:pos="1060" w:val="left" w:leader="none"/>
        </w:tabs>
        <w:spacing w:line="240" w:lineRule="auto" w:before="58"/>
        <w:ind w:right="2497"/>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tabs>
          <w:tab w:pos="642" w:val="left" w:leader="none"/>
        </w:tabs>
        <w:spacing w:line="240" w:lineRule="auto"/>
        <w:ind w:right="2497"/>
        <w:jc w:val="left"/>
        <w:rPr>
          <w:b w:val="0"/>
          <w:bCs w:val="0"/>
        </w:rPr>
      </w:pPr>
      <w:r>
        <w:rPr>
          <w:rFonts w:ascii="宋体" w:hAnsi="宋体" w:cs="宋体" w:eastAsia="宋体" w:hint="default"/>
          <w:w w:val="95"/>
        </w:rPr>
        <w:t>4</w:t>
        <w:tab/>
      </w:r>
      <w:r>
        <w:rPr/>
        <w:t>报告期内实际控制人变更情况索引及日期</w:t>
      </w:r>
      <w:r>
        <w:rPr>
          <w:b w:val="0"/>
          <w:bCs w:val="0"/>
        </w:rPr>
      </w:r>
    </w:p>
    <w:p>
      <w:pPr>
        <w:pStyle w:val="BodyText"/>
        <w:tabs>
          <w:tab w:pos="1060" w:val="left" w:leader="none"/>
        </w:tabs>
        <w:spacing w:line="240" w:lineRule="auto" w:before="56"/>
        <w:ind w:right="2497"/>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tabs>
          <w:tab w:pos="642" w:val="left" w:leader="none"/>
        </w:tabs>
        <w:spacing w:line="240" w:lineRule="auto"/>
        <w:ind w:right="2497"/>
        <w:jc w:val="left"/>
        <w:rPr>
          <w:b w:val="0"/>
          <w:bCs w:val="0"/>
        </w:rPr>
      </w:pPr>
      <w:r>
        <w:rPr>
          <w:rFonts w:ascii="宋体" w:hAnsi="宋体" w:cs="宋体" w:eastAsia="宋体" w:hint="default"/>
          <w:w w:val="95"/>
        </w:rPr>
        <w:t>5</w:t>
        <w:tab/>
      </w:r>
      <w:r>
        <w:rPr/>
        <w:t>公司与实际控制人之间的产权及控制关系的方框图</w:t>
      </w:r>
      <w:r>
        <w:rPr>
          <w:b w:val="0"/>
          <w:bCs w:val="0"/>
        </w:rPr>
      </w:r>
    </w:p>
    <w:p>
      <w:pPr>
        <w:pStyle w:val="BodyText"/>
        <w:tabs>
          <w:tab w:pos="1060" w:val="left" w:leader="none"/>
        </w:tabs>
        <w:spacing w:line="240" w:lineRule="auto" w:before="58"/>
        <w:ind w:right="2497"/>
        <w:jc w:val="left"/>
      </w:pPr>
      <w:r>
        <w:rPr>
          <w:spacing w:val="-1"/>
        </w:rPr>
        <w:t>√适用</w:t>
        <w:tab/>
      </w:r>
      <w:r>
        <w:rPr>
          <w:spacing w:val="-2"/>
        </w:rPr>
        <w:t>□不适用</w:t>
      </w:r>
    </w:p>
    <w:p>
      <w:pPr>
        <w:spacing w:after="0" w:line="240" w:lineRule="auto"/>
        <w:jc w:val="left"/>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p>
      <w:pPr>
        <w:spacing w:line="4841" w:lineRule="exact"/>
        <w:ind w:left="167" w:right="0" w:firstLine="0"/>
        <w:rPr>
          <w:rFonts w:ascii="宋体" w:hAnsi="宋体" w:cs="宋体" w:eastAsia="宋体" w:hint="default"/>
          <w:sz w:val="20"/>
          <w:szCs w:val="20"/>
        </w:rPr>
      </w:pPr>
      <w:r>
        <w:rPr>
          <w:rFonts w:ascii="宋体" w:hAnsi="宋体" w:cs="宋体" w:eastAsia="宋体" w:hint="default"/>
          <w:position w:val="-96"/>
          <w:sz w:val="20"/>
          <w:szCs w:val="20"/>
        </w:rPr>
        <w:drawing>
          <wp:inline distT="0" distB="0" distL="0" distR="0">
            <wp:extent cx="5730900" cy="3074384"/>
            <wp:effectExtent l="0" t="0" r="0" b="0"/>
            <wp:docPr id="5" name="image2.jpeg" descr=""/>
            <wp:cNvGraphicFramePr>
              <a:graphicFrameLocks noChangeAspect="1"/>
            </wp:cNvGraphicFramePr>
            <a:graphic>
              <a:graphicData uri="http://schemas.openxmlformats.org/drawingml/2006/picture">
                <pic:pic>
                  <pic:nvPicPr>
                    <pic:cNvPr id="6" name="image2.jpeg"/>
                    <pic:cNvPicPr/>
                  </pic:nvPicPr>
                  <pic:blipFill>
                    <a:blip r:embed="rId22" cstate="print"/>
                    <a:stretch>
                      <a:fillRect/>
                    </a:stretch>
                  </pic:blipFill>
                  <pic:spPr>
                    <a:xfrm>
                      <a:off x="0" y="0"/>
                      <a:ext cx="5730900" cy="3074384"/>
                    </a:xfrm>
                    <a:prstGeom prst="rect">
                      <a:avLst/>
                    </a:prstGeom>
                  </pic:spPr>
                </pic:pic>
              </a:graphicData>
            </a:graphic>
          </wp:inline>
        </w:drawing>
      </w:r>
      <w:r>
        <w:rPr>
          <w:rFonts w:ascii="宋体" w:hAnsi="宋体" w:cs="宋体" w:eastAsia="宋体" w:hint="default"/>
          <w:position w:val="-96"/>
          <w:sz w:val="20"/>
          <w:szCs w:val="20"/>
        </w:rPr>
      </w:r>
    </w:p>
    <w:p>
      <w:pPr>
        <w:spacing w:line="240" w:lineRule="auto" w:before="6"/>
        <w:rPr>
          <w:rFonts w:ascii="宋体" w:hAnsi="宋体" w:cs="宋体" w:eastAsia="宋体" w:hint="default"/>
          <w:sz w:val="20"/>
          <w:szCs w:val="20"/>
        </w:rPr>
      </w:pPr>
    </w:p>
    <w:p>
      <w:pPr>
        <w:pStyle w:val="Heading2"/>
        <w:tabs>
          <w:tab w:pos="562" w:val="left" w:leader="none"/>
        </w:tabs>
        <w:spacing w:line="240" w:lineRule="auto" w:before="36"/>
        <w:ind w:left="138" w:right="0"/>
        <w:jc w:val="left"/>
        <w:rPr>
          <w:b w:val="0"/>
          <w:bCs w:val="0"/>
        </w:rPr>
      </w:pPr>
      <w:r>
        <w:rPr>
          <w:rFonts w:ascii="宋体" w:hAnsi="宋体" w:cs="宋体" w:eastAsia="宋体" w:hint="default"/>
          <w:w w:val="95"/>
        </w:rPr>
        <w:t>6</w:t>
        <w:tab/>
      </w:r>
      <w:r>
        <w:rPr/>
        <w:t>实际控制人通过信托或其他资产管理方式控制公司</w:t>
      </w:r>
      <w:r>
        <w:rPr>
          <w:b w:val="0"/>
          <w:bCs w:val="0"/>
        </w:rPr>
      </w:r>
    </w:p>
    <w:p>
      <w:pPr>
        <w:pStyle w:val="BodyText"/>
        <w:tabs>
          <w:tab w:pos="980" w:val="left" w:leader="none"/>
        </w:tabs>
        <w:spacing w:line="240" w:lineRule="auto" w:before="58"/>
        <w:ind w:left="138" w:right="0"/>
        <w:jc w:val="left"/>
      </w:pPr>
      <w:r>
        <w:rPr>
          <w:spacing w:val="-1"/>
        </w:rPr>
        <w:t>□适用</w:t>
        <w:tab/>
      </w:r>
      <w:r>
        <w:rPr>
          <w:spacing w:val="-2"/>
        </w:rPr>
        <w:t>√不适用</w:t>
      </w:r>
    </w:p>
    <w:p>
      <w:pPr>
        <w:spacing w:line="240" w:lineRule="auto" w:before="0"/>
        <w:rPr>
          <w:rFonts w:ascii="宋体" w:hAnsi="宋体" w:cs="宋体" w:eastAsia="宋体" w:hint="default"/>
          <w:sz w:val="25"/>
          <w:szCs w:val="25"/>
        </w:rPr>
      </w:pPr>
    </w:p>
    <w:p>
      <w:pPr>
        <w:pStyle w:val="Heading2"/>
        <w:spacing w:line="240" w:lineRule="auto"/>
        <w:ind w:left="138"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9"/>
        </w:rPr>
        <w:t> </w:t>
      </w:r>
      <w:r>
        <w:rPr/>
        <w:t>控股股东及实际控制人其他情况介绍</w:t>
      </w:r>
      <w:r>
        <w:rPr>
          <w:b w:val="0"/>
          <w:bCs w:val="0"/>
        </w:rPr>
      </w:r>
    </w:p>
    <w:p>
      <w:pPr>
        <w:pStyle w:val="BodyText"/>
        <w:tabs>
          <w:tab w:pos="980" w:val="left" w:leader="none"/>
        </w:tabs>
        <w:spacing w:line="240" w:lineRule="auto" w:before="32"/>
        <w:ind w:left="138"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left"/>
        <w:rPr>
          <w:b w:val="0"/>
          <w:bCs w:val="0"/>
        </w:rPr>
      </w:pPr>
      <w:r>
        <w:rPr/>
        <w:t>五、</w:t>
      </w:r>
      <w:r>
        <w:rPr>
          <w:spacing w:val="-78"/>
        </w:rPr>
        <w:t> </w:t>
      </w:r>
      <w:r>
        <w:rPr/>
        <w:t>其他持股在百分之十以上的法人股东</w:t>
      </w:r>
      <w:r>
        <w:rPr>
          <w:b w:val="0"/>
          <w:bCs w:val="0"/>
        </w:rPr>
      </w:r>
    </w:p>
    <w:p>
      <w:pPr>
        <w:pStyle w:val="BodyText"/>
        <w:spacing w:line="240" w:lineRule="auto" w:before="56"/>
        <w:ind w:left="138" w:right="0"/>
        <w:jc w:val="left"/>
      </w:pPr>
      <w:r>
        <w:rPr/>
        <w:t>□适用</w:t>
      </w:r>
      <w:r>
        <w:rPr>
          <w:spacing w:val="-1"/>
        </w:rPr>
        <w:t> </w:t>
      </w:r>
      <w:r>
        <w:rPr/>
        <w:t>√不适用</w:t>
      </w:r>
    </w:p>
    <w:p>
      <w:pPr>
        <w:pStyle w:val="Heading2"/>
        <w:spacing w:line="240" w:lineRule="auto" w:before="58"/>
        <w:ind w:left="138" w:right="0"/>
        <w:jc w:val="left"/>
        <w:rPr>
          <w:b w:val="0"/>
          <w:bCs w:val="0"/>
        </w:rPr>
      </w:pPr>
      <w:r>
        <w:rPr/>
        <w:t>六、</w:t>
      </w:r>
      <w:r>
        <w:rPr>
          <w:spacing w:val="-77"/>
        </w:rPr>
        <w:t> </w:t>
      </w:r>
      <w:r>
        <w:rPr/>
        <w:t>股份限制减持情况说明</w:t>
      </w:r>
      <w:r>
        <w:rPr>
          <w:b w:val="0"/>
          <w:bCs w:val="0"/>
        </w:rPr>
      </w:r>
    </w:p>
    <w:p>
      <w:pPr>
        <w:pStyle w:val="BodyText"/>
        <w:spacing w:line="240" w:lineRule="auto" w:before="56"/>
        <w:ind w:left="138"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3"/>
          <w:szCs w:val="23"/>
        </w:rPr>
      </w:pPr>
    </w:p>
    <w:p>
      <w:pPr>
        <w:pStyle w:val="Heading1"/>
        <w:tabs>
          <w:tab w:pos="4199" w:val="left" w:leader="none"/>
        </w:tabs>
        <w:spacing w:line="240" w:lineRule="auto"/>
        <w:ind w:left="2939" w:right="0"/>
        <w:jc w:val="left"/>
        <w:rPr>
          <w:b w:val="0"/>
          <w:bCs w:val="0"/>
        </w:rPr>
      </w:pPr>
      <w:bookmarkStart w:name="_TOC_250005" w:id="7"/>
      <w:r>
        <w:rPr>
          <w:w w:val="95"/>
        </w:rPr>
        <w:t>第七节</w:t>
        <w:tab/>
      </w:r>
      <w:r>
        <w:rPr/>
        <w:t>优先股相关情况</w:t>
      </w:r>
      <w:bookmarkEnd w:id="7"/>
      <w:r>
        <w:rPr>
          <w:b w:val="0"/>
          <w:bCs w:val="0"/>
        </w:rPr>
      </w:r>
    </w:p>
    <w:p>
      <w:pPr>
        <w:spacing w:line="240" w:lineRule="auto" w:before="4"/>
        <w:rPr>
          <w:rFonts w:ascii="黑体" w:hAnsi="黑体" w:cs="黑体" w:eastAsia="黑体" w:hint="default"/>
          <w:b/>
          <w:bCs/>
          <w:sz w:val="19"/>
          <w:szCs w:val="19"/>
        </w:rPr>
      </w:pPr>
    </w:p>
    <w:p>
      <w:pPr>
        <w:pStyle w:val="BodyText"/>
        <w:spacing w:line="240" w:lineRule="auto"/>
        <w:ind w:left="138" w:right="0"/>
        <w:jc w:val="left"/>
      </w:pPr>
      <w:r>
        <w:rPr/>
        <w:t>□适用</w:t>
      </w:r>
      <w:r>
        <w:rPr>
          <w:spacing w:val="-1"/>
        </w:rPr>
        <w:t> </w:t>
      </w:r>
      <w:r>
        <w:rPr/>
        <w:t>√不适用</w:t>
      </w:r>
    </w:p>
    <w:p>
      <w:pPr>
        <w:spacing w:after="0" w:line="240" w:lineRule="auto"/>
        <w:jc w:val="left"/>
        <w:sectPr>
          <w:footerReference w:type="default" r:id="rId23"/>
          <w:pgSz w:w="11910" w:h="16840"/>
          <w:pgMar w:footer="1195" w:header="880" w:top="1120" w:bottom="1380" w:left="1660" w:right="940"/>
        </w:sectPr>
      </w:pPr>
    </w:p>
    <w:p>
      <w:pPr>
        <w:spacing w:line="240" w:lineRule="auto" w:before="3"/>
        <w:rPr>
          <w:rFonts w:ascii="宋体" w:hAnsi="宋体" w:cs="宋体" w:eastAsia="宋体" w:hint="default"/>
          <w:sz w:val="19"/>
          <w:szCs w:val="19"/>
        </w:rPr>
      </w:pPr>
    </w:p>
    <w:p>
      <w:pPr>
        <w:pStyle w:val="Heading1"/>
        <w:tabs>
          <w:tab w:pos="2874" w:val="left" w:leader="none"/>
        </w:tabs>
        <w:spacing w:line="240" w:lineRule="auto" w:before="14"/>
        <w:ind w:left="1613" w:right="227"/>
        <w:jc w:val="left"/>
        <w:rPr>
          <w:b w:val="0"/>
          <w:bCs w:val="0"/>
        </w:rPr>
      </w:pPr>
      <w:bookmarkStart w:name="_TOC_250004" w:id="8"/>
      <w:r>
        <w:rPr>
          <w:w w:val="95"/>
        </w:rPr>
        <w:t>第八节</w:t>
        <w:tab/>
      </w:r>
      <w:r>
        <w:rPr/>
        <w:t>董事、监事、高级管理人员和员工情况</w:t>
      </w:r>
      <w:bookmarkEnd w:id="8"/>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headerReference w:type="default" r:id="rId24"/>
          <w:footerReference w:type="default" r:id="rId25"/>
          <w:pgSz w:w="11910" w:h="16840"/>
          <w:pgMar w:header="882" w:footer="1195" w:top="1120" w:bottom="1380" w:left="1060" w:right="1560"/>
          <w:pgNumType w:start="51"/>
        </w:sectPr>
      </w:pPr>
    </w:p>
    <w:p>
      <w:pPr>
        <w:pStyle w:val="Heading2"/>
        <w:spacing w:line="240" w:lineRule="auto" w:before="36"/>
        <w:ind w:left="217" w:right="-16"/>
        <w:jc w:val="left"/>
        <w:rPr>
          <w:b w:val="0"/>
          <w:bCs w:val="0"/>
        </w:rPr>
      </w:pPr>
      <w:r>
        <w:rPr/>
        <w:t>一、持股变动情况及报酬情况</w:t>
      </w:r>
      <w:r>
        <w:rPr>
          <w:b w:val="0"/>
          <w:bCs w:val="0"/>
        </w:rPr>
      </w:r>
    </w:p>
    <w:p>
      <w:pPr>
        <w:pStyle w:val="Heading2"/>
        <w:spacing w:line="240" w:lineRule="auto" w:before="56"/>
        <w:ind w:left="217" w:right="-16"/>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9"/>
        </w:rPr>
        <w:t> </w:t>
      </w:r>
      <w:r>
        <w:rPr/>
        <w:t>现任及报告期内离任董事、监事和高级管理人员持股变动及报酬情况</w:t>
      </w:r>
      <w:r>
        <w:rPr>
          <w:b w:val="0"/>
          <w:bCs w:val="0"/>
        </w:rPr>
      </w:r>
    </w:p>
    <w:p>
      <w:pPr>
        <w:pStyle w:val="BodyText"/>
        <w:spacing w:line="240" w:lineRule="auto" w:before="32"/>
        <w:ind w:left="217"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17" w:right="0"/>
        <w:jc w:val="left"/>
      </w:pPr>
      <w:r>
        <w:rPr/>
        <w:t>单位：股</w:t>
      </w:r>
    </w:p>
    <w:p>
      <w:pPr>
        <w:spacing w:after="0" w:line="240" w:lineRule="auto"/>
        <w:jc w:val="left"/>
        <w:sectPr>
          <w:type w:val="continuous"/>
          <w:pgSz w:w="11910" w:h="16840"/>
          <w:pgMar w:top="1120" w:bottom="1380" w:left="1060" w:right="1560"/>
          <w:cols w:num="2" w:equalWidth="0">
            <w:col w:w="6965" w:space="1029"/>
            <w:col w:w="1296"/>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59"/>
        <w:gridCol w:w="770"/>
        <w:gridCol w:w="444"/>
        <w:gridCol w:w="442"/>
        <w:gridCol w:w="733"/>
        <w:gridCol w:w="732"/>
        <w:gridCol w:w="1373"/>
        <w:gridCol w:w="1371"/>
        <w:gridCol w:w="576"/>
        <w:gridCol w:w="509"/>
        <w:gridCol w:w="1033"/>
        <w:gridCol w:w="610"/>
      </w:tblGrid>
      <w:tr>
        <w:trPr>
          <w:trHeight w:val="3279" w:hRule="exact"/>
        </w:trPr>
        <w:tc>
          <w:tcPr>
            <w:tcW w:w="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18" w:right="119"/>
              <w:jc w:val="left"/>
              <w:rPr>
                <w:rFonts w:ascii="宋体" w:hAnsi="宋体" w:cs="宋体" w:eastAsia="宋体" w:hint="default"/>
                <w:sz w:val="21"/>
                <w:szCs w:val="21"/>
              </w:rPr>
            </w:pPr>
            <w:r>
              <w:rPr>
                <w:rFonts w:ascii="宋体" w:hAnsi="宋体" w:cs="宋体" w:eastAsia="宋体" w:hint="default"/>
                <w:sz w:val="21"/>
                <w:szCs w:val="21"/>
              </w:rPr>
              <w:t>姓</w:t>
            </w:r>
            <w:r>
              <w:rPr>
                <w:rFonts w:ascii="宋体" w:hAnsi="宋体" w:cs="宋体" w:eastAsia="宋体" w:hint="default"/>
                <w:w w:val="100"/>
                <w:sz w:val="21"/>
                <w:szCs w:val="21"/>
              </w:rPr>
              <w:t> </w:t>
            </w:r>
            <w:r>
              <w:rPr>
                <w:rFonts w:ascii="宋体" w:hAnsi="宋体" w:cs="宋体" w:eastAsia="宋体" w:hint="default"/>
                <w:sz w:val="21"/>
                <w:szCs w:val="21"/>
              </w:rPr>
              <w:t>名</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70" w:right="165"/>
              <w:jc w:val="left"/>
              <w:rPr>
                <w:rFonts w:ascii="宋体" w:hAnsi="宋体" w:cs="宋体" w:eastAsia="宋体" w:hint="default"/>
                <w:sz w:val="21"/>
                <w:szCs w:val="21"/>
              </w:rPr>
            </w:pPr>
            <w:r>
              <w:rPr>
                <w:rFonts w:ascii="宋体" w:hAnsi="宋体" w:cs="宋体" w:eastAsia="宋体" w:hint="default"/>
                <w:sz w:val="21"/>
                <w:szCs w:val="21"/>
              </w:rPr>
              <w:t>职务</w:t>
            </w:r>
            <w:r>
              <w:rPr>
                <w:rFonts w:ascii="宋体" w:hAnsi="宋体" w:cs="宋体" w:eastAsia="宋体" w:hint="default"/>
                <w:spacing w:val="-103"/>
                <w:sz w:val="21"/>
                <w:szCs w:val="21"/>
              </w:rPr>
              <w:t> </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10" w:right="110"/>
              <w:jc w:val="left"/>
              <w:rPr>
                <w:rFonts w:ascii="宋体" w:hAnsi="宋体" w:cs="宋体" w:eastAsia="宋体" w:hint="default"/>
                <w:sz w:val="21"/>
                <w:szCs w:val="21"/>
              </w:rPr>
            </w:pPr>
            <w:r>
              <w:rPr>
                <w:rFonts w:ascii="宋体" w:hAnsi="宋体" w:cs="宋体" w:eastAsia="宋体" w:hint="default"/>
                <w:sz w:val="21"/>
                <w:szCs w:val="21"/>
              </w:rPr>
              <w:t>性</w:t>
            </w:r>
            <w:r>
              <w:rPr>
                <w:rFonts w:ascii="宋体" w:hAnsi="宋体" w:cs="宋体" w:eastAsia="宋体" w:hint="default"/>
                <w:w w:val="100"/>
                <w:sz w:val="21"/>
                <w:szCs w:val="21"/>
              </w:rPr>
              <w:t> </w:t>
            </w:r>
            <w:r>
              <w:rPr>
                <w:rFonts w:ascii="宋体" w:hAnsi="宋体" w:cs="宋体" w:eastAsia="宋体" w:hint="default"/>
                <w:sz w:val="21"/>
                <w:szCs w:val="21"/>
              </w:rPr>
              <w:t>别</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07" w:right="11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龄</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37" w:lineRule="auto" w:before="148"/>
              <w:ind w:left="151" w:right="147"/>
              <w:jc w:val="both"/>
              <w:rPr>
                <w:rFonts w:ascii="宋体" w:hAnsi="宋体" w:cs="宋体" w:eastAsia="宋体" w:hint="default"/>
                <w:sz w:val="21"/>
                <w:szCs w:val="21"/>
              </w:rPr>
            </w:pPr>
            <w:r>
              <w:rPr>
                <w:rFonts w:ascii="宋体" w:hAnsi="宋体" w:cs="宋体" w:eastAsia="宋体" w:hint="default"/>
                <w:sz w:val="21"/>
                <w:szCs w:val="21"/>
              </w:rPr>
              <w:t>任期</w:t>
            </w:r>
            <w:r>
              <w:rPr>
                <w:rFonts w:ascii="宋体" w:hAnsi="宋体" w:cs="宋体" w:eastAsia="宋体" w:hint="default"/>
                <w:spacing w:val="-103"/>
                <w:sz w:val="21"/>
                <w:szCs w:val="21"/>
              </w:rPr>
              <w:t> </w:t>
            </w:r>
            <w:r>
              <w:rPr>
                <w:rFonts w:ascii="宋体" w:hAnsi="宋体" w:cs="宋体" w:eastAsia="宋体" w:hint="default"/>
                <w:sz w:val="21"/>
                <w:szCs w:val="21"/>
              </w:rPr>
              <w:t>起始</w:t>
            </w:r>
            <w:r>
              <w:rPr>
                <w:rFonts w:ascii="宋体" w:hAnsi="宋体" w:cs="宋体" w:eastAsia="宋体" w:hint="default"/>
                <w:spacing w:val="-103"/>
                <w:sz w:val="21"/>
                <w:szCs w:val="21"/>
              </w:rPr>
              <w:t> </w:t>
            </w:r>
            <w:r>
              <w:rPr>
                <w:rFonts w:ascii="宋体" w:hAnsi="宋体" w:cs="宋体" w:eastAsia="宋体" w:hint="default"/>
                <w:sz w:val="21"/>
                <w:szCs w:val="21"/>
              </w:rPr>
              <w:t>日期</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37" w:lineRule="auto" w:before="148"/>
              <w:ind w:left="151" w:right="146"/>
              <w:jc w:val="both"/>
              <w:rPr>
                <w:rFonts w:ascii="宋体" w:hAnsi="宋体" w:cs="宋体" w:eastAsia="宋体" w:hint="default"/>
                <w:sz w:val="21"/>
                <w:szCs w:val="21"/>
              </w:rPr>
            </w:pPr>
            <w:r>
              <w:rPr>
                <w:rFonts w:ascii="宋体" w:hAnsi="宋体" w:cs="宋体" w:eastAsia="宋体" w:hint="default"/>
                <w:sz w:val="21"/>
                <w:szCs w:val="21"/>
              </w:rPr>
              <w:t>任期</w:t>
            </w:r>
            <w:r>
              <w:rPr>
                <w:rFonts w:ascii="宋体" w:hAnsi="宋体" w:cs="宋体" w:eastAsia="宋体" w:hint="default"/>
                <w:spacing w:val="-103"/>
                <w:sz w:val="21"/>
                <w:szCs w:val="21"/>
              </w:rPr>
              <w:t> </w:t>
            </w:r>
            <w:r>
              <w:rPr>
                <w:rFonts w:ascii="宋体" w:hAnsi="宋体" w:cs="宋体" w:eastAsia="宋体" w:hint="default"/>
                <w:sz w:val="21"/>
                <w:szCs w:val="21"/>
              </w:rPr>
              <w:t>终止</w:t>
            </w:r>
            <w:r>
              <w:rPr>
                <w:rFonts w:ascii="宋体" w:hAnsi="宋体" w:cs="宋体" w:eastAsia="宋体" w:hint="default"/>
                <w:spacing w:val="-103"/>
                <w:sz w:val="21"/>
                <w:szCs w:val="21"/>
              </w:rPr>
              <w:t> </w:t>
            </w:r>
            <w:r>
              <w:rPr>
                <w:rFonts w:ascii="宋体" w:hAnsi="宋体" w:cs="宋体" w:eastAsia="宋体" w:hint="default"/>
                <w:sz w:val="21"/>
                <w:szCs w:val="21"/>
              </w:rPr>
              <w:t>日期</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5"/>
              <w:ind w:right="0"/>
              <w:jc w:val="center"/>
              <w:rPr>
                <w:rFonts w:ascii="宋体" w:hAnsi="宋体" w:cs="宋体" w:eastAsia="宋体" w:hint="default"/>
                <w:sz w:val="21"/>
                <w:szCs w:val="21"/>
              </w:rPr>
            </w:pPr>
            <w:r>
              <w:rPr>
                <w:rFonts w:ascii="宋体" w:hAnsi="宋体" w:cs="宋体" w:eastAsia="宋体" w:hint="default"/>
                <w:sz w:val="21"/>
                <w:szCs w:val="21"/>
              </w:rPr>
              <w:t>年初持股数</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5"/>
              <w:ind w:left="151" w:right="0"/>
              <w:jc w:val="left"/>
              <w:rPr>
                <w:rFonts w:ascii="宋体" w:hAnsi="宋体" w:cs="宋体" w:eastAsia="宋体" w:hint="default"/>
                <w:sz w:val="21"/>
                <w:szCs w:val="21"/>
              </w:rPr>
            </w:pPr>
            <w:r>
              <w:rPr>
                <w:rFonts w:ascii="宋体" w:hAnsi="宋体" w:cs="宋体" w:eastAsia="宋体" w:hint="default"/>
                <w:sz w:val="21"/>
                <w:szCs w:val="21"/>
              </w:rPr>
              <w:t>年末持股数</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75" w:right="179"/>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度</w:t>
            </w:r>
            <w:r>
              <w:rPr>
                <w:rFonts w:ascii="宋体" w:hAnsi="宋体" w:cs="宋体" w:eastAsia="宋体" w:hint="default"/>
                <w:w w:val="100"/>
                <w:sz w:val="21"/>
                <w:szCs w:val="21"/>
              </w:rPr>
              <w:t> </w:t>
            </w:r>
            <w:r>
              <w:rPr>
                <w:rFonts w:ascii="宋体" w:hAnsi="宋体" w:cs="宋体" w:eastAsia="宋体" w:hint="default"/>
                <w:sz w:val="21"/>
                <w:szCs w:val="21"/>
              </w:rPr>
              <w:t>内</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份</w:t>
            </w:r>
            <w:r>
              <w:rPr>
                <w:rFonts w:ascii="宋体" w:hAnsi="宋体" w:cs="宋体" w:eastAsia="宋体" w:hint="default"/>
                <w:w w:val="100"/>
                <w:sz w:val="21"/>
                <w:szCs w:val="21"/>
              </w:rPr>
              <w:t> </w:t>
            </w:r>
            <w:r>
              <w:rPr>
                <w:rFonts w:ascii="宋体" w:hAnsi="宋体" w:cs="宋体" w:eastAsia="宋体" w:hint="default"/>
                <w:sz w:val="21"/>
                <w:szCs w:val="21"/>
              </w:rPr>
              <w:t>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w w:val="100"/>
                <w:sz w:val="21"/>
                <w:szCs w:val="21"/>
              </w:rPr>
              <w:t> </w:t>
            </w:r>
            <w:r>
              <w:rPr>
                <w:rFonts w:ascii="宋体" w:hAnsi="宋体" w:cs="宋体" w:eastAsia="宋体" w:hint="default"/>
                <w:sz w:val="21"/>
                <w:szCs w:val="21"/>
              </w:rPr>
              <w:t>变</w:t>
            </w:r>
            <w:r>
              <w:rPr>
                <w:rFonts w:ascii="宋体" w:hAnsi="宋体" w:cs="宋体" w:eastAsia="宋体" w:hint="default"/>
                <w:w w:val="100"/>
                <w:sz w:val="21"/>
                <w:szCs w:val="21"/>
              </w:rPr>
              <w:t> </w:t>
            </w:r>
            <w:r>
              <w:rPr>
                <w:rFonts w:ascii="宋体" w:hAnsi="宋体" w:cs="宋体" w:eastAsia="宋体" w:hint="default"/>
                <w:sz w:val="21"/>
                <w:szCs w:val="21"/>
              </w:rPr>
              <w:t>动</w:t>
            </w:r>
            <w:r>
              <w:rPr>
                <w:rFonts w:ascii="宋体" w:hAnsi="宋体" w:cs="宋体" w:eastAsia="宋体" w:hint="default"/>
                <w:w w:val="100"/>
                <w:sz w:val="21"/>
                <w:szCs w:val="21"/>
              </w:rPr>
              <w:t> </w:t>
            </w:r>
            <w:r>
              <w:rPr>
                <w:rFonts w:ascii="宋体" w:hAnsi="宋体" w:cs="宋体" w:eastAsia="宋体" w:hint="default"/>
                <w:sz w:val="21"/>
                <w:szCs w:val="21"/>
              </w:rPr>
              <w:t>量</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37" w:lineRule="auto"/>
              <w:ind w:left="141" w:right="144"/>
              <w:jc w:val="both"/>
              <w:rPr>
                <w:rFonts w:ascii="宋体" w:hAnsi="宋体" w:cs="宋体" w:eastAsia="宋体" w:hint="default"/>
                <w:sz w:val="21"/>
                <w:szCs w:val="21"/>
              </w:rPr>
            </w:pPr>
            <w:r>
              <w:rPr>
                <w:rFonts w:ascii="宋体" w:hAnsi="宋体" w:cs="宋体" w:eastAsia="宋体" w:hint="default"/>
                <w:sz w:val="21"/>
                <w:szCs w:val="21"/>
              </w:rPr>
              <w:t>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w w:val="100"/>
                <w:sz w:val="21"/>
                <w:szCs w:val="21"/>
              </w:rPr>
              <w:t> </w:t>
            </w:r>
            <w:r>
              <w:rPr>
                <w:rFonts w:ascii="宋体" w:hAnsi="宋体" w:cs="宋体" w:eastAsia="宋体" w:hint="default"/>
                <w:sz w:val="21"/>
                <w:szCs w:val="21"/>
              </w:rPr>
              <w:t>变</w:t>
            </w:r>
            <w:r>
              <w:rPr>
                <w:rFonts w:ascii="宋体" w:hAnsi="宋体" w:cs="宋体" w:eastAsia="宋体" w:hint="default"/>
                <w:w w:val="100"/>
                <w:sz w:val="21"/>
                <w:szCs w:val="21"/>
              </w:rPr>
              <w:t> </w:t>
            </w:r>
            <w:r>
              <w:rPr>
                <w:rFonts w:ascii="宋体" w:hAnsi="宋体" w:cs="宋体" w:eastAsia="宋体" w:hint="default"/>
                <w:sz w:val="21"/>
                <w:szCs w:val="21"/>
              </w:rPr>
              <w:t>动</w:t>
            </w:r>
            <w:r>
              <w:rPr>
                <w:rFonts w:ascii="宋体" w:hAnsi="宋体" w:cs="宋体" w:eastAsia="宋体" w:hint="default"/>
                <w:w w:val="100"/>
                <w:sz w:val="21"/>
                <w:szCs w:val="21"/>
              </w:rPr>
              <w:t> </w:t>
            </w:r>
            <w:r>
              <w:rPr>
                <w:rFonts w:ascii="宋体" w:hAnsi="宋体" w:cs="宋体" w:eastAsia="宋体" w:hint="default"/>
                <w:sz w:val="21"/>
                <w:szCs w:val="21"/>
              </w:rPr>
              <w:t>原</w:t>
            </w:r>
            <w:r>
              <w:rPr>
                <w:rFonts w:ascii="宋体" w:hAnsi="宋体" w:cs="宋体" w:eastAsia="宋体" w:hint="default"/>
                <w:w w:val="100"/>
                <w:sz w:val="21"/>
                <w:szCs w:val="21"/>
              </w:rPr>
              <w:t> </w:t>
            </w:r>
            <w:r>
              <w:rPr>
                <w:rFonts w:ascii="宋体" w:hAnsi="宋体" w:cs="宋体" w:eastAsia="宋体" w:hint="default"/>
                <w:sz w:val="21"/>
                <w:szCs w:val="21"/>
              </w:rPr>
              <w:t>因</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2" w:right="0"/>
              <w:jc w:val="both"/>
              <w:rPr>
                <w:rFonts w:ascii="宋体" w:hAnsi="宋体" w:cs="宋体" w:eastAsia="宋体" w:hint="default"/>
                <w:sz w:val="21"/>
                <w:szCs w:val="21"/>
              </w:rPr>
            </w:pPr>
            <w:r>
              <w:rPr>
                <w:rFonts w:ascii="宋体" w:hAnsi="宋体" w:cs="宋体" w:eastAsia="宋体" w:hint="default"/>
                <w:sz w:val="21"/>
                <w:szCs w:val="21"/>
              </w:rPr>
              <w:t>报告期</w:t>
            </w:r>
          </w:p>
          <w:p>
            <w:pPr>
              <w:pStyle w:val="TableParagraph"/>
              <w:spacing w:line="237" w:lineRule="auto" w:before="2"/>
              <w:ind w:left="192" w:right="194"/>
              <w:jc w:val="both"/>
              <w:rPr>
                <w:rFonts w:ascii="宋体" w:hAnsi="宋体" w:cs="宋体" w:eastAsia="宋体" w:hint="default"/>
                <w:sz w:val="21"/>
                <w:szCs w:val="21"/>
              </w:rPr>
            </w:pPr>
            <w:r>
              <w:rPr>
                <w:rFonts w:ascii="宋体" w:hAnsi="宋体" w:cs="宋体" w:eastAsia="宋体" w:hint="default"/>
                <w:sz w:val="21"/>
                <w:szCs w:val="21"/>
              </w:rPr>
              <w:t>内从公</w:t>
            </w:r>
            <w:r>
              <w:rPr>
                <w:rFonts w:ascii="宋体" w:hAnsi="宋体" w:cs="宋体" w:eastAsia="宋体" w:hint="default"/>
                <w:spacing w:val="-102"/>
                <w:sz w:val="21"/>
                <w:szCs w:val="21"/>
              </w:rPr>
              <w:t> </w:t>
            </w:r>
            <w:r>
              <w:rPr>
                <w:rFonts w:ascii="宋体" w:hAnsi="宋体" w:cs="宋体" w:eastAsia="宋体" w:hint="default"/>
                <w:sz w:val="21"/>
                <w:szCs w:val="21"/>
              </w:rPr>
              <w:t>司获得</w:t>
            </w:r>
            <w:r>
              <w:rPr>
                <w:rFonts w:ascii="宋体" w:hAnsi="宋体" w:cs="宋体" w:eastAsia="宋体" w:hint="default"/>
                <w:spacing w:val="-102"/>
                <w:sz w:val="21"/>
                <w:szCs w:val="21"/>
              </w:rPr>
              <w:t> </w:t>
            </w:r>
            <w:r>
              <w:rPr>
                <w:rFonts w:ascii="宋体" w:hAnsi="宋体" w:cs="宋体" w:eastAsia="宋体" w:hint="default"/>
                <w:sz w:val="21"/>
                <w:szCs w:val="21"/>
              </w:rPr>
              <w:t>的税前</w:t>
            </w:r>
            <w:r>
              <w:rPr>
                <w:rFonts w:ascii="宋体" w:hAnsi="宋体" w:cs="宋体" w:eastAsia="宋体" w:hint="default"/>
                <w:spacing w:val="-102"/>
                <w:sz w:val="21"/>
                <w:szCs w:val="21"/>
              </w:rPr>
              <w:t> </w:t>
            </w:r>
            <w:r>
              <w:rPr>
                <w:rFonts w:ascii="宋体" w:hAnsi="宋体" w:cs="宋体" w:eastAsia="宋体" w:hint="default"/>
                <w:sz w:val="21"/>
                <w:szCs w:val="21"/>
              </w:rPr>
              <w:t>报酬总</w:t>
            </w:r>
            <w:r>
              <w:rPr>
                <w:rFonts w:ascii="宋体" w:hAnsi="宋体" w:cs="宋体" w:eastAsia="宋体" w:hint="default"/>
                <w:spacing w:val="-102"/>
                <w:sz w:val="21"/>
                <w:szCs w:val="21"/>
              </w:rPr>
              <w:t> </w:t>
            </w:r>
            <w:r>
              <w:rPr>
                <w:rFonts w:ascii="宋体" w:hAnsi="宋体" w:cs="宋体" w:eastAsia="宋体" w:hint="default"/>
                <w:sz w:val="21"/>
                <w:szCs w:val="21"/>
              </w:rPr>
              <w:t>额（万</w:t>
            </w:r>
            <w:r>
              <w:rPr>
                <w:rFonts w:ascii="宋体" w:hAnsi="宋体" w:cs="宋体" w:eastAsia="宋体" w:hint="default"/>
                <w:spacing w:val="-102"/>
                <w:sz w:val="21"/>
                <w:szCs w:val="21"/>
              </w:rPr>
              <w:t> </w:t>
            </w:r>
            <w:r>
              <w:rPr>
                <w:rFonts w:ascii="宋体" w:hAnsi="宋体" w:cs="宋体" w:eastAsia="宋体" w:hint="default"/>
                <w:sz w:val="21"/>
                <w:szCs w:val="21"/>
              </w:rPr>
              <w:t>元）</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4" w:right="0"/>
              <w:jc w:val="both"/>
              <w:rPr>
                <w:rFonts w:ascii="宋体" w:hAnsi="宋体" w:cs="宋体" w:eastAsia="宋体" w:hint="default"/>
                <w:sz w:val="21"/>
                <w:szCs w:val="21"/>
              </w:rPr>
            </w:pPr>
            <w:r>
              <w:rPr>
                <w:rFonts w:ascii="宋体" w:hAnsi="宋体" w:cs="宋体" w:eastAsia="宋体" w:hint="default"/>
                <w:w w:val="100"/>
                <w:sz w:val="21"/>
                <w:szCs w:val="21"/>
              </w:rPr>
              <w:t>是</w:t>
            </w:r>
          </w:p>
          <w:p>
            <w:pPr>
              <w:pStyle w:val="TableParagraph"/>
              <w:spacing w:line="237" w:lineRule="auto" w:before="2"/>
              <w:ind w:left="194" w:right="192"/>
              <w:jc w:val="both"/>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w w:val="100"/>
                <w:sz w:val="21"/>
                <w:szCs w:val="21"/>
              </w:rPr>
              <w:t> </w:t>
            </w:r>
            <w:r>
              <w:rPr>
                <w:rFonts w:ascii="宋体" w:hAnsi="宋体" w:cs="宋体" w:eastAsia="宋体" w:hint="default"/>
                <w:sz w:val="21"/>
                <w:szCs w:val="21"/>
              </w:rPr>
              <w:t>在</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w w:val="100"/>
                <w:sz w:val="21"/>
                <w:szCs w:val="21"/>
              </w:rPr>
              <w:t> </w:t>
            </w:r>
            <w:r>
              <w:rPr>
                <w:rFonts w:ascii="宋体" w:hAnsi="宋体" w:cs="宋体" w:eastAsia="宋体" w:hint="default"/>
                <w:sz w:val="21"/>
                <w:szCs w:val="21"/>
              </w:rPr>
              <w:t>关</w:t>
            </w:r>
            <w:r>
              <w:rPr>
                <w:rFonts w:ascii="宋体" w:hAnsi="宋体" w:cs="宋体" w:eastAsia="宋体" w:hint="default"/>
                <w:w w:val="100"/>
                <w:sz w:val="21"/>
                <w:szCs w:val="21"/>
              </w:rPr>
              <w:t> </w:t>
            </w:r>
            <w:r>
              <w:rPr>
                <w:rFonts w:ascii="宋体" w:hAnsi="宋体" w:cs="宋体" w:eastAsia="宋体" w:hint="default"/>
                <w:sz w:val="21"/>
                <w:szCs w:val="21"/>
              </w:rPr>
              <w:t>联</w:t>
            </w:r>
            <w:r>
              <w:rPr>
                <w:rFonts w:ascii="宋体" w:hAnsi="宋体" w:cs="宋体" w:eastAsia="宋体" w:hint="default"/>
                <w:w w:val="100"/>
                <w:sz w:val="21"/>
                <w:szCs w:val="21"/>
              </w:rPr>
              <w:t> </w:t>
            </w:r>
            <w:r>
              <w:rPr>
                <w:rFonts w:ascii="宋体" w:hAnsi="宋体" w:cs="宋体" w:eastAsia="宋体" w:hint="default"/>
                <w:sz w:val="21"/>
                <w:szCs w:val="21"/>
              </w:rPr>
              <w:t>方</w:t>
            </w:r>
            <w:r>
              <w:rPr>
                <w:rFonts w:ascii="宋体" w:hAnsi="宋体" w:cs="宋体" w:eastAsia="宋体" w:hint="default"/>
                <w:w w:val="100"/>
                <w:sz w:val="21"/>
                <w:szCs w:val="21"/>
              </w:rPr>
              <w:t> </w:t>
            </w:r>
            <w:r>
              <w:rPr>
                <w:rFonts w:ascii="宋体" w:hAnsi="宋体" w:cs="宋体" w:eastAsia="宋体" w:hint="default"/>
                <w:sz w:val="21"/>
                <w:szCs w:val="21"/>
              </w:rPr>
              <w:t>获</w:t>
            </w:r>
            <w:r>
              <w:rPr>
                <w:rFonts w:ascii="宋体" w:hAnsi="宋体" w:cs="宋体" w:eastAsia="宋体" w:hint="default"/>
                <w:w w:val="100"/>
                <w:sz w:val="21"/>
                <w:szCs w:val="21"/>
              </w:rPr>
              <w:t> </w:t>
            </w:r>
            <w:r>
              <w:rPr>
                <w:rFonts w:ascii="宋体" w:hAnsi="宋体" w:cs="宋体" w:eastAsia="宋体" w:hint="default"/>
                <w:sz w:val="21"/>
                <w:szCs w:val="21"/>
              </w:rPr>
              <w:t>取</w:t>
            </w:r>
            <w:r>
              <w:rPr>
                <w:rFonts w:ascii="宋体" w:hAnsi="宋体" w:cs="宋体" w:eastAsia="宋体" w:hint="default"/>
                <w:w w:val="100"/>
                <w:sz w:val="21"/>
                <w:szCs w:val="21"/>
              </w:rPr>
              <w:t> </w:t>
            </w:r>
            <w:r>
              <w:rPr>
                <w:rFonts w:ascii="宋体" w:hAnsi="宋体" w:cs="宋体" w:eastAsia="宋体" w:hint="default"/>
                <w:sz w:val="21"/>
                <w:szCs w:val="21"/>
              </w:rPr>
              <w:t>报</w:t>
            </w:r>
            <w:r>
              <w:rPr>
                <w:rFonts w:ascii="宋体" w:hAnsi="宋体" w:cs="宋体" w:eastAsia="宋体" w:hint="default"/>
                <w:w w:val="100"/>
                <w:sz w:val="21"/>
                <w:szCs w:val="21"/>
              </w:rPr>
              <w:t> </w:t>
            </w:r>
            <w:r>
              <w:rPr>
                <w:rFonts w:ascii="宋体" w:hAnsi="宋体" w:cs="宋体" w:eastAsia="宋体" w:hint="default"/>
                <w:sz w:val="21"/>
                <w:szCs w:val="21"/>
              </w:rPr>
              <w:t>酬</w:t>
            </w:r>
          </w:p>
        </w:tc>
      </w:tr>
      <w:tr>
        <w:trPr>
          <w:trHeight w:val="1099" w:hRule="exact"/>
        </w:trPr>
        <w:tc>
          <w:tcPr>
            <w:tcW w:w="4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郭</w:t>
            </w:r>
          </w:p>
          <w:p>
            <w:pPr>
              <w:pStyle w:val="TableParagraph"/>
              <w:spacing w:line="240" w:lineRule="auto"/>
              <w:ind w:left="103" w:right="132"/>
              <w:jc w:val="left"/>
              <w:rPr>
                <w:rFonts w:ascii="宋体" w:hAnsi="宋体" w:cs="宋体" w:eastAsia="宋体" w:hint="default"/>
                <w:sz w:val="21"/>
                <w:szCs w:val="21"/>
              </w:rPr>
            </w:pPr>
            <w:r>
              <w:rPr>
                <w:rFonts w:ascii="宋体" w:hAnsi="宋体" w:cs="宋体" w:eastAsia="宋体" w:hint="default"/>
                <w:sz w:val="21"/>
                <w:szCs w:val="21"/>
              </w:rPr>
              <w:t>东</w:t>
            </w:r>
            <w:r>
              <w:rPr>
                <w:rFonts w:ascii="宋体" w:hAnsi="宋体" w:cs="宋体" w:eastAsia="宋体" w:hint="default"/>
                <w:w w:val="100"/>
                <w:sz w:val="21"/>
                <w:szCs w:val="21"/>
              </w:rPr>
              <w:t> </w:t>
            </w:r>
            <w:r>
              <w:rPr>
                <w:rFonts w:ascii="宋体" w:hAnsi="宋体" w:cs="宋体" w:eastAsia="宋体" w:hint="default"/>
                <w:sz w:val="21"/>
                <w:szCs w:val="21"/>
              </w:rPr>
              <w:t>泽</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董</w:t>
            </w:r>
            <w:r>
              <w:rPr>
                <w:rFonts w:ascii="宋体" w:hAnsi="宋体" w:cs="宋体" w:eastAsia="宋体" w:hint="default"/>
                <w:spacing w:val="31"/>
                <w:sz w:val="21"/>
                <w:szCs w:val="21"/>
              </w:rPr>
              <w:t> </w:t>
            </w:r>
            <w:r>
              <w:rPr>
                <w:rFonts w:ascii="宋体" w:hAnsi="宋体" w:cs="宋体" w:eastAsia="宋体" w:hint="default"/>
                <w:sz w:val="21"/>
                <w:szCs w:val="21"/>
              </w:rPr>
              <w:t>事</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长</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43</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sz w:val="21"/>
              </w:rPr>
              <w:t>2016</w:t>
            </w:r>
          </w:p>
          <w:p>
            <w:pPr>
              <w:pStyle w:val="TableParagraph"/>
              <w:tabs>
                <w:tab w:pos="515" w:val="left" w:leader="none"/>
              </w:tabs>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tab/>
            </w:r>
            <w:r>
              <w:rPr>
                <w:rFonts w:ascii="宋体" w:hAnsi="宋体" w:cs="宋体" w:eastAsia="宋体" w:hint="default"/>
                <w:sz w:val="21"/>
                <w:szCs w:val="21"/>
              </w:rPr>
              <w:t>8</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7"/>
                <w:sz w:val="21"/>
                <w:szCs w:val="21"/>
              </w:rPr>
              <w:t> </w:t>
            </w:r>
            <w:r>
              <w:rPr>
                <w:rFonts w:ascii="宋体" w:hAnsi="宋体" w:cs="宋体" w:eastAsia="宋体" w:hint="default"/>
                <w:sz w:val="21"/>
                <w:szCs w:val="21"/>
              </w:rPr>
              <w:t>10</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sz w:val="21"/>
              </w:rPr>
              <w:t>2018</w:t>
            </w:r>
          </w:p>
          <w:p>
            <w:pPr>
              <w:pStyle w:val="TableParagraph"/>
              <w:tabs>
                <w:tab w:pos="515" w:val="left" w:leader="none"/>
              </w:tabs>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tab/>
            </w:r>
            <w:r>
              <w:rPr>
                <w:rFonts w:ascii="宋体" w:hAnsi="宋体" w:cs="宋体" w:eastAsia="宋体" w:hint="default"/>
                <w:sz w:val="21"/>
                <w:szCs w:val="21"/>
              </w:rPr>
              <w:t>1</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7"/>
                <w:sz w:val="21"/>
                <w:szCs w:val="21"/>
              </w:rPr>
              <w:t> </w:t>
            </w:r>
            <w:r>
              <w:rPr>
                <w:rFonts w:ascii="宋体" w:hAnsi="宋体" w:cs="宋体" w:eastAsia="宋体" w:hint="default"/>
                <w:sz w:val="21"/>
                <w:szCs w:val="21"/>
              </w:rPr>
              <w:t>23</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373,798,524</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373,798,524</w:t>
            </w:r>
          </w:p>
        </w:tc>
        <w:tc>
          <w:tcPr>
            <w:tcW w:w="576"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88.63</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1100" w:hRule="exact"/>
        </w:trPr>
        <w:tc>
          <w:tcPr>
            <w:tcW w:w="4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郭</w:t>
            </w:r>
          </w:p>
          <w:p>
            <w:pPr>
              <w:pStyle w:val="TableParagraph"/>
              <w:spacing w:line="240" w:lineRule="auto"/>
              <w:ind w:left="103" w:right="132"/>
              <w:jc w:val="left"/>
              <w:rPr>
                <w:rFonts w:ascii="宋体" w:hAnsi="宋体" w:cs="宋体" w:eastAsia="宋体" w:hint="default"/>
                <w:sz w:val="21"/>
                <w:szCs w:val="21"/>
              </w:rPr>
            </w:pPr>
            <w:r>
              <w:rPr>
                <w:rFonts w:ascii="宋体" w:hAnsi="宋体" w:cs="宋体" w:eastAsia="宋体" w:hint="default"/>
                <w:sz w:val="21"/>
                <w:szCs w:val="21"/>
              </w:rPr>
              <w:t>东</w:t>
            </w:r>
            <w:r>
              <w:rPr>
                <w:rFonts w:ascii="宋体" w:hAnsi="宋体" w:cs="宋体" w:eastAsia="宋体" w:hint="default"/>
                <w:w w:val="100"/>
                <w:sz w:val="21"/>
                <w:szCs w:val="21"/>
              </w:rPr>
              <w:t> </w:t>
            </w:r>
            <w:r>
              <w:rPr>
                <w:rFonts w:ascii="宋体" w:hAnsi="宋体" w:cs="宋体" w:eastAsia="宋体" w:hint="default"/>
                <w:sz w:val="21"/>
                <w:szCs w:val="21"/>
              </w:rPr>
              <w:t>圣</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总</w:t>
            </w:r>
            <w:r>
              <w:rPr>
                <w:rFonts w:ascii="宋体" w:hAnsi="宋体" w:cs="宋体" w:eastAsia="宋体" w:hint="default"/>
                <w:spacing w:val="31"/>
                <w:sz w:val="21"/>
                <w:szCs w:val="21"/>
              </w:rPr>
              <w:t> </w:t>
            </w:r>
            <w:r>
              <w:rPr>
                <w:rFonts w:ascii="宋体" w:hAnsi="宋体" w:cs="宋体" w:eastAsia="宋体" w:hint="default"/>
                <w:sz w:val="21"/>
                <w:szCs w:val="21"/>
              </w:rPr>
              <w:t>经</w:t>
            </w:r>
            <w:r>
              <w:rPr>
                <w:rFonts w:ascii="宋体" w:hAnsi="宋体" w:cs="宋体" w:eastAsia="宋体" w:hint="default"/>
                <w:w w:val="100"/>
                <w:sz w:val="21"/>
                <w:szCs w:val="21"/>
              </w:rPr>
              <w:t> </w:t>
            </w:r>
            <w:r>
              <w:rPr>
                <w:rFonts w:ascii="宋体" w:hAnsi="宋体" w:cs="宋体" w:eastAsia="宋体" w:hint="default"/>
                <w:sz w:val="21"/>
                <w:szCs w:val="21"/>
              </w:rPr>
              <w:t>理</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40</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sz w:val="21"/>
              </w:rPr>
              <w:t>2016</w:t>
            </w:r>
          </w:p>
          <w:p>
            <w:pPr>
              <w:pStyle w:val="TableParagraph"/>
              <w:tabs>
                <w:tab w:pos="515" w:val="left" w:leader="none"/>
              </w:tabs>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tab/>
            </w:r>
            <w:r>
              <w:rPr>
                <w:rFonts w:ascii="宋体" w:hAnsi="宋体" w:cs="宋体" w:eastAsia="宋体" w:hint="default"/>
                <w:sz w:val="21"/>
                <w:szCs w:val="21"/>
              </w:rPr>
              <w:t>8</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7"/>
                <w:sz w:val="21"/>
                <w:szCs w:val="21"/>
              </w:rPr>
              <w:t> </w:t>
            </w:r>
            <w:r>
              <w:rPr>
                <w:rFonts w:ascii="宋体" w:hAnsi="宋体" w:cs="宋体" w:eastAsia="宋体" w:hint="default"/>
                <w:sz w:val="21"/>
                <w:szCs w:val="21"/>
              </w:rPr>
              <w:t>10</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sz w:val="21"/>
              </w:rPr>
              <w:t>2019</w:t>
            </w:r>
          </w:p>
          <w:p>
            <w:pPr>
              <w:pStyle w:val="TableParagraph"/>
              <w:tabs>
                <w:tab w:pos="515" w:val="left" w:leader="none"/>
              </w:tabs>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tab/>
            </w:r>
            <w:r>
              <w:rPr>
                <w:rFonts w:ascii="宋体" w:hAnsi="宋体" w:cs="宋体" w:eastAsia="宋体" w:hint="default"/>
                <w:sz w:val="21"/>
                <w:szCs w:val="21"/>
              </w:rPr>
              <w:t>8</w:t>
            </w:r>
          </w:p>
          <w:p>
            <w:pPr>
              <w:pStyle w:val="TableParagraph"/>
              <w:tabs>
                <w:tab w:pos="515" w:val="left" w:leader="none"/>
              </w:tabs>
              <w:spacing w:line="272" w:lineRule="exact" w:before="27"/>
              <w:ind w:left="103" w:right="98"/>
              <w:jc w:val="left"/>
              <w:rPr>
                <w:rFonts w:ascii="宋体" w:hAnsi="宋体" w:cs="宋体" w:eastAsia="宋体" w:hint="default"/>
                <w:sz w:val="21"/>
                <w:szCs w:val="21"/>
              </w:rPr>
            </w:pPr>
            <w:r>
              <w:rPr>
                <w:rFonts w:ascii="宋体" w:hAnsi="宋体" w:cs="宋体" w:eastAsia="宋体" w:hint="default"/>
                <w:sz w:val="21"/>
                <w:szCs w:val="21"/>
              </w:rPr>
              <w:t>月</w:t>
              <w:tab/>
            </w:r>
            <w:r>
              <w:rPr>
                <w:rFonts w:ascii="宋体" w:hAnsi="宋体" w:cs="宋体" w:eastAsia="宋体" w:hint="default"/>
                <w:sz w:val="21"/>
                <w:szCs w:val="21"/>
              </w:rPr>
              <w:t>9</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197,158,965</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197,158,965</w:t>
            </w:r>
          </w:p>
        </w:tc>
        <w:tc>
          <w:tcPr>
            <w:tcW w:w="576"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83.23</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1099" w:hRule="exact"/>
        </w:trPr>
        <w:tc>
          <w:tcPr>
            <w:tcW w:w="4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王</w:t>
            </w:r>
          </w:p>
          <w:p>
            <w:pPr>
              <w:pStyle w:val="TableParagraph"/>
              <w:spacing w:line="272" w:lineRule="exact" w:before="27"/>
              <w:ind w:left="103" w:right="132"/>
              <w:jc w:val="left"/>
              <w:rPr>
                <w:rFonts w:ascii="宋体" w:hAnsi="宋体" w:cs="宋体" w:eastAsia="宋体" w:hint="default"/>
                <w:sz w:val="21"/>
                <w:szCs w:val="21"/>
              </w:rPr>
            </w:pPr>
            <w:r>
              <w:rPr>
                <w:rFonts w:ascii="宋体" w:hAnsi="宋体" w:cs="宋体" w:eastAsia="宋体" w:hint="default"/>
                <w:sz w:val="21"/>
                <w:szCs w:val="21"/>
              </w:rPr>
              <w:t>经</w:t>
            </w:r>
            <w:r>
              <w:rPr>
                <w:rFonts w:ascii="宋体" w:hAnsi="宋体" w:cs="宋体" w:eastAsia="宋体" w:hint="default"/>
                <w:w w:val="100"/>
                <w:sz w:val="21"/>
                <w:szCs w:val="21"/>
              </w:rPr>
              <w:t> </w:t>
            </w:r>
            <w:r>
              <w:rPr>
                <w:rFonts w:ascii="宋体" w:hAnsi="宋体" w:cs="宋体" w:eastAsia="宋体" w:hint="default"/>
                <w:sz w:val="21"/>
                <w:szCs w:val="21"/>
              </w:rPr>
              <w:t>文</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z w:val="21"/>
                <w:szCs w:val="21"/>
              </w:rPr>
              <w:t>副</w:t>
            </w:r>
            <w:r>
              <w:rPr>
                <w:rFonts w:ascii="宋体" w:hAnsi="宋体" w:cs="宋体" w:eastAsia="宋体" w:hint="default"/>
                <w:spacing w:val="31"/>
                <w:sz w:val="21"/>
                <w:szCs w:val="21"/>
              </w:rPr>
              <w:t> </w:t>
            </w:r>
            <w:r>
              <w:rPr>
                <w:rFonts w:ascii="宋体" w:hAnsi="宋体" w:cs="宋体" w:eastAsia="宋体" w:hint="default"/>
                <w:sz w:val="21"/>
                <w:szCs w:val="21"/>
              </w:rPr>
              <w:t>总</w:t>
            </w:r>
            <w:r>
              <w:rPr>
                <w:rFonts w:ascii="宋体" w:hAnsi="宋体" w:cs="宋体" w:eastAsia="宋体" w:hint="default"/>
                <w:w w:val="100"/>
                <w:sz w:val="21"/>
                <w:szCs w:val="21"/>
              </w:rPr>
              <w:t> </w:t>
            </w:r>
            <w:r>
              <w:rPr>
                <w:rFonts w:ascii="宋体" w:hAnsi="宋体" w:cs="宋体" w:eastAsia="宋体" w:hint="default"/>
                <w:sz w:val="21"/>
                <w:szCs w:val="21"/>
              </w:rPr>
              <w:t>经理</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46</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2016</w:t>
            </w:r>
          </w:p>
          <w:p>
            <w:pPr>
              <w:pStyle w:val="TableParagraph"/>
              <w:tabs>
                <w:tab w:pos="515" w:val="left" w:leader="none"/>
              </w:tabs>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tab/>
            </w:r>
            <w:r>
              <w:rPr>
                <w:rFonts w:ascii="宋体" w:hAnsi="宋体" w:cs="宋体" w:eastAsia="宋体" w:hint="default"/>
                <w:sz w:val="21"/>
                <w:szCs w:val="21"/>
              </w:rPr>
              <w:t>8</w:t>
            </w:r>
          </w:p>
          <w:p>
            <w:pPr>
              <w:pStyle w:val="TableParagraph"/>
              <w:spacing w:line="272" w:lineRule="exact" w:before="26"/>
              <w:ind w:left="103" w:right="99"/>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7"/>
                <w:sz w:val="21"/>
                <w:szCs w:val="21"/>
              </w:rPr>
              <w:t> </w:t>
            </w:r>
            <w:r>
              <w:rPr>
                <w:rFonts w:ascii="宋体" w:hAnsi="宋体" w:cs="宋体" w:eastAsia="宋体" w:hint="default"/>
                <w:sz w:val="21"/>
                <w:szCs w:val="21"/>
              </w:rPr>
              <w:t>10</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2019</w:t>
            </w:r>
          </w:p>
          <w:p>
            <w:pPr>
              <w:pStyle w:val="TableParagraph"/>
              <w:tabs>
                <w:tab w:pos="515" w:val="left" w:leader="none"/>
              </w:tabs>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tab/>
            </w:r>
            <w:r>
              <w:rPr>
                <w:rFonts w:ascii="宋体" w:hAnsi="宋体" w:cs="宋体" w:eastAsia="宋体" w:hint="default"/>
                <w:sz w:val="21"/>
                <w:szCs w:val="21"/>
              </w:rPr>
              <w:t>8</w:t>
            </w:r>
          </w:p>
          <w:p>
            <w:pPr>
              <w:pStyle w:val="TableParagraph"/>
              <w:tabs>
                <w:tab w:pos="515" w:val="left" w:leader="none"/>
              </w:tabs>
              <w:spacing w:line="272" w:lineRule="exact" w:before="26"/>
              <w:ind w:left="103" w:right="98"/>
              <w:jc w:val="left"/>
              <w:rPr>
                <w:rFonts w:ascii="宋体" w:hAnsi="宋体" w:cs="宋体" w:eastAsia="宋体" w:hint="default"/>
                <w:sz w:val="21"/>
                <w:szCs w:val="21"/>
              </w:rPr>
            </w:pPr>
            <w:r>
              <w:rPr>
                <w:rFonts w:ascii="宋体" w:hAnsi="宋体" w:cs="宋体" w:eastAsia="宋体" w:hint="default"/>
                <w:sz w:val="21"/>
                <w:szCs w:val="21"/>
              </w:rPr>
              <w:t>月</w:t>
              <w:tab/>
            </w:r>
            <w:r>
              <w:rPr>
                <w:rFonts w:ascii="宋体" w:hAnsi="宋体" w:cs="宋体" w:eastAsia="宋体" w:hint="default"/>
                <w:sz w:val="21"/>
                <w:szCs w:val="21"/>
              </w:rPr>
              <w:t>9</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1373"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62.23</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1099" w:hRule="exact"/>
        </w:trPr>
        <w:tc>
          <w:tcPr>
            <w:tcW w:w="4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郭</w:t>
            </w:r>
          </w:p>
          <w:p>
            <w:pPr>
              <w:pStyle w:val="TableParagraph"/>
              <w:spacing w:line="272" w:lineRule="exact" w:before="27"/>
              <w:ind w:left="103" w:right="132"/>
              <w:jc w:val="left"/>
              <w:rPr>
                <w:rFonts w:ascii="宋体" w:hAnsi="宋体" w:cs="宋体" w:eastAsia="宋体" w:hint="default"/>
                <w:sz w:val="21"/>
                <w:szCs w:val="21"/>
              </w:rPr>
            </w:pPr>
            <w:r>
              <w:rPr>
                <w:rFonts w:ascii="宋体" w:hAnsi="宋体" w:cs="宋体" w:eastAsia="宋体" w:hint="default"/>
                <w:sz w:val="21"/>
                <w:szCs w:val="21"/>
              </w:rPr>
              <w:t>文</w:t>
            </w:r>
            <w:r>
              <w:rPr>
                <w:rFonts w:ascii="宋体" w:hAnsi="宋体" w:cs="宋体" w:eastAsia="宋体" w:hint="default"/>
                <w:w w:val="100"/>
                <w:sz w:val="21"/>
                <w:szCs w:val="21"/>
              </w:rPr>
              <w:t> </w:t>
            </w:r>
            <w:r>
              <w:rPr>
                <w:rFonts w:ascii="宋体" w:hAnsi="宋体" w:cs="宋体" w:eastAsia="宋体" w:hint="default"/>
                <w:sz w:val="21"/>
                <w:szCs w:val="21"/>
              </w:rPr>
              <w:t>圣</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49</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2018</w:t>
            </w:r>
          </w:p>
          <w:p>
            <w:pPr>
              <w:pStyle w:val="TableParagraph"/>
              <w:tabs>
                <w:tab w:pos="515" w:val="left" w:leader="none"/>
              </w:tabs>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tab/>
            </w:r>
            <w:r>
              <w:rPr>
                <w:rFonts w:ascii="宋体" w:hAnsi="宋体" w:cs="宋体" w:eastAsia="宋体" w:hint="default"/>
                <w:sz w:val="21"/>
                <w:szCs w:val="21"/>
              </w:rPr>
              <w:t>2</w:t>
            </w:r>
          </w:p>
          <w:p>
            <w:pPr>
              <w:pStyle w:val="TableParagraph"/>
              <w:tabs>
                <w:tab w:pos="515" w:val="left" w:leader="none"/>
              </w:tabs>
              <w:spacing w:line="240" w:lineRule="auto"/>
              <w:ind w:left="103" w:right="99"/>
              <w:jc w:val="left"/>
              <w:rPr>
                <w:rFonts w:ascii="宋体" w:hAnsi="宋体" w:cs="宋体" w:eastAsia="宋体" w:hint="default"/>
                <w:sz w:val="21"/>
                <w:szCs w:val="21"/>
              </w:rPr>
            </w:pPr>
            <w:r>
              <w:rPr>
                <w:rFonts w:ascii="宋体" w:hAnsi="宋体" w:cs="宋体" w:eastAsia="宋体" w:hint="default"/>
                <w:sz w:val="21"/>
                <w:szCs w:val="21"/>
              </w:rPr>
              <w:t>月</w:t>
              <w:tab/>
            </w:r>
            <w:r>
              <w:rPr>
                <w:rFonts w:ascii="宋体" w:hAnsi="宋体" w:cs="宋体" w:eastAsia="宋体" w:hint="default"/>
                <w:sz w:val="21"/>
                <w:szCs w:val="21"/>
              </w:rPr>
              <w:t>9</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2019</w:t>
            </w:r>
          </w:p>
          <w:p>
            <w:pPr>
              <w:pStyle w:val="TableParagraph"/>
              <w:tabs>
                <w:tab w:pos="515" w:val="left" w:leader="none"/>
              </w:tabs>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tab/>
            </w:r>
            <w:r>
              <w:rPr>
                <w:rFonts w:ascii="宋体" w:hAnsi="宋体" w:cs="宋体" w:eastAsia="宋体" w:hint="default"/>
                <w:sz w:val="21"/>
                <w:szCs w:val="21"/>
              </w:rPr>
              <w:t>8</w:t>
            </w:r>
          </w:p>
          <w:p>
            <w:pPr>
              <w:pStyle w:val="TableParagraph"/>
              <w:tabs>
                <w:tab w:pos="515" w:val="left" w:leader="none"/>
              </w:tabs>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月</w:t>
              <w:tab/>
            </w:r>
            <w:r>
              <w:rPr>
                <w:rFonts w:ascii="宋体" w:hAnsi="宋体" w:cs="宋体" w:eastAsia="宋体" w:hint="default"/>
                <w:sz w:val="21"/>
                <w:szCs w:val="21"/>
              </w:rPr>
              <w:t>9</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1373"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1033"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1100" w:hRule="exact"/>
        </w:trPr>
        <w:tc>
          <w:tcPr>
            <w:tcW w:w="4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崔</w:t>
            </w:r>
          </w:p>
          <w:p>
            <w:pPr>
              <w:pStyle w:val="TableParagraph"/>
              <w:spacing w:line="272" w:lineRule="exact" w:before="27"/>
              <w:ind w:left="103" w:right="132"/>
              <w:jc w:val="left"/>
              <w:rPr>
                <w:rFonts w:ascii="宋体" w:hAnsi="宋体" w:cs="宋体" w:eastAsia="宋体" w:hint="default"/>
                <w:sz w:val="21"/>
                <w:szCs w:val="21"/>
              </w:rPr>
            </w:pPr>
            <w:r>
              <w:rPr>
                <w:rFonts w:ascii="宋体" w:hAnsi="宋体" w:cs="宋体" w:eastAsia="宋体" w:hint="default"/>
                <w:sz w:val="21"/>
                <w:szCs w:val="21"/>
              </w:rPr>
              <w:t>建</w:t>
            </w:r>
            <w:r>
              <w:rPr>
                <w:rFonts w:ascii="宋体" w:hAnsi="宋体" w:cs="宋体" w:eastAsia="宋体" w:hint="default"/>
                <w:w w:val="100"/>
                <w:sz w:val="21"/>
                <w:szCs w:val="21"/>
              </w:rPr>
              <w:t> </w:t>
            </w:r>
            <w:r>
              <w:rPr>
                <w:rFonts w:ascii="宋体" w:hAnsi="宋体" w:cs="宋体" w:eastAsia="宋体" w:hint="default"/>
                <w:sz w:val="21"/>
                <w:szCs w:val="21"/>
              </w:rPr>
              <w:t>霖</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43</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2016</w:t>
            </w:r>
          </w:p>
          <w:p>
            <w:pPr>
              <w:pStyle w:val="TableParagraph"/>
              <w:tabs>
                <w:tab w:pos="515" w:val="left" w:leader="none"/>
              </w:tabs>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tab/>
            </w:r>
            <w:r>
              <w:rPr>
                <w:rFonts w:ascii="宋体" w:hAnsi="宋体" w:cs="宋体" w:eastAsia="宋体" w:hint="default"/>
                <w:sz w:val="21"/>
                <w:szCs w:val="21"/>
              </w:rPr>
              <w:t>8</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7"/>
                <w:sz w:val="21"/>
                <w:szCs w:val="21"/>
              </w:rPr>
              <w:t> </w:t>
            </w:r>
            <w:r>
              <w:rPr>
                <w:rFonts w:ascii="宋体" w:hAnsi="宋体" w:cs="宋体" w:eastAsia="宋体" w:hint="default"/>
                <w:sz w:val="21"/>
                <w:szCs w:val="21"/>
              </w:rPr>
              <w:t>10</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2019</w:t>
            </w:r>
          </w:p>
          <w:p>
            <w:pPr>
              <w:pStyle w:val="TableParagraph"/>
              <w:tabs>
                <w:tab w:pos="515" w:val="left" w:leader="none"/>
              </w:tabs>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tab/>
            </w:r>
            <w:r>
              <w:rPr>
                <w:rFonts w:ascii="宋体" w:hAnsi="宋体" w:cs="宋体" w:eastAsia="宋体" w:hint="default"/>
                <w:sz w:val="21"/>
                <w:szCs w:val="21"/>
              </w:rPr>
              <w:t>8</w:t>
            </w:r>
          </w:p>
          <w:p>
            <w:pPr>
              <w:pStyle w:val="TableParagraph"/>
              <w:tabs>
                <w:tab w:pos="515" w:val="left" w:leader="none"/>
              </w:tabs>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月</w:t>
              <w:tab/>
            </w:r>
            <w:r>
              <w:rPr>
                <w:rFonts w:ascii="宋体" w:hAnsi="宋体" w:cs="宋体" w:eastAsia="宋体" w:hint="default"/>
                <w:sz w:val="21"/>
                <w:szCs w:val="21"/>
              </w:rPr>
              <w:t>9</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1373"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1033"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1099" w:hRule="exact"/>
        </w:trPr>
        <w:tc>
          <w:tcPr>
            <w:tcW w:w="4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赵</w:t>
            </w:r>
          </w:p>
          <w:p>
            <w:pPr>
              <w:pStyle w:val="TableParagraph"/>
              <w:spacing w:line="272" w:lineRule="exact" w:before="27"/>
              <w:ind w:left="103" w:right="132"/>
              <w:jc w:val="left"/>
              <w:rPr>
                <w:rFonts w:ascii="宋体" w:hAnsi="宋体" w:cs="宋体" w:eastAsia="宋体" w:hint="default"/>
                <w:sz w:val="21"/>
                <w:szCs w:val="21"/>
              </w:rPr>
            </w:pPr>
            <w:r>
              <w:rPr>
                <w:rFonts w:ascii="宋体" w:hAnsi="宋体" w:cs="宋体" w:eastAsia="宋体" w:hint="default"/>
                <w:sz w:val="21"/>
                <w:szCs w:val="21"/>
              </w:rPr>
              <w:t>雪</w:t>
            </w:r>
            <w:r>
              <w:rPr>
                <w:rFonts w:ascii="宋体" w:hAnsi="宋体" w:cs="宋体" w:eastAsia="宋体" w:hint="default"/>
                <w:w w:val="100"/>
                <w:sz w:val="21"/>
                <w:szCs w:val="21"/>
              </w:rPr>
              <w:t> </w:t>
            </w:r>
            <w:r>
              <w:rPr>
                <w:rFonts w:ascii="宋体" w:hAnsi="宋体" w:cs="宋体" w:eastAsia="宋体" w:hint="default"/>
                <w:sz w:val="21"/>
                <w:szCs w:val="21"/>
              </w:rPr>
              <w:t>媛</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独</w:t>
            </w:r>
            <w:r>
              <w:rPr>
                <w:rFonts w:ascii="宋体" w:hAnsi="宋体" w:cs="宋体" w:eastAsia="宋体" w:hint="default"/>
                <w:spacing w:val="31"/>
                <w:sz w:val="21"/>
                <w:szCs w:val="21"/>
              </w:rPr>
              <w:t> </w:t>
            </w:r>
            <w:r>
              <w:rPr>
                <w:rFonts w:ascii="宋体" w:hAnsi="宋体" w:cs="宋体" w:eastAsia="宋体" w:hint="default"/>
                <w:sz w:val="21"/>
                <w:szCs w:val="21"/>
              </w:rPr>
              <w:t>立</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48</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2016</w:t>
            </w:r>
          </w:p>
          <w:p>
            <w:pPr>
              <w:pStyle w:val="TableParagraph"/>
              <w:tabs>
                <w:tab w:pos="515" w:val="left" w:leader="none"/>
              </w:tabs>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tab/>
            </w:r>
            <w:r>
              <w:rPr>
                <w:rFonts w:ascii="宋体" w:hAnsi="宋体" w:cs="宋体" w:eastAsia="宋体" w:hint="default"/>
                <w:sz w:val="21"/>
                <w:szCs w:val="21"/>
              </w:rPr>
              <w:t>8</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7"/>
                <w:sz w:val="21"/>
                <w:szCs w:val="21"/>
              </w:rPr>
              <w:t> </w:t>
            </w:r>
            <w:r>
              <w:rPr>
                <w:rFonts w:ascii="宋体" w:hAnsi="宋体" w:cs="宋体" w:eastAsia="宋体" w:hint="default"/>
                <w:sz w:val="21"/>
                <w:szCs w:val="21"/>
              </w:rPr>
              <w:t>10</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2019</w:t>
            </w:r>
          </w:p>
          <w:p>
            <w:pPr>
              <w:pStyle w:val="TableParagraph"/>
              <w:tabs>
                <w:tab w:pos="515" w:val="left" w:leader="none"/>
              </w:tabs>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tab/>
            </w:r>
            <w:r>
              <w:rPr>
                <w:rFonts w:ascii="宋体" w:hAnsi="宋体" w:cs="宋体" w:eastAsia="宋体" w:hint="default"/>
                <w:sz w:val="21"/>
                <w:szCs w:val="21"/>
              </w:rPr>
              <w:t>8</w:t>
            </w:r>
          </w:p>
          <w:p>
            <w:pPr>
              <w:pStyle w:val="TableParagraph"/>
              <w:tabs>
                <w:tab w:pos="515" w:val="left" w:leader="none"/>
              </w:tabs>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月</w:t>
              <w:tab/>
            </w:r>
            <w:r>
              <w:rPr>
                <w:rFonts w:ascii="宋体" w:hAnsi="宋体" w:cs="宋体" w:eastAsia="宋体" w:hint="default"/>
                <w:sz w:val="21"/>
                <w:szCs w:val="21"/>
              </w:rPr>
              <w:t>9</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1373"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12.00</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1099" w:hRule="exact"/>
        </w:trPr>
        <w:tc>
          <w:tcPr>
            <w:tcW w:w="4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储</w:t>
            </w:r>
          </w:p>
          <w:p>
            <w:pPr>
              <w:pStyle w:val="TableParagraph"/>
              <w:spacing w:line="272" w:lineRule="exact" w:before="27"/>
              <w:ind w:left="103" w:right="132"/>
              <w:jc w:val="left"/>
              <w:rPr>
                <w:rFonts w:ascii="宋体" w:hAnsi="宋体" w:cs="宋体" w:eastAsia="宋体" w:hint="default"/>
                <w:sz w:val="21"/>
                <w:szCs w:val="21"/>
              </w:rPr>
            </w:pPr>
            <w:r>
              <w:rPr>
                <w:rFonts w:ascii="宋体" w:hAnsi="宋体" w:cs="宋体" w:eastAsia="宋体" w:hint="default"/>
                <w:sz w:val="21"/>
                <w:szCs w:val="21"/>
              </w:rPr>
              <w:t>雪</w:t>
            </w:r>
            <w:r>
              <w:rPr>
                <w:rFonts w:ascii="宋体" w:hAnsi="宋体" w:cs="宋体" w:eastAsia="宋体" w:hint="default"/>
                <w:w w:val="100"/>
                <w:sz w:val="21"/>
                <w:szCs w:val="21"/>
              </w:rPr>
              <w:t> </w:t>
            </w:r>
            <w:r>
              <w:rPr>
                <w:rFonts w:ascii="宋体" w:hAnsi="宋体" w:cs="宋体" w:eastAsia="宋体" w:hint="default"/>
                <w:sz w:val="21"/>
                <w:szCs w:val="21"/>
              </w:rPr>
              <w:t>俭</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独</w:t>
            </w:r>
            <w:r>
              <w:rPr>
                <w:rFonts w:ascii="宋体" w:hAnsi="宋体" w:cs="宋体" w:eastAsia="宋体" w:hint="default"/>
                <w:spacing w:val="31"/>
                <w:sz w:val="21"/>
                <w:szCs w:val="21"/>
              </w:rPr>
              <w:t> </w:t>
            </w:r>
            <w:r>
              <w:rPr>
                <w:rFonts w:ascii="宋体" w:hAnsi="宋体" w:cs="宋体" w:eastAsia="宋体" w:hint="default"/>
                <w:sz w:val="21"/>
                <w:szCs w:val="21"/>
              </w:rPr>
              <w:t>立</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57</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2016</w:t>
            </w:r>
          </w:p>
          <w:p>
            <w:pPr>
              <w:pStyle w:val="TableParagraph"/>
              <w:tabs>
                <w:tab w:pos="515" w:val="left" w:leader="none"/>
              </w:tabs>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tab/>
            </w:r>
            <w:r>
              <w:rPr>
                <w:rFonts w:ascii="宋体" w:hAnsi="宋体" w:cs="宋体" w:eastAsia="宋体" w:hint="default"/>
                <w:sz w:val="21"/>
                <w:szCs w:val="21"/>
              </w:rPr>
              <w:t>8</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7"/>
                <w:sz w:val="21"/>
                <w:szCs w:val="21"/>
              </w:rPr>
              <w:t> </w:t>
            </w:r>
            <w:r>
              <w:rPr>
                <w:rFonts w:ascii="宋体" w:hAnsi="宋体" w:cs="宋体" w:eastAsia="宋体" w:hint="default"/>
                <w:sz w:val="21"/>
                <w:szCs w:val="21"/>
              </w:rPr>
              <w:t>10</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2019</w:t>
            </w:r>
          </w:p>
          <w:p>
            <w:pPr>
              <w:pStyle w:val="TableParagraph"/>
              <w:tabs>
                <w:tab w:pos="515" w:val="left" w:leader="none"/>
              </w:tabs>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tab/>
            </w:r>
            <w:r>
              <w:rPr>
                <w:rFonts w:ascii="宋体" w:hAnsi="宋体" w:cs="宋体" w:eastAsia="宋体" w:hint="default"/>
                <w:sz w:val="21"/>
                <w:szCs w:val="21"/>
              </w:rPr>
              <w:t>8</w:t>
            </w:r>
          </w:p>
          <w:p>
            <w:pPr>
              <w:pStyle w:val="TableParagraph"/>
              <w:tabs>
                <w:tab w:pos="515" w:val="left" w:leader="none"/>
              </w:tabs>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月</w:t>
              <w:tab/>
            </w:r>
            <w:r>
              <w:rPr>
                <w:rFonts w:ascii="宋体" w:hAnsi="宋体" w:cs="宋体" w:eastAsia="宋体" w:hint="default"/>
                <w:sz w:val="21"/>
                <w:szCs w:val="21"/>
              </w:rPr>
              <w:t>9</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1373"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12.00</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28" w:hRule="exact"/>
        </w:trPr>
        <w:tc>
          <w:tcPr>
            <w:tcW w:w="4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包</w:t>
            </w:r>
          </w:p>
          <w:p>
            <w:pPr>
              <w:pStyle w:val="TableParagraph"/>
              <w:spacing w:line="272" w:lineRule="exact" w:before="27"/>
              <w:ind w:left="103" w:right="132"/>
              <w:jc w:val="left"/>
              <w:rPr>
                <w:rFonts w:ascii="宋体" w:hAnsi="宋体" w:cs="宋体" w:eastAsia="宋体" w:hint="default"/>
                <w:sz w:val="21"/>
                <w:szCs w:val="21"/>
              </w:rPr>
            </w:pPr>
            <w:r>
              <w:rPr>
                <w:rFonts w:ascii="宋体" w:hAnsi="宋体" w:cs="宋体" w:eastAsia="宋体" w:hint="default"/>
                <w:sz w:val="21"/>
                <w:szCs w:val="21"/>
              </w:rPr>
              <w:t>季</w:t>
            </w:r>
            <w:r>
              <w:rPr>
                <w:rFonts w:ascii="宋体" w:hAnsi="宋体" w:cs="宋体" w:eastAsia="宋体" w:hint="default"/>
                <w:w w:val="100"/>
                <w:sz w:val="21"/>
                <w:szCs w:val="21"/>
              </w:rPr>
              <w:t> </w:t>
            </w:r>
            <w:r>
              <w:rPr>
                <w:rFonts w:ascii="宋体" w:hAnsi="宋体" w:cs="宋体" w:eastAsia="宋体" w:hint="default"/>
                <w:sz w:val="21"/>
                <w:szCs w:val="21"/>
              </w:rPr>
              <w:t>鸣</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独</w:t>
            </w:r>
            <w:r>
              <w:rPr>
                <w:rFonts w:ascii="宋体" w:hAnsi="宋体" w:cs="宋体" w:eastAsia="宋体" w:hint="default"/>
                <w:spacing w:val="31"/>
                <w:sz w:val="21"/>
                <w:szCs w:val="21"/>
              </w:rPr>
              <w:t> </w:t>
            </w:r>
            <w:r>
              <w:rPr>
                <w:rFonts w:ascii="宋体" w:hAnsi="宋体" w:cs="宋体" w:eastAsia="宋体" w:hint="default"/>
                <w:sz w:val="21"/>
                <w:szCs w:val="21"/>
              </w:rPr>
              <w:t>立</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66</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2016</w:t>
            </w:r>
          </w:p>
          <w:p>
            <w:pPr>
              <w:pStyle w:val="TableParagraph"/>
              <w:tabs>
                <w:tab w:pos="515" w:val="left" w:leader="none"/>
              </w:tabs>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tab/>
            </w:r>
            <w:r>
              <w:rPr>
                <w:rFonts w:ascii="宋体" w:hAnsi="宋体" w:cs="宋体" w:eastAsia="宋体" w:hint="default"/>
                <w:sz w:val="21"/>
                <w:szCs w:val="21"/>
              </w:rPr>
              <w:t>8</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7"/>
                <w:sz w:val="21"/>
                <w:szCs w:val="21"/>
              </w:rPr>
              <w:t> </w:t>
            </w:r>
            <w:r>
              <w:rPr>
                <w:rFonts w:ascii="宋体" w:hAnsi="宋体" w:cs="宋体" w:eastAsia="宋体" w:hint="default"/>
                <w:sz w:val="21"/>
                <w:szCs w:val="21"/>
              </w:rPr>
              <w:t>10</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2019</w:t>
            </w:r>
          </w:p>
          <w:p>
            <w:pPr>
              <w:pStyle w:val="TableParagraph"/>
              <w:tabs>
                <w:tab w:pos="515" w:val="left" w:leader="none"/>
              </w:tabs>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tab/>
            </w:r>
            <w:r>
              <w:rPr>
                <w:rFonts w:ascii="宋体" w:hAnsi="宋体" w:cs="宋体" w:eastAsia="宋体" w:hint="default"/>
                <w:sz w:val="21"/>
                <w:szCs w:val="21"/>
              </w:rPr>
              <w:t>8</w:t>
            </w:r>
          </w:p>
          <w:p>
            <w:pPr>
              <w:pStyle w:val="TableParagraph"/>
              <w:tabs>
                <w:tab w:pos="515" w:val="left" w:leader="none"/>
              </w:tabs>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tab/>
            </w:r>
            <w:r>
              <w:rPr>
                <w:rFonts w:ascii="宋体" w:hAnsi="宋体" w:cs="宋体" w:eastAsia="宋体" w:hint="default"/>
                <w:sz w:val="21"/>
                <w:szCs w:val="21"/>
              </w:rPr>
              <w:t>9</w:t>
            </w:r>
          </w:p>
        </w:tc>
        <w:tc>
          <w:tcPr>
            <w:tcW w:w="1373"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12.00</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1" w:lineRule="exact"/>
        <w:jc w:val="left"/>
        <w:rPr>
          <w:rFonts w:ascii="宋体" w:hAnsi="宋体" w:cs="宋体" w:eastAsia="宋体" w:hint="default"/>
          <w:sz w:val="21"/>
          <w:szCs w:val="21"/>
        </w:rPr>
        <w:sectPr>
          <w:type w:val="continuous"/>
          <w:pgSz w:w="11910" w:h="16840"/>
          <w:pgMar w:top="1120" w:bottom="1380" w:left="1060" w:right="1560"/>
        </w:sectPr>
      </w:pPr>
    </w:p>
    <w:p>
      <w:pPr>
        <w:spacing w:line="240" w:lineRule="auto" w:before="4"/>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459"/>
        <w:gridCol w:w="770"/>
        <w:gridCol w:w="444"/>
        <w:gridCol w:w="442"/>
        <w:gridCol w:w="733"/>
        <w:gridCol w:w="732"/>
        <w:gridCol w:w="1373"/>
        <w:gridCol w:w="1371"/>
        <w:gridCol w:w="576"/>
        <w:gridCol w:w="509"/>
        <w:gridCol w:w="1033"/>
        <w:gridCol w:w="610"/>
      </w:tblGrid>
      <w:tr>
        <w:trPr>
          <w:trHeight w:val="284" w:hRule="exact"/>
        </w:trPr>
        <w:tc>
          <w:tcPr>
            <w:tcW w:w="459"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373"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1033"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4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李</w:t>
            </w:r>
          </w:p>
          <w:p>
            <w:pPr>
              <w:pStyle w:val="TableParagraph"/>
              <w:spacing w:line="240" w:lineRule="auto"/>
              <w:ind w:left="103" w:right="132"/>
              <w:jc w:val="left"/>
              <w:rPr>
                <w:rFonts w:ascii="宋体" w:hAnsi="宋体" w:cs="宋体" w:eastAsia="宋体" w:hint="default"/>
                <w:sz w:val="21"/>
                <w:szCs w:val="21"/>
              </w:rPr>
            </w:pPr>
            <w:r>
              <w:rPr>
                <w:rFonts w:ascii="宋体" w:hAnsi="宋体" w:cs="宋体" w:eastAsia="宋体" w:hint="default"/>
                <w:sz w:val="21"/>
                <w:szCs w:val="21"/>
              </w:rPr>
              <w:t>木</w:t>
            </w:r>
            <w:r>
              <w:rPr>
                <w:rFonts w:ascii="宋体" w:hAnsi="宋体" w:cs="宋体" w:eastAsia="宋体" w:hint="default"/>
                <w:w w:val="100"/>
                <w:sz w:val="21"/>
                <w:szCs w:val="21"/>
              </w:rPr>
              <w:t> </w:t>
            </w:r>
            <w:r>
              <w:rPr>
                <w:rFonts w:ascii="宋体" w:hAnsi="宋体" w:cs="宋体" w:eastAsia="宋体" w:hint="default"/>
                <w:sz w:val="21"/>
                <w:szCs w:val="21"/>
              </w:rPr>
              <w:t>理</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监</w:t>
            </w:r>
            <w:r>
              <w:rPr>
                <w:rFonts w:ascii="宋体" w:hAnsi="宋体" w:cs="宋体" w:eastAsia="宋体" w:hint="default"/>
                <w:spacing w:val="31"/>
                <w:sz w:val="21"/>
                <w:szCs w:val="21"/>
              </w:rPr>
              <w:t> </w:t>
            </w:r>
            <w:r>
              <w:rPr>
                <w:rFonts w:ascii="宋体" w:hAnsi="宋体" w:cs="宋体" w:eastAsia="宋体" w:hint="default"/>
                <w:sz w:val="21"/>
                <w:szCs w:val="21"/>
              </w:rPr>
              <w:t>事</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会</w:t>
            </w:r>
            <w:r>
              <w:rPr>
                <w:rFonts w:ascii="宋体" w:hAnsi="宋体" w:cs="宋体" w:eastAsia="宋体" w:hint="default"/>
                <w:spacing w:val="31"/>
                <w:sz w:val="21"/>
                <w:szCs w:val="21"/>
              </w:rPr>
              <w:t> </w:t>
            </w:r>
            <w:r>
              <w:rPr>
                <w:rFonts w:ascii="宋体" w:hAnsi="宋体" w:cs="宋体" w:eastAsia="宋体" w:hint="default"/>
                <w:sz w:val="21"/>
                <w:szCs w:val="21"/>
              </w:rPr>
              <w:t>主</w:t>
            </w:r>
            <w:r>
              <w:rPr>
                <w:rFonts w:ascii="宋体" w:hAnsi="宋体" w:cs="宋体" w:eastAsia="宋体" w:hint="default"/>
                <w:w w:val="100"/>
                <w:sz w:val="21"/>
                <w:szCs w:val="21"/>
              </w:rPr>
              <w:t> </w:t>
            </w:r>
            <w:r>
              <w:rPr>
                <w:rFonts w:ascii="宋体" w:hAnsi="宋体" w:cs="宋体" w:eastAsia="宋体" w:hint="default"/>
                <w:sz w:val="21"/>
                <w:szCs w:val="21"/>
              </w:rPr>
              <w:t>席</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9"/>
              <w:jc w:val="right"/>
              <w:rPr>
                <w:rFonts w:ascii="宋体" w:hAnsi="宋体" w:cs="宋体" w:eastAsia="宋体" w:hint="default"/>
                <w:sz w:val="21"/>
                <w:szCs w:val="21"/>
              </w:rPr>
            </w:pPr>
            <w:r>
              <w:rPr>
                <w:rFonts w:ascii="宋体" w:hAnsi="宋体" w:cs="宋体" w:eastAsia="宋体" w:hint="default"/>
                <w:w w:val="100"/>
                <w:sz w:val="21"/>
                <w:szCs w:val="21"/>
              </w:rPr>
              <w:t>女</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9"/>
              <w:jc w:val="right"/>
              <w:rPr>
                <w:rFonts w:ascii="宋体" w:hAnsi="宋体" w:cs="宋体" w:eastAsia="宋体" w:hint="default"/>
                <w:sz w:val="21"/>
                <w:szCs w:val="21"/>
              </w:rPr>
            </w:pPr>
            <w:r>
              <w:rPr>
                <w:rFonts w:ascii="宋体"/>
                <w:sz w:val="21"/>
              </w:rPr>
              <w:t>58</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sz w:val="21"/>
              </w:rPr>
              <w:t>2016</w:t>
            </w:r>
          </w:p>
          <w:p>
            <w:pPr>
              <w:pStyle w:val="TableParagraph"/>
              <w:tabs>
                <w:tab w:pos="515" w:val="left" w:leader="none"/>
              </w:tabs>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tab/>
            </w:r>
            <w:r>
              <w:rPr>
                <w:rFonts w:ascii="宋体" w:hAnsi="宋体" w:cs="宋体" w:eastAsia="宋体" w:hint="default"/>
                <w:sz w:val="21"/>
                <w:szCs w:val="21"/>
              </w:rPr>
              <w:t>8</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7"/>
                <w:sz w:val="21"/>
                <w:szCs w:val="21"/>
              </w:rPr>
              <w:t> </w:t>
            </w:r>
            <w:r>
              <w:rPr>
                <w:rFonts w:ascii="宋体" w:hAnsi="宋体" w:cs="宋体" w:eastAsia="宋体" w:hint="default"/>
                <w:sz w:val="21"/>
                <w:szCs w:val="21"/>
              </w:rPr>
              <w:t>10</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sz w:val="21"/>
              </w:rPr>
              <w:t>2019</w:t>
            </w:r>
          </w:p>
          <w:p>
            <w:pPr>
              <w:pStyle w:val="TableParagraph"/>
              <w:tabs>
                <w:tab w:pos="515" w:val="left" w:leader="none"/>
              </w:tabs>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tab/>
            </w:r>
            <w:r>
              <w:rPr>
                <w:rFonts w:ascii="宋体" w:hAnsi="宋体" w:cs="宋体" w:eastAsia="宋体" w:hint="default"/>
                <w:sz w:val="21"/>
                <w:szCs w:val="21"/>
              </w:rPr>
              <w:t>8</w:t>
            </w:r>
          </w:p>
          <w:p>
            <w:pPr>
              <w:pStyle w:val="TableParagraph"/>
              <w:tabs>
                <w:tab w:pos="515" w:val="left" w:leader="none"/>
              </w:tabs>
              <w:spacing w:line="272" w:lineRule="exact" w:before="27"/>
              <w:ind w:left="103" w:right="98"/>
              <w:jc w:val="left"/>
              <w:rPr>
                <w:rFonts w:ascii="宋体" w:hAnsi="宋体" w:cs="宋体" w:eastAsia="宋体" w:hint="default"/>
                <w:sz w:val="21"/>
                <w:szCs w:val="21"/>
              </w:rPr>
            </w:pPr>
            <w:r>
              <w:rPr>
                <w:rFonts w:ascii="宋体" w:hAnsi="宋体" w:cs="宋体" w:eastAsia="宋体" w:hint="default"/>
                <w:sz w:val="21"/>
                <w:szCs w:val="21"/>
              </w:rPr>
              <w:t>月</w:t>
              <w:tab/>
            </w:r>
            <w:r>
              <w:rPr>
                <w:rFonts w:ascii="宋体" w:hAnsi="宋体" w:cs="宋体" w:eastAsia="宋体" w:hint="default"/>
                <w:sz w:val="21"/>
                <w:szCs w:val="21"/>
              </w:rPr>
              <w:t>9</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1373"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48.43</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83"/>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1099" w:hRule="exact"/>
        </w:trPr>
        <w:tc>
          <w:tcPr>
            <w:tcW w:w="4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陈</w:t>
            </w:r>
          </w:p>
          <w:p>
            <w:pPr>
              <w:pStyle w:val="TableParagraph"/>
              <w:spacing w:line="240" w:lineRule="auto"/>
              <w:ind w:left="103" w:right="132"/>
              <w:jc w:val="left"/>
              <w:rPr>
                <w:rFonts w:ascii="宋体" w:hAnsi="宋体" w:cs="宋体" w:eastAsia="宋体" w:hint="default"/>
                <w:sz w:val="21"/>
                <w:szCs w:val="21"/>
              </w:rPr>
            </w:pPr>
            <w:r>
              <w:rPr>
                <w:rFonts w:ascii="宋体" w:hAnsi="宋体" w:cs="宋体" w:eastAsia="宋体" w:hint="default"/>
                <w:sz w:val="21"/>
                <w:szCs w:val="21"/>
              </w:rPr>
              <w:t>育</w:t>
            </w:r>
            <w:r>
              <w:rPr>
                <w:rFonts w:ascii="宋体" w:hAnsi="宋体" w:cs="宋体" w:eastAsia="宋体" w:hint="default"/>
                <w:w w:val="100"/>
                <w:sz w:val="21"/>
                <w:szCs w:val="21"/>
              </w:rPr>
              <w:t> </w:t>
            </w:r>
            <w:r>
              <w:rPr>
                <w:rFonts w:ascii="宋体" w:hAnsi="宋体" w:cs="宋体" w:eastAsia="宋体" w:hint="default"/>
                <w:sz w:val="21"/>
                <w:szCs w:val="21"/>
              </w:rPr>
              <w:t>铭</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9"/>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9"/>
              <w:jc w:val="right"/>
              <w:rPr>
                <w:rFonts w:ascii="宋体" w:hAnsi="宋体" w:cs="宋体" w:eastAsia="宋体" w:hint="default"/>
                <w:sz w:val="21"/>
                <w:szCs w:val="21"/>
              </w:rPr>
            </w:pPr>
            <w:r>
              <w:rPr>
                <w:rFonts w:ascii="宋体"/>
                <w:sz w:val="21"/>
              </w:rPr>
              <w:t>52</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sz w:val="21"/>
              </w:rPr>
              <w:t>2016</w:t>
            </w:r>
          </w:p>
          <w:p>
            <w:pPr>
              <w:pStyle w:val="TableParagraph"/>
              <w:tabs>
                <w:tab w:pos="515" w:val="left" w:leader="none"/>
              </w:tabs>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tab/>
            </w:r>
            <w:r>
              <w:rPr>
                <w:rFonts w:ascii="宋体" w:hAnsi="宋体" w:cs="宋体" w:eastAsia="宋体" w:hint="default"/>
                <w:sz w:val="21"/>
                <w:szCs w:val="21"/>
              </w:rPr>
              <w:t>8</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7"/>
                <w:sz w:val="21"/>
                <w:szCs w:val="21"/>
              </w:rPr>
              <w:t> </w:t>
            </w:r>
            <w:r>
              <w:rPr>
                <w:rFonts w:ascii="宋体" w:hAnsi="宋体" w:cs="宋体" w:eastAsia="宋体" w:hint="default"/>
                <w:sz w:val="21"/>
                <w:szCs w:val="21"/>
              </w:rPr>
              <w:t>10</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sz w:val="21"/>
              </w:rPr>
              <w:t>2019</w:t>
            </w:r>
          </w:p>
          <w:p>
            <w:pPr>
              <w:pStyle w:val="TableParagraph"/>
              <w:tabs>
                <w:tab w:pos="515" w:val="left" w:leader="none"/>
              </w:tabs>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tab/>
            </w:r>
            <w:r>
              <w:rPr>
                <w:rFonts w:ascii="宋体" w:hAnsi="宋体" w:cs="宋体" w:eastAsia="宋体" w:hint="default"/>
                <w:sz w:val="21"/>
                <w:szCs w:val="21"/>
              </w:rPr>
              <w:t>8</w:t>
            </w:r>
          </w:p>
          <w:p>
            <w:pPr>
              <w:pStyle w:val="TableParagraph"/>
              <w:tabs>
                <w:tab w:pos="515" w:val="left" w:leader="none"/>
              </w:tabs>
              <w:spacing w:line="272" w:lineRule="exact" w:before="27"/>
              <w:ind w:left="103" w:right="98"/>
              <w:jc w:val="left"/>
              <w:rPr>
                <w:rFonts w:ascii="宋体" w:hAnsi="宋体" w:cs="宋体" w:eastAsia="宋体" w:hint="default"/>
                <w:sz w:val="21"/>
                <w:szCs w:val="21"/>
              </w:rPr>
            </w:pPr>
            <w:r>
              <w:rPr>
                <w:rFonts w:ascii="宋体" w:hAnsi="宋体" w:cs="宋体" w:eastAsia="宋体" w:hint="default"/>
                <w:sz w:val="21"/>
                <w:szCs w:val="21"/>
              </w:rPr>
              <w:t>月</w:t>
              <w:tab/>
            </w:r>
            <w:r>
              <w:rPr>
                <w:rFonts w:ascii="宋体" w:hAnsi="宋体" w:cs="宋体" w:eastAsia="宋体" w:hint="default"/>
                <w:sz w:val="21"/>
                <w:szCs w:val="21"/>
              </w:rPr>
              <w:t>9</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1373"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46.81</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83"/>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1100" w:hRule="exact"/>
        </w:trPr>
        <w:tc>
          <w:tcPr>
            <w:tcW w:w="4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卢</w:t>
            </w:r>
          </w:p>
          <w:p>
            <w:pPr>
              <w:pStyle w:val="TableParagraph"/>
              <w:spacing w:line="240" w:lineRule="auto"/>
              <w:ind w:left="103" w:right="132"/>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勇</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职</w:t>
            </w:r>
            <w:r>
              <w:rPr>
                <w:rFonts w:ascii="宋体" w:hAnsi="宋体" w:cs="宋体" w:eastAsia="宋体" w:hint="default"/>
                <w:spacing w:val="31"/>
                <w:sz w:val="21"/>
                <w:szCs w:val="21"/>
              </w:rPr>
              <w:t> </w:t>
            </w:r>
            <w:r>
              <w:rPr>
                <w:rFonts w:ascii="宋体" w:hAnsi="宋体" w:cs="宋体" w:eastAsia="宋体" w:hint="default"/>
                <w:sz w:val="21"/>
                <w:szCs w:val="21"/>
              </w:rPr>
              <w:t>工</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代</w:t>
            </w:r>
            <w:r>
              <w:rPr>
                <w:rFonts w:ascii="宋体" w:hAnsi="宋体" w:cs="宋体" w:eastAsia="宋体" w:hint="default"/>
                <w:spacing w:val="31"/>
                <w:sz w:val="21"/>
                <w:szCs w:val="21"/>
              </w:rPr>
              <w:t> </w:t>
            </w:r>
            <w:r>
              <w:rPr>
                <w:rFonts w:ascii="宋体" w:hAnsi="宋体" w:cs="宋体" w:eastAsia="宋体" w:hint="default"/>
                <w:sz w:val="21"/>
                <w:szCs w:val="21"/>
              </w:rPr>
              <w:t>表</w:t>
            </w:r>
            <w:r>
              <w:rPr>
                <w:rFonts w:ascii="宋体" w:hAnsi="宋体" w:cs="宋体" w:eastAsia="宋体" w:hint="default"/>
                <w:w w:val="100"/>
                <w:sz w:val="21"/>
                <w:szCs w:val="21"/>
              </w:rPr>
              <w:t> </w:t>
            </w:r>
            <w:r>
              <w:rPr>
                <w:rFonts w:ascii="宋体" w:hAnsi="宋体" w:cs="宋体" w:eastAsia="宋体" w:hint="default"/>
                <w:sz w:val="21"/>
                <w:szCs w:val="21"/>
              </w:rPr>
              <w:t>监事</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9"/>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9"/>
              <w:jc w:val="right"/>
              <w:rPr>
                <w:rFonts w:ascii="宋体" w:hAnsi="宋体" w:cs="宋体" w:eastAsia="宋体" w:hint="default"/>
                <w:sz w:val="21"/>
                <w:szCs w:val="21"/>
              </w:rPr>
            </w:pPr>
            <w:r>
              <w:rPr>
                <w:rFonts w:ascii="宋体"/>
                <w:sz w:val="21"/>
              </w:rPr>
              <w:t>52</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sz w:val="21"/>
              </w:rPr>
              <w:t>2016</w:t>
            </w:r>
          </w:p>
          <w:p>
            <w:pPr>
              <w:pStyle w:val="TableParagraph"/>
              <w:tabs>
                <w:tab w:pos="515" w:val="left" w:leader="none"/>
              </w:tabs>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tab/>
            </w:r>
            <w:r>
              <w:rPr>
                <w:rFonts w:ascii="宋体" w:hAnsi="宋体" w:cs="宋体" w:eastAsia="宋体" w:hint="default"/>
                <w:sz w:val="21"/>
                <w:szCs w:val="21"/>
              </w:rPr>
              <w:t>8</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7"/>
                <w:sz w:val="21"/>
                <w:szCs w:val="21"/>
              </w:rPr>
              <w:t> </w:t>
            </w:r>
            <w:r>
              <w:rPr>
                <w:rFonts w:ascii="宋体" w:hAnsi="宋体" w:cs="宋体" w:eastAsia="宋体" w:hint="default"/>
                <w:sz w:val="21"/>
                <w:szCs w:val="21"/>
              </w:rPr>
              <w:t>10</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sz w:val="21"/>
              </w:rPr>
              <w:t>2019</w:t>
            </w:r>
          </w:p>
          <w:p>
            <w:pPr>
              <w:pStyle w:val="TableParagraph"/>
              <w:tabs>
                <w:tab w:pos="515" w:val="left" w:leader="none"/>
              </w:tabs>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tab/>
            </w:r>
            <w:r>
              <w:rPr>
                <w:rFonts w:ascii="宋体" w:hAnsi="宋体" w:cs="宋体" w:eastAsia="宋体" w:hint="default"/>
                <w:sz w:val="21"/>
                <w:szCs w:val="21"/>
              </w:rPr>
              <w:t>8</w:t>
            </w:r>
          </w:p>
          <w:p>
            <w:pPr>
              <w:pStyle w:val="TableParagraph"/>
              <w:tabs>
                <w:tab w:pos="515" w:val="left" w:leader="none"/>
              </w:tabs>
              <w:spacing w:line="272" w:lineRule="exact" w:before="27"/>
              <w:ind w:left="103" w:right="98"/>
              <w:jc w:val="left"/>
              <w:rPr>
                <w:rFonts w:ascii="宋体" w:hAnsi="宋体" w:cs="宋体" w:eastAsia="宋体" w:hint="default"/>
                <w:sz w:val="21"/>
                <w:szCs w:val="21"/>
              </w:rPr>
            </w:pPr>
            <w:r>
              <w:rPr>
                <w:rFonts w:ascii="宋体" w:hAnsi="宋体" w:cs="宋体" w:eastAsia="宋体" w:hint="default"/>
                <w:sz w:val="21"/>
                <w:szCs w:val="21"/>
              </w:rPr>
              <w:t>月</w:t>
              <w:tab/>
            </w:r>
            <w:r>
              <w:rPr>
                <w:rFonts w:ascii="宋体" w:hAnsi="宋体" w:cs="宋体" w:eastAsia="宋体" w:hint="default"/>
                <w:sz w:val="21"/>
                <w:szCs w:val="21"/>
              </w:rPr>
              <w:t>9</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1373"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30.01</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83"/>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1099" w:hRule="exact"/>
        </w:trPr>
        <w:tc>
          <w:tcPr>
            <w:tcW w:w="4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周</w:t>
            </w:r>
          </w:p>
          <w:p>
            <w:pPr>
              <w:pStyle w:val="TableParagraph"/>
              <w:spacing w:line="272" w:lineRule="exact" w:before="27"/>
              <w:ind w:left="103" w:right="132"/>
              <w:jc w:val="left"/>
              <w:rPr>
                <w:rFonts w:ascii="宋体" w:hAnsi="宋体" w:cs="宋体" w:eastAsia="宋体" w:hint="default"/>
                <w:sz w:val="21"/>
                <w:szCs w:val="21"/>
              </w:rPr>
            </w:pPr>
            <w:r>
              <w:rPr>
                <w:rFonts w:ascii="宋体" w:hAnsi="宋体" w:cs="宋体" w:eastAsia="宋体" w:hint="default"/>
                <w:sz w:val="21"/>
                <w:szCs w:val="21"/>
              </w:rPr>
              <w:t>鸿</w:t>
            </w:r>
            <w:r>
              <w:rPr>
                <w:rFonts w:ascii="宋体" w:hAnsi="宋体" w:cs="宋体" w:eastAsia="宋体" w:hint="default"/>
                <w:w w:val="100"/>
                <w:sz w:val="21"/>
                <w:szCs w:val="21"/>
              </w:rPr>
              <w:t> </w:t>
            </w:r>
            <w:r>
              <w:rPr>
                <w:rFonts w:ascii="宋体" w:hAnsi="宋体" w:cs="宋体" w:eastAsia="宋体" w:hint="default"/>
                <w:sz w:val="21"/>
                <w:szCs w:val="21"/>
              </w:rPr>
              <w:t>辉</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副</w:t>
            </w:r>
            <w:r>
              <w:rPr>
                <w:rFonts w:ascii="宋体" w:hAnsi="宋体" w:cs="宋体" w:eastAsia="宋体" w:hint="default"/>
                <w:spacing w:val="31"/>
                <w:sz w:val="21"/>
                <w:szCs w:val="21"/>
              </w:rPr>
              <w:t> </w:t>
            </w:r>
            <w:r>
              <w:rPr>
                <w:rFonts w:ascii="宋体" w:hAnsi="宋体" w:cs="宋体" w:eastAsia="宋体" w:hint="default"/>
                <w:sz w:val="21"/>
                <w:szCs w:val="21"/>
              </w:rPr>
              <w:t>总</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经理</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9"/>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9"/>
              <w:jc w:val="right"/>
              <w:rPr>
                <w:rFonts w:ascii="宋体" w:hAnsi="宋体" w:cs="宋体" w:eastAsia="宋体" w:hint="default"/>
                <w:sz w:val="21"/>
                <w:szCs w:val="21"/>
              </w:rPr>
            </w:pPr>
            <w:r>
              <w:rPr>
                <w:rFonts w:ascii="宋体"/>
                <w:sz w:val="21"/>
              </w:rPr>
              <w:t>55</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2016</w:t>
            </w:r>
          </w:p>
          <w:p>
            <w:pPr>
              <w:pStyle w:val="TableParagraph"/>
              <w:tabs>
                <w:tab w:pos="515" w:val="left" w:leader="none"/>
              </w:tabs>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tab/>
            </w:r>
            <w:r>
              <w:rPr>
                <w:rFonts w:ascii="宋体" w:hAnsi="宋体" w:cs="宋体" w:eastAsia="宋体" w:hint="default"/>
                <w:sz w:val="21"/>
                <w:szCs w:val="21"/>
              </w:rPr>
              <w:t>8</w:t>
            </w:r>
          </w:p>
          <w:p>
            <w:pPr>
              <w:pStyle w:val="TableParagraph"/>
              <w:spacing w:line="272" w:lineRule="exact" w:before="26"/>
              <w:ind w:left="103" w:right="99"/>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7"/>
                <w:sz w:val="21"/>
                <w:szCs w:val="21"/>
              </w:rPr>
              <w:t> </w:t>
            </w:r>
            <w:r>
              <w:rPr>
                <w:rFonts w:ascii="宋体" w:hAnsi="宋体" w:cs="宋体" w:eastAsia="宋体" w:hint="default"/>
                <w:sz w:val="21"/>
                <w:szCs w:val="21"/>
              </w:rPr>
              <w:t>10</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2019</w:t>
            </w:r>
          </w:p>
          <w:p>
            <w:pPr>
              <w:pStyle w:val="TableParagraph"/>
              <w:tabs>
                <w:tab w:pos="515" w:val="left" w:leader="none"/>
              </w:tabs>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tab/>
            </w:r>
            <w:r>
              <w:rPr>
                <w:rFonts w:ascii="宋体" w:hAnsi="宋体" w:cs="宋体" w:eastAsia="宋体" w:hint="default"/>
                <w:sz w:val="21"/>
                <w:szCs w:val="21"/>
              </w:rPr>
              <w:t>8</w:t>
            </w:r>
          </w:p>
          <w:p>
            <w:pPr>
              <w:pStyle w:val="TableParagraph"/>
              <w:tabs>
                <w:tab w:pos="515" w:val="left" w:leader="none"/>
              </w:tabs>
              <w:spacing w:line="272" w:lineRule="exact" w:before="26"/>
              <w:ind w:left="103" w:right="98"/>
              <w:jc w:val="left"/>
              <w:rPr>
                <w:rFonts w:ascii="宋体" w:hAnsi="宋体" w:cs="宋体" w:eastAsia="宋体" w:hint="default"/>
                <w:sz w:val="21"/>
                <w:szCs w:val="21"/>
              </w:rPr>
            </w:pPr>
            <w:r>
              <w:rPr>
                <w:rFonts w:ascii="宋体" w:hAnsi="宋体" w:cs="宋体" w:eastAsia="宋体" w:hint="default"/>
                <w:sz w:val="21"/>
                <w:szCs w:val="21"/>
              </w:rPr>
              <w:t>月</w:t>
              <w:tab/>
            </w:r>
            <w:r>
              <w:rPr>
                <w:rFonts w:ascii="宋体" w:hAnsi="宋体" w:cs="宋体" w:eastAsia="宋体" w:hint="default"/>
                <w:sz w:val="21"/>
                <w:szCs w:val="21"/>
              </w:rPr>
              <w:t>9</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1373"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62.23</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83"/>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1370" w:hRule="exact"/>
        </w:trPr>
        <w:tc>
          <w:tcPr>
            <w:tcW w:w="4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颜</w:t>
            </w:r>
          </w:p>
          <w:p>
            <w:pPr>
              <w:pStyle w:val="TableParagraph"/>
              <w:spacing w:line="272" w:lineRule="exact" w:before="27"/>
              <w:ind w:left="103" w:right="132"/>
              <w:jc w:val="left"/>
              <w:rPr>
                <w:rFonts w:ascii="宋体" w:hAnsi="宋体" w:cs="宋体" w:eastAsia="宋体" w:hint="default"/>
                <w:sz w:val="21"/>
                <w:szCs w:val="21"/>
              </w:rPr>
            </w:pPr>
            <w:r>
              <w:rPr>
                <w:rFonts w:ascii="宋体" w:hAnsi="宋体" w:cs="宋体" w:eastAsia="宋体" w:hint="default"/>
                <w:sz w:val="21"/>
                <w:szCs w:val="21"/>
              </w:rPr>
              <w:t>联</w:t>
            </w:r>
            <w:r>
              <w:rPr>
                <w:rFonts w:ascii="宋体" w:hAnsi="宋体" w:cs="宋体" w:eastAsia="宋体" w:hint="default"/>
                <w:w w:val="100"/>
                <w:sz w:val="21"/>
                <w:szCs w:val="21"/>
              </w:rPr>
              <w:t> </w:t>
            </w:r>
            <w:r>
              <w:rPr>
                <w:rFonts w:ascii="宋体" w:hAnsi="宋体" w:cs="宋体" w:eastAsia="宋体" w:hint="default"/>
                <w:sz w:val="21"/>
                <w:szCs w:val="21"/>
              </w:rPr>
              <w:t>源</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w:t>
            </w:r>
            <w:r>
              <w:rPr>
                <w:rFonts w:ascii="宋体" w:hAnsi="宋体" w:cs="宋体" w:eastAsia="宋体" w:hint="default"/>
                <w:spacing w:val="31"/>
                <w:sz w:val="21"/>
                <w:szCs w:val="21"/>
              </w:rPr>
              <w:t> </w:t>
            </w:r>
            <w:r>
              <w:rPr>
                <w:rFonts w:ascii="宋体" w:hAnsi="宋体" w:cs="宋体" w:eastAsia="宋体" w:hint="default"/>
                <w:sz w:val="21"/>
                <w:szCs w:val="21"/>
              </w:rPr>
              <w:t>事</w:t>
            </w:r>
          </w:p>
          <w:p>
            <w:pPr>
              <w:pStyle w:val="TableParagraph"/>
              <w:spacing w:line="237" w:lineRule="auto" w:before="2"/>
              <w:ind w:left="103" w:right="98"/>
              <w:jc w:val="left"/>
              <w:rPr>
                <w:rFonts w:ascii="宋体" w:hAnsi="宋体" w:cs="宋体" w:eastAsia="宋体" w:hint="default"/>
                <w:sz w:val="21"/>
                <w:szCs w:val="21"/>
              </w:rPr>
            </w:pPr>
            <w:r>
              <w:rPr>
                <w:rFonts w:ascii="宋体" w:hAnsi="宋体" w:cs="宋体" w:eastAsia="宋体" w:hint="default"/>
                <w:sz w:val="21"/>
                <w:szCs w:val="21"/>
              </w:rPr>
              <w:t>会</w:t>
            </w:r>
            <w:r>
              <w:rPr>
                <w:rFonts w:ascii="宋体" w:hAnsi="宋体" w:cs="宋体" w:eastAsia="宋体" w:hint="default"/>
                <w:spacing w:val="31"/>
                <w:sz w:val="21"/>
                <w:szCs w:val="21"/>
              </w:rPr>
              <w:t> </w:t>
            </w:r>
            <w:r>
              <w:rPr>
                <w:rFonts w:ascii="宋体" w:hAnsi="宋体" w:cs="宋体" w:eastAsia="宋体" w:hint="default"/>
                <w:sz w:val="21"/>
                <w:szCs w:val="21"/>
              </w:rPr>
              <w:t>秘</w:t>
            </w:r>
            <w:r>
              <w:rPr>
                <w:rFonts w:ascii="宋体" w:hAnsi="宋体" w:cs="宋体" w:eastAsia="宋体" w:hint="default"/>
                <w:w w:val="100"/>
                <w:sz w:val="21"/>
                <w:szCs w:val="21"/>
              </w:rPr>
              <w:t> </w:t>
            </w:r>
            <w:r>
              <w:rPr>
                <w:rFonts w:ascii="宋体" w:hAnsi="宋体" w:cs="宋体" w:eastAsia="宋体" w:hint="default"/>
                <w:spacing w:val="-52"/>
                <w:sz w:val="21"/>
                <w:szCs w:val="21"/>
              </w:rPr>
              <w:t>书、副</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总</w:t>
            </w:r>
            <w:r>
              <w:rPr>
                <w:rFonts w:ascii="宋体" w:hAnsi="宋体" w:cs="宋体" w:eastAsia="宋体" w:hint="default"/>
                <w:spacing w:val="31"/>
                <w:sz w:val="21"/>
                <w:szCs w:val="21"/>
              </w:rPr>
              <w:t> </w:t>
            </w:r>
            <w:r>
              <w:rPr>
                <w:rFonts w:ascii="宋体" w:hAnsi="宋体" w:cs="宋体" w:eastAsia="宋体" w:hint="default"/>
                <w:sz w:val="21"/>
                <w:szCs w:val="21"/>
              </w:rPr>
              <w:t>经</w:t>
            </w:r>
            <w:r>
              <w:rPr>
                <w:rFonts w:ascii="宋体" w:hAnsi="宋体" w:cs="宋体" w:eastAsia="宋体" w:hint="default"/>
                <w:w w:val="100"/>
                <w:sz w:val="21"/>
                <w:szCs w:val="21"/>
              </w:rPr>
              <w:t> </w:t>
            </w:r>
            <w:r>
              <w:rPr>
                <w:rFonts w:ascii="宋体" w:hAnsi="宋体" w:cs="宋体" w:eastAsia="宋体" w:hint="default"/>
                <w:sz w:val="21"/>
                <w:szCs w:val="21"/>
              </w:rPr>
              <w:t>理</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9"/>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9"/>
              <w:jc w:val="right"/>
              <w:rPr>
                <w:rFonts w:ascii="宋体" w:hAnsi="宋体" w:cs="宋体" w:eastAsia="宋体" w:hint="default"/>
                <w:sz w:val="21"/>
                <w:szCs w:val="21"/>
              </w:rPr>
            </w:pPr>
            <w:r>
              <w:rPr>
                <w:rFonts w:ascii="宋体"/>
                <w:sz w:val="21"/>
              </w:rPr>
              <w:t>47</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2016</w:t>
            </w:r>
          </w:p>
          <w:p>
            <w:pPr>
              <w:pStyle w:val="TableParagraph"/>
              <w:tabs>
                <w:tab w:pos="515" w:val="left" w:leader="none"/>
              </w:tabs>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tab/>
            </w:r>
            <w:r>
              <w:rPr>
                <w:rFonts w:ascii="宋体" w:hAnsi="宋体" w:cs="宋体" w:eastAsia="宋体" w:hint="default"/>
                <w:sz w:val="21"/>
                <w:szCs w:val="21"/>
              </w:rPr>
              <w:t>8</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7"/>
                <w:sz w:val="21"/>
                <w:szCs w:val="21"/>
              </w:rPr>
              <w:t> </w:t>
            </w:r>
            <w:r>
              <w:rPr>
                <w:rFonts w:ascii="宋体" w:hAnsi="宋体" w:cs="宋体" w:eastAsia="宋体" w:hint="default"/>
                <w:sz w:val="21"/>
                <w:szCs w:val="21"/>
              </w:rPr>
              <w:t>10</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2019</w:t>
            </w:r>
          </w:p>
          <w:p>
            <w:pPr>
              <w:pStyle w:val="TableParagraph"/>
              <w:tabs>
                <w:tab w:pos="515" w:val="left" w:leader="none"/>
              </w:tabs>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tab/>
            </w:r>
            <w:r>
              <w:rPr>
                <w:rFonts w:ascii="宋体" w:hAnsi="宋体" w:cs="宋体" w:eastAsia="宋体" w:hint="default"/>
                <w:sz w:val="21"/>
                <w:szCs w:val="21"/>
              </w:rPr>
              <w:t>8</w:t>
            </w:r>
          </w:p>
          <w:p>
            <w:pPr>
              <w:pStyle w:val="TableParagraph"/>
              <w:tabs>
                <w:tab w:pos="515" w:val="left" w:leader="none"/>
              </w:tabs>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月</w:t>
              <w:tab/>
            </w:r>
            <w:r>
              <w:rPr>
                <w:rFonts w:ascii="宋体" w:hAnsi="宋体" w:cs="宋体" w:eastAsia="宋体" w:hint="default"/>
                <w:sz w:val="21"/>
                <w:szCs w:val="21"/>
              </w:rPr>
              <w:t>9</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1373"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37.24</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83"/>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1102" w:hRule="exact"/>
        </w:trPr>
        <w:tc>
          <w:tcPr>
            <w:tcW w:w="4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李</w:t>
            </w:r>
          </w:p>
          <w:p>
            <w:pPr>
              <w:pStyle w:val="TableParagraph"/>
              <w:spacing w:line="240" w:lineRule="auto"/>
              <w:ind w:left="103" w:right="132"/>
              <w:jc w:val="left"/>
              <w:rPr>
                <w:rFonts w:ascii="宋体" w:hAnsi="宋体" w:cs="宋体" w:eastAsia="宋体" w:hint="default"/>
                <w:sz w:val="21"/>
                <w:szCs w:val="21"/>
              </w:rPr>
            </w:pPr>
            <w:r>
              <w:rPr>
                <w:rFonts w:ascii="宋体" w:hAnsi="宋体" w:cs="宋体" w:eastAsia="宋体" w:hint="default"/>
                <w:sz w:val="21"/>
                <w:szCs w:val="21"/>
              </w:rPr>
              <w:t>良</w:t>
            </w:r>
            <w:r>
              <w:rPr>
                <w:rFonts w:ascii="宋体" w:hAnsi="宋体" w:cs="宋体" w:eastAsia="宋体" w:hint="default"/>
                <w:w w:val="100"/>
                <w:sz w:val="21"/>
                <w:szCs w:val="21"/>
              </w:rPr>
              <w:t> </w:t>
            </w:r>
            <w:r>
              <w:rPr>
                <w:rFonts w:ascii="宋体" w:hAnsi="宋体" w:cs="宋体" w:eastAsia="宋体" w:hint="default"/>
                <w:sz w:val="21"/>
                <w:szCs w:val="21"/>
              </w:rPr>
              <w:t>海</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w:t>
            </w:r>
            <w:r>
              <w:rPr>
                <w:rFonts w:ascii="宋体" w:hAnsi="宋体" w:cs="宋体" w:eastAsia="宋体" w:hint="default"/>
                <w:spacing w:val="31"/>
                <w:sz w:val="21"/>
                <w:szCs w:val="21"/>
              </w:rPr>
              <w:t> </w:t>
            </w:r>
            <w:r>
              <w:rPr>
                <w:rFonts w:ascii="宋体" w:hAnsi="宋体" w:cs="宋体" w:eastAsia="宋体" w:hint="default"/>
                <w:sz w:val="21"/>
                <w:szCs w:val="21"/>
              </w:rPr>
              <w:t>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总监</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9"/>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9"/>
              <w:jc w:val="right"/>
              <w:rPr>
                <w:rFonts w:ascii="宋体" w:hAnsi="宋体" w:cs="宋体" w:eastAsia="宋体" w:hint="default"/>
                <w:sz w:val="21"/>
                <w:szCs w:val="21"/>
              </w:rPr>
            </w:pPr>
            <w:r>
              <w:rPr>
                <w:rFonts w:ascii="宋体"/>
                <w:sz w:val="21"/>
              </w:rPr>
              <w:t>46</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2016</w:t>
            </w:r>
          </w:p>
          <w:p>
            <w:pPr>
              <w:pStyle w:val="TableParagraph"/>
              <w:tabs>
                <w:tab w:pos="515" w:val="left" w:leader="none"/>
              </w:tabs>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tab/>
            </w:r>
            <w:r>
              <w:rPr>
                <w:rFonts w:ascii="宋体" w:hAnsi="宋体" w:cs="宋体" w:eastAsia="宋体" w:hint="default"/>
                <w:sz w:val="21"/>
                <w:szCs w:val="21"/>
              </w:rPr>
              <w:t>8</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7"/>
                <w:sz w:val="21"/>
                <w:szCs w:val="21"/>
              </w:rPr>
              <w:t> </w:t>
            </w:r>
            <w:r>
              <w:rPr>
                <w:rFonts w:ascii="宋体" w:hAnsi="宋体" w:cs="宋体" w:eastAsia="宋体" w:hint="default"/>
                <w:sz w:val="21"/>
                <w:szCs w:val="21"/>
              </w:rPr>
              <w:t>10</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w:t>
            </w:r>
          </w:p>
          <w:p>
            <w:pPr>
              <w:pStyle w:val="TableParagraph"/>
              <w:tabs>
                <w:tab w:pos="515" w:val="left" w:leader="none"/>
              </w:tabs>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tab/>
            </w:r>
            <w:r>
              <w:rPr>
                <w:rFonts w:ascii="宋体" w:hAnsi="宋体" w:cs="宋体" w:eastAsia="宋体" w:hint="default"/>
                <w:sz w:val="21"/>
                <w:szCs w:val="21"/>
              </w:rPr>
              <w:t>8</w:t>
            </w:r>
          </w:p>
          <w:p>
            <w:pPr>
              <w:pStyle w:val="TableParagraph"/>
              <w:tabs>
                <w:tab w:pos="515" w:val="left" w:leader="none"/>
              </w:tabs>
              <w:spacing w:line="272" w:lineRule="exact" w:before="27"/>
              <w:ind w:left="103" w:right="98"/>
              <w:jc w:val="left"/>
              <w:rPr>
                <w:rFonts w:ascii="宋体" w:hAnsi="宋体" w:cs="宋体" w:eastAsia="宋体" w:hint="default"/>
                <w:sz w:val="21"/>
                <w:szCs w:val="21"/>
              </w:rPr>
            </w:pPr>
            <w:r>
              <w:rPr>
                <w:rFonts w:ascii="宋体" w:hAnsi="宋体" w:cs="宋体" w:eastAsia="宋体" w:hint="default"/>
                <w:sz w:val="21"/>
                <w:szCs w:val="21"/>
              </w:rPr>
              <w:t>月</w:t>
              <w:tab/>
            </w:r>
            <w:r>
              <w:rPr>
                <w:rFonts w:ascii="宋体" w:hAnsi="宋体" w:cs="宋体" w:eastAsia="宋体" w:hint="default"/>
                <w:sz w:val="21"/>
                <w:szCs w:val="21"/>
              </w:rPr>
              <w:t>9</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1373"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54.39</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83"/>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4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8" w:right="0"/>
              <w:jc w:val="left"/>
              <w:rPr>
                <w:rFonts w:ascii="宋体" w:hAnsi="宋体" w:cs="宋体" w:eastAsia="宋体" w:hint="default"/>
                <w:sz w:val="21"/>
                <w:szCs w:val="21"/>
              </w:rPr>
            </w:pPr>
            <w:r>
              <w:rPr>
                <w:rFonts w:ascii="宋体" w:hAnsi="宋体" w:cs="宋体" w:eastAsia="宋体" w:hint="default"/>
                <w:w w:val="100"/>
                <w:sz w:val="21"/>
                <w:szCs w:val="21"/>
              </w:rPr>
              <w:t>合</w:t>
            </w:r>
          </w:p>
          <w:p>
            <w:pPr>
              <w:pStyle w:val="TableParagraph"/>
              <w:spacing w:line="273" w:lineRule="exact"/>
              <w:ind w:left="118" w:right="0"/>
              <w:jc w:val="left"/>
              <w:rPr>
                <w:rFonts w:ascii="宋体" w:hAnsi="宋体" w:cs="宋体" w:eastAsia="宋体" w:hint="default"/>
                <w:sz w:val="21"/>
                <w:szCs w:val="21"/>
              </w:rPr>
            </w:pPr>
            <w:r>
              <w:rPr>
                <w:rFonts w:ascii="宋体" w:hAnsi="宋体" w:cs="宋体" w:eastAsia="宋体" w:hint="default"/>
                <w:w w:val="100"/>
                <w:sz w:val="21"/>
                <w:szCs w:val="21"/>
              </w:rPr>
              <w:t>计</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3"/>
              <w:jc w:val="right"/>
              <w:rPr>
                <w:rFonts w:ascii="宋体" w:hAnsi="宋体" w:cs="宋体" w:eastAsia="宋体" w:hint="default"/>
                <w:sz w:val="21"/>
                <w:szCs w:val="21"/>
              </w:rPr>
            </w:pPr>
            <w:r>
              <w:rPr>
                <w:rFonts w:ascii="宋体"/>
                <w:w w:val="100"/>
                <w:sz w:val="21"/>
              </w:rPr>
              <w:t>/</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3"/>
              <w:jc w:val="right"/>
              <w:rPr>
                <w:rFonts w:ascii="宋体" w:hAnsi="宋体" w:cs="宋体" w:eastAsia="宋体" w:hint="default"/>
                <w:sz w:val="21"/>
                <w:szCs w:val="21"/>
              </w:rPr>
            </w:pPr>
            <w:r>
              <w:rPr>
                <w:rFonts w:ascii="宋体"/>
                <w:w w:val="100"/>
                <w:sz w:val="21"/>
              </w:rPr>
              <w:t>/</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06" w:right="0"/>
              <w:jc w:val="left"/>
              <w:rPr>
                <w:rFonts w:ascii="Times New Roman" w:hAnsi="Times New Roman" w:cs="Times New Roman" w:eastAsia="Times New Roman" w:hint="default"/>
                <w:sz w:val="21"/>
                <w:szCs w:val="21"/>
              </w:rPr>
            </w:pPr>
            <w:r>
              <w:rPr>
                <w:rFonts w:ascii="Times New Roman"/>
                <w:sz w:val="21"/>
              </w:rPr>
              <w:t>570,957,489</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04" w:right="0"/>
              <w:jc w:val="left"/>
              <w:rPr>
                <w:rFonts w:ascii="Times New Roman" w:hAnsi="Times New Roman" w:cs="Times New Roman" w:eastAsia="Times New Roman" w:hint="default"/>
                <w:sz w:val="21"/>
                <w:szCs w:val="21"/>
              </w:rPr>
            </w:pPr>
            <w:r>
              <w:rPr>
                <w:rFonts w:ascii="Times New Roman"/>
                <w:sz w:val="21"/>
              </w:rPr>
              <w:t>570,957,489</w:t>
            </w:r>
          </w:p>
        </w:tc>
        <w:tc>
          <w:tcPr>
            <w:tcW w:w="576"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549.2</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5"/>
              <w:jc w:val="right"/>
              <w:rPr>
                <w:rFonts w:ascii="宋体" w:hAnsi="宋体" w:cs="宋体" w:eastAsia="宋体" w:hint="default"/>
                <w:sz w:val="21"/>
                <w:szCs w:val="21"/>
              </w:rPr>
            </w:pPr>
            <w:r>
              <w:rPr>
                <w:rFonts w:ascii="宋体"/>
                <w:w w:val="100"/>
                <w:sz w:val="21"/>
              </w:rPr>
              <w:t>/</w:t>
            </w:r>
          </w:p>
        </w:tc>
      </w:tr>
    </w:tbl>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1013"/>
        <w:gridCol w:w="8037"/>
      </w:tblGrid>
      <w:tr>
        <w:trPr>
          <w:trHeight w:val="281"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88"/>
              <w:jc w:val="right"/>
              <w:rPr>
                <w:rFonts w:ascii="宋体" w:hAnsi="宋体" w:cs="宋体" w:eastAsia="宋体" w:hint="default"/>
                <w:sz w:val="21"/>
                <w:szCs w:val="21"/>
              </w:rPr>
            </w:pPr>
            <w:r>
              <w:rPr>
                <w:rFonts w:ascii="宋体" w:hAnsi="宋体" w:cs="宋体" w:eastAsia="宋体" w:hint="default"/>
                <w:sz w:val="21"/>
                <w:szCs w:val="21"/>
              </w:rPr>
              <w:t>姓名</w:t>
            </w:r>
          </w:p>
        </w:tc>
        <w:tc>
          <w:tcPr>
            <w:tcW w:w="8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主要工作经历</w:t>
            </w:r>
          </w:p>
        </w:tc>
      </w:tr>
      <w:tr>
        <w:trPr>
          <w:trHeight w:val="828"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64"/>
              <w:jc w:val="right"/>
              <w:rPr>
                <w:rFonts w:ascii="宋体" w:hAnsi="宋体" w:cs="宋体" w:eastAsia="宋体" w:hint="default"/>
                <w:sz w:val="21"/>
                <w:szCs w:val="21"/>
              </w:rPr>
            </w:pPr>
            <w:r>
              <w:rPr>
                <w:rFonts w:ascii="宋体" w:hAnsi="宋体" w:cs="宋体" w:eastAsia="宋体" w:hint="default"/>
                <w:sz w:val="21"/>
                <w:szCs w:val="21"/>
              </w:rPr>
              <w:t>郭东泽</w:t>
            </w:r>
          </w:p>
        </w:tc>
        <w:tc>
          <w:tcPr>
            <w:tcW w:w="8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最近五年内曾任职于安通物流和安盛船务，于</w:t>
            </w:r>
            <w:r>
              <w:rPr>
                <w:rFonts w:ascii="宋体" w:hAnsi="宋体" w:cs="宋体" w:eastAsia="宋体" w:hint="default"/>
                <w:spacing w:val="-47"/>
                <w:sz w:val="21"/>
                <w:szCs w:val="21"/>
              </w:rPr>
              <w:t> </w:t>
            </w:r>
            <w:r>
              <w:rPr>
                <w:rFonts w:ascii="宋体" w:hAnsi="宋体" w:cs="宋体" w:eastAsia="宋体" w:hint="default"/>
                <w:sz w:val="21"/>
                <w:szCs w:val="21"/>
              </w:rPr>
              <w:t>2016</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8</w:t>
            </w:r>
            <w:r>
              <w:rPr>
                <w:rFonts w:ascii="宋体" w:hAnsi="宋体" w:cs="宋体" w:eastAsia="宋体" w:hint="default"/>
                <w:spacing w:val="-48"/>
                <w:sz w:val="21"/>
                <w:szCs w:val="21"/>
              </w:rPr>
              <w:t> </w:t>
            </w:r>
            <w:r>
              <w:rPr>
                <w:rFonts w:ascii="宋体" w:hAnsi="宋体" w:cs="宋体" w:eastAsia="宋体" w:hint="default"/>
                <w:sz w:val="21"/>
                <w:szCs w:val="21"/>
              </w:rPr>
              <w:t>月至</w:t>
            </w:r>
            <w:r>
              <w:rPr>
                <w:rFonts w:ascii="宋体" w:hAnsi="宋体" w:cs="宋体" w:eastAsia="宋体" w:hint="default"/>
                <w:spacing w:val="-48"/>
                <w:sz w:val="21"/>
                <w:szCs w:val="21"/>
              </w:rPr>
              <w:t> </w:t>
            </w:r>
            <w:r>
              <w:rPr>
                <w:rFonts w:ascii="宋体" w:hAnsi="宋体" w:cs="宋体" w:eastAsia="宋体" w:hint="default"/>
                <w:sz w:val="21"/>
                <w:szCs w:val="21"/>
              </w:rPr>
              <w:t>2018</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1</w:t>
            </w:r>
            <w:r>
              <w:rPr>
                <w:rFonts w:ascii="宋体" w:hAnsi="宋体" w:cs="宋体" w:eastAsia="宋体" w:hint="default"/>
                <w:spacing w:val="-48"/>
                <w:sz w:val="21"/>
                <w:szCs w:val="21"/>
              </w:rPr>
              <w:t> </w:t>
            </w:r>
            <w:r>
              <w:rPr>
                <w:rFonts w:ascii="宋体" w:hAnsi="宋体" w:cs="宋体" w:eastAsia="宋体" w:hint="default"/>
                <w:sz w:val="21"/>
                <w:szCs w:val="21"/>
              </w:rPr>
              <w:t>月担任安通控</w:t>
            </w:r>
          </w:p>
          <w:p>
            <w:pPr>
              <w:pStyle w:val="TableParagraph"/>
              <w:spacing w:line="240" w:lineRule="auto"/>
              <w:ind w:left="103" w:right="97"/>
              <w:jc w:val="left"/>
              <w:rPr>
                <w:rFonts w:ascii="宋体" w:hAnsi="宋体" w:cs="宋体" w:eastAsia="宋体" w:hint="default"/>
                <w:sz w:val="21"/>
                <w:szCs w:val="21"/>
              </w:rPr>
            </w:pPr>
            <w:r>
              <w:rPr>
                <w:rFonts w:ascii="宋体" w:hAnsi="宋体" w:cs="宋体" w:eastAsia="宋体" w:hint="default"/>
                <w:sz w:val="21"/>
                <w:szCs w:val="21"/>
              </w:rPr>
              <w:t>股董事长，截止到本报告披露日，郭东泽不再担任安通物流、安盛船务、安通控股任</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何职务。</w:t>
            </w:r>
          </w:p>
        </w:tc>
      </w:tr>
      <w:tr>
        <w:trPr>
          <w:trHeight w:val="829"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4"/>
              <w:jc w:val="right"/>
              <w:rPr>
                <w:rFonts w:ascii="宋体" w:hAnsi="宋体" w:cs="宋体" w:eastAsia="宋体" w:hint="default"/>
                <w:sz w:val="21"/>
                <w:szCs w:val="21"/>
              </w:rPr>
            </w:pPr>
            <w:r>
              <w:rPr>
                <w:rFonts w:ascii="宋体" w:hAnsi="宋体" w:cs="宋体" w:eastAsia="宋体" w:hint="default"/>
                <w:sz w:val="21"/>
                <w:szCs w:val="21"/>
              </w:rPr>
              <w:t>郭东圣</w:t>
            </w:r>
          </w:p>
        </w:tc>
        <w:tc>
          <w:tcPr>
            <w:tcW w:w="80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5"/>
              <w:jc w:val="left"/>
              <w:rPr>
                <w:rFonts w:ascii="宋体" w:hAnsi="宋体" w:cs="宋体" w:eastAsia="宋体" w:hint="default"/>
                <w:sz w:val="21"/>
                <w:szCs w:val="21"/>
              </w:rPr>
            </w:pPr>
            <w:r>
              <w:rPr>
                <w:rFonts w:ascii="宋体" w:hAnsi="宋体" w:cs="宋体" w:eastAsia="宋体" w:hint="default"/>
                <w:sz w:val="21"/>
                <w:szCs w:val="21"/>
              </w:rPr>
              <w:t>最近五年内任职于安通物流和安盛船务，截止到本报告期末，担任安通物流和安盛船</w:t>
            </w:r>
          </w:p>
          <w:p>
            <w:pPr>
              <w:pStyle w:val="TableParagraph"/>
              <w:spacing w:line="272" w:lineRule="exact" w:before="27"/>
              <w:ind w:left="103" w:right="-5"/>
              <w:jc w:val="left"/>
              <w:rPr>
                <w:rFonts w:ascii="宋体" w:hAnsi="宋体" w:cs="宋体" w:eastAsia="宋体" w:hint="default"/>
                <w:sz w:val="21"/>
                <w:szCs w:val="21"/>
              </w:rPr>
            </w:pPr>
            <w:r>
              <w:rPr>
                <w:rFonts w:ascii="宋体" w:hAnsi="宋体" w:cs="宋体" w:eastAsia="宋体" w:hint="default"/>
                <w:spacing w:val="-5"/>
                <w:sz w:val="21"/>
                <w:szCs w:val="21"/>
              </w:rPr>
              <w:t>务董事长，于</w:t>
            </w:r>
            <w:r>
              <w:rPr>
                <w:rFonts w:ascii="宋体" w:hAnsi="宋体" w:cs="宋体" w:eastAsia="宋体" w:hint="default"/>
                <w:spacing w:val="-43"/>
                <w:sz w:val="21"/>
                <w:szCs w:val="21"/>
              </w:rPr>
              <w:t> </w:t>
            </w:r>
            <w:r>
              <w:rPr>
                <w:rFonts w:ascii="宋体" w:hAnsi="宋体" w:cs="宋体" w:eastAsia="宋体" w:hint="default"/>
                <w:sz w:val="21"/>
                <w:szCs w:val="21"/>
              </w:rPr>
              <w:t>2016</w:t>
            </w:r>
            <w:r>
              <w:rPr>
                <w:rFonts w:ascii="宋体" w:hAnsi="宋体" w:cs="宋体" w:eastAsia="宋体" w:hint="default"/>
                <w:spacing w:val="-42"/>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8</w:t>
            </w:r>
            <w:r>
              <w:rPr>
                <w:rFonts w:ascii="宋体" w:hAnsi="宋体" w:cs="宋体" w:eastAsia="宋体" w:hint="default"/>
                <w:spacing w:val="-43"/>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宋体" w:hAnsi="宋体" w:cs="宋体" w:eastAsia="宋体" w:hint="default"/>
                <w:sz w:val="21"/>
                <w:szCs w:val="21"/>
              </w:rPr>
              <w:t>10</w:t>
            </w:r>
            <w:r>
              <w:rPr>
                <w:rFonts w:ascii="宋体" w:hAnsi="宋体" w:cs="宋体" w:eastAsia="宋体" w:hint="default"/>
                <w:spacing w:val="-43"/>
                <w:sz w:val="21"/>
                <w:szCs w:val="21"/>
              </w:rPr>
              <w:t> </w:t>
            </w:r>
            <w:r>
              <w:rPr>
                <w:rFonts w:ascii="宋体" w:hAnsi="宋体" w:cs="宋体" w:eastAsia="宋体" w:hint="default"/>
                <w:spacing w:val="-4"/>
                <w:sz w:val="21"/>
                <w:szCs w:val="21"/>
              </w:rPr>
              <w:t>日起担任安通控股董事、总经理，现任安通控股董事长、</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总经理。</w:t>
            </w:r>
          </w:p>
        </w:tc>
      </w:tr>
      <w:tr>
        <w:trPr>
          <w:trHeight w:val="554"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4"/>
              <w:jc w:val="right"/>
              <w:rPr>
                <w:rFonts w:ascii="宋体" w:hAnsi="宋体" w:cs="宋体" w:eastAsia="宋体" w:hint="default"/>
                <w:sz w:val="21"/>
                <w:szCs w:val="21"/>
              </w:rPr>
            </w:pPr>
            <w:r>
              <w:rPr>
                <w:rFonts w:ascii="宋体" w:hAnsi="宋体" w:cs="宋体" w:eastAsia="宋体" w:hint="default"/>
                <w:sz w:val="21"/>
                <w:szCs w:val="21"/>
              </w:rPr>
              <w:t>王经文</w:t>
            </w:r>
          </w:p>
        </w:tc>
        <w:tc>
          <w:tcPr>
            <w:tcW w:w="80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最近五年内担任泉州安通物流有限公司总经理，于</w:t>
            </w:r>
            <w:r>
              <w:rPr>
                <w:rFonts w:ascii="宋体" w:hAnsi="宋体" w:cs="宋体" w:eastAsia="宋体" w:hint="default"/>
                <w:spacing w:val="-48"/>
                <w:sz w:val="21"/>
                <w:szCs w:val="21"/>
              </w:rPr>
              <w:t> </w:t>
            </w:r>
            <w:r>
              <w:rPr>
                <w:rFonts w:ascii="宋体" w:hAnsi="宋体" w:cs="宋体" w:eastAsia="宋体" w:hint="default"/>
                <w:sz w:val="21"/>
                <w:szCs w:val="21"/>
              </w:rPr>
              <w:t>2016</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8</w:t>
            </w:r>
            <w:r>
              <w:rPr>
                <w:rFonts w:ascii="宋体" w:hAnsi="宋体" w:cs="宋体" w:eastAsia="宋体" w:hint="default"/>
                <w:spacing w:val="-45"/>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宋体" w:hAnsi="宋体" w:cs="宋体" w:eastAsia="宋体" w:hint="default"/>
                <w:sz w:val="21"/>
                <w:szCs w:val="21"/>
              </w:rPr>
              <w:t>10</w:t>
            </w:r>
            <w:r>
              <w:rPr>
                <w:rFonts w:ascii="宋体" w:hAnsi="宋体" w:cs="宋体" w:eastAsia="宋体" w:hint="default"/>
                <w:spacing w:val="-45"/>
                <w:sz w:val="21"/>
                <w:szCs w:val="21"/>
              </w:rPr>
              <w:t> </w:t>
            </w:r>
            <w:r>
              <w:rPr>
                <w:rFonts w:ascii="宋体" w:hAnsi="宋体" w:cs="宋体" w:eastAsia="宋体" w:hint="default"/>
                <w:sz w:val="21"/>
                <w:szCs w:val="21"/>
              </w:rPr>
              <w:t>日起担任安通控股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董事、副总经理。</w:t>
            </w:r>
          </w:p>
        </w:tc>
      </w:tr>
      <w:tr>
        <w:trPr>
          <w:trHeight w:val="1644"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4"/>
              <w:jc w:val="right"/>
              <w:rPr>
                <w:rFonts w:ascii="宋体" w:hAnsi="宋体" w:cs="宋体" w:eastAsia="宋体" w:hint="default"/>
                <w:sz w:val="21"/>
                <w:szCs w:val="21"/>
              </w:rPr>
            </w:pPr>
            <w:r>
              <w:rPr>
                <w:rFonts w:ascii="宋体" w:hAnsi="宋体" w:cs="宋体" w:eastAsia="宋体" w:hint="default"/>
                <w:sz w:val="21"/>
                <w:szCs w:val="21"/>
              </w:rPr>
              <w:t>郭文圣</w:t>
            </w:r>
          </w:p>
        </w:tc>
        <w:tc>
          <w:tcPr>
            <w:tcW w:w="80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2005</w:t>
            </w:r>
            <w:r>
              <w:rPr>
                <w:rFonts w:ascii="宋体" w:hAnsi="宋体" w:cs="宋体" w:eastAsia="宋体" w:hint="default"/>
                <w:spacing w:val="-43"/>
                <w:sz w:val="21"/>
                <w:szCs w:val="21"/>
              </w:rPr>
              <w:t> </w:t>
            </w:r>
            <w:r>
              <w:rPr>
                <w:rFonts w:ascii="宋体" w:hAnsi="宋体" w:cs="宋体" w:eastAsia="宋体" w:hint="default"/>
                <w:spacing w:val="-3"/>
                <w:sz w:val="21"/>
                <w:szCs w:val="21"/>
              </w:rPr>
              <w:t>年至今任中国扶贫开发协会副会长；</w:t>
            </w:r>
            <w:r>
              <w:rPr>
                <w:rFonts w:ascii="宋体" w:hAnsi="宋体" w:cs="宋体" w:eastAsia="宋体" w:hint="default"/>
                <w:spacing w:val="-3"/>
                <w:sz w:val="21"/>
                <w:szCs w:val="21"/>
              </w:rPr>
              <w:t>2007</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宋体" w:hAnsi="宋体" w:cs="宋体" w:eastAsia="宋体" w:hint="default"/>
                <w:sz w:val="21"/>
                <w:szCs w:val="21"/>
              </w:rPr>
              <w:t>1</w:t>
            </w:r>
            <w:r>
              <w:rPr>
                <w:rFonts w:ascii="宋体" w:hAnsi="宋体" w:cs="宋体" w:eastAsia="宋体" w:hint="default"/>
                <w:spacing w:val="-43"/>
                <w:sz w:val="21"/>
                <w:szCs w:val="21"/>
              </w:rPr>
              <w:t> </w:t>
            </w:r>
            <w:r>
              <w:rPr>
                <w:rFonts w:ascii="宋体" w:hAnsi="宋体" w:cs="宋体" w:eastAsia="宋体" w:hint="default"/>
                <w:spacing w:val="-3"/>
                <w:sz w:val="21"/>
                <w:szCs w:val="21"/>
              </w:rPr>
              <w:t>月起任民革中央妇青委委员、民革</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z w:val="21"/>
                <w:szCs w:val="21"/>
              </w:rPr>
              <w:t>中央祖统委委员、中华中山交流协会常务理事、中国宋庆龄基金会理事；</w:t>
            </w:r>
            <w:r>
              <w:rPr>
                <w:rFonts w:ascii="宋体" w:hAnsi="宋体" w:cs="宋体" w:eastAsia="宋体" w:hint="default"/>
                <w:spacing w:val="26"/>
                <w:sz w:val="21"/>
                <w:szCs w:val="21"/>
              </w:rPr>
              <w:t> </w:t>
            </w:r>
            <w:r>
              <w:rPr>
                <w:rFonts w:ascii="宋体" w:hAnsi="宋体" w:cs="宋体" w:eastAsia="宋体" w:hint="default"/>
                <w:sz w:val="21"/>
                <w:szCs w:val="21"/>
              </w:rPr>
              <w:t>2013</w:t>
            </w:r>
            <w:r>
              <w:rPr>
                <w:rFonts w:ascii="宋体" w:hAnsi="宋体" w:cs="宋体" w:eastAsia="宋体" w:hint="default"/>
                <w:spacing w:val="20"/>
                <w:sz w:val="21"/>
                <w:szCs w:val="21"/>
              </w:rPr>
              <w:t> </w:t>
            </w:r>
            <w:r>
              <w:rPr>
                <w:rFonts w:ascii="宋体" w:hAnsi="宋体" w:cs="宋体" w:eastAsia="宋体" w:hint="default"/>
                <w:sz w:val="21"/>
                <w:szCs w:val="21"/>
              </w:rPr>
              <w:t>年至</w:t>
            </w:r>
            <w:r>
              <w:rPr>
                <w:rFonts w:ascii="宋体" w:hAnsi="宋体" w:cs="宋体" w:eastAsia="宋体" w:hint="default"/>
                <w:spacing w:val="-102"/>
                <w:sz w:val="21"/>
                <w:szCs w:val="21"/>
              </w:rPr>
              <w:t> </w:t>
            </w:r>
            <w:r>
              <w:rPr>
                <w:rFonts w:ascii="宋体" w:hAnsi="宋体" w:cs="宋体" w:eastAsia="宋体" w:hint="default"/>
                <w:sz w:val="21"/>
                <w:szCs w:val="21"/>
              </w:rPr>
              <w:t>今任全国政协社会和法制委员会委员；</w:t>
            </w:r>
            <w:r>
              <w:rPr>
                <w:rFonts w:ascii="宋体" w:hAnsi="宋体" w:cs="宋体" w:eastAsia="宋体" w:hint="default"/>
                <w:sz w:val="21"/>
                <w:szCs w:val="21"/>
              </w:rPr>
              <w:t>2017</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7"/>
                <w:sz w:val="21"/>
                <w:szCs w:val="21"/>
              </w:rPr>
              <w:t> </w:t>
            </w:r>
            <w:r>
              <w:rPr>
                <w:rFonts w:ascii="宋体" w:hAnsi="宋体" w:cs="宋体" w:eastAsia="宋体" w:hint="default"/>
                <w:sz w:val="21"/>
                <w:szCs w:val="21"/>
              </w:rPr>
              <w:t>月任吉林省延边州和龙市东城镇光东</w:t>
            </w:r>
            <w:r>
              <w:rPr>
                <w:rFonts w:ascii="宋体" w:hAnsi="宋体" w:cs="宋体" w:eastAsia="宋体" w:hint="default"/>
                <w:w w:val="100"/>
                <w:sz w:val="21"/>
                <w:szCs w:val="21"/>
              </w:rPr>
              <w:t> </w:t>
            </w:r>
            <w:r>
              <w:rPr>
                <w:rFonts w:ascii="宋体" w:hAnsi="宋体" w:cs="宋体" w:eastAsia="宋体" w:hint="default"/>
                <w:sz w:val="21"/>
                <w:szCs w:val="21"/>
              </w:rPr>
              <w:t>村、安图县松江镇文昌村、龙井市东盛涌镇龙山村、福建德化县贫困村苏洋村、云溪</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pacing w:val="-4"/>
                <w:sz w:val="21"/>
                <w:szCs w:val="21"/>
              </w:rPr>
              <w:t>村第一村主任；</w:t>
            </w:r>
            <w:r>
              <w:rPr>
                <w:rFonts w:ascii="宋体" w:hAnsi="宋体" w:cs="宋体" w:eastAsia="宋体" w:hint="default"/>
                <w:spacing w:val="-4"/>
                <w:sz w:val="21"/>
                <w:szCs w:val="21"/>
              </w:rPr>
              <w:t>2017</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3</w:t>
            </w:r>
            <w:r>
              <w:rPr>
                <w:rFonts w:ascii="宋体" w:hAnsi="宋体" w:cs="宋体" w:eastAsia="宋体" w:hint="default"/>
                <w:spacing w:val="-49"/>
                <w:sz w:val="21"/>
                <w:szCs w:val="21"/>
              </w:rPr>
              <w:t> </w:t>
            </w:r>
            <w:r>
              <w:rPr>
                <w:rFonts w:ascii="宋体" w:hAnsi="宋体" w:cs="宋体" w:eastAsia="宋体" w:hint="default"/>
                <w:spacing w:val="-3"/>
                <w:sz w:val="21"/>
                <w:szCs w:val="21"/>
              </w:rPr>
              <w:t>月至今任延边蒲公英投资有限公司监事；</w:t>
            </w:r>
            <w:r>
              <w:rPr>
                <w:rFonts w:ascii="宋体" w:hAnsi="宋体" w:cs="宋体" w:eastAsia="宋体" w:hint="default"/>
                <w:spacing w:val="-3"/>
                <w:sz w:val="21"/>
                <w:szCs w:val="21"/>
              </w:rPr>
              <w:t>2018</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2</w:t>
            </w:r>
            <w:r>
              <w:rPr>
                <w:rFonts w:ascii="宋体" w:hAnsi="宋体" w:cs="宋体" w:eastAsia="宋体" w:hint="default"/>
                <w:spacing w:val="-49"/>
                <w:sz w:val="21"/>
                <w:szCs w:val="21"/>
              </w:rPr>
              <w:t> </w:t>
            </w:r>
            <w:r>
              <w:rPr>
                <w:rFonts w:ascii="宋体" w:hAnsi="宋体" w:cs="宋体" w:eastAsia="宋体" w:hint="default"/>
                <w:sz w:val="21"/>
                <w:szCs w:val="21"/>
              </w:rPr>
              <w:t>月</w:t>
            </w:r>
            <w:r>
              <w:rPr>
                <w:rFonts w:ascii="宋体" w:hAnsi="宋体" w:cs="宋体" w:eastAsia="宋体" w:hint="default"/>
                <w:spacing w:val="-46"/>
                <w:sz w:val="21"/>
                <w:szCs w:val="21"/>
              </w:rPr>
              <w:t> </w:t>
            </w:r>
            <w:r>
              <w:rPr>
                <w:rFonts w:ascii="宋体" w:hAnsi="宋体" w:cs="宋体" w:eastAsia="宋体" w:hint="default"/>
                <w:sz w:val="21"/>
                <w:szCs w:val="21"/>
              </w:rPr>
              <w:t>9</w:t>
            </w:r>
            <w:r>
              <w:rPr>
                <w:rFonts w:ascii="宋体" w:hAnsi="宋体" w:cs="宋体" w:eastAsia="宋体" w:hint="default"/>
                <w:spacing w:val="-46"/>
                <w:sz w:val="21"/>
                <w:szCs w:val="21"/>
              </w:rPr>
              <w:t> </w:t>
            </w:r>
            <w:r>
              <w:rPr>
                <w:rFonts w:ascii="宋体" w:hAnsi="宋体" w:cs="宋体" w:eastAsia="宋体" w:hint="default"/>
                <w:spacing w:val="-3"/>
                <w:sz w:val="21"/>
                <w:szCs w:val="21"/>
              </w:rPr>
              <w:t>日至</w:t>
            </w:r>
            <w:r>
              <w:rPr>
                <w:rFonts w:ascii="宋体" w:hAnsi="宋体" w:cs="宋体" w:eastAsia="宋体" w:hint="default"/>
                <w:spacing w:val="-101"/>
                <w:sz w:val="21"/>
                <w:szCs w:val="21"/>
              </w:rPr>
              <w:t> </w:t>
            </w:r>
            <w:r>
              <w:rPr>
                <w:rFonts w:ascii="宋体" w:hAnsi="宋体" w:cs="宋体" w:eastAsia="宋体" w:hint="default"/>
                <w:sz w:val="21"/>
                <w:szCs w:val="21"/>
              </w:rPr>
              <w:t>今任安通控股董事。</w:t>
            </w:r>
          </w:p>
        </w:tc>
      </w:tr>
      <w:tr>
        <w:trPr>
          <w:trHeight w:val="1371"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4"/>
              <w:jc w:val="right"/>
              <w:rPr>
                <w:rFonts w:ascii="宋体" w:hAnsi="宋体" w:cs="宋体" w:eastAsia="宋体" w:hint="default"/>
                <w:sz w:val="21"/>
                <w:szCs w:val="21"/>
              </w:rPr>
            </w:pPr>
            <w:r>
              <w:rPr>
                <w:rFonts w:ascii="宋体" w:hAnsi="宋体" w:cs="宋体" w:eastAsia="宋体" w:hint="default"/>
                <w:sz w:val="21"/>
                <w:szCs w:val="21"/>
              </w:rPr>
              <w:t>崔建霖</w:t>
            </w:r>
          </w:p>
        </w:tc>
        <w:tc>
          <w:tcPr>
            <w:tcW w:w="80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最近五年内担任甘肃省燃气总公司计划财务处会计，中国蓝星（集团）股份有限公司</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z w:val="21"/>
                <w:szCs w:val="21"/>
              </w:rPr>
              <w:t>财务部会计主管，蓝星石化有限公司财务处处长，蓝星石化科技股份有限公司副总经</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理，蓝星石化科技股份有限公司财务总监，中国蓝星（集团）股份有限公司资金处处</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长，现任中国化工财务有限公司会计服务部副总经理，于</w:t>
            </w:r>
            <w:r>
              <w:rPr>
                <w:rFonts w:ascii="宋体" w:hAnsi="宋体" w:cs="宋体" w:eastAsia="宋体" w:hint="default"/>
                <w:spacing w:val="-45"/>
                <w:sz w:val="21"/>
                <w:szCs w:val="21"/>
              </w:rPr>
              <w:t> </w:t>
            </w:r>
            <w:r>
              <w:rPr>
                <w:rFonts w:ascii="宋体" w:hAnsi="宋体" w:cs="宋体" w:eastAsia="宋体" w:hint="default"/>
                <w:sz w:val="21"/>
                <w:szCs w:val="21"/>
              </w:rPr>
              <w:t>2016</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8</w:t>
            </w:r>
            <w:r>
              <w:rPr>
                <w:rFonts w:ascii="宋体" w:hAnsi="宋体" w:cs="宋体" w:eastAsia="宋体" w:hint="default"/>
                <w:spacing w:val="-45"/>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宋体" w:hAnsi="宋体" w:cs="宋体" w:eastAsia="宋体" w:hint="default"/>
                <w:sz w:val="21"/>
                <w:szCs w:val="21"/>
              </w:rPr>
              <w:t>10</w:t>
            </w:r>
            <w:r>
              <w:rPr>
                <w:rFonts w:ascii="宋体" w:hAnsi="宋体" w:cs="宋体" w:eastAsia="宋体" w:hint="default"/>
                <w:spacing w:val="-47"/>
                <w:sz w:val="21"/>
                <w:szCs w:val="21"/>
              </w:rPr>
              <w:t> </w:t>
            </w:r>
            <w:r>
              <w:rPr>
                <w:rFonts w:ascii="宋体" w:hAnsi="宋体" w:cs="宋体" w:eastAsia="宋体" w:hint="default"/>
                <w:sz w:val="21"/>
                <w:szCs w:val="21"/>
              </w:rPr>
              <w:t>日起担任安</w:t>
            </w:r>
            <w:r>
              <w:rPr>
                <w:rFonts w:ascii="宋体" w:hAnsi="宋体" w:cs="宋体" w:eastAsia="宋体" w:hint="default"/>
                <w:w w:val="100"/>
                <w:sz w:val="21"/>
                <w:szCs w:val="21"/>
              </w:rPr>
              <w:t> </w:t>
            </w:r>
            <w:r>
              <w:rPr>
                <w:rFonts w:ascii="宋体" w:hAnsi="宋体" w:cs="宋体" w:eastAsia="宋体" w:hint="default"/>
                <w:sz w:val="21"/>
                <w:szCs w:val="21"/>
              </w:rPr>
              <w:t>通控股董事。</w:t>
            </w:r>
          </w:p>
        </w:tc>
      </w:tr>
    </w:tbl>
    <w:p>
      <w:pPr>
        <w:spacing w:after="0" w:line="237" w:lineRule="auto"/>
        <w:jc w:val="both"/>
        <w:rPr>
          <w:rFonts w:ascii="宋体" w:hAnsi="宋体" w:cs="宋体" w:eastAsia="宋体" w:hint="default"/>
          <w:sz w:val="21"/>
          <w:szCs w:val="21"/>
        </w:rPr>
        <w:sectPr>
          <w:pgSz w:w="11910" w:h="16840"/>
          <w:pgMar w:header="882" w:footer="1195" w:top="1120" w:bottom="1380" w:left="1060" w:right="1560"/>
        </w:sectPr>
      </w:pPr>
    </w:p>
    <w:p>
      <w:pPr>
        <w:spacing w:line="240" w:lineRule="auto" w:before="4"/>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1013"/>
        <w:gridCol w:w="8037"/>
      </w:tblGrid>
      <w:tr>
        <w:trPr>
          <w:trHeight w:val="828"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赵雪媛</w:t>
            </w:r>
          </w:p>
        </w:tc>
        <w:tc>
          <w:tcPr>
            <w:tcW w:w="8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最近</w:t>
            </w:r>
            <w:r>
              <w:rPr>
                <w:rFonts w:ascii="宋体" w:hAnsi="宋体" w:cs="宋体" w:eastAsia="宋体" w:hint="default"/>
                <w:spacing w:val="-3"/>
                <w:w w:val="100"/>
                <w:sz w:val="21"/>
                <w:szCs w:val="21"/>
              </w:rPr>
              <w:t>五</w:t>
            </w:r>
            <w:r>
              <w:rPr>
                <w:rFonts w:ascii="宋体" w:hAnsi="宋体" w:cs="宋体" w:eastAsia="宋体" w:hint="default"/>
                <w:w w:val="100"/>
                <w:sz w:val="21"/>
                <w:szCs w:val="21"/>
              </w:rPr>
              <w:t>年</w:t>
            </w:r>
            <w:r>
              <w:rPr>
                <w:rFonts w:ascii="宋体" w:hAnsi="宋体" w:cs="宋体" w:eastAsia="宋体" w:hint="default"/>
                <w:spacing w:val="-3"/>
                <w:w w:val="100"/>
                <w:sz w:val="21"/>
                <w:szCs w:val="21"/>
              </w:rPr>
              <w:t>内</w:t>
            </w:r>
            <w:r>
              <w:rPr>
                <w:rFonts w:ascii="宋体" w:hAnsi="宋体" w:cs="宋体" w:eastAsia="宋体" w:hint="default"/>
                <w:w w:val="100"/>
                <w:sz w:val="21"/>
                <w:szCs w:val="21"/>
              </w:rPr>
              <w:t>担</w:t>
            </w:r>
            <w:r>
              <w:rPr>
                <w:rFonts w:ascii="宋体" w:hAnsi="宋体" w:cs="宋体" w:eastAsia="宋体" w:hint="default"/>
                <w:spacing w:val="-3"/>
                <w:w w:val="100"/>
                <w:sz w:val="21"/>
                <w:szCs w:val="21"/>
              </w:rPr>
              <w:t>任</w:t>
            </w:r>
            <w:r>
              <w:rPr>
                <w:rFonts w:ascii="宋体" w:hAnsi="宋体" w:cs="宋体" w:eastAsia="宋体" w:hint="default"/>
                <w:w w:val="100"/>
                <w:sz w:val="21"/>
                <w:szCs w:val="21"/>
              </w:rPr>
              <w:t>中</w:t>
            </w:r>
            <w:r>
              <w:rPr>
                <w:rFonts w:ascii="宋体" w:hAnsi="宋体" w:cs="宋体" w:eastAsia="宋体" w:hint="default"/>
                <w:spacing w:val="-3"/>
                <w:w w:val="100"/>
                <w:sz w:val="21"/>
                <w:szCs w:val="21"/>
              </w:rPr>
              <w:t>央</w:t>
            </w:r>
            <w:r>
              <w:rPr>
                <w:rFonts w:ascii="宋体" w:hAnsi="宋体" w:cs="宋体" w:eastAsia="宋体" w:hint="default"/>
                <w:w w:val="100"/>
                <w:sz w:val="21"/>
                <w:szCs w:val="21"/>
              </w:rPr>
              <w:t>财</w:t>
            </w:r>
            <w:r>
              <w:rPr>
                <w:rFonts w:ascii="宋体" w:hAnsi="宋体" w:cs="宋体" w:eastAsia="宋体" w:hint="default"/>
                <w:spacing w:val="-3"/>
                <w:w w:val="100"/>
                <w:sz w:val="21"/>
                <w:szCs w:val="21"/>
              </w:rPr>
              <w:t>经</w:t>
            </w:r>
            <w:r>
              <w:rPr>
                <w:rFonts w:ascii="宋体" w:hAnsi="宋体" w:cs="宋体" w:eastAsia="宋体" w:hint="default"/>
                <w:w w:val="100"/>
                <w:sz w:val="21"/>
                <w:szCs w:val="21"/>
              </w:rPr>
              <w:t>大学</w:t>
            </w:r>
            <w:r>
              <w:rPr>
                <w:rFonts w:ascii="宋体" w:hAnsi="宋体" w:cs="宋体" w:eastAsia="宋体" w:hint="default"/>
                <w:spacing w:val="-3"/>
                <w:w w:val="100"/>
                <w:sz w:val="21"/>
                <w:szCs w:val="21"/>
              </w:rPr>
              <w:t>会</w:t>
            </w:r>
            <w:r>
              <w:rPr>
                <w:rFonts w:ascii="宋体" w:hAnsi="宋体" w:cs="宋体" w:eastAsia="宋体" w:hint="default"/>
                <w:w w:val="100"/>
                <w:sz w:val="21"/>
                <w:szCs w:val="21"/>
              </w:rPr>
              <w:t>计</w:t>
            </w:r>
            <w:r>
              <w:rPr>
                <w:rFonts w:ascii="宋体" w:hAnsi="宋体" w:cs="宋体" w:eastAsia="宋体" w:hint="default"/>
                <w:spacing w:val="-3"/>
                <w:w w:val="100"/>
                <w:sz w:val="21"/>
                <w:szCs w:val="21"/>
              </w:rPr>
              <w:t>学</w:t>
            </w:r>
            <w:r>
              <w:rPr>
                <w:rFonts w:ascii="宋体" w:hAnsi="宋体" w:cs="宋体" w:eastAsia="宋体" w:hint="default"/>
                <w:w w:val="100"/>
                <w:sz w:val="21"/>
                <w:szCs w:val="21"/>
              </w:rPr>
              <w:t>院</w:t>
            </w:r>
            <w:r>
              <w:rPr>
                <w:rFonts w:ascii="宋体" w:hAnsi="宋体" w:cs="宋体" w:eastAsia="宋体" w:hint="default"/>
                <w:spacing w:val="-3"/>
                <w:w w:val="100"/>
                <w:sz w:val="21"/>
                <w:szCs w:val="21"/>
              </w:rPr>
              <w:t>教</w:t>
            </w:r>
            <w:r>
              <w:rPr>
                <w:rFonts w:ascii="宋体" w:hAnsi="宋体" w:cs="宋体" w:eastAsia="宋体" w:hint="default"/>
                <w:w w:val="100"/>
                <w:sz w:val="21"/>
                <w:szCs w:val="21"/>
              </w:rPr>
              <w:t>授</w:t>
            </w:r>
            <w:r>
              <w:rPr>
                <w:rFonts w:ascii="宋体" w:hAnsi="宋体" w:cs="宋体" w:eastAsia="宋体" w:hint="default"/>
                <w:spacing w:val="-92"/>
                <w:w w:val="100"/>
                <w:sz w:val="21"/>
                <w:szCs w:val="21"/>
              </w:rPr>
              <w:t>、</w:t>
            </w:r>
            <w:r>
              <w:rPr>
                <w:rFonts w:ascii="宋体" w:hAnsi="宋体" w:cs="宋体" w:eastAsia="宋体" w:hint="default"/>
                <w:w w:val="100"/>
                <w:sz w:val="21"/>
                <w:szCs w:val="21"/>
              </w:rPr>
              <w:t>硕</w:t>
            </w:r>
            <w:r>
              <w:rPr>
                <w:rFonts w:ascii="宋体" w:hAnsi="宋体" w:cs="宋体" w:eastAsia="宋体" w:hint="default"/>
                <w:spacing w:val="-3"/>
                <w:w w:val="100"/>
                <w:sz w:val="21"/>
                <w:szCs w:val="21"/>
              </w:rPr>
              <w:t>士生</w:t>
            </w:r>
            <w:r>
              <w:rPr>
                <w:rFonts w:ascii="宋体" w:hAnsi="宋体" w:cs="宋体" w:eastAsia="宋体" w:hint="default"/>
                <w:w w:val="100"/>
                <w:sz w:val="21"/>
                <w:szCs w:val="21"/>
              </w:rPr>
              <w:t>导师</w:t>
            </w:r>
            <w:r>
              <w:rPr>
                <w:rFonts w:ascii="宋体" w:hAnsi="宋体" w:cs="宋体" w:eastAsia="宋体" w:hint="default"/>
                <w:spacing w:val="-92"/>
                <w:w w:val="100"/>
                <w:sz w:val="21"/>
                <w:szCs w:val="21"/>
              </w:rPr>
              <w:t>、</w:t>
            </w:r>
            <w:r>
              <w:rPr>
                <w:rFonts w:ascii="宋体" w:hAnsi="宋体" w:cs="宋体" w:eastAsia="宋体" w:hint="default"/>
                <w:w w:val="100"/>
                <w:sz w:val="21"/>
                <w:szCs w:val="21"/>
              </w:rPr>
              <w:t>院</w:t>
            </w:r>
            <w:r>
              <w:rPr>
                <w:rFonts w:ascii="宋体" w:hAnsi="宋体" w:cs="宋体" w:eastAsia="宋体" w:hint="default"/>
                <w:spacing w:val="-3"/>
                <w:w w:val="100"/>
                <w:sz w:val="21"/>
                <w:szCs w:val="21"/>
              </w:rPr>
              <w:t>长</w:t>
            </w:r>
            <w:r>
              <w:rPr>
                <w:rFonts w:ascii="宋体" w:hAnsi="宋体" w:cs="宋体" w:eastAsia="宋体" w:hint="default"/>
                <w:w w:val="100"/>
                <w:sz w:val="21"/>
                <w:szCs w:val="21"/>
              </w:rPr>
              <w:t>助</w:t>
            </w:r>
            <w:r>
              <w:rPr>
                <w:rFonts w:ascii="宋体" w:hAnsi="宋体" w:cs="宋体" w:eastAsia="宋体" w:hint="default"/>
                <w:spacing w:val="-3"/>
                <w:w w:val="100"/>
                <w:sz w:val="21"/>
                <w:szCs w:val="21"/>
              </w:rPr>
              <w:t>理</w:t>
            </w:r>
            <w:r>
              <w:rPr>
                <w:rFonts w:ascii="宋体" w:hAnsi="宋体" w:cs="宋体" w:eastAsia="宋体" w:hint="default"/>
                <w:spacing w:val="-89"/>
                <w:w w:val="100"/>
                <w:sz w:val="21"/>
                <w:szCs w:val="21"/>
              </w:rPr>
              <w:t>，</w:t>
            </w:r>
            <w:r>
              <w:rPr>
                <w:rFonts w:ascii="宋体" w:hAnsi="宋体" w:cs="宋体" w:eastAsia="宋体" w:hint="default"/>
                <w:spacing w:val="-3"/>
                <w:w w:val="100"/>
                <w:sz w:val="21"/>
                <w:szCs w:val="21"/>
              </w:rPr>
              <w:t>兼</w:t>
            </w:r>
            <w:r>
              <w:rPr>
                <w:rFonts w:ascii="宋体" w:hAnsi="宋体" w:cs="宋体" w:eastAsia="宋体" w:hint="default"/>
                <w:w w:val="100"/>
                <w:sz w:val="21"/>
                <w:szCs w:val="21"/>
              </w:rPr>
              <w:t>任</w:t>
            </w:r>
            <w:r>
              <w:rPr>
                <w:rFonts w:ascii="宋体" w:hAnsi="宋体" w:cs="宋体" w:eastAsia="宋体" w:hint="default"/>
                <w:spacing w:val="-3"/>
                <w:w w:val="100"/>
                <w:sz w:val="21"/>
                <w:szCs w:val="21"/>
              </w:rPr>
              <w:t>阳泉</w:t>
            </w:r>
            <w:r>
              <w:rPr>
                <w:rFonts w:ascii="宋体" w:hAnsi="宋体" w:cs="宋体" w:eastAsia="宋体" w:hint="default"/>
                <w:w w:val="100"/>
                <w:sz w:val="21"/>
                <w:szCs w:val="21"/>
              </w:rPr>
              <w:t>煤业</w:t>
            </w:r>
            <w:r>
              <w:rPr>
                <w:rFonts w:ascii="宋体" w:hAnsi="宋体" w:cs="宋体" w:eastAsia="宋体" w:hint="default"/>
                <w:spacing w:val="-3"/>
                <w:w w:val="100"/>
                <w:sz w:val="21"/>
                <w:szCs w:val="21"/>
              </w:rPr>
              <w:t>(</w:t>
            </w:r>
            <w:r>
              <w:rPr>
                <w:rFonts w:ascii="宋体" w:hAnsi="宋体" w:cs="宋体" w:eastAsia="宋体" w:hint="default"/>
                <w:w w:val="100"/>
                <w:sz w:val="21"/>
                <w:szCs w:val="21"/>
              </w:rPr>
              <w:t>集</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pacing w:val="-3"/>
                <w:sz w:val="21"/>
                <w:szCs w:val="21"/>
              </w:rPr>
              <w:t>团</w:t>
            </w:r>
            <w:r>
              <w:rPr>
                <w:rFonts w:ascii="宋体" w:hAnsi="宋体" w:cs="宋体" w:eastAsia="宋体" w:hint="default"/>
                <w:spacing w:val="-3"/>
                <w:sz w:val="21"/>
                <w:szCs w:val="21"/>
              </w:rPr>
              <w:t>)</w:t>
            </w:r>
            <w:r>
              <w:rPr>
                <w:rFonts w:ascii="宋体" w:hAnsi="宋体" w:cs="宋体" w:eastAsia="宋体" w:hint="default"/>
                <w:spacing w:val="-3"/>
                <w:sz w:val="21"/>
                <w:szCs w:val="21"/>
              </w:rPr>
              <w:t>股份有限公司独立董事、国金证券股份有限公司独立董事、浙江芯能光伏科技股份</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z w:val="21"/>
                <w:szCs w:val="21"/>
              </w:rPr>
              <w:t>有限公司独立董事，于</w:t>
            </w:r>
            <w:r>
              <w:rPr>
                <w:rFonts w:ascii="宋体" w:hAnsi="宋体" w:cs="宋体" w:eastAsia="宋体" w:hint="default"/>
                <w:spacing w:val="-54"/>
                <w:sz w:val="21"/>
                <w:szCs w:val="21"/>
              </w:rPr>
              <w:t> </w:t>
            </w: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日起担任安通控股独立董事。</w:t>
            </w:r>
          </w:p>
        </w:tc>
      </w:tr>
      <w:tr>
        <w:trPr>
          <w:trHeight w:val="826"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储雪俭</w:t>
            </w:r>
          </w:p>
        </w:tc>
        <w:tc>
          <w:tcPr>
            <w:tcW w:w="80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7"/>
              <w:jc w:val="left"/>
              <w:rPr>
                <w:rFonts w:ascii="宋体" w:hAnsi="宋体" w:cs="宋体" w:eastAsia="宋体" w:hint="default"/>
                <w:sz w:val="21"/>
                <w:szCs w:val="21"/>
              </w:rPr>
            </w:pPr>
            <w:r>
              <w:rPr>
                <w:rFonts w:ascii="宋体" w:hAnsi="宋体" w:cs="宋体" w:eastAsia="宋体" w:hint="default"/>
                <w:sz w:val="21"/>
                <w:szCs w:val="21"/>
              </w:rPr>
              <w:t>最近五年内担任上海大学现代物流研究中心常务副主任，教授、博导。兼任中国食品</w:t>
            </w:r>
          </w:p>
          <w:p>
            <w:pPr>
              <w:pStyle w:val="TableParagraph"/>
              <w:spacing w:line="240" w:lineRule="auto"/>
              <w:ind w:left="103" w:right="-7"/>
              <w:jc w:val="left"/>
              <w:rPr>
                <w:rFonts w:ascii="宋体" w:hAnsi="宋体" w:cs="宋体" w:eastAsia="宋体" w:hint="default"/>
                <w:sz w:val="21"/>
                <w:szCs w:val="21"/>
              </w:rPr>
            </w:pPr>
            <w:r>
              <w:rPr>
                <w:rFonts w:ascii="宋体" w:hAnsi="宋体" w:cs="宋体" w:eastAsia="宋体" w:hint="default"/>
                <w:spacing w:val="-3"/>
                <w:sz w:val="21"/>
                <w:szCs w:val="21"/>
              </w:rPr>
              <w:t>工业协会物流专业委员会副会长、上海市物流学会副会长、上海物流企业家协会智库，</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于</w:t>
            </w:r>
            <w:r>
              <w:rPr>
                <w:rFonts w:ascii="宋体" w:hAnsi="宋体" w:cs="宋体" w:eastAsia="宋体" w:hint="default"/>
                <w:spacing w:val="-53"/>
                <w:sz w:val="21"/>
                <w:szCs w:val="21"/>
              </w:rPr>
              <w:t> </w:t>
            </w: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日起担任安通控股独立董事。</w:t>
            </w:r>
          </w:p>
        </w:tc>
      </w:tr>
      <w:tr>
        <w:trPr>
          <w:trHeight w:val="1373"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包季鸣</w:t>
            </w:r>
          </w:p>
        </w:tc>
        <w:tc>
          <w:tcPr>
            <w:tcW w:w="80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6"/>
                <w:sz w:val="21"/>
                <w:szCs w:val="21"/>
              </w:rPr>
              <w:t>最近五年内担任复旦发展研究院秘书长，上海教育委员会科技处副处长，上海实业（集</w:t>
            </w:r>
          </w:p>
          <w:p>
            <w:pPr>
              <w:pStyle w:val="TableParagraph"/>
              <w:spacing w:line="237" w:lineRule="auto" w:before="2"/>
              <w:ind w:left="103" w:right="96"/>
              <w:jc w:val="both"/>
              <w:rPr>
                <w:rFonts w:ascii="宋体" w:hAnsi="宋体" w:cs="宋体" w:eastAsia="宋体" w:hint="default"/>
                <w:sz w:val="21"/>
                <w:szCs w:val="21"/>
              </w:rPr>
            </w:pPr>
            <w:r>
              <w:rPr>
                <w:rFonts w:ascii="宋体" w:hAnsi="宋体" w:cs="宋体" w:eastAsia="宋体" w:hint="default"/>
                <w:sz w:val="21"/>
                <w:szCs w:val="21"/>
              </w:rPr>
              <w:t>团）有限公司副总裁兼海外公司总裁、集团执行董事兼海外公司董事长。现任复旦大</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pacing w:val="-2"/>
                <w:sz w:val="21"/>
                <w:szCs w:val="21"/>
              </w:rPr>
              <w:t>学管理学院企业管理系教授，</w:t>
            </w:r>
            <w:r>
              <w:rPr>
                <w:rFonts w:ascii="宋体" w:hAnsi="宋体" w:cs="宋体" w:eastAsia="宋体" w:hint="default"/>
                <w:spacing w:val="-2"/>
                <w:sz w:val="21"/>
                <w:szCs w:val="21"/>
              </w:rPr>
              <w:t>EMBA</w:t>
            </w:r>
            <w:r>
              <w:rPr>
                <w:rFonts w:ascii="宋体" w:hAnsi="宋体" w:cs="宋体" w:eastAsia="宋体" w:hint="default"/>
                <w:sz w:val="21"/>
                <w:szCs w:val="21"/>
              </w:rPr>
              <w:t> </w:t>
            </w:r>
            <w:r>
              <w:rPr>
                <w:rFonts w:ascii="宋体" w:hAnsi="宋体" w:cs="宋体" w:eastAsia="宋体" w:hint="default"/>
                <w:spacing w:val="-2"/>
                <w:sz w:val="21"/>
                <w:szCs w:val="21"/>
              </w:rPr>
              <w:t>学术主任，同时兼任万向钱潮股份有限公司、雅戈</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尔集团股份有限公司、江苏美尚生态景观股份有限公司的独立董事，于 </w:t>
            </w:r>
            <w:r>
              <w:rPr>
                <w:rFonts w:ascii="宋体" w:hAnsi="宋体" w:cs="宋体" w:eastAsia="宋体" w:hint="default"/>
                <w:sz w:val="21"/>
                <w:szCs w:val="21"/>
              </w:rPr>
              <w:t>2016 </w:t>
            </w:r>
            <w:r>
              <w:rPr>
                <w:rFonts w:ascii="宋体" w:hAnsi="宋体" w:cs="宋体" w:eastAsia="宋体" w:hint="default"/>
                <w:sz w:val="21"/>
                <w:szCs w:val="21"/>
              </w:rPr>
              <w:t>年 </w:t>
            </w:r>
            <w:r>
              <w:rPr>
                <w:rFonts w:ascii="宋体" w:hAnsi="宋体" w:cs="宋体" w:eastAsia="宋体" w:hint="default"/>
                <w:sz w:val="21"/>
                <w:szCs w:val="21"/>
              </w:rPr>
              <w:t>8</w:t>
            </w:r>
            <w:r>
              <w:rPr>
                <w:rFonts w:ascii="宋体" w:hAnsi="宋体" w:cs="宋体" w:eastAsia="宋体" w:hint="default"/>
                <w:spacing w:val="-61"/>
                <w:sz w:val="21"/>
                <w:szCs w:val="21"/>
              </w:rPr>
              <w:t> </w:t>
            </w:r>
            <w:r>
              <w:rPr>
                <w:rFonts w:ascii="宋体" w:hAnsi="宋体" w:cs="宋体" w:eastAsia="宋体" w:hint="default"/>
                <w:sz w:val="21"/>
                <w:szCs w:val="21"/>
              </w:rPr>
              <w:t>月</w:t>
            </w:r>
          </w:p>
          <w:p>
            <w:pPr>
              <w:pStyle w:val="TableParagraph"/>
              <w:spacing w:line="271" w:lineRule="exact"/>
              <w:ind w:left="103" w:right="0"/>
              <w:jc w:val="both"/>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日起担任安通控股独立董事。</w:t>
            </w:r>
          </w:p>
        </w:tc>
      </w:tr>
      <w:tr>
        <w:trPr>
          <w:trHeight w:val="55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李木理</w:t>
            </w:r>
          </w:p>
        </w:tc>
        <w:tc>
          <w:tcPr>
            <w:tcW w:w="80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最近五年内任职香港冠宏星国际发展有限公司董事长，鑫福源投资有限公司及源捷国</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际有限公司董事，于</w:t>
            </w:r>
            <w:r>
              <w:rPr>
                <w:rFonts w:ascii="宋体" w:hAnsi="宋体" w:cs="宋体" w:eastAsia="宋体" w:hint="default"/>
                <w:spacing w:val="-52"/>
                <w:sz w:val="21"/>
                <w:szCs w:val="21"/>
              </w:rPr>
              <w:t> </w:t>
            </w:r>
            <w:r>
              <w:rPr>
                <w:rFonts w:ascii="宋体" w:hAnsi="宋体" w:cs="宋体" w:eastAsia="宋体" w:hint="default"/>
                <w:sz w:val="21"/>
                <w:szCs w:val="21"/>
              </w:rPr>
              <w:t>2016</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日起担任安通控股监事会主席。</w:t>
            </w:r>
          </w:p>
        </w:tc>
      </w:tr>
      <w:tr>
        <w:trPr>
          <w:trHeight w:val="554"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陈育铭</w:t>
            </w:r>
          </w:p>
        </w:tc>
        <w:tc>
          <w:tcPr>
            <w:tcW w:w="80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最近五年内担任公司全资子公司泉州安通物流有限公司监事，于</w:t>
            </w:r>
            <w:r>
              <w:rPr>
                <w:rFonts w:ascii="宋体" w:hAnsi="宋体" w:cs="宋体" w:eastAsia="宋体" w:hint="default"/>
                <w:spacing w:val="-44"/>
                <w:sz w:val="21"/>
                <w:szCs w:val="21"/>
              </w:rPr>
              <w:t> </w:t>
            </w:r>
            <w:r>
              <w:rPr>
                <w:rFonts w:ascii="宋体" w:hAnsi="宋体" w:cs="宋体" w:eastAsia="宋体" w:hint="default"/>
                <w:sz w:val="21"/>
                <w:szCs w:val="21"/>
              </w:rPr>
              <w:t>2016</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8</w:t>
            </w:r>
            <w:r>
              <w:rPr>
                <w:rFonts w:ascii="宋体" w:hAnsi="宋体" w:cs="宋体" w:eastAsia="宋体" w:hint="default"/>
                <w:spacing w:val="-47"/>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宋体" w:hAnsi="宋体" w:cs="宋体" w:eastAsia="宋体" w:hint="default"/>
                <w:sz w:val="21"/>
                <w:szCs w:val="21"/>
              </w:rPr>
              <w:t>10</w:t>
            </w:r>
            <w:r>
              <w:rPr>
                <w:rFonts w:ascii="宋体" w:hAnsi="宋体" w:cs="宋体" w:eastAsia="宋体" w:hint="default"/>
                <w:spacing w:val="-44"/>
                <w:sz w:val="21"/>
                <w:szCs w:val="21"/>
              </w:rPr>
              <w:t> </w:t>
            </w:r>
            <w:r>
              <w:rPr>
                <w:rFonts w:ascii="宋体" w:hAnsi="宋体" w:cs="宋体" w:eastAsia="宋体" w:hint="default"/>
                <w:spacing w:val="-3"/>
                <w:sz w:val="21"/>
                <w:szCs w:val="21"/>
              </w:rPr>
              <w:t>日起</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担任安通控股监事。</w:t>
            </w:r>
          </w:p>
        </w:tc>
      </w:tr>
      <w:tr>
        <w:trPr>
          <w:trHeight w:val="554"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卢金勇</w:t>
            </w:r>
          </w:p>
        </w:tc>
        <w:tc>
          <w:tcPr>
            <w:tcW w:w="80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最近五年内任职于泉州安盛船务有限公司担任轮机长职务，</w:t>
            </w:r>
            <w:r>
              <w:rPr>
                <w:rFonts w:ascii="宋体" w:hAnsi="宋体" w:cs="宋体" w:eastAsia="宋体" w:hint="default"/>
                <w:spacing w:val="-2"/>
                <w:sz w:val="21"/>
                <w:szCs w:val="21"/>
              </w:rPr>
              <w:t>2013</w:t>
            </w:r>
            <w:r>
              <w:rPr>
                <w:rFonts w:ascii="宋体" w:hAnsi="宋体" w:cs="宋体" w:eastAsia="宋体" w:hint="default"/>
                <w:spacing w:val="16"/>
                <w:sz w:val="21"/>
                <w:szCs w:val="21"/>
              </w:rPr>
              <w:t> </w:t>
            </w:r>
            <w:r>
              <w:rPr>
                <w:rFonts w:ascii="宋体" w:hAnsi="宋体" w:cs="宋体" w:eastAsia="宋体" w:hint="default"/>
                <w:spacing w:val="-2"/>
                <w:sz w:val="21"/>
                <w:szCs w:val="21"/>
              </w:rPr>
              <w:t>年至今担任泉州安盛</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船务有限公司监事，于</w:t>
            </w:r>
            <w:r>
              <w:rPr>
                <w:rFonts w:ascii="宋体" w:hAnsi="宋体" w:cs="宋体" w:eastAsia="宋体" w:hint="default"/>
                <w:spacing w:val="-53"/>
                <w:sz w:val="21"/>
                <w:szCs w:val="21"/>
              </w:rPr>
              <w:t> </w:t>
            </w: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日起担任安通控股职工代表监事。</w:t>
            </w:r>
          </w:p>
        </w:tc>
      </w:tr>
      <w:tr>
        <w:trPr>
          <w:trHeight w:val="554"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周鸿辉</w:t>
            </w:r>
          </w:p>
        </w:tc>
        <w:tc>
          <w:tcPr>
            <w:tcW w:w="80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最近五年内任职于安盛船务，担任安盛船务常务副总经理，于</w:t>
            </w:r>
            <w:r>
              <w:rPr>
                <w:rFonts w:ascii="宋体" w:hAnsi="宋体" w:cs="宋体" w:eastAsia="宋体" w:hint="default"/>
                <w:spacing w:val="-45"/>
                <w:sz w:val="21"/>
                <w:szCs w:val="21"/>
              </w:rPr>
              <w:t> </w:t>
            </w:r>
            <w:r>
              <w:rPr>
                <w:rFonts w:ascii="宋体" w:hAnsi="宋体" w:cs="宋体" w:eastAsia="宋体" w:hint="default"/>
                <w:sz w:val="21"/>
                <w:szCs w:val="21"/>
              </w:rPr>
              <w:t>2016</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8</w:t>
            </w:r>
            <w:r>
              <w:rPr>
                <w:rFonts w:ascii="宋体" w:hAnsi="宋体" w:cs="宋体" w:eastAsia="宋体" w:hint="default"/>
                <w:spacing w:val="-45"/>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宋体" w:hAnsi="宋体" w:cs="宋体" w:eastAsia="宋体" w:hint="default"/>
                <w:sz w:val="21"/>
                <w:szCs w:val="21"/>
              </w:rPr>
              <w:t>10</w:t>
            </w:r>
            <w:r>
              <w:rPr>
                <w:rFonts w:ascii="宋体" w:hAnsi="宋体" w:cs="宋体" w:eastAsia="宋体" w:hint="default"/>
                <w:spacing w:val="-45"/>
                <w:sz w:val="21"/>
                <w:szCs w:val="21"/>
              </w:rPr>
              <w:t> </w:t>
            </w:r>
            <w:r>
              <w:rPr>
                <w:rFonts w:ascii="宋体" w:hAnsi="宋体" w:cs="宋体" w:eastAsia="宋体" w:hint="default"/>
                <w:sz w:val="21"/>
                <w:szCs w:val="21"/>
              </w:rPr>
              <w:t>日起担</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任安通控股副总经理。</w:t>
            </w:r>
          </w:p>
        </w:tc>
      </w:tr>
      <w:tr>
        <w:trPr>
          <w:trHeight w:val="828"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颜联源</w:t>
            </w:r>
          </w:p>
        </w:tc>
        <w:tc>
          <w:tcPr>
            <w:tcW w:w="80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最近五年内在波士威尔国际发展有限公司（中国香港）任副总裁，泉州安通物流有限</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z w:val="21"/>
                <w:szCs w:val="21"/>
              </w:rPr>
              <w:t>公司任董事长助理，上海希尔企业管理咨询股份有限公司任外部董事，</w:t>
            </w:r>
            <w:r>
              <w:rPr>
                <w:rFonts w:ascii="宋体" w:hAnsi="宋体" w:cs="宋体" w:eastAsia="宋体" w:hint="default"/>
                <w:sz w:val="21"/>
                <w:szCs w:val="21"/>
              </w:rPr>
              <w:t>2016</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8</w:t>
            </w:r>
            <w:r>
              <w:rPr>
                <w:rFonts w:ascii="宋体" w:hAnsi="宋体" w:cs="宋体" w:eastAsia="宋体" w:hint="default"/>
                <w:spacing w:val="-55"/>
                <w:sz w:val="21"/>
                <w:szCs w:val="21"/>
              </w:rPr>
              <w:t> </w:t>
            </w:r>
            <w:r>
              <w:rPr>
                <w:rFonts w:ascii="宋体" w:hAnsi="宋体" w:cs="宋体" w:eastAsia="宋体" w:hint="default"/>
                <w:spacing w:val="-3"/>
                <w:sz w:val="21"/>
                <w:szCs w:val="21"/>
              </w:rPr>
              <w:t>月至</w:t>
            </w:r>
            <w:r>
              <w:rPr>
                <w:rFonts w:ascii="宋体" w:hAnsi="宋体" w:cs="宋体" w:eastAsia="宋体" w:hint="default"/>
                <w:spacing w:val="-3"/>
                <w:w w:val="100"/>
                <w:sz w:val="21"/>
                <w:szCs w:val="21"/>
              </w:rPr>
              <w:t> </w:t>
            </w:r>
            <w:r>
              <w:rPr>
                <w:rFonts w:ascii="宋体" w:hAnsi="宋体" w:cs="宋体" w:eastAsia="宋体" w:hint="default"/>
                <w:sz w:val="21"/>
                <w:szCs w:val="21"/>
              </w:rPr>
              <w:t>今担任安通控股董事会秘书；</w:t>
            </w: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6"/>
                <w:sz w:val="21"/>
                <w:szCs w:val="21"/>
              </w:rPr>
              <w:t> </w:t>
            </w:r>
            <w:r>
              <w:rPr>
                <w:rFonts w:ascii="宋体" w:hAnsi="宋体" w:cs="宋体" w:eastAsia="宋体" w:hint="default"/>
                <w:sz w:val="21"/>
                <w:szCs w:val="21"/>
              </w:rPr>
              <w:t>月起至今担任安通控股副总经理。</w:t>
            </w:r>
          </w:p>
        </w:tc>
      </w:tr>
      <w:tr>
        <w:trPr>
          <w:trHeight w:val="828"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李良海</w:t>
            </w:r>
          </w:p>
        </w:tc>
        <w:tc>
          <w:tcPr>
            <w:tcW w:w="80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最近五年在北京永特投资有限公司担任常务副总经理，</w:t>
            </w:r>
            <w:r>
              <w:rPr>
                <w:rFonts w:ascii="宋体" w:hAnsi="宋体" w:cs="宋体" w:eastAsia="宋体" w:hint="default"/>
                <w:sz w:val="21"/>
                <w:szCs w:val="21"/>
              </w:rPr>
              <w:t>2015</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6</w:t>
            </w:r>
            <w:r>
              <w:rPr>
                <w:rFonts w:ascii="宋体" w:hAnsi="宋体" w:cs="宋体" w:eastAsia="宋体" w:hint="default"/>
                <w:spacing w:val="-57"/>
                <w:sz w:val="21"/>
                <w:szCs w:val="21"/>
              </w:rPr>
              <w:t> </w:t>
            </w:r>
            <w:r>
              <w:rPr>
                <w:rFonts w:ascii="宋体" w:hAnsi="宋体" w:cs="宋体" w:eastAsia="宋体" w:hint="default"/>
                <w:sz w:val="21"/>
                <w:szCs w:val="21"/>
              </w:rPr>
              <w:t>月加入公司全资子公</w:t>
            </w:r>
          </w:p>
          <w:p>
            <w:pPr>
              <w:pStyle w:val="TableParagraph"/>
              <w:spacing w:line="240" w:lineRule="auto"/>
              <w:ind w:left="103" w:right="96"/>
              <w:jc w:val="left"/>
              <w:rPr>
                <w:rFonts w:ascii="宋体" w:hAnsi="宋体" w:cs="宋体" w:eastAsia="宋体" w:hint="default"/>
                <w:sz w:val="21"/>
                <w:szCs w:val="21"/>
              </w:rPr>
            </w:pPr>
            <w:r>
              <w:rPr>
                <w:rFonts w:ascii="宋体" w:hAnsi="宋体" w:cs="宋体" w:eastAsia="宋体" w:hint="default"/>
                <w:sz w:val="21"/>
                <w:szCs w:val="21"/>
              </w:rPr>
              <w:t>司泉州安通物流有限公司，在公司财务部任职，于</w:t>
            </w:r>
            <w:r>
              <w:rPr>
                <w:rFonts w:ascii="宋体" w:hAnsi="宋体" w:cs="宋体" w:eastAsia="宋体" w:hint="default"/>
                <w:spacing w:val="-48"/>
                <w:sz w:val="21"/>
                <w:szCs w:val="21"/>
              </w:rPr>
              <w:t> </w:t>
            </w:r>
            <w:r>
              <w:rPr>
                <w:rFonts w:ascii="宋体" w:hAnsi="宋体" w:cs="宋体" w:eastAsia="宋体" w:hint="default"/>
                <w:sz w:val="21"/>
                <w:szCs w:val="21"/>
              </w:rPr>
              <w:t>2016</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8</w:t>
            </w:r>
            <w:r>
              <w:rPr>
                <w:rFonts w:ascii="宋体" w:hAnsi="宋体" w:cs="宋体" w:eastAsia="宋体" w:hint="default"/>
                <w:spacing w:val="-45"/>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宋体" w:hAnsi="宋体" w:cs="宋体" w:eastAsia="宋体" w:hint="default"/>
                <w:sz w:val="21"/>
                <w:szCs w:val="21"/>
              </w:rPr>
              <w:t>10</w:t>
            </w:r>
            <w:r>
              <w:rPr>
                <w:rFonts w:ascii="宋体" w:hAnsi="宋体" w:cs="宋体" w:eastAsia="宋体" w:hint="default"/>
                <w:spacing w:val="-45"/>
                <w:sz w:val="21"/>
                <w:szCs w:val="21"/>
              </w:rPr>
              <w:t> </w:t>
            </w:r>
            <w:r>
              <w:rPr>
                <w:rFonts w:ascii="宋体" w:hAnsi="宋体" w:cs="宋体" w:eastAsia="宋体" w:hint="default"/>
                <w:sz w:val="21"/>
                <w:szCs w:val="21"/>
              </w:rPr>
              <w:t>日起担任安通控股</w:t>
            </w:r>
            <w:r>
              <w:rPr>
                <w:rFonts w:ascii="宋体" w:hAnsi="宋体" w:cs="宋体" w:eastAsia="宋体" w:hint="default"/>
                <w:w w:val="100"/>
                <w:sz w:val="21"/>
                <w:szCs w:val="21"/>
              </w:rPr>
              <w:t> </w:t>
            </w:r>
            <w:r>
              <w:rPr>
                <w:rFonts w:ascii="宋体" w:hAnsi="宋体" w:cs="宋体" w:eastAsia="宋体" w:hint="default"/>
                <w:sz w:val="21"/>
                <w:szCs w:val="21"/>
              </w:rPr>
              <w:t>财务总监。</w:t>
            </w:r>
          </w:p>
        </w:tc>
      </w:tr>
    </w:tbl>
    <w:p>
      <w:pPr>
        <w:spacing w:line="240" w:lineRule="auto" w:before="5"/>
        <w:rPr>
          <w:rFonts w:ascii="Times New Roman" w:hAnsi="Times New Roman" w:cs="Times New Roman" w:eastAsia="Times New Roman" w:hint="default"/>
          <w:sz w:val="17"/>
          <w:szCs w:val="17"/>
        </w:rPr>
      </w:pPr>
    </w:p>
    <w:p>
      <w:pPr>
        <w:pStyle w:val="BodyText"/>
        <w:spacing w:line="274" w:lineRule="exact" w:before="36"/>
        <w:ind w:left="217" w:right="2497"/>
        <w:jc w:val="left"/>
      </w:pPr>
      <w:r>
        <w:rPr/>
        <w:t>其它情况说明</w:t>
      </w:r>
    </w:p>
    <w:p>
      <w:pPr>
        <w:pStyle w:val="BodyText"/>
        <w:spacing w:line="274" w:lineRule="exact"/>
        <w:ind w:left="217" w:right="2497"/>
        <w:jc w:val="left"/>
      </w:pPr>
      <w:r>
        <w:rPr/>
        <w:t>□适用 √不适用</w:t>
      </w:r>
    </w:p>
    <w:p>
      <w:pPr>
        <w:spacing w:line="240" w:lineRule="auto" w:before="0"/>
        <w:rPr>
          <w:rFonts w:ascii="宋体" w:hAnsi="宋体" w:cs="宋体" w:eastAsia="宋体" w:hint="default"/>
          <w:sz w:val="25"/>
          <w:szCs w:val="25"/>
        </w:rPr>
      </w:pPr>
    </w:p>
    <w:p>
      <w:pPr>
        <w:pStyle w:val="Heading2"/>
        <w:spacing w:line="240" w:lineRule="auto"/>
        <w:ind w:left="217" w:right="2497"/>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董事、高级管理人员报告期内被授予的股权激励情况</w:t>
      </w:r>
      <w:r>
        <w:rPr>
          <w:b w:val="0"/>
          <w:bCs w:val="0"/>
        </w:rPr>
      </w:r>
    </w:p>
    <w:p>
      <w:pPr>
        <w:pStyle w:val="Heading2"/>
        <w:spacing w:line="290" w:lineRule="auto" w:before="32"/>
        <w:ind w:left="217" w:right="2872"/>
        <w:jc w:val="left"/>
        <w:rPr>
          <w:b w:val="0"/>
          <w:bCs w:val="0"/>
        </w:rPr>
      </w:pPr>
      <w:r>
        <w:rPr>
          <w:rFonts w:ascii="宋体" w:hAnsi="宋体" w:cs="宋体" w:eastAsia="宋体" w:hint="default"/>
          <w:b w:val="0"/>
          <w:bCs w:val="0"/>
        </w:rPr>
        <w:t>□适用</w:t>
      </w:r>
      <w:r>
        <w:rPr>
          <w:rFonts w:ascii="宋体" w:hAnsi="宋体" w:cs="宋体" w:eastAsia="宋体" w:hint="default"/>
          <w:b w:val="0"/>
          <w:bCs w:val="0"/>
          <w:spacing w:val="-2"/>
        </w:rPr>
        <w:t> </w:t>
      </w:r>
      <w:r>
        <w:rPr>
          <w:rFonts w:ascii="宋体" w:hAnsi="宋体" w:cs="宋体" w:eastAsia="宋体" w:hint="default"/>
          <w:b w:val="0"/>
          <w:bCs w:val="0"/>
        </w:rPr>
        <w:t>√不适用</w:t>
      </w:r>
      <w:r>
        <w:rPr>
          <w:rFonts w:ascii="宋体" w:hAnsi="宋体" w:cs="宋体" w:eastAsia="宋体" w:hint="default"/>
          <w:b w:val="0"/>
          <w:bCs w:val="0"/>
          <w:spacing w:val="-103"/>
        </w:rPr>
        <w:t> </w:t>
      </w:r>
      <w:r>
        <w:rPr>
          <w:rFonts w:ascii="宋体" w:hAnsi="宋体" w:cs="宋体" w:eastAsia="宋体" w:hint="default"/>
          <w:b w:val="0"/>
          <w:bCs w:val="0"/>
          <w:spacing w:val="-103"/>
        </w:rPr>
      </w:r>
      <w:r>
        <w:rPr>
          <w:spacing w:val="-1"/>
        </w:rPr>
        <w:t>二、现任及报告期内离任董事、监事和高级管理人员的任职情况</w:t>
      </w:r>
      <w:r>
        <w:rPr>
          <w:spacing w:val="-80"/>
        </w:rPr>
        <w:t> </w:t>
      </w:r>
      <w:r>
        <w:rPr>
          <w:spacing w:val="-80"/>
        </w:rPr>
      </w: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8"/>
        </w:rPr>
        <w:t> </w:t>
      </w:r>
      <w:r>
        <w:rPr/>
        <w:t>在股东单位任职情况</w:t>
      </w:r>
      <w:r>
        <w:rPr>
          <w:b w:val="0"/>
          <w:bCs w:val="0"/>
        </w:rPr>
      </w:r>
    </w:p>
    <w:p>
      <w:pPr>
        <w:pStyle w:val="BodyText"/>
        <w:spacing w:line="251" w:lineRule="exact"/>
        <w:ind w:left="217" w:right="2497"/>
        <w:jc w:val="left"/>
      </w:pPr>
      <w:r>
        <w:rPr/>
        <w:t>□适用 √不适用</w:t>
      </w:r>
    </w:p>
    <w:p>
      <w:pPr>
        <w:pStyle w:val="Heading2"/>
        <w:spacing w:line="240" w:lineRule="auto" w:before="58"/>
        <w:ind w:left="217" w:right="2497"/>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8"/>
        </w:rPr>
        <w:t> </w:t>
      </w:r>
      <w:r>
        <w:rPr/>
        <w:t>在其他单位任职情况</w:t>
      </w:r>
      <w:r>
        <w:rPr>
          <w:b w:val="0"/>
          <w:bCs w:val="0"/>
        </w:rPr>
      </w:r>
    </w:p>
    <w:p>
      <w:pPr>
        <w:pStyle w:val="BodyText"/>
        <w:spacing w:line="240" w:lineRule="auto" w:before="30"/>
        <w:ind w:left="217" w:right="2497"/>
        <w:jc w:val="left"/>
      </w:pPr>
      <w:r>
        <w:rPr/>
        <w:t>√适用 □不适用</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752"/>
        <w:gridCol w:w="2321"/>
        <w:gridCol w:w="1858"/>
        <w:gridCol w:w="1601"/>
        <w:gridCol w:w="1517"/>
      </w:tblGrid>
      <w:tr>
        <w:trPr>
          <w:trHeight w:val="554" w:hRule="exact"/>
        </w:trPr>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0"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25" w:right="0"/>
              <w:jc w:val="left"/>
              <w:rPr>
                <w:rFonts w:ascii="宋体" w:hAnsi="宋体" w:cs="宋体" w:eastAsia="宋体" w:hint="default"/>
                <w:sz w:val="21"/>
                <w:szCs w:val="21"/>
              </w:rPr>
            </w:pPr>
            <w:r>
              <w:rPr>
                <w:rFonts w:ascii="宋体" w:hAnsi="宋体" w:cs="宋体" w:eastAsia="宋体" w:hint="default"/>
                <w:sz w:val="21"/>
                <w:szCs w:val="21"/>
              </w:rPr>
              <w:t>其他单位名称</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在其他单位担任</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的职务</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65"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2"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554" w:hRule="exact"/>
        </w:trPr>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包季鸣</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复旦大学管理学院</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教</w:t>
            </w:r>
            <w:r>
              <w:rPr>
                <w:rFonts w:ascii="宋体" w:hAnsi="宋体" w:cs="宋体" w:eastAsia="宋体" w:hint="default"/>
                <w:spacing w:val="-3"/>
                <w:w w:val="100"/>
                <w:sz w:val="21"/>
                <w:szCs w:val="21"/>
              </w:rPr>
              <w:t>授</w:t>
            </w:r>
            <w:r>
              <w:rPr>
                <w:rFonts w:ascii="宋体" w:hAnsi="宋体" w:cs="宋体" w:eastAsia="宋体" w:hint="default"/>
                <w:spacing w:val="-92"/>
                <w:w w:val="100"/>
                <w:sz w:val="21"/>
                <w:szCs w:val="21"/>
              </w:rPr>
              <w:t>、</w:t>
            </w:r>
            <w:r>
              <w:rPr>
                <w:rFonts w:ascii="宋体" w:hAnsi="宋体" w:cs="宋体" w:eastAsia="宋体" w:hint="default"/>
                <w:w w:val="100"/>
                <w:sz w:val="21"/>
                <w:szCs w:val="21"/>
              </w:rPr>
              <w:t>EM</w:t>
            </w:r>
            <w:r>
              <w:rPr>
                <w:rFonts w:ascii="宋体" w:hAnsi="宋体" w:cs="宋体" w:eastAsia="宋体" w:hint="default"/>
                <w:spacing w:val="-3"/>
                <w:w w:val="100"/>
                <w:sz w:val="21"/>
                <w:szCs w:val="21"/>
              </w:rPr>
              <w:t>B</w:t>
            </w:r>
            <w:r>
              <w:rPr>
                <w:rFonts w:ascii="宋体" w:hAnsi="宋体" w:cs="宋体" w:eastAsia="宋体" w:hint="default"/>
                <w:w w:val="100"/>
                <w:sz w:val="21"/>
                <w:szCs w:val="21"/>
              </w:rPr>
              <w:t>A</w:t>
            </w:r>
            <w:r>
              <w:rPr>
                <w:rFonts w:ascii="宋体" w:hAnsi="宋体" w:cs="宋体" w:eastAsia="宋体" w:hint="default"/>
                <w:spacing w:val="-52"/>
                <w:sz w:val="21"/>
                <w:szCs w:val="21"/>
              </w:rPr>
              <w:t> </w:t>
            </w:r>
            <w:r>
              <w:rPr>
                <w:rFonts w:ascii="宋体" w:hAnsi="宋体" w:cs="宋体" w:eastAsia="宋体" w:hint="default"/>
                <w:spacing w:val="-3"/>
                <w:w w:val="100"/>
                <w:sz w:val="21"/>
                <w:szCs w:val="21"/>
              </w:rPr>
              <w:t>学</w:t>
            </w:r>
            <w:r>
              <w:rPr>
                <w:rFonts w:ascii="宋体" w:hAnsi="宋体" w:cs="宋体" w:eastAsia="宋体" w:hint="default"/>
                <w:w w:val="100"/>
                <w:sz w:val="21"/>
                <w:szCs w:val="21"/>
              </w:rPr>
              <w:t>术主</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任</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包季鸣</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万向钱潮股份有限公司</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包季鸣</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雅戈尔集团股份有限公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包季鸣</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江苏美尚生态景观股份</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17"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储雪俭</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上海大学</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系副主任、物流研</w:t>
            </w:r>
          </w:p>
          <w:p>
            <w:pPr>
              <w:pStyle w:val="TableParagraph"/>
              <w:spacing w:line="272" w:lineRule="exact" w:before="27"/>
              <w:ind w:left="103" w:right="100"/>
              <w:jc w:val="left"/>
              <w:rPr>
                <w:rFonts w:ascii="宋体" w:hAnsi="宋体" w:cs="宋体" w:eastAsia="宋体" w:hint="default"/>
                <w:sz w:val="21"/>
                <w:szCs w:val="21"/>
              </w:rPr>
            </w:pPr>
            <w:r>
              <w:rPr>
                <w:rFonts w:ascii="宋体" w:hAnsi="宋体" w:cs="宋体" w:eastAsia="宋体" w:hint="default"/>
                <w:sz w:val="21"/>
                <w:szCs w:val="21"/>
              </w:rPr>
              <w:t>究</w:t>
            </w:r>
            <w:r>
              <w:rPr>
                <w:rFonts w:ascii="宋体" w:hAnsi="宋体" w:cs="宋体" w:eastAsia="宋体" w:hint="default"/>
                <w:spacing w:val="-76"/>
                <w:sz w:val="21"/>
                <w:szCs w:val="21"/>
              </w:rPr>
              <w:t> </w:t>
            </w:r>
            <w:r>
              <w:rPr>
                <w:rFonts w:ascii="宋体" w:hAnsi="宋体" w:cs="宋体" w:eastAsia="宋体" w:hint="default"/>
                <w:sz w:val="21"/>
                <w:szCs w:val="21"/>
              </w:rPr>
              <w:t>中</w:t>
            </w:r>
            <w:r>
              <w:rPr>
                <w:rFonts w:ascii="宋体" w:hAnsi="宋体" w:cs="宋体" w:eastAsia="宋体" w:hint="default"/>
                <w:spacing w:val="-78"/>
                <w:sz w:val="21"/>
                <w:szCs w:val="21"/>
              </w:rPr>
              <w:t> </w:t>
            </w:r>
            <w:r>
              <w:rPr>
                <w:rFonts w:ascii="宋体" w:hAnsi="宋体" w:cs="宋体" w:eastAsia="宋体" w:hint="default"/>
                <w:sz w:val="21"/>
                <w:szCs w:val="21"/>
              </w:rPr>
              <w:t>心</w:t>
            </w:r>
            <w:r>
              <w:rPr>
                <w:rFonts w:ascii="宋体" w:hAnsi="宋体" w:cs="宋体" w:eastAsia="宋体" w:hint="default"/>
                <w:spacing w:val="-76"/>
                <w:sz w:val="21"/>
                <w:szCs w:val="21"/>
              </w:rPr>
              <w:t> </w:t>
            </w:r>
            <w:r>
              <w:rPr>
                <w:rFonts w:ascii="宋体" w:hAnsi="宋体" w:cs="宋体" w:eastAsia="宋体" w:hint="default"/>
                <w:sz w:val="21"/>
                <w:szCs w:val="21"/>
              </w:rPr>
              <w:t>常</w:t>
            </w:r>
            <w:r>
              <w:rPr>
                <w:rFonts w:ascii="宋体" w:hAnsi="宋体" w:cs="宋体" w:eastAsia="宋体" w:hint="default"/>
                <w:spacing w:val="-78"/>
                <w:sz w:val="21"/>
                <w:szCs w:val="21"/>
              </w:rPr>
              <w:t> </w:t>
            </w:r>
            <w:r>
              <w:rPr>
                <w:rFonts w:ascii="宋体" w:hAnsi="宋体" w:cs="宋体" w:eastAsia="宋体" w:hint="default"/>
                <w:sz w:val="21"/>
                <w:szCs w:val="21"/>
              </w:rPr>
              <w:t>务</w:t>
            </w:r>
            <w:r>
              <w:rPr>
                <w:rFonts w:ascii="宋体" w:hAnsi="宋体" w:cs="宋体" w:eastAsia="宋体" w:hint="default"/>
                <w:spacing w:val="-78"/>
                <w:sz w:val="21"/>
                <w:szCs w:val="21"/>
              </w:rPr>
              <w:t> </w:t>
            </w:r>
            <w:r>
              <w:rPr>
                <w:rFonts w:ascii="宋体" w:hAnsi="宋体" w:cs="宋体" w:eastAsia="宋体" w:hint="default"/>
                <w:sz w:val="21"/>
                <w:szCs w:val="21"/>
              </w:rPr>
              <w:t>副</w:t>
            </w:r>
            <w:r>
              <w:rPr>
                <w:rFonts w:ascii="宋体" w:hAnsi="宋体" w:cs="宋体" w:eastAsia="宋体" w:hint="default"/>
                <w:spacing w:val="-76"/>
                <w:sz w:val="21"/>
                <w:szCs w:val="21"/>
              </w:rPr>
              <w:t> </w:t>
            </w:r>
            <w:r>
              <w:rPr>
                <w:rFonts w:ascii="宋体" w:hAnsi="宋体" w:cs="宋体" w:eastAsia="宋体" w:hint="default"/>
                <w:sz w:val="21"/>
                <w:szCs w:val="21"/>
              </w:rPr>
              <w:t>主</w:t>
            </w:r>
            <w:r>
              <w:rPr>
                <w:rFonts w:ascii="宋体" w:hAnsi="宋体" w:cs="宋体" w:eastAsia="宋体" w:hint="default"/>
                <w:w w:val="100"/>
                <w:sz w:val="21"/>
                <w:szCs w:val="21"/>
              </w:rPr>
              <w:t> </w:t>
            </w:r>
            <w:r>
              <w:rPr>
                <w:rFonts w:ascii="宋体" w:hAnsi="宋体" w:cs="宋体" w:eastAsia="宋体" w:hint="default"/>
                <w:sz w:val="21"/>
                <w:szCs w:val="21"/>
              </w:rPr>
              <w:t>任</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1984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1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5" w:top="1120" w:bottom="1380" w:left="106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1752"/>
        <w:gridCol w:w="2321"/>
        <w:gridCol w:w="1858"/>
        <w:gridCol w:w="1601"/>
        <w:gridCol w:w="1517"/>
      </w:tblGrid>
      <w:tr>
        <w:trPr>
          <w:trHeight w:val="284" w:hRule="exact"/>
        </w:trPr>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赵雪媛</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中央财经大学会计学院</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教授、院长助理</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赵雪媛</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阳泉煤业（集团）股份</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赵雪媛</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国金证券股份有限公司</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1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赵雪媛</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浙江芯能光伏科技股份</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在其他单位任职</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情况的说明</w:t>
            </w:r>
          </w:p>
        </w:tc>
        <w:tc>
          <w:tcPr>
            <w:tcW w:w="729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spacing w:line="240" w:lineRule="auto" w:before="36"/>
        <w:ind w:left="217" w:right="2497"/>
        <w:jc w:val="left"/>
        <w:rPr>
          <w:b w:val="0"/>
          <w:bCs w:val="0"/>
        </w:rPr>
      </w:pPr>
      <w:r>
        <w:rPr/>
        <w:t>三、董事、监事、高级管理人员报酬情况</w:t>
      </w:r>
      <w:r>
        <w:rPr>
          <w:b w:val="0"/>
          <w:bCs w:val="0"/>
        </w:rPr>
      </w:r>
    </w:p>
    <w:p>
      <w:pPr>
        <w:pStyle w:val="BodyText"/>
        <w:spacing w:line="240" w:lineRule="auto" w:before="56"/>
        <w:ind w:left="217" w:right="2497"/>
        <w:jc w:val="left"/>
      </w:pPr>
      <w:r>
        <w:rPr/>
        <w:t>√适用 □不适用</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874"/>
        <w:gridCol w:w="6176"/>
      </w:tblGrid>
      <w:tr>
        <w:trPr>
          <w:trHeight w:val="554" w:hRule="exact"/>
        </w:trPr>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董事、监事、高级管理人员报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酬的决策程序</w:t>
            </w:r>
          </w:p>
        </w:tc>
        <w:tc>
          <w:tcPr>
            <w:tcW w:w="61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公司高级管理人员薪酬由董事会确定。公司董事、独立董事、监</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事的薪酬由股东大会确定。</w:t>
            </w:r>
          </w:p>
        </w:tc>
      </w:tr>
      <w:tr>
        <w:trPr>
          <w:trHeight w:val="826" w:hRule="exact"/>
        </w:trPr>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董事、监事、高级管理人员报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酬确定依据</w:t>
            </w:r>
          </w:p>
        </w:tc>
        <w:tc>
          <w:tcPr>
            <w:tcW w:w="61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公司董事、监事、高级管理人员报酬决策程序依据公司管理制度</w:t>
            </w:r>
          </w:p>
          <w:p>
            <w:pPr>
              <w:pStyle w:val="TableParagraph"/>
              <w:spacing w:line="240" w:lineRule="auto"/>
              <w:ind w:left="100" w:right="107"/>
              <w:jc w:val="left"/>
              <w:rPr>
                <w:rFonts w:ascii="宋体" w:hAnsi="宋体" w:cs="宋体" w:eastAsia="宋体" w:hint="default"/>
                <w:sz w:val="21"/>
                <w:szCs w:val="21"/>
              </w:rPr>
            </w:pPr>
            <w:r>
              <w:rPr>
                <w:rFonts w:ascii="宋体" w:hAnsi="宋体" w:cs="宋体" w:eastAsia="宋体" w:hint="default"/>
                <w:sz w:val="21"/>
                <w:szCs w:val="21"/>
              </w:rPr>
              <w:t>确定；公司独立董事报酬参照同行业或地区平均水平并结合公司</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z w:val="21"/>
                <w:szCs w:val="21"/>
              </w:rPr>
              <w:t>实际情况确定。</w:t>
            </w:r>
          </w:p>
        </w:tc>
      </w:tr>
      <w:tr>
        <w:trPr>
          <w:trHeight w:val="828" w:hRule="exact"/>
        </w:trPr>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董事、监事和高级管理人员报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酬的实际支付情况</w:t>
            </w:r>
          </w:p>
        </w:tc>
        <w:tc>
          <w:tcPr>
            <w:tcW w:w="6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公司独立董事按年度津贴总额在每个月平均发放津贴，部分董事</w:t>
            </w:r>
          </w:p>
          <w:p>
            <w:pPr>
              <w:pStyle w:val="TableParagraph"/>
              <w:spacing w:line="240" w:lineRule="auto"/>
              <w:ind w:left="100" w:right="101"/>
              <w:jc w:val="left"/>
              <w:rPr>
                <w:rFonts w:ascii="宋体" w:hAnsi="宋体" w:cs="宋体" w:eastAsia="宋体" w:hint="default"/>
                <w:sz w:val="21"/>
                <w:szCs w:val="21"/>
              </w:rPr>
            </w:pPr>
            <w:r>
              <w:rPr>
                <w:rFonts w:ascii="宋体" w:hAnsi="宋体" w:cs="宋体" w:eastAsia="宋体" w:hint="default"/>
                <w:sz w:val="21"/>
                <w:szCs w:val="21"/>
              </w:rPr>
              <w:t>未在公司领取报酬，董事长、高级管理人员基本年薪按月平均支</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z w:val="21"/>
                <w:szCs w:val="21"/>
              </w:rPr>
              <w:t>付，年终根据公司业绩和绩效确定最终奖金。</w:t>
            </w:r>
          </w:p>
        </w:tc>
      </w:tr>
      <w:tr>
        <w:trPr>
          <w:trHeight w:val="828" w:hRule="exact"/>
        </w:trPr>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报告期末全体董事、监事和高</w:t>
            </w:r>
          </w:p>
          <w:p>
            <w:pPr>
              <w:pStyle w:val="TableParagraph"/>
              <w:spacing w:line="272" w:lineRule="exact" w:before="27"/>
              <w:ind w:left="103" w:right="104"/>
              <w:jc w:val="left"/>
              <w:rPr>
                <w:rFonts w:ascii="宋体" w:hAnsi="宋体" w:cs="宋体" w:eastAsia="宋体" w:hint="default"/>
                <w:sz w:val="21"/>
                <w:szCs w:val="21"/>
              </w:rPr>
            </w:pPr>
            <w:r>
              <w:rPr>
                <w:rFonts w:ascii="宋体" w:hAnsi="宋体" w:cs="宋体" w:eastAsia="宋体" w:hint="default"/>
                <w:spacing w:val="8"/>
                <w:sz w:val="21"/>
                <w:szCs w:val="21"/>
              </w:rPr>
              <w:t>级管理人员实际获得的报酬</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合计</w:t>
            </w:r>
          </w:p>
        </w:tc>
        <w:tc>
          <w:tcPr>
            <w:tcW w:w="6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549.20</w:t>
            </w:r>
            <w:r>
              <w:rPr>
                <w:rFonts w:ascii="宋体" w:hAnsi="宋体" w:cs="宋体" w:eastAsia="宋体" w:hint="default"/>
                <w:spacing w:val="-52"/>
                <w:sz w:val="21"/>
                <w:szCs w:val="21"/>
              </w:rPr>
              <w:t> </w:t>
            </w:r>
            <w:r>
              <w:rPr>
                <w:rFonts w:ascii="宋体" w:hAnsi="宋体" w:cs="宋体" w:eastAsia="宋体" w:hint="default"/>
                <w:sz w:val="21"/>
                <w:szCs w:val="21"/>
              </w:rPr>
              <w:t>元</w:t>
            </w:r>
          </w:p>
        </w:tc>
      </w:tr>
    </w:tbl>
    <w:p>
      <w:pPr>
        <w:spacing w:line="240" w:lineRule="auto" w:before="13"/>
        <w:rPr>
          <w:rFonts w:ascii="宋体" w:hAnsi="宋体" w:cs="宋体" w:eastAsia="宋体" w:hint="default"/>
          <w:sz w:val="19"/>
          <w:szCs w:val="19"/>
        </w:rPr>
      </w:pPr>
    </w:p>
    <w:p>
      <w:pPr>
        <w:pStyle w:val="Heading2"/>
        <w:spacing w:line="240" w:lineRule="auto" w:before="36"/>
        <w:ind w:left="217" w:right="2497"/>
        <w:jc w:val="left"/>
        <w:rPr>
          <w:b w:val="0"/>
          <w:bCs w:val="0"/>
        </w:rPr>
      </w:pPr>
      <w:r>
        <w:rPr/>
        <w:t>四、公司董事、监事、高级管理人员变动情况</w:t>
      </w:r>
      <w:r>
        <w:rPr>
          <w:b w:val="0"/>
          <w:bCs w:val="0"/>
        </w:rPr>
      </w:r>
    </w:p>
    <w:p>
      <w:pPr>
        <w:pStyle w:val="BodyText"/>
        <w:spacing w:line="240" w:lineRule="auto" w:before="58"/>
        <w:ind w:left="217" w:right="2497"/>
        <w:jc w:val="left"/>
      </w:pPr>
      <w:r>
        <w:rPr/>
        <w:t>√适用 □不适用</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538"/>
        <w:gridCol w:w="648"/>
        <w:gridCol w:w="593"/>
        <w:gridCol w:w="7271"/>
      </w:tblGrid>
      <w:tr>
        <w:trPr>
          <w:trHeight w:val="1099"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58" w:right="156"/>
              <w:jc w:val="left"/>
              <w:rPr>
                <w:rFonts w:ascii="宋体" w:hAnsi="宋体" w:cs="宋体" w:eastAsia="宋体" w:hint="default"/>
                <w:sz w:val="21"/>
                <w:szCs w:val="21"/>
              </w:rPr>
            </w:pPr>
            <w:r>
              <w:rPr>
                <w:rFonts w:ascii="宋体" w:hAnsi="宋体" w:cs="宋体" w:eastAsia="宋体" w:hint="default"/>
                <w:sz w:val="21"/>
                <w:szCs w:val="21"/>
              </w:rPr>
              <w:t>姓</w:t>
            </w:r>
            <w:r>
              <w:rPr>
                <w:rFonts w:ascii="宋体" w:hAnsi="宋体" w:cs="宋体" w:eastAsia="宋体" w:hint="default"/>
                <w:w w:val="100"/>
                <w:sz w:val="21"/>
                <w:szCs w:val="21"/>
              </w:rPr>
              <w:t> </w:t>
            </w:r>
            <w:r>
              <w:rPr>
                <w:rFonts w:ascii="宋体" w:hAnsi="宋体" w:cs="宋体" w:eastAsia="宋体" w:hint="default"/>
                <w:sz w:val="21"/>
                <w:szCs w:val="21"/>
              </w:rPr>
              <w:t>名</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5" w:right="108"/>
              <w:jc w:val="both"/>
              <w:rPr>
                <w:rFonts w:ascii="宋体" w:hAnsi="宋体" w:cs="宋体" w:eastAsia="宋体" w:hint="default"/>
                <w:sz w:val="21"/>
                <w:szCs w:val="21"/>
              </w:rPr>
            </w:pPr>
            <w:r>
              <w:rPr>
                <w:rFonts w:ascii="宋体" w:hAnsi="宋体" w:cs="宋体" w:eastAsia="宋体" w:hint="default"/>
                <w:sz w:val="21"/>
                <w:szCs w:val="21"/>
              </w:rPr>
              <w:t>担任</w:t>
            </w:r>
            <w:r>
              <w:rPr>
                <w:rFonts w:ascii="宋体" w:hAnsi="宋体" w:cs="宋体" w:eastAsia="宋体" w:hint="default"/>
                <w:spacing w:val="-103"/>
                <w:sz w:val="21"/>
                <w:szCs w:val="21"/>
              </w:rPr>
              <w:t> </w:t>
            </w:r>
            <w:r>
              <w:rPr>
                <w:rFonts w:ascii="宋体" w:hAnsi="宋体" w:cs="宋体" w:eastAsia="宋体" w:hint="default"/>
                <w:sz w:val="21"/>
                <w:szCs w:val="21"/>
              </w:rPr>
              <w:t>的职</w:t>
            </w:r>
            <w:r>
              <w:rPr>
                <w:rFonts w:ascii="宋体" w:hAnsi="宋体" w:cs="宋体" w:eastAsia="宋体" w:hint="default"/>
                <w:spacing w:val="-103"/>
                <w:sz w:val="21"/>
                <w:szCs w:val="21"/>
              </w:rPr>
              <w:t> </w:t>
            </w:r>
            <w:r>
              <w:rPr>
                <w:rFonts w:ascii="宋体" w:hAnsi="宋体" w:cs="宋体" w:eastAsia="宋体" w:hint="default"/>
                <w:sz w:val="21"/>
                <w:szCs w:val="21"/>
              </w:rPr>
              <w:t>务</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4" w:right="0"/>
              <w:jc w:val="both"/>
              <w:rPr>
                <w:rFonts w:ascii="宋体" w:hAnsi="宋体" w:cs="宋体" w:eastAsia="宋体" w:hint="default"/>
                <w:sz w:val="21"/>
                <w:szCs w:val="21"/>
              </w:rPr>
            </w:pPr>
            <w:r>
              <w:rPr>
                <w:rFonts w:ascii="宋体" w:hAnsi="宋体" w:cs="宋体" w:eastAsia="宋体" w:hint="default"/>
                <w:w w:val="100"/>
                <w:sz w:val="21"/>
                <w:szCs w:val="21"/>
              </w:rPr>
              <w:t>变</w:t>
            </w:r>
          </w:p>
          <w:p>
            <w:pPr>
              <w:pStyle w:val="TableParagraph"/>
              <w:spacing w:line="237" w:lineRule="auto" w:before="2"/>
              <w:ind w:left="184" w:right="185"/>
              <w:jc w:val="both"/>
              <w:rPr>
                <w:rFonts w:ascii="宋体" w:hAnsi="宋体" w:cs="宋体" w:eastAsia="宋体" w:hint="default"/>
                <w:sz w:val="21"/>
                <w:szCs w:val="21"/>
              </w:rPr>
            </w:pPr>
            <w:r>
              <w:rPr>
                <w:rFonts w:ascii="宋体" w:hAnsi="宋体" w:cs="宋体" w:eastAsia="宋体" w:hint="default"/>
                <w:sz w:val="21"/>
                <w:szCs w:val="21"/>
              </w:rPr>
              <w:t>动</w:t>
            </w:r>
            <w:r>
              <w:rPr>
                <w:rFonts w:ascii="宋体" w:hAnsi="宋体" w:cs="宋体" w:eastAsia="宋体" w:hint="default"/>
                <w:w w:val="100"/>
                <w:sz w:val="21"/>
                <w:szCs w:val="21"/>
              </w:rPr>
              <w:t> </w:t>
            </w:r>
            <w:r>
              <w:rPr>
                <w:rFonts w:ascii="宋体" w:hAnsi="宋体" w:cs="宋体" w:eastAsia="宋体" w:hint="default"/>
                <w:sz w:val="21"/>
                <w:szCs w:val="21"/>
              </w:rPr>
              <w:t>情</w:t>
            </w:r>
            <w:r>
              <w:rPr>
                <w:rFonts w:ascii="宋体" w:hAnsi="宋体" w:cs="宋体" w:eastAsia="宋体" w:hint="default"/>
                <w:w w:val="100"/>
                <w:sz w:val="21"/>
                <w:szCs w:val="21"/>
              </w:rPr>
              <w:t> </w:t>
            </w:r>
            <w:r>
              <w:rPr>
                <w:rFonts w:ascii="宋体" w:hAnsi="宋体" w:cs="宋体" w:eastAsia="宋体" w:hint="default"/>
                <w:sz w:val="21"/>
                <w:szCs w:val="21"/>
              </w:rPr>
              <w:t>形</w:t>
            </w:r>
          </w:p>
        </w:tc>
        <w:tc>
          <w:tcPr>
            <w:tcW w:w="7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828"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郭</w:t>
            </w:r>
          </w:p>
          <w:p>
            <w:pPr>
              <w:pStyle w:val="TableParagraph"/>
              <w:spacing w:line="272" w:lineRule="exact" w:before="27"/>
              <w:ind w:left="103" w:right="211"/>
              <w:jc w:val="left"/>
              <w:rPr>
                <w:rFonts w:ascii="宋体" w:hAnsi="宋体" w:cs="宋体" w:eastAsia="宋体" w:hint="default"/>
                <w:sz w:val="21"/>
                <w:szCs w:val="21"/>
              </w:rPr>
            </w:pPr>
            <w:r>
              <w:rPr>
                <w:rFonts w:ascii="宋体" w:hAnsi="宋体" w:cs="宋体" w:eastAsia="宋体" w:hint="default"/>
                <w:sz w:val="21"/>
                <w:szCs w:val="21"/>
              </w:rPr>
              <w:t>东</w:t>
            </w:r>
            <w:r>
              <w:rPr>
                <w:rFonts w:ascii="宋体" w:hAnsi="宋体" w:cs="宋体" w:eastAsia="宋体" w:hint="default"/>
                <w:w w:val="100"/>
                <w:sz w:val="21"/>
                <w:szCs w:val="21"/>
              </w:rPr>
              <w:t> </w:t>
            </w:r>
            <w:r>
              <w:rPr>
                <w:rFonts w:ascii="宋体" w:hAnsi="宋体" w:cs="宋体" w:eastAsia="宋体" w:hint="default"/>
                <w:sz w:val="21"/>
                <w:szCs w:val="21"/>
              </w:rPr>
              <w:t>泽</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1"/>
                <w:sz w:val="21"/>
                <w:szCs w:val="21"/>
              </w:rPr>
              <w:t>董事</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长</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离</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任</w:t>
            </w:r>
          </w:p>
        </w:tc>
        <w:tc>
          <w:tcPr>
            <w:tcW w:w="72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1</w:t>
            </w:r>
            <w:r>
              <w:rPr>
                <w:rFonts w:ascii="宋体" w:hAnsi="宋体" w:cs="宋体" w:eastAsia="宋体" w:hint="default"/>
                <w:spacing w:val="-44"/>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宋体" w:hAnsi="宋体" w:cs="宋体" w:eastAsia="宋体" w:hint="default"/>
                <w:sz w:val="21"/>
                <w:szCs w:val="21"/>
              </w:rPr>
              <w:t>23</w:t>
            </w:r>
            <w:r>
              <w:rPr>
                <w:rFonts w:ascii="宋体" w:hAnsi="宋体" w:cs="宋体" w:eastAsia="宋体" w:hint="default"/>
                <w:spacing w:val="-46"/>
                <w:sz w:val="21"/>
                <w:szCs w:val="21"/>
              </w:rPr>
              <w:t> </w:t>
            </w:r>
            <w:r>
              <w:rPr>
                <w:rFonts w:ascii="宋体" w:hAnsi="宋体" w:cs="宋体" w:eastAsia="宋体" w:hint="default"/>
                <w:spacing w:val="-3"/>
                <w:sz w:val="21"/>
                <w:szCs w:val="21"/>
              </w:rPr>
              <w:t>日，郭东泽先生向公司递交了书面辞职报告。郭东泽先生因工</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pacing w:val="-4"/>
                <w:sz w:val="21"/>
                <w:szCs w:val="21"/>
              </w:rPr>
              <w:t>作分工的原因，申请辞去公司董事长、董事及董事会战略委员会主任委员的职</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务。</w:t>
            </w:r>
          </w:p>
        </w:tc>
      </w:tr>
      <w:tr>
        <w:trPr>
          <w:trHeight w:val="826"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郭</w:t>
            </w:r>
          </w:p>
          <w:p>
            <w:pPr>
              <w:pStyle w:val="TableParagraph"/>
              <w:spacing w:line="272" w:lineRule="exact" w:before="27"/>
              <w:ind w:left="103" w:right="211"/>
              <w:jc w:val="left"/>
              <w:rPr>
                <w:rFonts w:ascii="宋体" w:hAnsi="宋体" w:cs="宋体" w:eastAsia="宋体" w:hint="default"/>
                <w:sz w:val="21"/>
                <w:szCs w:val="21"/>
              </w:rPr>
            </w:pPr>
            <w:r>
              <w:rPr>
                <w:rFonts w:ascii="宋体" w:hAnsi="宋体" w:cs="宋体" w:eastAsia="宋体" w:hint="default"/>
                <w:sz w:val="21"/>
                <w:szCs w:val="21"/>
              </w:rPr>
              <w:t>东</w:t>
            </w:r>
            <w:r>
              <w:rPr>
                <w:rFonts w:ascii="宋体" w:hAnsi="宋体" w:cs="宋体" w:eastAsia="宋体" w:hint="default"/>
                <w:w w:val="100"/>
                <w:sz w:val="21"/>
                <w:szCs w:val="21"/>
              </w:rPr>
              <w:t> </w:t>
            </w:r>
            <w:r>
              <w:rPr>
                <w:rFonts w:ascii="宋体" w:hAnsi="宋体" w:cs="宋体" w:eastAsia="宋体" w:hint="default"/>
                <w:sz w:val="21"/>
                <w:szCs w:val="21"/>
              </w:rPr>
              <w:t>圣</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1"/>
                <w:sz w:val="21"/>
                <w:szCs w:val="21"/>
              </w:rPr>
              <w:t>董事</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长</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举</w:t>
            </w:r>
          </w:p>
        </w:tc>
        <w:tc>
          <w:tcPr>
            <w:tcW w:w="72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原董事长郭东泽先生于</w:t>
            </w:r>
            <w:r>
              <w:rPr>
                <w:rFonts w:ascii="宋体" w:hAnsi="宋体" w:cs="宋体" w:eastAsia="宋体" w:hint="default"/>
                <w:spacing w:val="-51"/>
                <w:sz w:val="21"/>
                <w:szCs w:val="21"/>
              </w:rPr>
              <w:t> </w:t>
            </w:r>
            <w:r>
              <w:rPr>
                <w:rFonts w:ascii="宋体" w:hAnsi="宋体" w:cs="宋体" w:eastAsia="宋体" w:hint="default"/>
                <w:sz w:val="21"/>
                <w:szCs w:val="21"/>
              </w:rPr>
              <w:t>2018</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23</w:t>
            </w:r>
            <w:r>
              <w:rPr>
                <w:rFonts w:ascii="宋体" w:hAnsi="宋体" w:cs="宋体" w:eastAsia="宋体" w:hint="default"/>
                <w:spacing w:val="-51"/>
                <w:sz w:val="21"/>
                <w:szCs w:val="21"/>
              </w:rPr>
              <w:t> </w:t>
            </w:r>
            <w:r>
              <w:rPr>
                <w:rFonts w:ascii="宋体" w:hAnsi="宋体" w:cs="宋体" w:eastAsia="宋体" w:hint="default"/>
                <w:sz w:val="21"/>
                <w:szCs w:val="21"/>
              </w:rPr>
              <w:t>日辞去了董事长职务，公司于</w:t>
            </w:r>
            <w:r>
              <w:rPr>
                <w:rFonts w:ascii="宋体" w:hAnsi="宋体" w:cs="宋体" w:eastAsia="宋体" w:hint="default"/>
                <w:spacing w:val="-51"/>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25</w:t>
            </w:r>
            <w:r>
              <w:rPr>
                <w:rFonts w:ascii="宋体" w:hAnsi="宋体" w:cs="宋体" w:eastAsia="宋体" w:hint="default"/>
                <w:spacing w:val="-55"/>
                <w:sz w:val="21"/>
                <w:szCs w:val="21"/>
              </w:rPr>
              <w:t> </w:t>
            </w:r>
            <w:r>
              <w:rPr>
                <w:rFonts w:ascii="宋体" w:hAnsi="宋体" w:cs="宋体" w:eastAsia="宋体" w:hint="default"/>
                <w:sz w:val="21"/>
                <w:szCs w:val="21"/>
              </w:rPr>
              <w:t>日召开第六届董事会</w:t>
            </w:r>
            <w:r>
              <w:rPr>
                <w:rFonts w:ascii="宋体" w:hAnsi="宋体" w:cs="宋体" w:eastAsia="宋体" w:hint="default"/>
                <w:spacing w:val="-55"/>
                <w:sz w:val="21"/>
                <w:szCs w:val="21"/>
              </w:rPr>
              <w:t> </w:t>
            </w: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年第二次临时会议选举郭东圣为新董事长</w:t>
            </w:r>
          </w:p>
        </w:tc>
      </w:tr>
      <w:tr>
        <w:trPr>
          <w:trHeight w:val="1102"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郭</w:t>
            </w:r>
          </w:p>
          <w:p>
            <w:pPr>
              <w:pStyle w:val="TableParagraph"/>
              <w:spacing w:line="240" w:lineRule="auto"/>
              <w:ind w:left="103" w:right="211"/>
              <w:jc w:val="left"/>
              <w:rPr>
                <w:rFonts w:ascii="宋体" w:hAnsi="宋体" w:cs="宋体" w:eastAsia="宋体" w:hint="default"/>
                <w:sz w:val="21"/>
                <w:szCs w:val="21"/>
              </w:rPr>
            </w:pPr>
            <w:r>
              <w:rPr>
                <w:rFonts w:ascii="宋体" w:hAnsi="宋体" w:cs="宋体" w:eastAsia="宋体" w:hint="default"/>
                <w:sz w:val="21"/>
                <w:szCs w:val="21"/>
              </w:rPr>
              <w:t>文</w:t>
            </w:r>
            <w:r>
              <w:rPr>
                <w:rFonts w:ascii="宋体" w:hAnsi="宋体" w:cs="宋体" w:eastAsia="宋体" w:hint="default"/>
                <w:w w:val="100"/>
                <w:sz w:val="21"/>
                <w:szCs w:val="21"/>
              </w:rPr>
              <w:t> </w:t>
            </w:r>
            <w:r>
              <w:rPr>
                <w:rFonts w:ascii="宋体" w:hAnsi="宋体" w:cs="宋体" w:eastAsia="宋体" w:hint="default"/>
                <w:sz w:val="21"/>
                <w:szCs w:val="21"/>
              </w:rPr>
              <w:t>圣</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举</w:t>
            </w:r>
          </w:p>
        </w:tc>
        <w:tc>
          <w:tcPr>
            <w:tcW w:w="72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因公司原董事长郭东泽先生已辞去公司董事长、董事的职务，辞职后公司董事</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会成员低于公司章程规定的人数，公司分别于</w:t>
            </w:r>
            <w:r>
              <w:rPr>
                <w:rFonts w:ascii="宋体" w:hAnsi="宋体" w:cs="宋体" w:eastAsia="宋体" w:hint="default"/>
                <w:spacing w:val="-45"/>
                <w:sz w:val="21"/>
                <w:szCs w:val="21"/>
              </w:rPr>
              <w:t> </w:t>
            </w:r>
            <w:r>
              <w:rPr>
                <w:rFonts w:ascii="宋体" w:hAnsi="宋体" w:cs="宋体" w:eastAsia="宋体" w:hint="default"/>
                <w:sz w:val="21"/>
                <w:szCs w:val="21"/>
              </w:rPr>
              <w:t>2018</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1</w:t>
            </w:r>
            <w:r>
              <w:rPr>
                <w:rFonts w:ascii="宋体" w:hAnsi="宋体" w:cs="宋体" w:eastAsia="宋体" w:hint="default"/>
                <w:spacing w:val="-45"/>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宋体" w:hAnsi="宋体" w:cs="宋体" w:eastAsia="宋体" w:hint="default"/>
                <w:sz w:val="21"/>
                <w:szCs w:val="21"/>
              </w:rPr>
              <w:t>25</w:t>
            </w:r>
            <w:r>
              <w:rPr>
                <w:rFonts w:ascii="宋体" w:hAnsi="宋体" w:cs="宋体" w:eastAsia="宋体" w:hint="default"/>
                <w:spacing w:val="-45"/>
                <w:sz w:val="21"/>
                <w:szCs w:val="21"/>
              </w:rPr>
              <w:t> </w:t>
            </w:r>
            <w:r>
              <w:rPr>
                <w:rFonts w:ascii="宋体" w:hAnsi="宋体" w:cs="宋体" w:eastAsia="宋体" w:hint="default"/>
                <w:sz w:val="21"/>
                <w:szCs w:val="21"/>
              </w:rPr>
              <w:t>日和</w:t>
            </w:r>
            <w:r>
              <w:rPr>
                <w:rFonts w:ascii="宋体" w:hAnsi="宋体" w:cs="宋体" w:eastAsia="宋体" w:hint="default"/>
                <w:spacing w:val="-45"/>
                <w:sz w:val="21"/>
                <w:szCs w:val="21"/>
              </w:rPr>
              <w:t> </w:t>
            </w:r>
            <w:r>
              <w:rPr>
                <w:rFonts w:ascii="宋体" w:hAnsi="宋体" w:cs="宋体" w:eastAsia="宋体" w:hint="default"/>
                <w:sz w:val="21"/>
                <w:szCs w:val="21"/>
              </w:rPr>
              <w:t>2018</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2</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9</w:t>
            </w:r>
            <w:r>
              <w:rPr>
                <w:rFonts w:ascii="宋体" w:hAnsi="宋体" w:cs="宋体" w:eastAsia="宋体" w:hint="default"/>
                <w:spacing w:val="-51"/>
                <w:sz w:val="21"/>
                <w:szCs w:val="21"/>
              </w:rPr>
              <w:t> </w:t>
            </w:r>
            <w:r>
              <w:rPr>
                <w:rFonts w:ascii="宋体" w:hAnsi="宋体" w:cs="宋体" w:eastAsia="宋体" w:hint="default"/>
                <w:sz w:val="21"/>
                <w:szCs w:val="21"/>
              </w:rPr>
              <w:t>日召开第六届董事会</w:t>
            </w:r>
            <w:r>
              <w:rPr>
                <w:rFonts w:ascii="宋体" w:hAnsi="宋体" w:cs="宋体" w:eastAsia="宋体" w:hint="default"/>
                <w:spacing w:val="-53"/>
                <w:sz w:val="21"/>
                <w:szCs w:val="21"/>
              </w:rPr>
              <w:t> </w:t>
            </w: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pacing w:val="-4"/>
                <w:sz w:val="21"/>
                <w:szCs w:val="21"/>
              </w:rPr>
              <w:t>年第二次临时会议、</w:t>
            </w:r>
            <w:r>
              <w:rPr>
                <w:rFonts w:ascii="宋体" w:hAnsi="宋体" w:cs="宋体" w:eastAsia="宋体" w:hint="default"/>
                <w:spacing w:val="-4"/>
                <w:sz w:val="21"/>
                <w:szCs w:val="21"/>
              </w:rPr>
              <w:t>2018</w:t>
            </w:r>
            <w:r>
              <w:rPr>
                <w:rFonts w:ascii="宋体" w:hAnsi="宋体" w:cs="宋体" w:eastAsia="宋体" w:hint="default"/>
                <w:spacing w:val="-51"/>
                <w:sz w:val="21"/>
                <w:szCs w:val="21"/>
              </w:rPr>
              <w:t> </w:t>
            </w:r>
            <w:r>
              <w:rPr>
                <w:rFonts w:ascii="宋体" w:hAnsi="宋体" w:cs="宋体" w:eastAsia="宋体" w:hint="default"/>
                <w:sz w:val="21"/>
                <w:szCs w:val="21"/>
              </w:rPr>
              <w:t>年第一次临时股东大</w:t>
            </w:r>
            <w:r>
              <w:rPr>
                <w:rFonts w:ascii="宋体" w:hAnsi="宋体" w:cs="宋体" w:eastAsia="宋体" w:hint="default"/>
                <w:w w:val="100"/>
                <w:sz w:val="21"/>
                <w:szCs w:val="21"/>
              </w:rPr>
              <w:t> </w:t>
            </w:r>
            <w:r>
              <w:rPr>
                <w:rFonts w:ascii="宋体" w:hAnsi="宋体" w:cs="宋体" w:eastAsia="宋体" w:hint="default"/>
                <w:sz w:val="21"/>
                <w:szCs w:val="21"/>
              </w:rPr>
              <w:t>会会议选举郭文圣为公司第六届董事会成员。</w:t>
            </w:r>
          </w:p>
        </w:tc>
      </w:tr>
    </w:tbl>
    <w:p>
      <w:pPr>
        <w:spacing w:line="240" w:lineRule="auto" w:before="12"/>
        <w:rPr>
          <w:rFonts w:ascii="宋体" w:hAnsi="宋体" w:cs="宋体" w:eastAsia="宋体" w:hint="default"/>
          <w:sz w:val="19"/>
          <w:szCs w:val="19"/>
        </w:rPr>
      </w:pPr>
    </w:p>
    <w:p>
      <w:pPr>
        <w:pStyle w:val="Heading2"/>
        <w:spacing w:line="240" w:lineRule="auto" w:before="36"/>
        <w:ind w:left="217" w:right="0"/>
        <w:jc w:val="both"/>
        <w:rPr>
          <w:b w:val="0"/>
          <w:bCs w:val="0"/>
        </w:rPr>
      </w:pPr>
      <w:r>
        <w:rPr/>
        <w:t>五、近三年受证券监管机构处罚的情况说明</w:t>
      </w:r>
      <w:r>
        <w:rPr>
          <w:b w:val="0"/>
          <w:bCs w:val="0"/>
        </w:rPr>
      </w:r>
    </w:p>
    <w:p>
      <w:pPr>
        <w:pStyle w:val="BodyText"/>
        <w:spacing w:line="273" w:lineRule="exact" w:before="58"/>
        <w:ind w:left="217" w:right="0"/>
        <w:jc w:val="both"/>
      </w:pPr>
      <w:r>
        <w:rPr/>
        <w:t>√适用 □不适用</w:t>
      </w:r>
    </w:p>
    <w:p>
      <w:pPr>
        <w:pStyle w:val="BodyText"/>
        <w:spacing w:line="272" w:lineRule="exact"/>
        <w:ind w:left="217" w:right="0"/>
        <w:jc w:val="both"/>
      </w:pPr>
      <w:r>
        <w:rPr>
          <w:rFonts w:ascii="宋体" w:hAnsi="宋体" w:cs="宋体" w:eastAsia="宋体" w:hint="default"/>
        </w:rPr>
        <w:t>2016</w:t>
      </w:r>
      <w:r>
        <w:rPr>
          <w:rFonts w:ascii="宋体" w:hAnsi="宋体" w:cs="宋体" w:eastAsia="宋体" w:hint="default"/>
          <w:spacing w:val="-43"/>
        </w:rPr>
        <w:t> </w:t>
      </w:r>
      <w:r>
        <w:rPr/>
        <w:t>年</w:t>
      </w:r>
      <w:r>
        <w:rPr>
          <w:spacing w:val="-41"/>
        </w:rPr>
        <w:t> </w:t>
      </w:r>
      <w:r>
        <w:rPr>
          <w:rFonts w:ascii="宋体" w:hAnsi="宋体" w:cs="宋体" w:eastAsia="宋体" w:hint="default"/>
        </w:rPr>
        <w:t>7</w:t>
      </w:r>
      <w:r>
        <w:rPr>
          <w:rFonts w:ascii="宋体" w:hAnsi="宋体" w:cs="宋体" w:eastAsia="宋体" w:hint="default"/>
          <w:spacing w:val="-43"/>
        </w:rPr>
        <w:t> </w:t>
      </w:r>
      <w:r>
        <w:rPr/>
        <w:t>月</w:t>
      </w:r>
      <w:r>
        <w:rPr>
          <w:spacing w:val="-41"/>
        </w:rPr>
        <w:t> </w:t>
      </w:r>
      <w:r>
        <w:rPr>
          <w:rFonts w:ascii="宋体" w:hAnsi="宋体" w:cs="宋体" w:eastAsia="宋体" w:hint="default"/>
        </w:rPr>
        <w:t>8</w:t>
      </w:r>
      <w:r>
        <w:rPr>
          <w:rFonts w:ascii="宋体" w:hAnsi="宋体" w:cs="宋体" w:eastAsia="宋体" w:hint="default"/>
          <w:spacing w:val="-43"/>
        </w:rPr>
        <w:t> </w:t>
      </w:r>
      <w:r>
        <w:rPr/>
        <w:t>日，黑龙江黑化股份有限公司收到到中国证监会黑龙江监管局《行政处罚决定书》</w:t>
      </w:r>
    </w:p>
    <w:p>
      <w:pPr>
        <w:pStyle w:val="BodyText"/>
        <w:spacing w:line="237" w:lineRule="auto" w:before="2"/>
        <w:ind w:left="217" w:right="228"/>
        <w:jc w:val="both"/>
      </w:pPr>
      <w:r>
        <w:rPr/>
        <w:t>（【</w:t>
      </w:r>
      <w:r>
        <w:rPr>
          <w:rFonts w:ascii="宋体" w:hAnsi="宋体" w:cs="宋体" w:eastAsia="宋体" w:hint="default"/>
        </w:rPr>
        <w:t>2016</w:t>
      </w:r>
      <w:r>
        <w:rPr/>
        <w:t>】</w:t>
      </w:r>
      <w:r>
        <w:rPr>
          <w:rFonts w:ascii="宋体" w:hAnsi="宋体" w:cs="宋体" w:eastAsia="宋体" w:hint="default"/>
        </w:rPr>
        <w:t>1</w:t>
      </w:r>
      <w:r>
        <w:rPr>
          <w:rFonts w:ascii="宋体" w:hAnsi="宋体" w:cs="宋体" w:eastAsia="宋体" w:hint="default"/>
          <w:spacing w:val="-4"/>
        </w:rPr>
        <w:t> </w:t>
      </w:r>
      <w:r>
        <w:rPr/>
        <w:t>号），因公司涉及公司的重大诉讼未及时披露，违反《证券法》第六十三条、第六</w:t>
      </w:r>
      <w:r>
        <w:rPr>
          <w:w w:val="100"/>
        </w:rPr>
        <w:t> </w:t>
      </w:r>
      <w:r>
        <w:rPr>
          <w:spacing w:val="-7"/>
        </w:rPr>
        <w:t>十七条规定。因此对公司给予警告，并处以三十万元罚款；对黑化股份原董事长隋继广给予警告，</w:t>
      </w:r>
      <w:r>
        <w:rPr>
          <w:spacing w:val="-12"/>
        </w:rPr>
        <w:t> </w:t>
      </w:r>
      <w:r>
        <w:rPr>
          <w:spacing w:val="-12"/>
        </w:rPr>
      </w:r>
      <w:r>
        <w:rPr>
          <w:spacing w:val="-3"/>
        </w:rPr>
        <w:t>并处以五万元罚款。</w:t>
      </w:r>
      <w:r>
        <w:rPr>
          <w:rFonts w:ascii="宋体" w:hAnsi="宋体" w:cs="宋体" w:eastAsia="宋体" w:hint="default"/>
          <w:spacing w:val="-3"/>
        </w:rPr>
        <w:t>2016</w:t>
      </w:r>
      <w:r>
        <w:rPr>
          <w:rFonts w:ascii="宋体" w:hAnsi="宋体" w:cs="宋体" w:eastAsia="宋体" w:hint="default"/>
          <w:spacing w:val="-43"/>
        </w:rPr>
        <w:t> </w:t>
      </w:r>
      <w:r>
        <w:rPr/>
        <w:t>年</w:t>
      </w:r>
      <w:r>
        <w:rPr>
          <w:spacing w:val="-39"/>
        </w:rPr>
        <w:t> </w:t>
      </w:r>
      <w:r>
        <w:rPr>
          <w:rFonts w:ascii="宋体" w:hAnsi="宋体" w:cs="宋体" w:eastAsia="宋体" w:hint="default"/>
        </w:rPr>
        <w:t>7</w:t>
      </w:r>
      <w:r>
        <w:rPr>
          <w:rFonts w:ascii="宋体" w:hAnsi="宋体" w:cs="宋体" w:eastAsia="宋体" w:hint="default"/>
          <w:spacing w:val="-43"/>
        </w:rPr>
        <w:t> </w:t>
      </w:r>
      <w:r>
        <w:rPr/>
        <w:t>月</w:t>
      </w:r>
      <w:r>
        <w:rPr>
          <w:spacing w:val="-40"/>
        </w:rPr>
        <w:t> </w:t>
      </w:r>
      <w:r>
        <w:rPr>
          <w:rFonts w:ascii="宋体" w:hAnsi="宋体" w:cs="宋体" w:eastAsia="宋体" w:hint="default"/>
        </w:rPr>
        <w:t>9</w:t>
      </w:r>
      <w:r>
        <w:rPr>
          <w:rFonts w:ascii="宋体" w:hAnsi="宋体" w:cs="宋体" w:eastAsia="宋体" w:hint="default"/>
          <w:spacing w:val="-40"/>
        </w:rPr>
        <w:t> </w:t>
      </w:r>
      <w:r>
        <w:rPr>
          <w:spacing w:val="-3"/>
        </w:rPr>
        <w:t>日隋继广先生辞去黑化股份董事长、董事职务，不在黑化股份</w:t>
      </w:r>
      <w:r>
        <w:rPr>
          <w:spacing w:val="-99"/>
        </w:rPr>
        <w:t> </w:t>
      </w:r>
      <w:r>
        <w:rPr>
          <w:spacing w:val="-99"/>
        </w:rPr>
      </w:r>
      <w:r>
        <w:rPr/>
        <w:t>担任其他任何职务。</w:t>
      </w:r>
    </w:p>
    <w:p>
      <w:pPr>
        <w:spacing w:after="0" w:line="237" w:lineRule="auto"/>
        <w:jc w:val="both"/>
        <w:sectPr>
          <w:pgSz w:w="11910" w:h="16840"/>
          <w:pgMar w:header="882" w:footer="1195" w:top="1120" w:bottom="1380" w:left="1060" w:right="15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2"/>
        <w:spacing w:line="240" w:lineRule="auto"/>
        <w:ind w:right="2497"/>
        <w:jc w:val="left"/>
        <w:rPr>
          <w:b w:val="0"/>
          <w:bCs w:val="0"/>
        </w:rPr>
      </w:pPr>
      <w:r>
        <w:rPr/>
        <w:t>六、母公司和主要子公司的员工情况</w:t>
      </w:r>
      <w:r>
        <w:rPr>
          <w:b w:val="0"/>
          <w:bCs w:val="0"/>
        </w:rPr>
      </w:r>
    </w:p>
    <w:p>
      <w:pPr>
        <w:pStyle w:val="Heading2"/>
        <w:spacing w:line="240" w:lineRule="auto" w:before="56"/>
        <w:ind w:right="2497"/>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6"/>
        </w:rPr>
        <w:t> </w:t>
      </w:r>
      <w:r>
        <w:rPr/>
        <w:t>员工情况</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母公司在职员工的数量</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1,195</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在职员工的数量合计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1,207</w:t>
            </w:r>
          </w:p>
        </w:tc>
      </w:tr>
      <w:tr>
        <w:trPr>
          <w:trHeight w:val="55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母公司及主要子公司需承担费用的离退休职工</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人数</w:t>
            </w:r>
          </w:p>
        </w:tc>
        <w:tc>
          <w:tcPr>
            <w:tcW w:w="452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23"/>
              <w:jc w:val="right"/>
              <w:rPr>
                <w:rFonts w:ascii="宋体" w:hAnsi="宋体" w:cs="宋体" w:eastAsia="宋体" w:hint="default"/>
                <w:sz w:val="21"/>
                <w:szCs w:val="21"/>
              </w:rPr>
            </w:pPr>
            <w:r>
              <w:rPr>
                <w:rFonts w:ascii="宋体" w:hAnsi="宋体" w:cs="宋体" w:eastAsia="宋体" w:hint="default"/>
                <w:spacing w:val="-1"/>
                <w:sz w:val="21"/>
                <w:szCs w:val="21"/>
              </w:rPr>
              <w:t>专业构成类别</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47</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行政人员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228</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管理人员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119</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业务人员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813</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1,207</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23"/>
              <w:jc w:val="right"/>
              <w:rPr>
                <w:rFonts w:ascii="宋体" w:hAnsi="宋体" w:cs="宋体" w:eastAsia="宋体" w:hint="default"/>
                <w:sz w:val="21"/>
                <w:szCs w:val="21"/>
              </w:rPr>
            </w:pPr>
            <w:r>
              <w:rPr>
                <w:rFonts w:ascii="宋体" w:hAnsi="宋体" w:cs="宋体" w:eastAsia="宋体" w:hint="default"/>
                <w:spacing w:val="-1"/>
                <w:sz w:val="21"/>
                <w:szCs w:val="21"/>
              </w:rPr>
              <w:t>教育程度类别</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本科以上</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本科</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463</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大专</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615</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大专以下</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116</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1,207</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pStyle w:val="Heading2"/>
        <w:spacing w:line="240" w:lineRule="auto" w:before="36"/>
        <w:ind w:right="0"/>
        <w:jc w:val="both"/>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6"/>
        </w:rPr>
        <w:t> </w:t>
      </w:r>
      <w:r>
        <w:rPr/>
        <w:t>薪酬政策</w:t>
      </w:r>
      <w:r>
        <w:rPr>
          <w:b w:val="0"/>
          <w:bCs w:val="0"/>
        </w:rPr>
      </w:r>
    </w:p>
    <w:p>
      <w:pPr>
        <w:pStyle w:val="BodyText"/>
        <w:tabs>
          <w:tab w:pos="1060" w:val="left" w:leader="none"/>
        </w:tabs>
        <w:spacing w:line="240" w:lineRule="auto" w:before="29"/>
        <w:ind w:left="638" w:right="248" w:hanging="420"/>
        <w:jc w:val="left"/>
      </w:pPr>
      <w:r>
        <w:rPr>
          <w:spacing w:val="-1"/>
        </w:rPr>
        <w:t>√适用</w:t>
        <w:tab/>
      </w:r>
      <w:r>
        <w:rPr>
          <w:spacing w:val="-2"/>
        </w:rPr>
        <w:t>□不适用</w:t>
      </w:r>
      <w:r>
        <w:rPr>
          <w:spacing w:val="-99"/>
        </w:rPr>
        <w:t> </w:t>
      </w:r>
      <w:r>
        <w:rPr>
          <w:spacing w:val="-99"/>
        </w:rPr>
      </w:r>
      <w:r>
        <w:rPr>
          <w:spacing w:val="-2"/>
        </w:rPr>
        <w:t>根据公司的战略发展目标和经营管理理念，结合市场薪酬水平通过岗位价值评估，公司提供</w:t>
      </w:r>
    </w:p>
    <w:p>
      <w:pPr>
        <w:pStyle w:val="BodyText"/>
        <w:spacing w:line="357" w:lineRule="auto" w:before="133"/>
        <w:ind w:right="237"/>
        <w:jc w:val="both"/>
      </w:pPr>
      <w:r>
        <w:rPr>
          <w:spacing w:val="-2"/>
        </w:rPr>
        <w:t>了具有竞争性、公平性的薪酬体系以满足公司发展需求，吸引和留住优秀人才。公司给员工的价</w:t>
      </w:r>
      <w:r>
        <w:rPr>
          <w:spacing w:val="-25"/>
        </w:rPr>
        <w:t> </w:t>
      </w:r>
      <w:r>
        <w:rPr>
          <w:spacing w:val="-25"/>
        </w:rPr>
      </w:r>
      <w:r>
        <w:rPr>
          <w:spacing w:val="-2"/>
        </w:rPr>
        <w:t>值分配，有经济类回报和非经济类回报两大类；经济类回报包括工资和福利等，非经济类回报包</w:t>
      </w:r>
      <w:r>
        <w:rPr>
          <w:spacing w:val="-25"/>
        </w:rPr>
        <w:t> </w:t>
      </w:r>
      <w:r>
        <w:rPr>
          <w:spacing w:val="-25"/>
        </w:rPr>
      </w:r>
      <w:r>
        <w:rPr/>
        <w:t>括工作环境、技能提升、发展机会、成就感等。</w:t>
      </w:r>
    </w:p>
    <w:p>
      <w:pPr>
        <w:spacing w:line="240" w:lineRule="auto" w:before="8"/>
        <w:rPr>
          <w:rFonts w:ascii="宋体" w:hAnsi="宋体" w:cs="宋体" w:eastAsia="宋体" w:hint="default"/>
          <w:sz w:val="27"/>
          <w:szCs w:val="27"/>
        </w:rPr>
      </w:pPr>
    </w:p>
    <w:p>
      <w:pPr>
        <w:pStyle w:val="Heading2"/>
        <w:spacing w:line="240" w:lineRule="auto"/>
        <w:ind w:right="0"/>
        <w:jc w:val="both"/>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6"/>
        </w:rPr>
        <w:t> </w:t>
      </w:r>
      <w:r>
        <w:rPr/>
        <w:t>培训计划</w:t>
      </w:r>
      <w:r>
        <w:rPr>
          <w:b w:val="0"/>
          <w:bCs w:val="0"/>
        </w:rPr>
      </w:r>
    </w:p>
    <w:p>
      <w:pPr>
        <w:pStyle w:val="BodyText"/>
        <w:spacing w:line="273" w:lineRule="exact" w:before="32"/>
        <w:ind w:right="0"/>
        <w:jc w:val="both"/>
      </w:pPr>
      <w:r>
        <w:rPr/>
        <w:t>√适用</w:t>
      </w:r>
      <w:r>
        <w:rPr>
          <w:spacing w:val="104"/>
        </w:rPr>
        <w:t> </w:t>
      </w:r>
      <w:r>
        <w:rPr/>
        <w:t>□不适用</w:t>
      </w:r>
    </w:p>
    <w:p>
      <w:pPr>
        <w:pStyle w:val="BodyText"/>
        <w:spacing w:line="357" w:lineRule="auto"/>
        <w:ind w:right="227" w:firstLine="419"/>
        <w:jc w:val="both"/>
      </w:pPr>
      <w:r>
        <w:rPr/>
        <w:t>回顾 </w:t>
      </w:r>
      <w:r>
        <w:rPr>
          <w:rFonts w:ascii="宋体" w:hAnsi="宋体" w:cs="宋体" w:eastAsia="宋体" w:hint="default"/>
        </w:rPr>
        <w:t>2017</w:t>
      </w:r>
      <w:r>
        <w:rPr>
          <w:rFonts w:ascii="宋体" w:hAnsi="宋体" w:cs="宋体" w:eastAsia="宋体" w:hint="default"/>
          <w:spacing w:val="-70"/>
        </w:rPr>
        <w:t> </w:t>
      </w:r>
      <w:r>
        <w:rPr>
          <w:spacing w:val="-4"/>
        </w:rPr>
        <w:t>年，公司各项培训工作高效、有序的开展。在一年的培训当中，公司着手三个培训</w:t>
      </w:r>
      <w:r>
        <w:rPr>
          <w:w w:val="100"/>
        </w:rPr>
        <w:t> </w:t>
      </w:r>
      <w:r>
        <w:rPr>
          <w:spacing w:val="-2"/>
        </w:rPr>
        <w:t>方面点。第一，培训充分整合了线上线下学习平台，丰富员工的学习方式，以满足公司和员工学</w:t>
      </w:r>
      <w:r>
        <w:rPr>
          <w:spacing w:val="-25"/>
        </w:rPr>
        <w:t> </w:t>
      </w:r>
      <w:r>
        <w:rPr>
          <w:spacing w:val="-25"/>
        </w:rPr>
      </w:r>
      <w:r>
        <w:rPr>
          <w:spacing w:val="-2"/>
        </w:rPr>
        <w:t>习发展需求；第二，通过开展团队学习分享会，倡导团队学习与分享，打造学习型团队和组织；</w:t>
      </w:r>
      <w:r>
        <w:rPr>
          <w:spacing w:val="-25"/>
        </w:rPr>
        <w:t> </w:t>
      </w:r>
      <w:r>
        <w:rPr>
          <w:spacing w:val="-25"/>
        </w:rPr>
      </w:r>
      <w:r>
        <w:rPr>
          <w:spacing w:val="-2"/>
        </w:rPr>
        <w:t>第三，组织开展公司内训项目，对员工专业知识技能进行培训，提高员工业务知识和技能，从而</w:t>
      </w:r>
      <w:r>
        <w:rPr>
          <w:spacing w:val="-25"/>
        </w:rPr>
        <w:t> </w:t>
      </w:r>
      <w:r>
        <w:rPr>
          <w:spacing w:val="-25"/>
        </w:rPr>
      </w:r>
      <w:r>
        <w:rPr>
          <w:spacing w:val="-3"/>
        </w:rPr>
        <w:t>更好的开展业务和提供优质的服务。各项培训开展有效的支持了公司战略落地。放眼 </w:t>
      </w:r>
      <w:r>
        <w:rPr>
          <w:rFonts w:ascii="宋体" w:hAnsi="宋体" w:cs="宋体" w:eastAsia="宋体" w:hint="default"/>
          <w:spacing w:val="-4"/>
        </w:rPr>
        <w:t>2018</w:t>
      </w:r>
      <w:r>
        <w:rPr>
          <w:spacing w:val="-4"/>
        </w:rPr>
        <w:t>，在各</w:t>
      </w:r>
      <w:r>
        <w:rPr>
          <w:spacing w:val="-66"/>
        </w:rPr>
        <w:t> </w:t>
      </w:r>
      <w:r>
        <w:rPr>
          <w:spacing w:val="-66"/>
        </w:rPr>
      </w:r>
      <w:r>
        <w:rPr/>
        <w:t>项常规培训工作开展的前提下，公司还将重点推进以下三个方面培训工作：</w:t>
      </w:r>
    </w:p>
    <w:p>
      <w:pPr>
        <w:pStyle w:val="BodyText"/>
        <w:spacing w:line="357" w:lineRule="auto" w:before="32"/>
        <w:ind w:right="237" w:firstLine="419"/>
        <w:jc w:val="both"/>
      </w:pPr>
      <w:r>
        <w:rPr>
          <w:rFonts w:ascii="宋体" w:hAnsi="宋体" w:cs="宋体" w:eastAsia="宋体" w:hint="default"/>
        </w:rPr>
        <w:t>1</w:t>
      </w:r>
      <w:r>
        <w:rPr/>
        <w:t>、建立健全公司培训体系。</w:t>
      </w:r>
      <w:r>
        <w:rPr>
          <w:rFonts w:ascii="宋体" w:hAnsi="宋体" w:cs="宋体" w:eastAsia="宋体" w:hint="default"/>
        </w:rPr>
        <w:t>2018</w:t>
      </w:r>
      <w:r>
        <w:rPr>
          <w:rFonts w:ascii="宋体" w:hAnsi="宋体" w:cs="宋体" w:eastAsia="宋体" w:hint="default"/>
          <w:spacing w:val="-58"/>
        </w:rPr>
        <w:t> </w:t>
      </w:r>
      <w:r>
        <w:rPr/>
        <w:t>年，在公司战略的指导下，将盘点分析公司培训制度和流</w:t>
      </w:r>
      <w:r>
        <w:rPr>
          <w:w w:val="100"/>
        </w:rPr>
        <w:t> </w:t>
      </w:r>
      <w:r>
        <w:rPr>
          <w:spacing w:val="-2"/>
        </w:rPr>
        <w:t>程，建立健全培训管理体系、培训讲师体系和培训课程体系，以建立一套符合公司战略发展的培</w:t>
      </w:r>
      <w:r>
        <w:rPr>
          <w:spacing w:val="-25"/>
        </w:rPr>
        <w:t> </w:t>
      </w:r>
      <w:r>
        <w:rPr>
          <w:spacing w:val="-25"/>
        </w:rPr>
      </w:r>
      <w:r>
        <w:rPr/>
        <w:t>训体系。</w:t>
      </w:r>
    </w:p>
    <w:p>
      <w:pPr>
        <w:spacing w:after="0" w:line="357" w:lineRule="auto"/>
        <w:jc w:val="both"/>
        <w:sectPr>
          <w:headerReference w:type="default" r:id="rId26"/>
          <w:footerReference w:type="default" r:id="rId27"/>
          <w:pgSz w:w="11910" w:h="16840"/>
          <w:pgMar w:header="877" w:footer="1195" w:top="1100" w:bottom="1380" w:left="1580" w:right="1040"/>
          <w:pgNumType w:start="55"/>
        </w:sectPr>
      </w:pPr>
    </w:p>
    <w:p>
      <w:pPr>
        <w:spacing w:line="240" w:lineRule="auto" w:before="9"/>
        <w:rPr>
          <w:rFonts w:ascii="宋体" w:hAnsi="宋体" w:cs="宋体" w:eastAsia="宋体" w:hint="default"/>
          <w:sz w:val="25"/>
          <w:szCs w:val="25"/>
        </w:rPr>
      </w:pPr>
    </w:p>
    <w:p>
      <w:pPr>
        <w:pStyle w:val="BodyText"/>
        <w:spacing w:line="357" w:lineRule="auto" w:before="36"/>
        <w:ind w:left="138" w:right="142" w:firstLine="419"/>
        <w:jc w:val="both"/>
      </w:pPr>
      <w:r>
        <w:rPr>
          <w:rFonts w:ascii="宋体" w:hAnsi="宋体" w:cs="宋体" w:eastAsia="宋体" w:hint="default"/>
        </w:rPr>
        <w:t>2</w:t>
      </w:r>
      <w:r>
        <w:rPr/>
        <w:t>、加强对公司战略的支持。针对</w:t>
      </w:r>
      <w:r>
        <w:rPr>
          <w:spacing w:val="-57"/>
        </w:rPr>
        <w:t> </w:t>
      </w:r>
      <w:r>
        <w:rPr>
          <w:rFonts w:ascii="宋体" w:hAnsi="宋体" w:cs="宋体" w:eastAsia="宋体" w:hint="default"/>
        </w:rPr>
        <w:t>2018</w:t>
      </w:r>
      <w:r>
        <w:rPr>
          <w:rFonts w:ascii="宋体" w:hAnsi="宋体" w:cs="宋体" w:eastAsia="宋体" w:hint="default"/>
          <w:spacing w:val="-57"/>
        </w:rPr>
        <w:t> </w:t>
      </w:r>
      <w:r>
        <w:rPr/>
        <w:t>年公司发展战略，设计相应的培训项目，加强事业部</w:t>
      </w:r>
      <w:r>
        <w:rPr>
          <w:w w:val="100"/>
        </w:rPr>
        <w:t> </w:t>
      </w:r>
      <w:r>
        <w:rPr/>
        <w:t>知识培训以及业务进阶知识培训，以满足和促进战略发展对管理人才、专业人才的素养要求。</w:t>
      </w:r>
    </w:p>
    <w:p>
      <w:pPr>
        <w:pStyle w:val="BodyText"/>
        <w:spacing w:line="355" w:lineRule="auto" w:before="30"/>
        <w:ind w:left="138" w:right="128" w:firstLine="419"/>
        <w:jc w:val="both"/>
      </w:pPr>
      <w:r>
        <w:rPr>
          <w:rFonts w:ascii="宋体" w:hAnsi="宋体" w:cs="宋体" w:eastAsia="宋体" w:hint="default"/>
          <w:spacing w:val="-4"/>
        </w:rPr>
        <w:t>3</w:t>
      </w:r>
      <w:r>
        <w:rPr>
          <w:spacing w:val="-4"/>
        </w:rPr>
        <w:t>、促进全员综合素养提升。通过建立培训积分管理机制，加强培训与绩效考核、人员晋升挂</w:t>
      </w:r>
      <w:r>
        <w:rPr>
          <w:w w:val="100"/>
        </w:rPr>
        <w:t> </w:t>
      </w:r>
      <w:r>
        <w:rPr>
          <w:spacing w:val="-2"/>
        </w:rPr>
        <w:t>钩，建立完善培训激励机制以及针对全员通用素养、管理素养和专业素养提升的培训，来促进全</w:t>
      </w:r>
      <w:r>
        <w:rPr>
          <w:spacing w:val="-25"/>
        </w:rPr>
        <w:t> </w:t>
      </w:r>
      <w:r>
        <w:rPr>
          <w:spacing w:val="-25"/>
        </w:rPr>
      </w:r>
      <w:r>
        <w:rPr/>
        <w:t>员综合素养的提升。</w:t>
      </w:r>
    </w:p>
    <w:p>
      <w:pPr>
        <w:spacing w:line="240" w:lineRule="auto" w:before="13"/>
        <w:rPr>
          <w:rFonts w:ascii="宋体" w:hAnsi="宋体" w:cs="宋体" w:eastAsia="宋体" w:hint="default"/>
          <w:sz w:val="27"/>
          <w:szCs w:val="27"/>
        </w:rPr>
      </w:pPr>
    </w:p>
    <w:p>
      <w:pPr>
        <w:pStyle w:val="Heading2"/>
        <w:spacing w:line="240" w:lineRule="auto"/>
        <w:ind w:left="138" w:right="0"/>
        <w:jc w:val="both"/>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6"/>
        </w:rPr>
        <w:t> </w:t>
      </w:r>
      <w:r>
        <w:rPr/>
        <w:t>劳务外包情况</w:t>
      </w:r>
      <w:r>
        <w:rPr>
          <w:b w:val="0"/>
          <w:bCs w:val="0"/>
        </w:rPr>
      </w:r>
    </w:p>
    <w:p>
      <w:pPr>
        <w:spacing w:line="290" w:lineRule="auto" w:before="29"/>
        <w:ind w:left="138" w:right="737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七、其他</w:t>
      </w:r>
      <w:r>
        <w:rPr>
          <w:rFonts w:ascii="宋体" w:hAnsi="宋体" w:cs="宋体" w:eastAsia="宋体" w:hint="default"/>
          <w:sz w:val="21"/>
          <w:szCs w:val="21"/>
        </w:rPr>
      </w:r>
    </w:p>
    <w:p>
      <w:pPr>
        <w:pStyle w:val="BodyText"/>
        <w:spacing w:line="240" w:lineRule="auto" w:before="13"/>
        <w:ind w:left="138" w:right="0"/>
        <w:jc w:val="both"/>
      </w:pPr>
      <w:r>
        <w:rPr/>
        <w:t>□适用</w:t>
      </w:r>
      <w:r>
        <w:rPr>
          <w:spacing w:val="104"/>
        </w:rPr>
        <w:t> </w:t>
      </w:r>
      <w:r>
        <w:rPr/>
        <w:t>√不适用</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p>
      <w:pPr>
        <w:pStyle w:val="Heading1"/>
        <w:tabs>
          <w:tab w:pos="1262" w:val="left" w:leader="none"/>
        </w:tabs>
        <w:spacing w:line="240" w:lineRule="auto"/>
        <w:ind w:left="2" w:right="0"/>
        <w:jc w:val="center"/>
        <w:rPr>
          <w:b w:val="0"/>
          <w:bCs w:val="0"/>
        </w:rPr>
      </w:pPr>
      <w:bookmarkStart w:name="_TOC_250003" w:id="9"/>
      <w:r>
        <w:rPr>
          <w:w w:val="95"/>
        </w:rPr>
        <w:t>第九节</w:t>
        <w:tab/>
      </w:r>
      <w:r>
        <w:rPr/>
        <w:t>公司治理</w:t>
      </w:r>
      <w:bookmarkEnd w:id="9"/>
      <w:r>
        <w:rPr>
          <w:b w:val="0"/>
          <w:bCs w:val="0"/>
        </w:rPr>
      </w:r>
    </w:p>
    <w:p>
      <w:pPr>
        <w:spacing w:line="240" w:lineRule="auto" w:before="4"/>
        <w:rPr>
          <w:rFonts w:ascii="黑体" w:hAnsi="黑体" w:cs="黑体" w:eastAsia="黑体" w:hint="default"/>
          <w:b/>
          <w:bCs/>
          <w:sz w:val="19"/>
          <w:szCs w:val="19"/>
        </w:rPr>
      </w:pPr>
    </w:p>
    <w:p>
      <w:pPr>
        <w:pStyle w:val="Heading2"/>
        <w:spacing w:line="240" w:lineRule="auto"/>
        <w:ind w:left="138" w:right="0"/>
        <w:jc w:val="both"/>
        <w:rPr>
          <w:b w:val="0"/>
          <w:bCs w:val="0"/>
        </w:rPr>
      </w:pPr>
      <w:r>
        <w:rPr/>
        <w:t>一、公司治理相关情况说明</w:t>
      </w:r>
      <w:r>
        <w:rPr>
          <w:b w:val="0"/>
          <w:bCs w:val="0"/>
        </w:rPr>
      </w:r>
    </w:p>
    <w:p>
      <w:pPr>
        <w:pStyle w:val="BodyText"/>
        <w:tabs>
          <w:tab w:pos="980" w:val="left" w:leader="none"/>
        </w:tabs>
        <w:spacing w:line="240" w:lineRule="auto" w:before="56"/>
        <w:ind w:left="558" w:right="148" w:hanging="420"/>
        <w:jc w:val="left"/>
      </w:pPr>
      <w:r>
        <w:rPr>
          <w:spacing w:val="-1"/>
        </w:rPr>
        <w:t>√适用</w:t>
        <w:tab/>
      </w:r>
      <w:r>
        <w:rPr>
          <w:spacing w:val="-2"/>
        </w:rPr>
        <w:t>□不适用</w:t>
      </w:r>
      <w:r>
        <w:rPr>
          <w:spacing w:val="-99"/>
        </w:rPr>
        <w:t> </w:t>
      </w:r>
      <w:r>
        <w:rPr>
          <w:spacing w:val="-99"/>
        </w:rPr>
      </w:r>
      <w:r>
        <w:rPr>
          <w:spacing w:val="-2"/>
        </w:rPr>
        <w:t>本公司报告期内，公司严格按照《公司法》、《证券法》、《上市公司治理准则》和中国证</w:t>
      </w:r>
    </w:p>
    <w:p>
      <w:pPr>
        <w:pStyle w:val="BodyText"/>
        <w:spacing w:line="357" w:lineRule="auto" w:before="133"/>
        <w:ind w:left="138" w:right="137"/>
        <w:jc w:val="both"/>
      </w:pPr>
      <w:r>
        <w:rPr>
          <w:spacing w:val="-2"/>
        </w:rPr>
        <w:t>监会相关法律法规的要求，结合本公司实际情况，继续深入开展公司治理专项活动，使公司法人</w:t>
      </w:r>
      <w:r>
        <w:rPr>
          <w:spacing w:val="-25"/>
        </w:rPr>
        <w:t> </w:t>
      </w:r>
      <w:r>
        <w:rPr>
          <w:spacing w:val="-25"/>
        </w:rPr>
      </w:r>
      <w:r>
        <w:rPr>
          <w:spacing w:val="-2"/>
        </w:rPr>
        <w:t>治理结构更加完善，公司运作也更加规范，公司治理的整体水平取得显著提高。主要体现在如下</w:t>
      </w:r>
      <w:r>
        <w:rPr>
          <w:spacing w:val="-25"/>
        </w:rPr>
        <w:t> </w:t>
      </w:r>
      <w:r>
        <w:rPr>
          <w:spacing w:val="-25"/>
        </w:rPr>
      </w:r>
      <w:r>
        <w:rPr/>
        <w:t>方面：</w:t>
      </w:r>
    </w:p>
    <w:p>
      <w:pPr>
        <w:pStyle w:val="BodyText"/>
        <w:spacing w:line="355" w:lineRule="auto" w:before="32"/>
        <w:ind w:left="138" w:right="137" w:firstLine="525"/>
        <w:jc w:val="both"/>
      </w:pPr>
      <w:r>
        <w:rPr>
          <w:rFonts w:ascii="宋体" w:hAnsi="宋体" w:cs="宋体" w:eastAsia="宋体" w:hint="default"/>
          <w:spacing w:val="-2"/>
        </w:rPr>
        <w:t>1</w:t>
      </w:r>
      <w:r>
        <w:rPr>
          <w:spacing w:val="-2"/>
        </w:rPr>
        <w:t>、关于股东与股东大会：公司严格按照中国证监会发布《股东大会规范意见》和《公司章</w:t>
      </w:r>
      <w:r>
        <w:rPr>
          <w:w w:val="100"/>
        </w:rPr>
        <w:t> </w:t>
      </w:r>
      <w:r>
        <w:rPr>
          <w:spacing w:val="-2"/>
        </w:rPr>
        <w:t>程》的有关规定召集、召开股东大会，使股东充分行使表决权，享有平等地位，确保股东的合法</w:t>
      </w:r>
      <w:r>
        <w:rPr>
          <w:spacing w:val="-25"/>
        </w:rPr>
        <w:t> </w:t>
      </w:r>
      <w:r>
        <w:rPr>
          <w:spacing w:val="-25"/>
        </w:rPr>
      </w:r>
      <w:r>
        <w:rPr/>
        <w:t>权益。</w:t>
      </w:r>
    </w:p>
    <w:p>
      <w:pPr>
        <w:pStyle w:val="BodyText"/>
        <w:spacing w:line="357" w:lineRule="auto" w:before="32"/>
        <w:ind w:left="138" w:right="128" w:firstLine="419"/>
        <w:jc w:val="both"/>
      </w:pPr>
      <w:r>
        <w:rPr>
          <w:rFonts w:ascii="宋体" w:hAnsi="宋体" w:cs="宋体" w:eastAsia="宋体" w:hint="default"/>
          <w:spacing w:val="-4"/>
        </w:rPr>
        <w:t>2</w:t>
      </w:r>
      <w:r>
        <w:rPr>
          <w:spacing w:val="-4"/>
        </w:rPr>
        <w:t>、关于控股股东与上市公司的关系：公司控股股东严格规范自身行为，通过股东大会行使出</w:t>
      </w:r>
      <w:r>
        <w:rPr>
          <w:w w:val="100"/>
        </w:rPr>
        <w:t> </w:t>
      </w:r>
      <w:r>
        <w:rPr>
          <w:spacing w:val="-2"/>
        </w:rPr>
        <w:t>资人权利，没有超越股东大会直接或间接干预公司的决策和经营活动。公司与控股股东在人员、</w:t>
      </w:r>
      <w:r>
        <w:rPr>
          <w:spacing w:val="-25"/>
        </w:rPr>
        <w:t> </w:t>
      </w:r>
      <w:r>
        <w:rPr>
          <w:spacing w:val="-25"/>
        </w:rPr>
      </w:r>
      <w:r>
        <w:rPr>
          <w:spacing w:val="-2"/>
        </w:rPr>
        <w:t>资产、财务、机构和业务方面已完全分开，公司董事会、监事会和经营管理机构均独立运作。公</w:t>
      </w:r>
      <w:r>
        <w:rPr>
          <w:spacing w:val="-25"/>
        </w:rPr>
        <w:t> </w:t>
      </w:r>
      <w:r>
        <w:rPr>
          <w:spacing w:val="-25"/>
        </w:rPr>
      </w:r>
      <w:r>
        <w:rPr/>
        <w:t>司与控股股东进行的关联交易公平合理，均履行法定程序并及时进行信息披露。</w:t>
      </w:r>
    </w:p>
    <w:p>
      <w:pPr>
        <w:pStyle w:val="BodyText"/>
        <w:spacing w:line="357" w:lineRule="auto" w:before="31"/>
        <w:ind w:left="138" w:right="128" w:firstLine="419"/>
        <w:jc w:val="both"/>
      </w:pPr>
      <w:r>
        <w:rPr>
          <w:rFonts w:ascii="宋体" w:hAnsi="宋体" w:cs="宋体" w:eastAsia="宋体" w:hint="default"/>
          <w:spacing w:val="-4"/>
        </w:rPr>
        <w:t>3</w:t>
      </w:r>
      <w:r>
        <w:rPr>
          <w:spacing w:val="-4"/>
        </w:rPr>
        <w:t>、关于董事与董事会：公司严格按照《公司法》和《公司章程》规定的董事选聘程序选举董</w:t>
      </w:r>
      <w:r>
        <w:rPr>
          <w:w w:val="100"/>
        </w:rPr>
        <w:t> </w:t>
      </w:r>
      <w:r>
        <w:rPr/>
        <w:t>事和独立董事。报告期末，公司董事会组成人员为</w:t>
      </w:r>
      <w:r>
        <w:rPr>
          <w:spacing w:val="-56"/>
        </w:rPr>
        <w:t> </w:t>
      </w:r>
      <w:r>
        <w:rPr>
          <w:rFonts w:ascii="宋体" w:hAnsi="宋体" w:cs="宋体" w:eastAsia="宋体" w:hint="default"/>
        </w:rPr>
        <w:t>7</w:t>
      </w:r>
      <w:r>
        <w:rPr>
          <w:rFonts w:ascii="宋体" w:hAnsi="宋体" w:cs="宋体" w:eastAsia="宋体" w:hint="default"/>
          <w:spacing w:val="-54"/>
        </w:rPr>
        <w:t> </w:t>
      </w:r>
      <w:r>
        <w:rPr/>
        <w:t>人，其中独立董事</w:t>
      </w:r>
      <w:r>
        <w:rPr>
          <w:spacing w:val="-56"/>
        </w:rPr>
        <w:t> </w:t>
      </w:r>
      <w:r>
        <w:rPr>
          <w:rFonts w:ascii="宋体" w:hAnsi="宋体" w:cs="宋体" w:eastAsia="宋体" w:hint="default"/>
        </w:rPr>
        <w:t>3</w:t>
      </w:r>
      <w:r>
        <w:rPr>
          <w:rFonts w:ascii="宋体" w:hAnsi="宋体" w:cs="宋体" w:eastAsia="宋体" w:hint="default"/>
          <w:spacing w:val="-54"/>
        </w:rPr>
        <w:t> </w:t>
      </w:r>
      <w:r>
        <w:rPr/>
        <w:t>人，董事会的人数和人</w:t>
      </w:r>
      <w:r>
        <w:rPr>
          <w:w w:val="100"/>
        </w:rPr>
        <w:t> </w:t>
      </w:r>
      <w:r>
        <w:rPr>
          <w:spacing w:val="-2"/>
        </w:rPr>
        <w:t>员构成符合法律、法规的要求。全体董事认真出席董事会，履行诚信和勤勉职责，所做决策符合</w:t>
      </w:r>
      <w:r>
        <w:rPr>
          <w:spacing w:val="-25"/>
        </w:rPr>
        <w:t> </w:t>
      </w:r>
      <w:r>
        <w:rPr>
          <w:spacing w:val="-25"/>
        </w:rPr>
      </w:r>
      <w:r>
        <w:rPr/>
        <w:t>股东利益和公司长远发展的需要。</w:t>
      </w:r>
    </w:p>
    <w:p>
      <w:pPr>
        <w:pStyle w:val="BodyText"/>
        <w:spacing w:line="357" w:lineRule="auto" w:before="30"/>
        <w:ind w:left="138" w:right="128" w:firstLine="419"/>
        <w:jc w:val="both"/>
      </w:pPr>
      <w:r>
        <w:rPr>
          <w:rFonts w:ascii="宋体" w:hAnsi="宋体" w:cs="宋体" w:eastAsia="宋体" w:hint="default"/>
          <w:spacing w:val="-4"/>
        </w:rPr>
        <w:t>4</w:t>
      </w:r>
      <w:r>
        <w:rPr>
          <w:spacing w:val="-4"/>
        </w:rPr>
        <w:t>、关于监事与监事会：公司严格按照《公司法》和《公司章程》规定的程序选举监事。报告</w:t>
      </w:r>
      <w:r>
        <w:rPr>
          <w:w w:val="100"/>
        </w:rPr>
        <w:t> </w:t>
      </w:r>
      <w:r>
        <w:rPr/>
        <w:t>期内，公司监事会组成人员</w:t>
      </w:r>
      <w:r>
        <w:rPr>
          <w:spacing w:val="-55"/>
        </w:rPr>
        <w:t> </w:t>
      </w:r>
      <w:r>
        <w:rPr>
          <w:rFonts w:ascii="宋体" w:hAnsi="宋体" w:cs="宋体" w:eastAsia="宋体" w:hint="default"/>
        </w:rPr>
        <w:t>3</w:t>
      </w:r>
      <w:r>
        <w:rPr>
          <w:rFonts w:ascii="宋体" w:hAnsi="宋体" w:cs="宋体" w:eastAsia="宋体" w:hint="default"/>
          <w:spacing w:val="-55"/>
        </w:rPr>
        <w:t> </w:t>
      </w:r>
      <w:r>
        <w:rPr/>
        <w:t>人，监事会的人数和人员构成符合法律、法规的要求。全体监事认</w:t>
      </w:r>
      <w:r>
        <w:rPr>
          <w:w w:val="100"/>
        </w:rPr>
        <w:t> </w:t>
      </w:r>
      <w:r>
        <w:rPr>
          <w:spacing w:val="-2"/>
        </w:rPr>
        <w:t>真履行监事职责，对公司重大事项、财务情况以及公司董事、高级管理人员履行职责的规范性、</w:t>
      </w:r>
      <w:r>
        <w:rPr>
          <w:spacing w:val="-25"/>
        </w:rPr>
        <w:t> </w:t>
      </w:r>
      <w:r>
        <w:rPr>
          <w:spacing w:val="-25"/>
        </w:rPr>
      </w:r>
      <w:r>
        <w:rPr/>
        <w:t>合法性进行监督，以此来维护公司和股东的合法权益。</w:t>
      </w:r>
    </w:p>
    <w:p>
      <w:pPr>
        <w:pStyle w:val="BodyText"/>
        <w:spacing w:line="355" w:lineRule="auto" w:before="30"/>
        <w:ind w:left="138" w:right="130" w:firstLine="419"/>
        <w:jc w:val="both"/>
      </w:pPr>
      <w:r>
        <w:rPr>
          <w:rFonts w:ascii="宋体" w:hAnsi="宋体" w:cs="宋体" w:eastAsia="宋体" w:hint="default"/>
          <w:spacing w:val="-4"/>
        </w:rPr>
        <w:t>5</w:t>
      </w:r>
      <w:r>
        <w:rPr>
          <w:spacing w:val="-4"/>
        </w:rPr>
        <w:t>、公司信息披露情况：公司制定有《信息披露管理制度法》、《投资者关系管理制度》等专</w:t>
      </w:r>
      <w:r>
        <w:rPr>
          <w:w w:val="100"/>
        </w:rPr>
        <w:t> </w:t>
      </w:r>
      <w:r>
        <w:rPr/>
        <w:t>项制度，报告期内上述制度得到了有效的执行。</w:t>
      </w:r>
    </w:p>
    <w:p>
      <w:pPr>
        <w:spacing w:after="0" w:line="355" w:lineRule="auto"/>
        <w:jc w:val="both"/>
        <w:sectPr>
          <w:footerReference w:type="default" r:id="rId28"/>
          <w:pgSz w:w="11910" w:h="16840"/>
          <w:pgMar w:footer="1195" w:header="877" w:top="1100" w:bottom="1380" w:left="1660" w:right="1140"/>
          <w:pgNumType w:start="56"/>
        </w:sectPr>
      </w:pPr>
    </w:p>
    <w:p>
      <w:pPr>
        <w:spacing w:line="240" w:lineRule="auto" w:before="9"/>
        <w:rPr>
          <w:rFonts w:ascii="宋体" w:hAnsi="宋体" w:cs="宋体" w:eastAsia="宋体" w:hint="default"/>
          <w:sz w:val="25"/>
          <w:szCs w:val="25"/>
        </w:rPr>
      </w:pPr>
    </w:p>
    <w:p>
      <w:pPr>
        <w:pStyle w:val="BodyText"/>
        <w:spacing w:line="357" w:lineRule="auto" w:before="36"/>
        <w:ind w:right="237" w:firstLine="419"/>
        <w:jc w:val="both"/>
      </w:pPr>
      <w:r>
        <w:rPr>
          <w:rFonts w:ascii="宋体" w:hAnsi="宋体" w:cs="宋体" w:eastAsia="宋体" w:hint="default"/>
        </w:rPr>
        <w:t>6</w:t>
      </w:r>
      <w:r>
        <w:rPr/>
        <w:t>、关于内部控制建设：根据中国证监会的要求，公司在</w:t>
      </w:r>
      <w:r>
        <w:rPr>
          <w:spacing w:val="-56"/>
        </w:rPr>
        <w:t> </w:t>
      </w:r>
      <w:r>
        <w:rPr>
          <w:rFonts w:ascii="宋体" w:hAnsi="宋体" w:cs="宋体" w:eastAsia="宋体" w:hint="default"/>
        </w:rPr>
        <w:t>2012</w:t>
      </w:r>
      <w:r>
        <w:rPr>
          <w:rFonts w:ascii="宋体" w:hAnsi="宋体" w:cs="宋体" w:eastAsia="宋体" w:hint="default"/>
          <w:spacing w:val="-58"/>
        </w:rPr>
        <w:t> </w:t>
      </w:r>
      <w:r>
        <w:rPr/>
        <w:t>年正式启动内部控制规范的制</w:t>
      </w:r>
      <w:r>
        <w:rPr>
          <w:w w:val="100"/>
        </w:rPr>
        <w:t> </w:t>
      </w:r>
      <w:r>
        <w:rPr>
          <w:spacing w:val="-2"/>
        </w:rPr>
        <w:t>订及实施工作。报告期内，公司对各项管理制度和管理流程进一步进行梳理和修订，进一步规范</w:t>
      </w:r>
      <w:r>
        <w:rPr>
          <w:spacing w:val="-25"/>
        </w:rPr>
        <w:t> </w:t>
      </w:r>
      <w:r>
        <w:rPr>
          <w:spacing w:val="-25"/>
        </w:rPr>
      </w:r>
      <w:r>
        <w:rPr/>
        <w:t>和完善公司内部控制制度，为规避经营风险提高管理水平奠定了基础。</w:t>
      </w:r>
    </w:p>
    <w:p>
      <w:pPr>
        <w:pStyle w:val="BodyText"/>
        <w:spacing w:line="355" w:lineRule="auto" w:before="30"/>
        <w:ind w:right="228" w:firstLine="419"/>
        <w:jc w:val="both"/>
      </w:pPr>
      <w:r>
        <w:rPr>
          <w:rFonts w:ascii="宋体" w:hAnsi="宋体" w:cs="宋体" w:eastAsia="宋体" w:hint="default"/>
          <w:spacing w:val="-4"/>
        </w:rPr>
        <w:t>7</w:t>
      </w:r>
      <w:r>
        <w:rPr>
          <w:spacing w:val="-4"/>
        </w:rPr>
        <w:t>、关于公司内幕信息知情人登记管理制度建立健全情况：公司已按照中国证监会及黑龙江证</w:t>
      </w:r>
      <w:r>
        <w:rPr>
          <w:w w:val="100"/>
        </w:rPr>
        <w:t> </w:t>
      </w:r>
      <w:r>
        <w:rPr>
          <w:spacing w:val="-2"/>
        </w:rPr>
        <w:t>监局的要求，制订了内幕信息知情人登记备案制度。报告期内，公司严格按照上述制度对内幕信</w:t>
      </w:r>
      <w:r>
        <w:rPr>
          <w:spacing w:val="-25"/>
        </w:rPr>
        <w:t> </w:t>
      </w:r>
      <w:r>
        <w:rPr>
          <w:spacing w:val="-25"/>
        </w:rPr>
      </w:r>
      <w:r>
        <w:rPr/>
        <w:t>息进行规范管理，杜绝内幕交易发生。</w:t>
      </w:r>
    </w:p>
    <w:p>
      <w:pPr>
        <w:spacing w:line="240" w:lineRule="auto" w:before="5"/>
        <w:rPr>
          <w:rFonts w:ascii="宋体" w:hAnsi="宋体" w:cs="宋体" w:eastAsia="宋体" w:hint="default"/>
          <w:sz w:val="23"/>
          <w:szCs w:val="23"/>
        </w:rPr>
      </w:pPr>
    </w:p>
    <w:p>
      <w:pPr>
        <w:pStyle w:val="BodyText"/>
        <w:spacing w:line="274" w:lineRule="exact"/>
        <w:ind w:right="227"/>
        <w:jc w:val="left"/>
      </w:pPr>
      <w:r>
        <w:rPr/>
        <w:t>公司治理与中国证监会相关规定的要求是否存在重大差异；如有重大差异，应当说明原因</w:t>
      </w:r>
    </w:p>
    <w:p>
      <w:pPr>
        <w:spacing w:line="528" w:lineRule="auto" w:before="0"/>
        <w:ind w:left="218" w:right="6940" w:firstLine="0"/>
        <w:jc w:val="left"/>
        <w:rPr>
          <w:rFonts w:ascii="宋体" w:hAnsi="宋体" w:cs="宋体" w:eastAsia="宋体" w:hint="default"/>
          <w:sz w:val="21"/>
          <w:szCs w:val="21"/>
        </w:rPr>
      </w:pPr>
      <w:r>
        <w:rPr/>
        <w:pict>
          <v:shape style="position:absolute;margin-left:84.264pt;margin-top:48.533703pt;width:453.2pt;height:97.8pt;mso-position-horizontal-relative:page;mso-position-vertical-relative:paragraph;z-index:10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71"/>
                    <w:gridCol w:w="2126"/>
                    <w:gridCol w:w="2525"/>
                    <w:gridCol w:w="2127"/>
                  </w:tblGrid>
                  <w:tr>
                    <w:trPr>
                      <w:trHeight w:val="554"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会议届次</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38"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决议刊登的指定网站的查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询索引</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12" w:right="0"/>
                          <w:jc w:val="left"/>
                          <w:rPr>
                            <w:rFonts w:ascii="宋体" w:hAnsi="宋体" w:cs="宋体" w:eastAsia="宋体" w:hint="default"/>
                            <w:sz w:val="21"/>
                            <w:szCs w:val="21"/>
                          </w:rPr>
                        </w:pPr>
                        <w:r>
                          <w:rPr>
                            <w:rFonts w:ascii="宋体" w:hAnsi="宋体" w:cs="宋体" w:eastAsia="宋体" w:hint="default"/>
                            <w:sz w:val="21"/>
                            <w:szCs w:val="21"/>
                          </w:rPr>
                          <w:t>决议刊登的披露日期</w:t>
                        </w:r>
                      </w:p>
                    </w:tc>
                  </w:tr>
                  <w:tr>
                    <w:trPr>
                      <w:trHeight w:val="283"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年年度股东大会</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2017/5/10</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hyperlink r:id="rId9">
                          <w:r>
                            <w:rPr>
                              <w:rFonts w:ascii="宋体"/>
                              <w:sz w:val="21"/>
                            </w:rPr>
                            <w:t>http://www.sse.com.cn/</w:t>
                          </w:r>
                        </w:hyperlink>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2017/5/11</w:t>
                        </w:r>
                      </w:p>
                    </w:tc>
                  </w:tr>
                  <w:tr>
                    <w:trPr>
                      <w:trHeight w:val="554"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26"/>
                            <w:sz w:val="21"/>
                            <w:szCs w:val="21"/>
                          </w:rPr>
                          <w:t> </w:t>
                        </w:r>
                        <w:r>
                          <w:rPr>
                            <w:rFonts w:ascii="宋体" w:hAnsi="宋体" w:cs="宋体" w:eastAsia="宋体" w:hint="default"/>
                            <w:spacing w:val="4"/>
                            <w:sz w:val="21"/>
                            <w:szCs w:val="21"/>
                          </w:rPr>
                          <w:t>年第一次临时股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东大会</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2017/7/31</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hyperlink r:id="rId9">
                          <w:r>
                            <w:rPr>
                              <w:rFonts w:ascii="宋体"/>
                              <w:sz w:val="21"/>
                            </w:rPr>
                            <w:t>http://www.sse.com.cn/</w:t>
                          </w:r>
                        </w:hyperlink>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2017/8/01</w:t>
                        </w:r>
                      </w:p>
                    </w:tc>
                  </w:tr>
                  <w:tr>
                    <w:trPr>
                      <w:trHeight w:val="554"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26"/>
                            <w:sz w:val="21"/>
                            <w:szCs w:val="21"/>
                          </w:rPr>
                          <w:t> </w:t>
                        </w:r>
                        <w:r>
                          <w:rPr>
                            <w:rFonts w:ascii="宋体" w:hAnsi="宋体" w:cs="宋体" w:eastAsia="宋体" w:hint="default"/>
                            <w:spacing w:val="4"/>
                            <w:sz w:val="21"/>
                            <w:szCs w:val="21"/>
                          </w:rPr>
                          <w:t>年第二次临时股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东大会</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2017/12/29</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hyperlink r:id="rId9">
                          <w:r>
                            <w:rPr>
                              <w:rFonts w:ascii="宋体"/>
                              <w:sz w:val="21"/>
                            </w:rPr>
                            <w:t>http://www.sse.com.cn/</w:t>
                          </w:r>
                        </w:hyperlink>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2017/12/30</w:t>
                        </w:r>
                      </w:p>
                    </w:tc>
                  </w:tr>
                </w:tbl>
                <w:p>
                  <w:pPr/>
                </w:p>
              </w:txbxContent>
            </v:textbox>
            <w10:wrap type="none"/>
          </v:shape>
        </w:pict>
      </w: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二、股东大会情况简介</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5"/>
          <w:szCs w:val="15"/>
        </w:rPr>
      </w:pPr>
    </w:p>
    <w:p>
      <w:pPr>
        <w:pStyle w:val="BodyText"/>
        <w:spacing w:line="273" w:lineRule="exact"/>
        <w:ind w:right="2497"/>
        <w:jc w:val="left"/>
      </w:pPr>
      <w:r>
        <w:rPr/>
        <w:t>股东大会情况说明</w:t>
      </w:r>
    </w:p>
    <w:p>
      <w:pPr>
        <w:pStyle w:val="BodyText"/>
        <w:spacing w:line="273" w:lineRule="exact"/>
        <w:ind w:right="249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497"/>
        <w:jc w:val="left"/>
        <w:rPr>
          <w:b w:val="0"/>
          <w:bCs w:val="0"/>
        </w:rPr>
      </w:pPr>
      <w:r>
        <w:rPr/>
        <w:t>三、董事履行职责情况</w:t>
      </w:r>
      <w:r>
        <w:rPr>
          <w:b w:val="0"/>
          <w:bCs w:val="0"/>
        </w:rPr>
      </w:r>
    </w:p>
    <w:p>
      <w:pPr>
        <w:pStyle w:val="Heading2"/>
        <w:spacing w:line="240" w:lineRule="auto" w:before="58"/>
        <w:ind w:right="2497"/>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4"/>
        </w:rPr>
        <w:t> </w:t>
      </w:r>
      <w:r>
        <w:rPr/>
        <w:t>董事参加董事会和股东大会的情况</w:t>
      </w:r>
      <w:r>
        <w:rPr>
          <w:b w:val="0"/>
          <w:bCs w:val="0"/>
        </w:rPr>
      </w:r>
    </w:p>
    <w:p>
      <w:pPr>
        <w:spacing w:line="240" w:lineRule="auto" w:before="11"/>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979"/>
        <w:gridCol w:w="847"/>
        <w:gridCol w:w="1100"/>
        <w:gridCol w:w="852"/>
        <w:gridCol w:w="970"/>
        <w:gridCol w:w="905"/>
        <w:gridCol w:w="845"/>
        <w:gridCol w:w="1292"/>
        <w:gridCol w:w="1260"/>
      </w:tblGrid>
      <w:tr>
        <w:trPr>
          <w:trHeight w:val="571" w:hRule="exact"/>
        </w:trPr>
        <w:tc>
          <w:tcPr>
            <w:tcW w:w="97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4"/>
              <w:ind w:left="273" w:right="271"/>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pacing w:val="-103"/>
                <w:sz w:val="21"/>
                <w:szCs w:val="21"/>
              </w:rPr>
              <w:t> </w:t>
            </w:r>
            <w:r>
              <w:rPr>
                <w:rFonts w:ascii="宋体" w:hAnsi="宋体" w:cs="宋体" w:eastAsia="宋体" w:hint="default"/>
                <w:sz w:val="21"/>
                <w:szCs w:val="21"/>
              </w:rPr>
              <w:t>姓名</w:t>
            </w:r>
          </w:p>
        </w:tc>
        <w:tc>
          <w:tcPr>
            <w:tcW w:w="84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4"/>
              <w:ind w:left="103" w:right="98"/>
              <w:jc w:val="left"/>
              <w:rPr>
                <w:rFonts w:ascii="宋体" w:hAnsi="宋体" w:cs="宋体" w:eastAsia="宋体" w:hint="default"/>
                <w:sz w:val="21"/>
                <w:szCs w:val="21"/>
              </w:rPr>
            </w:pPr>
            <w:r>
              <w:rPr>
                <w:rFonts w:ascii="宋体" w:hAnsi="宋体" w:cs="宋体" w:eastAsia="宋体" w:hint="default"/>
                <w:sz w:val="21"/>
                <w:szCs w:val="21"/>
              </w:rPr>
              <w:t>是否独</w:t>
            </w:r>
            <w:r>
              <w:rPr>
                <w:rFonts w:ascii="宋体" w:hAnsi="宋体" w:cs="宋体" w:eastAsia="宋体" w:hint="default"/>
                <w:spacing w:val="-102"/>
                <w:sz w:val="21"/>
                <w:szCs w:val="21"/>
              </w:rPr>
              <w:t> </w:t>
            </w:r>
            <w:r>
              <w:rPr>
                <w:rFonts w:ascii="宋体" w:hAnsi="宋体" w:cs="宋体" w:eastAsia="宋体" w:hint="default"/>
                <w:sz w:val="21"/>
                <w:szCs w:val="21"/>
              </w:rPr>
              <w:t>立董事</w:t>
            </w:r>
          </w:p>
        </w:tc>
        <w:tc>
          <w:tcPr>
            <w:tcW w:w="596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参加董事会情况</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
              <w:ind w:left="203" w:right="201"/>
              <w:jc w:val="left"/>
              <w:rPr>
                <w:rFonts w:ascii="宋体" w:hAnsi="宋体" w:cs="宋体" w:eastAsia="宋体" w:hint="default"/>
                <w:sz w:val="21"/>
                <w:szCs w:val="21"/>
              </w:rPr>
            </w:pPr>
            <w:r>
              <w:rPr>
                <w:rFonts w:ascii="宋体" w:hAnsi="宋体" w:cs="宋体" w:eastAsia="宋体" w:hint="default"/>
                <w:sz w:val="21"/>
                <w:szCs w:val="21"/>
              </w:rPr>
              <w:t>参加股东</w:t>
            </w:r>
            <w:r>
              <w:rPr>
                <w:rFonts w:ascii="宋体" w:hAnsi="宋体" w:cs="宋体" w:eastAsia="宋体" w:hint="default"/>
                <w:w w:val="100"/>
                <w:sz w:val="21"/>
                <w:szCs w:val="21"/>
              </w:rPr>
              <w:t> </w:t>
            </w:r>
            <w:r>
              <w:rPr>
                <w:rFonts w:ascii="宋体" w:hAnsi="宋体" w:cs="宋体" w:eastAsia="宋体" w:hint="default"/>
                <w:sz w:val="21"/>
                <w:szCs w:val="21"/>
              </w:rPr>
              <w:t>大会情况</w:t>
            </w:r>
          </w:p>
        </w:tc>
      </w:tr>
      <w:tr>
        <w:trPr>
          <w:trHeight w:val="828" w:hRule="exact"/>
        </w:trPr>
        <w:tc>
          <w:tcPr>
            <w:tcW w:w="979" w:type="dxa"/>
            <w:vMerge/>
            <w:tcBorders>
              <w:left w:val="single" w:sz="4" w:space="0" w:color="000000"/>
              <w:bottom w:val="single" w:sz="4" w:space="0" w:color="000000"/>
              <w:right w:val="single" w:sz="4" w:space="0" w:color="000000"/>
            </w:tcBorders>
          </w:tcPr>
          <w:p>
            <w:pPr/>
          </w:p>
        </w:tc>
        <w:tc>
          <w:tcPr>
            <w:tcW w:w="847" w:type="dxa"/>
            <w:vMerge/>
            <w:tcBorders>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4" w:right="0"/>
              <w:jc w:val="left"/>
              <w:rPr>
                <w:rFonts w:ascii="宋体" w:hAnsi="宋体" w:cs="宋体" w:eastAsia="宋体" w:hint="default"/>
                <w:sz w:val="21"/>
                <w:szCs w:val="21"/>
              </w:rPr>
            </w:pPr>
            <w:r>
              <w:rPr>
                <w:rFonts w:ascii="宋体" w:hAnsi="宋体" w:cs="宋体" w:eastAsia="宋体" w:hint="default"/>
                <w:sz w:val="21"/>
                <w:szCs w:val="21"/>
              </w:rPr>
              <w:t>本年应参</w:t>
            </w:r>
          </w:p>
          <w:p>
            <w:pPr>
              <w:pStyle w:val="TableParagraph"/>
              <w:spacing w:line="272" w:lineRule="exact" w:before="27"/>
              <w:ind w:left="334" w:right="120" w:hanging="210"/>
              <w:jc w:val="left"/>
              <w:rPr>
                <w:rFonts w:ascii="宋体" w:hAnsi="宋体" w:cs="宋体" w:eastAsia="宋体" w:hint="default"/>
                <w:sz w:val="21"/>
                <w:szCs w:val="21"/>
              </w:rPr>
            </w:pPr>
            <w:r>
              <w:rPr>
                <w:rFonts w:ascii="宋体" w:hAnsi="宋体" w:cs="宋体" w:eastAsia="宋体" w:hint="default"/>
                <w:sz w:val="21"/>
                <w:szCs w:val="21"/>
              </w:rPr>
              <w:t>加董事会</w:t>
            </w:r>
            <w:r>
              <w:rPr>
                <w:rFonts w:ascii="宋体" w:hAnsi="宋体" w:cs="宋体" w:eastAsia="宋体" w:hint="default"/>
                <w:w w:val="100"/>
                <w:sz w:val="21"/>
                <w:szCs w:val="21"/>
              </w:rPr>
              <w:t> </w:t>
            </w:r>
            <w:r>
              <w:rPr>
                <w:rFonts w:ascii="宋体" w:hAnsi="宋体" w:cs="宋体" w:eastAsia="宋体" w:hint="default"/>
                <w:sz w:val="21"/>
                <w:szCs w:val="21"/>
              </w:rPr>
              <w:t>次数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5" w:right="101"/>
              <w:jc w:val="left"/>
              <w:rPr>
                <w:rFonts w:ascii="宋体" w:hAnsi="宋体" w:cs="宋体" w:eastAsia="宋体" w:hint="default"/>
                <w:sz w:val="21"/>
                <w:szCs w:val="21"/>
              </w:rPr>
            </w:pPr>
            <w:r>
              <w:rPr>
                <w:rFonts w:ascii="宋体" w:hAnsi="宋体" w:cs="宋体" w:eastAsia="宋体" w:hint="default"/>
                <w:sz w:val="21"/>
                <w:szCs w:val="21"/>
              </w:rPr>
              <w:t>亲自出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3" w:right="0"/>
              <w:jc w:val="left"/>
              <w:rPr>
                <w:rFonts w:ascii="宋体" w:hAnsi="宋体" w:cs="宋体" w:eastAsia="宋体" w:hint="default"/>
                <w:sz w:val="21"/>
                <w:szCs w:val="21"/>
              </w:rPr>
            </w:pPr>
            <w:r>
              <w:rPr>
                <w:rFonts w:ascii="宋体" w:hAnsi="宋体" w:cs="宋体" w:eastAsia="宋体" w:hint="default"/>
                <w:sz w:val="21"/>
                <w:szCs w:val="21"/>
              </w:rPr>
              <w:t>以通讯</w:t>
            </w:r>
          </w:p>
          <w:p>
            <w:pPr>
              <w:pStyle w:val="TableParagraph"/>
              <w:spacing w:line="272" w:lineRule="exact" w:before="27"/>
              <w:ind w:left="163" w:right="161"/>
              <w:jc w:val="left"/>
              <w:rPr>
                <w:rFonts w:ascii="宋体" w:hAnsi="宋体" w:cs="宋体" w:eastAsia="宋体" w:hint="default"/>
                <w:sz w:val="21"/>
                <w:szCs w:val="21"/>
              </w:rPr>
            </w:pPr>
            <w:r>
              <w:rPr>
                <w:rFonts w:ascii="宋体" w:hAnsi="宋体" w:cs="宋体" w:eastAsia="宋体" w:hint="default"/>
                <w:sz w:val="21"/>
                <w:szCs w:val="21"/>
              </w:rPr>
              <w:t>方式参</w:t>
            </w:r>
            <w:r>
              <w:rPr>
                <w:rFonts w:ascii="宋体" w:hAnsi="宋体" w:cs="宋体" w:eastAsia="宋体" w:hint="default"/>
                <w:spacing w:val="-102"/>
                <w:sz w:val="21"/>
                <w:szCs w:val="21"/>
              </w:rPr>
              <w:t> </w:t>
            </w:r>
            <w:r>
              <w:rPr>
                <w:rFonts w:ascii="宋体" w:hAnsi="宋体" w:cs="宋体" w:eastAsia="宋体" w:hint="default"/>
                <w:sz w:val="21"/>
                <w:szCs w:val="21"/>
              </w:rPr>
              <w:t>加次数</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29" w:right="131"/>
              <w:jc w:val="left"/>
              <w:rPr>
                <w:rFonts w:ascii="宋体" w:hAnsi="宋体" w:cs="宋体" w:eastAsia="宋体" w:hint="default"/>
                <w:sz w:val="21"/>
                <w:szCs w:val="21"/>
              </w:rPr>
            </w:pPr>
            <w:r>
              <w:rPr>
                <w:rFonts w:ascii="宋体" w:hAnsi="宋体" w:cs="宋体" w:eastAsia="宋体" w:hint="default"/>
                <w:sz w:val="21"/>
                <w:szCs w:val="21"/>
              </w:rPr>
              <w:t>委托出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04" w:right="206"/>
              <w:jc w:val="left"/>
              <w:rPr>
                <w:rFonts w:ascii="宋体" w:hAnsi="宋体" w:cs="宋体" w:eastAsia="宋体" w:hint="default"/>
                <w:sz w:val="21"/>
                <w:szCs w:val="21"/>
              </w:rPr>
            </w:pPr>
            <w:r>
              <w:rPr>
                <w:rFonts w:ascii="宋体" w:hAnsi="宋体" w:cs="宋体" w:eastAsia="宋体" w:hint="default"/>
                <w:sz w:val="21"/>
                <w:szCs w:val="21"/>
              </w:rPr>
              <w:t>缺席</w:t>
            </w:r>
            <w:r>
              <w:rPr>
                <w:rFonts w:ascii="宋体" w:hAnsi="宋体" w:cs="宋体" w:eastAsia="宋体" w:hint="default"/>
                <w:spacing w:val="-103"/>
                <w:sz w:val="21"/>
                <w:szCs w:val="21"/>
              </w:rPr>
              <w:t> </w:t>
            </w:r>
            <w:r>
              <w:rPr>
                <w:rFonts w:ascii="宋体" w:hAnsi="宋体" w:cs="宋体" w:eastAsia="宋体" w:hint="default"/>
                <w:sz w:val="21"/>
                <w:szCs w:val="21"/>
              </w:rPr>
              <w:t>次数</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2" w:right="0"/>
              <w:jc w:val="left"/>
              <w:rPr>
                <w:rFonts w:ascii="宋体" w:hAnsi="宋体" w:cs="宋体" w:eastAsia="宋体" w:hint="default"/>
                <w:sz w:val="21"/>
                <w:szCs w:val="21"/>
              </w:rPr>
            </w:pPr>
            <w:r>
              <w:rPr>
                <w:rFonts w:ascii="宋体" w:hAnsi="宋体" w:cs="宋体" w:eastAsia="宋体" w:hint="default"/>
                <w:sz w:val="21"/>
                <w:szCs w:val="21"/>
              </w:rPr>
              <w:t>是否连续两</w:t>
            </w:r>
          </w:p>
          <w:p>
            <w:pPr>
              <w:pStyle w:val="TableParagraph"/>
              <w:spacing w:line="272" w:lineRule="exact" w:before="27"/>
              <w:ind w:left="321" w:right="113" w:hanging="209"/>
              <w:jc w:val="left"/>
              <w:rPr>
                <w:rFonts w:ascii="宋体" w:hAnsi="宋体" w:cs="宋体" w:eastAsia="宋体" w:hint="default"/>
                <w:sz w:val="21"/>
                <w:szCs w:val="21"/>
              </w:rPr>
            </w:pPr>
            <w:r>
              <w:rPr>
                <w:rFonts w:ascii="宋体" w:hAnsi="宋体" w:cs="宋体" w:eastAsia="宋体" w:hint="default"/>
                <w:sz w:val="21"/>
                <w:szCs w:val="21"/>
              </w:rPr>
              <w:t>次未亲自参</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加会议</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3" w:right="0"/>
              <w:jc w:val="left"/>
              <w:rPr>
                <w:rFonts w:ascii="宋体" w:hAnsi="宋体" w:cs="宋体" w:eastAsia="宋体" w:hint="default"/>
                <w:sz w:val="21"/>
                <w:szCs w:val="21"/>
              </w:rPr>
            </w:pPr>
            <w:r>
              <w:rPr>
                <w:rFonts w:ascii="宋体" w:hAnsi="宋体" w:cs="宋体" w:eastAsia="宋体" w:hint="default"/>
                <w:sz w:val="21"/>
                <w:szCs w:val="21"/>
              </w:rPr>
              <w:t>出席股东</w:t>
            </w:r>
          </w:p>
          <w:p>
            <w:pPr>
              <w:pStyle w:val="TableParagraph"/>
              <w:spacing w:line="272" w:lineRule="exact" w:before="27"/>
              <w:ind w:left="518" w:right="201" w:hanging="315"/>
              <w:jc w:val="left"/>
              <w:rPr>
                <w:rFonts w:ascii="宋体" w:hAnsi="宋体" w:cs="宋体" w:eastAsia="宋体" w:hint="default"/>
                <w:sz w:val="21"/>
                <w:szCs w:val="21"/>
              </w:rPr>
            </w:pPr>
            <w:r>
              <w:rPr>
                <w:rFonts w:ascii="宋体" w:hAnsi="宋体" w:cs="宋体" w:eastAsia="宋体" w:hint="default"/>
                <w:sz w:val="21"/>
                <w:szCs w:val="21"/>
              </w:rPr>
              <w:t>大会的次</w:t>
            </w:r>
            <w:r>
              <w:rPr>
                <w:rFonts w:ascii="宋体" w:hAnsi="宋体" w:cs="宋体" w:eastAsia="宋体" w:hint="default"/>
                <w:w w:val="100"/>
                <w:sz w:val="21"/>
                <w:szCs w:val="21"/>
              </w:rPr>
              <w:t> </w:t>
            </w:r>
            <w:r>
              <w:rPr>
                <w:rFonts w:ascii="宋体" w:hAnsi="宋体" w:cs="宋体" w:eastAsia="宋体" w:hint="default"/>
                <w:sz w:val="21"/>
                <w:szCs w:val="21"/>
              </w:rPr>
              <w:t>数</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郭东泽</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6</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1</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3</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郭东圣</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7</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3</w:t>
            </w:r>
          </w:p>
        </w:tc>
      </w:tr>
      <w:tr>
        <w:trPr>
          <w:trHeight w:val="284"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王经文</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7</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3</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崔建霖</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6</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5</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1</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3</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赵雪媛</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7</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4</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3</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储雪俭</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7</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6</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3</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包季鸣</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6</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5"/>
              <w:jc w:val="right"/>
              <w:rPr>
                <w:rFonts w:ascii="宋体" w:hAnsi="宋体" w:cs="宋体" w:eastAsia="宋体" w:hint="default"/>
                <w:sz w:val="21"/>
                <w:szCs w:val="21"/>
              </w:rPr>
            </w:pPr>
            <w:r>
              <w:rPr>
                <w:rFonts w:ascii="宋体"/>
                <w:w w:val="100"/>
                <w:sz w:val="21"/>
              </w:rPr>
              <w:t>4</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1</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3</w:t>
            </w:r>
          </w:p>
        </w:tc>
      </w:tr>
    </w:tbl>
    <w:p>
      <w:pPr>
        <w:spacing w:line="240" w:lineRule="auto" w:before="7"/>
        <w:rPr>
          <w:rFonts w:ascii="宋体" w:hAnsi="宋体" w:cs="宋体" w:eastAsia="宋体" w:hint="default"/>
          <w:b/>
          <w:bCs/>
          <w:sz w:val="15"/>
          <w:szCs w:val="15"/>
        </w:rPr>
      </w:pPr>
    </w:p>
    <w:p>
      <w:pPr>
        <w:pStyle w:val="BodyText"/>
        <w:spacing w:line="273" w:lineRule="exact" w:before="36"/>
        <w:ind w:right="2497"/>
        <w:jc w:val="left"/>
      </w:pPr>
      <w:r>
        <w:rPr/>
        <w:t>连续两次未亲自出席董事会会议的说明</w:t>
      </w:r>
    </w:p>
    <w:p>
      <w:pPr>
        <w:pStyle w:val="BodyText"/>
        <w:spacing w:line="273" w:lineRule="exact"/>
        <w:ind w:right="2497"/>
        <w:jc w:val="left"/>
      </w:pPr>
      <w:r>
        <w:rPr/>
        <w:t>□适用</w:t>
      </w:r>
      <w:r>
        <w:rPr>
          <w:spacing w:val="-1"/>
        </w:rPr>
        <w:t> </w:t>
      </w:r>
      <w:r>
        <w:rPr/>
        <w:t>√不适用</w:t>
      </w:r>
    </w:p>
    <w:p>
      <w:pPr>
        <w:spacing w:line="240" w:lineRule="auto" w:before="3"/>
        <w:rPr>
          <w:rFonts w:ascii="宋体" w:hAnsi="宋体" w:cs="宋体" w:eastAsia="宋体" w:hint="default"/>
          <w:sz w:val="23"/>
          <w:szCs w:val="23"/>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7</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1</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0</w:t>
            </w:r>
          </w:p>
        </w:tc>
      </w:tr>
      <w:tr>
        <w:trPr>
          <w:trHeight w:val="28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6</w:t>
            </w:r>
          </w:p>
        </w:tc>
      </w:tr>
    </w:tbl>
    <w:p>
      <w:pPr>
        <w:spacing w:after="0" w:line="241" w:lineRule="exact"/>
        <w:jc w:val="left"/>
        <w:rPr>
          <w:rFonts w:ascii="宋体" w:hAnsi="宋体" w:cs="宋体" w:eastAsia="宋体" w:hint="default"/>
          <w:sz w:val="21"/>
          <w:szCs w:val="21"/>
        </w:rPr>
        <w:sectPr>
          <w:pgSz w:w="11910" w:h="16840"/>
          <w:pgMar w:header="877" w:footer="1195" w:top="1100" w:bottom="1380" w:left="1580" w:right="1040"/>
        </w:sectPr>
      </w:pPr>
    </w:p>
    <w:p>
      <w:pPr>
        <w:spacing w:line="240" w:lineRule="auto" w:before="9"/>
        <w:rPr>
          <w:rFonts w:ascii="宋体" w:hAnsi="宋体" w:cs="宋体" w:eastAsia="宋体" w:hint="default"/>
          <w:sz w:val="25"/>
          <w:szCs w:val="25"/>
        </w:rPr>
      </w:pPr>
    </w:p>
    <w:p>
      <w:pPr>
        <w:pStyle w:val="Heading2"/>
        <w:spacing w:line="240" w:lineRule="auto" w:before="36"/>
        <w:ind w:left="138"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5"/>
        </w:rPr>
        <w:t> </w:t>
      </w:r>
      <w:r>
        <w:rPr/>
        <w:t>独立董事对公司有关事项提出异议的情况</w:t>
      </w:r>
      <w:r>
        <w:rPr>
          <w:b w:val="0"/>
          <w:bCs w:val="0"/>
        </w:rPr>
      </w:r>
    </w:p>
    <w:p>
      <w:pPr>
        <w:pStyle w:val="BodyText"/>
        <w:spacing w:line="240" w:lineRule="auto" w:before="32"/>
        <w:ind w:left="13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5"/>
        </w:rPr>
        <w:t> </w:t>
      </w:r>
      <w:r>
        <w:rPr/>
        <w:t>其他</w:t>
      </w:r>
      <w:r>
        <w:rPr>
          <w:b w:val="0"/>
          <w:bCs w:val="0"/>
        </w:rPr>
      </w:r>
    </w:p>
    <w:p>
      <w:pPr>
        <w:pStyle w:val="BodyText"/>
        <w:tabs>
          <w:tab w:pos="980" w:val="left" w:leader="none"/>
        </w:tabs>
        <w:spacing w:line="240" w:lineRule="auto" w:before="29"/>
        <w:ind w:left="138"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left="562" w:right="0" w:hanging="425"/>
        <w:jc w:val="left"/>
        <w:rPr>
          <w:b w:val="0"/>
          <w:bCs w:val="0"/>
        </w:rPr>
      </w:pPr>
      <w:r>
        <w:rPr/>
        <w:t>四、董事会下设专门委员会在报告期内履行职责时所提出的重要意见和建议，存在异议事项的，</w:t>
      </w:r>
      <w:r>
        <w:rPr>
          <w:spacing w:val="-31"/>
        </w:rPr>
        <w:t> </w:t>
      </w:r>
      <w:r>
        <w:rPr>
          <w:spacing w:val="-31"/>
        </w:rPr>
      </w:r>
      <w:r>
        <w:rPr/>
        <w:t>应当披露具体情况</w:t>
      </w:r>
      <w:r>
        <w:rPr>
          <w:b w:val="0"/>
          <w:bCs w:val="0"/>
        </w:rPr>
      </w:r>
    </w:p>
    <w:p>
      <w:pPr>
        <w:pStyle w:val="BodyText"/>
        <w:tabs>
          <w:tab w:pos="980" w:val="left" w:leader="none"/>
        </w:tabs>
        <w:spacing w:line="240" w:lineRule="auto" w:before="56"/>
        <w:ind w:left="558" w:right="228" w:hanging="420"/>
        <w:jc w:val="left"/>
      </w:pPr>
      <w:r>
        <w:rPr>
          <w:spacing w:val="-1"/>
        </w:rPr>
        <w:t>√适用</w:t>
        <w:tab/>
      </w:r>
      <w:r>
        <w:rPr>
          <w:spacing w:val="-2"/>
        </w:rPr>
        <w:t>□不适用</w:t>
      </w:r>
      <w:r>
        <w:rPr>
          <w:spacing w:val="-99"/>
        </w:rPr>
        <w:t> </w:t>
      </w:r>
      <w:r>
        <w:rPr>
          <w:spacing w:val="-99"/>
        </w:rPr>
      </w:r>
      <w:r>
        <w:rPr>
          <w:spacing w:val="-7"/>
          <w:w w:val="100"/>
        </w:rPr>
        <w:t>公司董事会下设战略委员会、审计委员会、提名委员会及薪酬与考核委员会四个专门委员会。</w:t>
      </w:r>
    </w:p>
    <w:p>
      <w:pPr>
        <w:pStyle w:val="BodyText"/>
        <w:spacing w:line="357" w:lineRule="auto" w:before="133"/>
        <w:ind w:left="138" w:right="228"/>
        <w:jc w:val="both"/>
      </w:pPr>
      <w:r>
        <w:rPr>
          <w:spacing w:val="-2"/>
        </w:rPr>
        <w:t>履职期间，各专门委员会委员能够按照《各专门委员会实施细则》的规定，就公司定期报告、审</w:t>
      </w:r>
      <w:r>
        <w:rPr>
          <w:spacing w:val="-25"/>
        </w:rPr>
        <w:t> </w:t>
      </w:r>
      <w:r>
        <w:rPr>
          <w:spacing w:val="-25"/>
        </w:rPr>
      </w:r>
      <w:r>
        <w:rPr>
          <w:spacing w:val="-2"/>
        </w:rPr>
        <w:t>计报告、审计费用、内部控制评价报告、内部控制审计报告、续聘会计师事务所、审计委员会履</w:t>
      </w:r>
      <w:r>
        <w:rPr>
          <w:spacing w:val="-25"/>
        </w:rPr>
        <w:t> </w:t>
      </w:r>
      <w:r>
        <w:rPr>
          <w:spacing w:val="-25"/>
        </w:rPr>
      </w:r>
      <w:r>
        <w:rPr>
          <w:spacing w:val="-4"/>
        </w:rPr>
        <w:t>职报告、人员薪酬考核、高级管理人员的提名等事项进行审议并发表意见， </w:t>
      </w:r>
      <w:r>
        <w:rPr/>
        <w:t>并将审议通过的部分</w:t>
      </w:r>
      <w:r>
        <w:rPr>
          <w:spacing w:val="-70"/>
        </w:rPr>
        <w:t> </w:t>
      </w:r>
      <w:r>
        <w:rPr>
          <w:spacing w:val="-70"/>
        </w:rPr>
      </w:r>
      <w:r>
        <w:rPr/>
        <w:t>议案提交公司董事会进行审议。</w:t>
      </w:r>
    </w:p>
    <w:p>
      <w:pPr>
        <w:spacing w:line="240" w:lineRule="auto" w:before="8"/>
        <w:rPr>
          <w:rFonts w:ascii="宋体" w:hAnsi="宋体" w:cs="宋体" w:eastAsia="宋体" w:hint="default"/>
          <w:sz w:val="27"/>
          <w:szCs w:val="27"/>
        </w:rPr>
      </w:pPr>
    </w:p>
    <w:p>
      <w:pPr>
        <w:pStyle w:val="Heading2"/>
        <w:spacing w:line="240" w:lineRule="auto"/>
        <w:ind w:left="138" w:right="0"/>
        <w:jc w:val="left"/>
        <w:rPr>
          <w:b w:val="0"/>
          <w:bCs w:val="0"/>
        </w:rPr>
      </w:pPr>
      <w:r>
        <w:rPr/>
        <w:t>五、监事会发现公司存在风险的说明</w:t>
      </w:r>
      <w:r>
        <w:rPr>
          <w:b w:val="0"/>
          <w:bCs w:val="0"/>
        </w:rPr>
      </w:r>
    </w:p>
    <w:p>
      <w:pPr>
        <w:pStyle w:val="BodyText"/>
        <w:spacing w:line="240" w:lineRule="auto" w:before="58"/>
        <w:ind w:left="138" w:right="0"/>
        <w:jc w:val="left"/>
      </w:pPr>
      <w:r>
        <w:rPr/>
        <w:t>□适用</w:t>
      </w:r>
      <w:r>
        <w:rPr>
          <w:spacing w:val="-1"/>
        </w:rPr>
        <w:t> </w:t>
      </w:r>
      <w:r>
        <w:rPr/>
        <w:t>√不适用</w:t>
      </w:r>
    </w:p>
    <w:p>
      <w:pPr>
        <w:spacing w:line="240" w:lineRule="auto" w:before="4"/>
        <w:rPr>
          <w:rFonts w:ascii="宋体" w:hAnsi="宋体" w:cs="宋体" w:eastAsia="宋体" w:hint="default"/>
          <w:sz w:val="27"/>
          <w:szCs w:val="27"/>
        </w:rPr>
      </w:pPr>
    </w:p>
    <w:p>
      <w:pPr>
        <w:pStyle w:val="Heading2"/>
        <w:spacing w:line="272" w:lineRule="exact"/>
        <w:ind w:left="562" w:right="0" w:hanging="425"/>
        <w:jc w:val="left"/>
        <w:rPr>
          <w:b w:val="0"/>
          <w:bCs w:val="0"/>
        </w:rPr>
      </w:pPr>
      <w:r>
        <w:rPr>
          <w:spacing w:val="-1"/>
        </w:rPr>
        <w:t>六、公司就其与控股股东在业务、人员、资产、机构、财务等方面存在的不能保证独立性、不能</w:t>
      </w:r>
      <w:r>
        <w:rPr>
          <w:spacing w:val="-89"/>
        </w:rPr>
        <w:t> </w:t>
      </w:r>
      <w:r>
        <w:rPr>
          <w:spacing w:val="-89"/>
        </w:rPr>
      </w:r>
      <w:r>
        <w:rPr/>
        <w:t>保持自主经营能力的情况说明</w:t>
      </w:r>
      <w:r>
        <w:rPr>
          <w:b w:val="0"/>
          <w:bCs w:val="0"/>
        </w:rPr>
      </w:r>
    </w:p>
    <w:p>
      <w:pPr>
        <w:pStyle w:val="BodyText"/>
        <w:tabs>
          <w:tab w:pos="980" w:val="left" w:leader="none"/>
        </w:tabs>
        <w:spacing w:line="240" w:lineRule="auto" w:before="34"/>
        <w:ind w:left="138" w:right="0"/>
        <w:jc w:val="left"/>
      </w:pPr>
      <w:r>
        <w:rPr>
          <w:spacing w:val="-1"/>
        </w:rPr>
        <w:t>□适用</w:t>
        <w:tab/>
      </w:r>
      <w:r>
        <w:rPr>
          <w:spacing w:val="-2"/>
        </w:rPr>
        <w:t>√不适用</w:t>
      </w:r>
    </w:p>
    <w:p>
      <w:pPr>
        <w:spacing w:line="240" w:lineRule="auto" w:before="8"/>
        <w:rPr>
          <w:rFonts w:ascii="宋体" w:hAnsi="宋体" w:cs="宋体" w:eastAsia="宋体" w:hint="default"/>
          <w:sz w:val="20"/>
          <w:szCs w:val="20"/>
        </w:rPr>
      </w:pPr>
    </w:p>
    <w:p>
      <w:pPr>
        <w:pStyle w:val="BodyText"/>
        <w:spacing w:line="273" w:lineRule="exact"/>
        <w:ind w:left="138" w:right="0"/>
        <w:jc w:val="left"/>
      </w:pPr>
      <w:r>
        <w:rPr/>
        <w:t>存在同业竞争的，公司相应的解决措施、工作进度及后续工作计划</w:t>
      </w:r>
    </w:p>
    <w:p>
      <w:pPr>
        <w:pStyle w:val="BodyText"/>
        <w:tabs>
          <w:tab w:pos="980" w:val="left" w:leader="none"/>
        </w:tabs>
        <w:spacing w:line="273" w:lineRule="exact"/>
        <w:ind w:left="138"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left"/>
        <w:rPr>
          <w:b w:val="0"/>
          <w:bCs w:val="0"/>
        </w:rPr>
      </w:pPr>
      <w:r>
        <w:rPr/>
        <w:t>七、报告期内对高级管理人员的考评机制，以及激励机制的建立、实施情况</w:t>
      </w:r>
      <w:r>
        <w:rPr>
          <w:b w:val="0"/>
          <w:bCs w:val="0"/>
        </w:rPr>
      </w:r>
    </w:p>
    <w:p>
      <w:pPr>
        <w:pStyle w:val="BodyText"/>
        <w:tabs>
          <w:tab w:pos="980" w:val="left" w:leader="none"/>
        </w:tabs>
        <w:spacing w:line="240" w:lineRule="auto" w:before="56"/>
        <w:ind w:left="138"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left"/>
        <w:rPr>
          <w:b w:val="0"/>
          <w:bCs w:val="0"/>
        </w:rPr>
      </w:pPr>
      <w:r>
        <w:rPr/>
        <w:t>八、是否披露内部控制自我评价报告</w:t>
      </w:r>
      <w:r>
        <w:rPr>
          <w:b w:val="0"/>
          <w:bCs w:val="0"/>
        </w:rPr>
      </w:r>
    </w:p>
    <w:p>
      <w:pPr>
        <w:pStyle w:val="BodyText"/>
        <w:spacing w:line="273" w:lineRule="exact" w:before="58"/>
        <w:ind w:left="138" w:right="0"/>
        <w:jc w:val="left"/>
      </w:pPr>
      <w:r>
        <w:rPr/>
        <w:t>√适用</w:t>
      </w:r>
      <w:r>
        <w:rPr>
          <w:spacing w:val="-1"/>
        </w:rPr>
        <w:t> </w:t>
      </w:r>
      <w:r>
        <w:rPr/>
        <w:t>□不适用</w:t>
      </w:r>
    </w:p>
    <w:p>
      <w:pPr>
        <w:pStyle w:val="BodyText"/>
        <w:spacing w:line="273" w:lineRule="exact"/>
        <w:ind w:left="138" w:right="0"/>
        <w:jc w:val="left"/>
      </w:pPr>
      <w:r>
        <w:rPr>
          <w:spacing w:val="-1"/>
          <w:w w:val="100"/>
        </w:rPr>
        <w:t>《</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7</w:t>
      </w:r>
      <w:r>
        <w:rPr>
          <w:rFonts w:ascii="宋体" w:hAnsi="宋体" w:cs="宋体" w:eastAsia="宋体" w:hint="default"/>
          <w:spacing w:val="-53"/>
        </w:rPr>
        <w:t> </w:t>
      </w:r>
      <w:r>
        <w:rPr>
          <w:spacing w:val="-3"/>
          <w:w w:val="100"/>
        </w:rPr>
        <w:t>年</w:t>
      </w:r>
      <w:r>
        <w:rPr>
          <w:w w:val="100"/>
        </w:rPr>
        <w:t>度</w:t>
      </w:r>
      <w:r>
        <w:rPr>
          <w:spacing w:val="-3"/>
          <w:w w:val="100"/>
        </w:rPr>
        <w:t>内</w:t>
      </w:r>
      <w:r>
        <w:rPr>
          <w:w w:val="100"/>
        </w:rPr>
        <w:t>部</w:t>
      </w:r>
      <w:r>
        <w:rPr>
          <w:spacing w:val="-3"/>
          <w:w w:val="100"/>
        </w:rPr>
        <w:t>控</w:t>
      </w:r>
      <w:r>
        <w:rPr>
          <w:w w:val="100"/>
        </w:rPr>
        <w:t>制</w:t>
      </w:r>
      <w:r>
        <w:rPr>
          <w:spacing w:val="-3"/>
          <w:w w:val="100"/>
        </w:rPr>
        <w:t>评价</w:t>
      </w:r>
      <w:r>
        <w:rPr>
          <w:w w:val="100"/>
        </w:rPr>
        <w:t>报告</w:t>
      </w:r>
      <w:r>
        <w:rPr>
          <w:spacing w:val="-87"/>
          <w:w w:val="100"/>
        </w:rPr>
        <w:t>》</w:t>
      </w:r>
      <w:r>
        <w:rPr>
          <w:w w:val="100"/>
        </w:rPr>
        <w:t>及</w:t>
      </w:r>
      <w:r>
        <w:rPr>
          <w:spacing w:val="-3"/>
          <w:w w:val="100"/>
        </w:rPr>
        <w:t>具</w:t>
      </w:r>
      <w:r>
        <w:rPr>
          <w:w w:val="100"/>
        </w:rPr>
        <w:t>体</w:t>
      </w:r>
      <w:r>
        <w:rPr>
          <w:spacing w:val="-3"/>
          <w:w w:val="100"/>
        </w:rPr>
        <w:t>内</w:t>
      </w:r>
      <w:r>
        <w:rPr>
          <w:w w:val="100"/>
        </w:rPr>
        <w:t>容</w:t>
      </w:r>
      <w:r>
        <w:rPr>
          <w:spacing w:val="-3"/>
          <w:w w:val="100"/>
        </w:rPr>
        <w:t>详</w:t>
      </w:r>
      <w:r>
        <w:rPr>
          <w:w w:val="100"/>
        </w:rPr>
        <w:t>见</w:t>
      </w:r>
      <w:r>
        <w:rPr>
          <w:spacing w:val="-3"/>
          <w:w w:val="100"/>
        </w:rPr>
        <w:t>上海</w:t>
      </w:r>
      <w:r>
        <w:rPr>
          <w:w w:val="100"/>
        </w:rPr>
        <w:t>证券</w:t>
      </w:r>
      <w:r>
        <w:rPr>
          <w:spacing w:val="-3"/>
          <w:w w:val="100"/>
        </w:rPr>
        <w:t>交</w:t>
      </w:r>
      <w:r>
        <w:rPr>
          <w:w w:val="100"/>
        </w:rPr>
        <w:t>易</w:t>
      </w:r>
      <w:r>
        <w:rPr>
          <w:spacing w:val="-3"/>
          <w:w w:val="100"/>
        </w:rPr>
        <w:t>所</w:t>
      </w:r>
      <w:r>
        <w:rPr>
          <w:w w:val="100"/>
        </w:rPr>
        <w:t>网</w:t>
      </w:r>
      <w:r>
        <w:rPr>
          <w:spacing w:val="-87"/>
          <w:w w:val="100"/>
        </w:rPr>
        <w:t>站</w:t>
      </w:r>
      <w:r>
        <w:rPr>
          <w:w w:val="100"/>
        </w:rPr>
        <w:t>（</w:t>
      </w:r>
      <w:hyperlink r:id="rId9">
        <w:r>
          <w:rPr>
            <w:rFonts w:ascii="宋体" w:hAnsi="宋体" w:cs="宋体" w:eastAsia="宋体" w:hint="default"/>
            <w:w w:val="100"/>
          </w:rPr>
          <w:t>ht</w:t>
        </w:r>
        <w:r>
          <w:rPr>
            <w:rFonts w:ascii="宋体" w:hAnsi="宋体" w:cs="宋体" w:eastAsia="宋体" w:hint="default"/>
            <w:spacing w:val="-3"/>
            <w:w w:val="100"/>
          </w:rPr>
          <w:t>t</w:t>
        </w:r>
        <w:r>
          <w:rPr>
            <w:rFonts w:ascii="宋体" w:hAnsi="宋体" w:cs="宋体" w:eastAsia="宋体" w:hint="default"/>
            <w:w w:val="100"/>
          </w:rPr>
          <w:t>p:/</w:t>
        </w:r>
        <w:r>
          <w:rPr>
            <w:rFonts w:ascii="宋体" w:hAnsi="宋体" w:cs="宋体" w:eastAsia="宋体" w:hint="default"/>
            <w:spacing w:val="-3"/>
            <w:w w:val="100"/>
          </w:rPr>
          <w:t>/w</w:t>
        </w:r>
        <w:r>
          <w:rPr>
            <w:rFonts w:ascii="宋体" w:hAnsi="宋体" w:cs="宋体" w:eastAsia="宋体" w:hint="default"/>
            <w:w w:val="100"/>
          </w:rPr>
          <w:t>ww.ss</w:t>
        </w:r>
        <w:r>
          <w:rPr>
            <w:rFonts w:ascii="宋体" w:hAnsi="宋体" w:cs="宋体" w:eastAsia="宋体" w:hint="default"/>
            <w:spacing w:val="-3"/>
            <w:w w:val="100"/>
          </w:rPr>
          <w:t>e</w:t>
        </w:r>
        <w:r>
          <w:rPr>
            <w:rFonts w:ascii="宋体" w:hAnsi="宋体" w:cs="宋体" w:eastAsia="宋体" w:hint="default"/>
            <w:w w:val="100"/>
          </w:rPr>
          <w:t>.co</w:t>
        </w:r>
        <w:r>
          <w:rPr>
            <w:rFonts w:ascii="宋体" w:hAnsi="宋体" w:cs="宋体" w:eastAsia="宋体" w:hint="default"/>
            <w:spacing w:val="-3"/>
            <w:w w:val="100"/>
          </w:rPr>
          <w:t>m</w:t>
        </w:r>
        <w:r>
          <w:rPr>
            <w:rFonts w:ascii="宋体" w:hAnsi="宋体" w:cs="宋体" w:eastAsia="宋体" w:hint="default"/>
            <w:w w:val="100"/>
          </w:rPr>
          <w:t>.cn</w:t>
        </w:r>
        <w:r>
          <w:rPr>
            <w:rFonts w:ascii="宋体" w:hAnsi="宋体" w:cs="宋体" w:eastAsia="宋体" w:hint="default"/>
            <w:spacing w:val="-3"/>
            <w:w w:val="100"/>
          </w:rPr>
          <w:t>/</w:t>
        </w:r>
      </w:hyperlink>
      <w:r>
        <w:rPr>
          <w:spacing w:val="-84"/>
          <w:w w:val="100"/>
        </w:rPr>
        <w:t>）。</w:t>
      </w:r>
      <w:r>
        <w:rPr>
          <w:w w:val="100"/>
        </w:rPr>
      </w:r>
    </w:p>
    <w:p>
      <w:pPr>
        <w:spacing w:line="240" w:lineRule="auto" w:before="9"/>
        <w:rPr>
          <w:rFonts w:ascii="宋体" w:hAnsi="宋体" w:cs="宋体" w:eastAsia="宋体" w:hint="default"/>
          <w:sz w:val="20"/>
          <w:szCs w:val="20"/>
        </w:rPr>
      </w:pPr>
    </w:p>
    <w:p>
      <w:pPr>
        <w:pStyle w:val="BodyText"/>
        <w:spacing w:line="274" w:lineRule="exact"/>
        <w:ind w:left="138" w:right="0"/>
        <w:jc w:val="left"/>
      </w:pPr>
      <w:r>
        <w:rPr/>
        <w:t>报告期内部控制存在重大缺陷情况的说明</w:t>
      </w:r>
    </w:p>
    <w:p>
      <w:pPr>
        <w:pStyle w:val="BodyText"/>
        <w:spacing w:line="274" w:lineRule="exact"/>
        <w:ind w:left="13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left"/>
        <w:rPr>
          <w:b w:val="0"/>
          <w:bCs w:val="0"/>
        </w:rPr>
      </w:pPr>
      <w:r>
        <w:rPr/>
        <w:t>九、内部控制审计报告的相关情况说明</w:t>
      </w:r>
      <w:r>
        <w:rPr>
          <w:b w:val="0"/>
          <w:bCs w:val="0"/>
        </w:rPr>
      </w:r>
    </w:p>
    <w:p>
      <w:pPr>
        <w:pStyle w:val="BodyText"/>
        <w:tabs>
          <w:tab w:pos="980" w:val="left" w:leader="none"/>
        </w:tabs>
        <w:spacing w:line="240" w:lineRule="auto" w:before="56"/>
        <w:ind w:left="138" w:right="6121"/>
        <w:jc w:val="left"/>
      </w:pPr>
      <w:r>
        <w:rPr>
          <w:spacing w:val="-1"/>
        </w:rPr>
        <w:t>□适用</w:t>
        <w:tab/>
      </w:r>
      <w:r>
        <w:rPr>
          <w:spacing w:val="-2"/>
        </w:rPr>
        <w:t>√不适用</w:t>
      </w:r>
      <w:r>
        <w:rPr>
          <w:spacing w:val="-99"/>
        </w:rPr>
        <w:t> </w:t>
      </w:r>
      <w:r>
        <w:rPr>
          <w:spacing w:val="-99"/>
        </w:rPr>
      </w:r>
      <w:r>
        <w:rPr>
          <w:spacing w:val="-2"/>
        </w:rPr>
        <w:t>是否披露内部控制审计报告：否</w:t>
      </w:r>
    </w:p>
    <w:p>
      <w:pPr>
        <w:spacing w:line="240" w:lineRule="auto" w:before="3"/>
        <w:rPr>
          <w:rFonts w:ascii="宋体" w:hAnsi="宋体" w:cs="宋体" w:eastAsia="宋体" w:hint="default"/>
          <w:sz w:val="25"/>
          <w:szCs w:val="25"/>
        </w:rPr>
      </w:pPr>
    </w:p>
    <w:p>
      <w:pPr>
        <w:pStyle w:val="Heading2"/>
        <w:spacing w:line="240" w:lineRule="auto"/>
        <w:ind w:left="138" w:right="0"/>
        <w:jc w:val="left"/>
        <w:rPr>
          <w:b w:val="0"/>
          <w:bCs w:val="0"/>
        </w:rPr>
      </w:pPr>
      <w:r>
        <w:rPr/>
        <w:t>十、其他</w:t>
      </w:r>
      <w:r>
        <w:rPr>
          <w:b w:val="0"/>
          <w:bCs w:val="0"/>
        </w:rPr>
      </w:r>
    </w:p>
    <w:p>
      <w:pPr>
        <w:pStyle w:val="BodyText"/>
        <w:tabs>
          <w:tab w:pos="980" w:val="left" w:leader="none"/>
        </w:tabs>
        <w:spacing w:line="240" w:lineRule="auto" w:before="56"/>
        <w:ind w:left="138" w:right="0"/>
        <w:jc w:val="left"/>
      </w:pPr>
      <w:r>
        <w:rPr>
          <w:spacing w:val="-1"/>
        </w:rPr>
        <w:t>□适用</w:t>
        <w:tab/>
      </w:r>
      <w:r>
        <w:rPr>
          <w:spacing w:val="-2"/>
        </w:rPr>
        <w:t>√不适用</w:t>
      </w:r>
    </w:p>
    <w:p>
      <w:pPr>
        <w:spacing w:after="0" w:line="240" w:lineRule="auto"/>
        <w:jc w:val="left"/>
        <w:sectPr>
          <w:pgSz w:w="11910" w:h="16840"/>
          <w:pgMar w:header="877" w:footer="1195" w:top="1100" w:bottom="1380" w:left="1660" w:right="1040"/>
        </w:sectPr>
      </w:pPr>
    </w:p>
    <w:p>
      <w:pPr>
        <w:spacing w:line="240" w:lineRule="auto" w:before="3"/>
        <w:rPr>
          <w:rFonts w:ascii="宋体" w:hAnsi="宋体" w:cs="宋体" w:eastAsia="宋体" w:hint="default"/>
          <w:sz w:val="26"/>
          <w:szCs w:val="26"/>
        </w:rPr>
      </w:pPr>
    </w:p>
    <w:p>
      <w:pPr>
        <w:pStyle w:val="Heading1"/>
        <w:tabs>
          <w:tab w:pos="4060" w:val="left" w:leader="none"/>
        </w:tabs>
        <w:spacing w:line="240" w:lineRule="auto" w:before="14"/>
        <w:ind w:left="2800" w:right="125"/>
        <w:jc w:val="left"/>
        <w:rPr>
          <w:b w:val="0"/>
          <w:bCs w:val="0"/>
        </w:rPr>
      </w:pPr>
      <w:bookmarkStart w:name="_TOC_250002" w:id="10"/>
      <w:r>
        <w:rPr>
          <w:w w:val="95"/>
        </w:rPr>
        <w:t>第十节</w:t>
        <w:tab/>
      </w:r>
      <w:r>
        <w:rPr/>
        <w:t>公司债券相关情况</w:t>
      </w:r>
      <w:bookmarkEnd w:id="10"/>
      <w:r>
        <w:rPr>
          <w:b w:val="0"/>
          <w:bCs w:val="0"/>
        </w:rPr>
      </w:r>
    </w:p>
    <w:p>
      <w:pPr>
        <w:spacing w:line="240" w:lineRule="auto" w:before="7"/>
        <w:rPr>
          <w:rFonts w:ascii="黑体" w:hAnsi="黑体" w:cs="黑体" w:eastAsia="黑体" w:hint="default"/>
          <w:b/>
          <w:bCs/>
          <w:sz w:val="16"/>
          <w:szCs w:val="16"/>
        </w:rPr>
      </w:pPr>
    </w:p>
    <w:p>
      <w:pPr>
        <w:pStyle w:val="BodyText"/>
        <w:spacing w:line="240" w:lineRule="auto" w:before="36"/>
        <w:ind w:left="138" w:right="125"/>
        <w:jc w:val="left"/>
      </w:pPr>
      <w:r>
        <w:rPr/>
        <w:t>□适用</w:t>
      </w:r>
      <w:r>
        <w:rPr>
          <w:spacing w:val="-1"/>
        </w:rPr>
        <w:t> </w:t>
      </w:r>
      <w:r>
        <w:rPr/>
        <w:t>√不适用</w:t>
      </w:r>
    </w:p>
    <w:p>
      <w:pPr>
        <w:spacing w:after="0" w:line="240" w:lineRule="auto"/>
        <w:jc w:val="left"/>
        <w:sectPr>
          <w:pgSz w:w="11910" w:h="16840"/>
          <w:pgMar w:header="877" w:footer="1195" w:top="1100" w:bottom="1380" w:left="1660" w:right="1140"/>
        </w:sectPr>
      </w:pPr>
    </w:p>
    <w:p>
      <w:pPr>
        <w:spacing w:line="240" w:lineRule="auto" w:before="0"/>
        <w:rPr>
          <w:rFonts w:ascii="宋体" w:hAnsi="宋体" w:cs="宋体" w:eastAsia="宋体" w:hint="default"/>
          <w:sz w:val="20"/>
          <w:szCs w:val="20"/>
        </w:rPr>
      </w:pPr>
    </w:p>
    <w:p>
      <w:pPr>
        <w:pStyle w:val="Heading1"/>
        <w:spacing w:line="240" w:lineRule="auto" w:before="155"/>
        <w:ind w:left="2" w:right="0"/>
        <w:jc w:val="center"/>
        <w:rPr>
          <w:rFonts w:ascii="宋体" w:hAnsi="宋体" w:cs="宋体" w:eastAsia="宋体" w:hint="default"/>
          <w:b w:val="0"/>
          <w:bCs w:val="0"/>
        </w:rPr>
      </w:pPr>
      <w:bookmarkStart w:name="_TOC_250001" w:id="11"/>
      <w:r>
        <w:rPr>
          <w:rFonts w:ascii="宋体" w:hAnsi="宋体" w:cs="宋体" w:eastAsia="宋体" w:hint="default"/>
        </w:rPr>
        <w:t>第十一节</w:t>
      </w:r>
      <w:r>
        <w:rPr>
          <w:rFonts w:ascii="宋体" w:hAnsi="宋体" w:cs="宋体" w:eastAsia="宋体" w:hint="default"/>
          <w:spacing w:val="-6"/>
        </w:rPr>
        <w:t> </w:t>
      </w:r>
      <w:r>
        <w:rPr>
          <w:rFonts w:ascii="宋体" w:hAnsi="宋体" w:cs="宋体" w:eastAsia="宋体" w:hint="default"/>
        </w:rPr>
        <w:t>财务报告</w:t>
      </w:r>
      <w:bookmarkEnd w:id="11"/>
      <w:r>
        <w:rPr>
          <w:rFonts w:ascii="宋体" w:hAnsi="宋体" w:cs="宋体" w:eastAsia="宋体" w:hint="default"/>
          <w:b w:val="0"/>
          <w:bCs w:val="0"/>
        </w:rPr>
      </w:r>
    </w:p>
    <w:p>
      <w:pPr>
        <w:spacing w:line="240" w:lineRule="auto" w:before="7"/>
        <w:rPr>
          <w:rFonts w:ascii="宋体" w:hAnsi="宋体" w:cs="宋体" w:eastAsia="宋体" w:hint="default"/>
          <w:b/>
          <w:bCs/>
          <w:sz w:val="16"/>
          <w:szCs w:val="16"/>
        </w:rPr>
      </w:pPr>
    </w:p>
    <w:p>
      <w:pPr>
        <w:spacing w:after="0" w:line="240" w:lineRule="auto"/>
        <w:rPr>
          <w:rFonts w:ascii="宋体" w:hAnsi="宋体" w:cs="宋体" w:eastAsia="宋体" w:hint="default"/>
          <w:sz w:val="16"/>
          <w:szCs w:val="16"/>
        </w:rPr>
        <w:sectPr>
          <w:footerReference w:type="default" r:id="rId29"/>
          <w:pgSz w:w="11910" w:h="16840"/>
          <w:pgMar w:footer="1195" w:header="877" w:top="1100" w:bottom="1380" w:left="1660" w:right="1140"/>
        </w:sectPr>
      </w:pPr>
    </w:p>
    <w:p>
      <w:pPr>
        <w:pStyle w:val="Heading2"/>
        <w:spacing w:line="240" w:lineRule="auto" w:before="36"/>
        <w:ind w:left="138" w:right="-18"/>
        <w:jc w:val="left"/>
        <w:rPr>
          <w:b w:val="0"/>
          <w:bCs w:val="0"/>
        </w:rPr>
      </w:pPr>
      <w:r>
        <w:rPr/>
        <w:t>一、审计报告</w:t>
      </w:r>
      <w:r>
        <w:rPr>
          <w:b w:val="0"/>
          <w:bCs w:val="0"/>
        </w:rPr>
      </w:r>
    </w:p>
    <w:p>
      <w:pPr>
        <w:pStyle w:val="BodyText"/>
        <w:spacing w:line="240" w:lineRule="auto" w:before="58"/>
        <w:ind w:left="138"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7"/>
        <w:rPr>
          <w:rFonts w:ascii="宋体" w:hAnsi="宋体" w:cs="宋体" w:eastAsia="宋体" w:hint="default"/>
          <w:sz w:val="24"/>
          <w:szCs w:val="24"/>
        </w:rPr>
      </w:pPr>
    </w:p>
    <w:p>
      <w:pPr>
        <w:spacing w:before="0"/>
        <w:ind w:left="138" w:right="0" w:firstLine="0"/>
        <w:jc w:val="left"/>
        <w:rPr>
          <w:rFonts w:ascii="宋体" w:hAnsi="宋体" w:cs="宋体" w:eastAsia="宋体" w:hint="default"/>
          <w:sz w:val="24"/>
          <w:szCs w:val="24"/>
        </w:rPr>
      </w:pPr>
      <w:r>
        <w:rPr>
          <w:rFonts w:ascii="宋体" w:hAnsi="宋体" w:cs="宋体" w:eastAsia="宋体" w:hint="default"/>
          <w:sz w:val="24"/>
          <w:szCs w:val="24"/>
        </w:rPr>
        <w:t>会审字</w:t>
      </w:r>
      <w:r>
        <w:rPr>
          <w:rFonts w:ascii="宋体" w:hAnsi="宋体" w:cs="宋体" w:eastAsia="宋体" w:hint="default"/>
          <w:sz w:val="24"/>
          <w:szCs w:val="24"/>
        </w:rPr>
        <w:t>[2018]0890</w:t>
      </w:r>
      <w:r>
        <w:rPr>
          <w:rFonts w:ascii="宋体" w:hAnsi="宋体" w:cs="宋体" w:eastAsia="宋体" w:hint="default"/>
          <w:spacing w:val="-60"/>
          <w:sz w:val="24"/>
          <w:szCs w:val="24"/>
        </w:rPr>
        <w:t> </w:t>
      </w:r>
      <w:r>
        <w:rPr>
          <w:rFonts w:ascii="宋体" w:hAnsi="宋体" w:cs="宋体" w:eastAsia="宋体" w:hint="default"/>
          <w:sz w:val="24"/>
          <w:szCs w:val="24"/>
        </w:rPr>
        <w:t>号</w:t>
      </w:r>
    </w:p>
    <w:p>
      <w:pPr>
        <w:spacing w:after="0"/>
        <w:jc w:val="left"/>
        <w:rPr>
          <w:rFonts w:ascii="宋体" w:hAnsi="宋体" w:cs="宋体" w:eastAsia="宋体" w:hint="default"/>
          <w:sz w:val="24"/>
          <w:szCs w:val="24"/>
        </w:rPr>
        <w:sectPr>
          <w:type w:val="continuous"/>
          <w:pgSz w:w="11910" w:h="16840"/>
          <w:pgMar w:top="1120" w:bottom="1380" w:left="1660" w:right="1140"/>
          <w:cols w:num="2" w:equalWidth="0">
            <w:col w:w="1715" w:space="4898"/>
            <w:col w:w="2497"/>
          </w:cols>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p>
      <w:pPr>
        <w:spacing w:before="7"/>
        <w:ind w:left="3" w:right="0" w:firstLine="0"/>
        <w:jc w:val="center"/>
        <w:rPr>
          <w:rFonts w:ascii="宋体" w:hAnsi="宋体" w:cs="宋体" w:eastAsia="宋体" w:hint="default"/>
          <w:sz w:val="30"/>
          <w:szCs w:val="30"/>
        </w:rPr>
      </w:pPr>
      <w:r>
        <w:rPr>
          <w:rFonts w:ascii="宋体" w:hAnsi="宋体" w:cs="宋体" w:eastAsia="宋体" w:hint="default"/>
          <w:b/>
          <w:bCs/>
          <w:sz w:val="30"/>
          <w:szCs w:val="30"/>
        </w:rPr>
        <w:t>审 计 报</w:t>
      </w:r>
      <w:r>
        <w:rPr>
          <w:rFonts w:ascii="宋体" w:hAnsi="宋体" w:cs="宋体" w:eastAsia="宋体" w:hint="default"/>
          <w:b/>
          <w:bCs/>
          <w:spacing w:val="-3"/>
          <w:sz w:val="30"/>
          <w:szCs w:val="30"/>
        </w:rPr>
        <w:t> </w:t>
      </w:r>
      <w:r>
        <w:rPr>
          <w:rFonts w:ascii="宋体" w:hAnsi="宋体" w:cs="宋体" w:eastAsia="宋体" w:hint="default"/>
          <w:b/>
          <w:bCs/>
          <w:sz w:val="30"/>
          <w:szCs w:val="30"/>
        </w:rPr>
        <w:t>告</w:t>
      </w:r>
      <w:r>
        <w:rPr>
          <w:rFonts w:ascii="宋体" w:hAnsi="宋体" w:cs="宋体" w:eastAsia="宋体" w:hint="default"/>
          <w:sz w:val="30"/>
          <w:szCs w:val="30"/>
        </w:rPr>
      </w:r>
    </w:p>
    <w:p>
      <w:pPr>
        <w:spacing w:line="240" w:lineRule="auto" w:before="0"/>
        <w:rPr>
          <w:rFonts w:ascii="宋体" w:hAnsi="宋体" w:cs="宋体" w:eastAsia="宋体" w:hint="default"/>
          <w:b/>
          <w:bCs/>
          <w:sz w:val="30"/>
          <w:szCs w:val="30"/>
        </w:rPr>
      </w:pPr>
    </w:p>
    <w:p>
      <w:pPr>
        <w:spacing w:line="357" w:lineRule="auto" w:before="205"/>
        <w:ind w:left="541" w:right="5949" w:hanging="404"/>
        <w:jc w:val="left"/>
        <w:rPr>
          <w:rFonts w:ascii="宋体" w:hAnsi="宋体" w:cs="宋体" w:eastAsia="宋体" w:hint="default"/>
          <w:sz w:val="20"/>
          <w:szCs w:val="20"/>
        </w:rPr>
      </w:pPr>
      <w:r>
        <w:rPr>
          <w:rFonts w:ascii="宋体" w:hAnsi="宋体" w:cs="宋体" w:eastAsia="宋体" w:hint="default"/>
          <w:sz w:val="20"/>
          <w:szCs w:val="20"/>
        </w:rPr>
        <w:t>安通控股股份有限公司全体股东：</w:t>
      </w:r>
      <w:r>
        <w:rPr>
          <w:rFonts w:ascii="宋体" w:hAnsi="宋体" w:cs="宋体" w:eastAsia="宋体" w:hint="default"/>
          <w:w w:val="99"/>
          <w:sz w:val="20"/>
          <w:szCs w:val="20"/>
        </w:rPr>
        <w:t> </w:t>
      </w:r>
      <w:r>
        <w:rPr>
          <w:rFonts w:ascii="宋体" w:hAnsi="宋体" w:cs="宋体" w:eastAsia="宋体" w:hint="default"/>
          <w:b/>
          <w:bCs/>
          <w:sz w:val="20"/>
          <w:szCs w:val="20"/>
        </w:rPr>
        <w:t>一、审计意见</w:t>
      </w:r>
      <w:r>
        <w:rPr>
          <w:rFonts w:ascii="宋体" w:hAnsi="宋体" w:cs="宋体" w:eastAsia="宋体" w:hint="default"/>
          <w:sz w:val="20"/>
          <w:szCs w:val="20"/>
        </w:rPr>
      </w:r>
    </w:p>
    <w:p>
      <w:pPr>
        <w:spacing w:line="357" w:lineRule="auto" w:before="31"/>
        <w:ind w:left="138" w:right="130" w:firstLine="400"/>
        <w:jc w:val="both"/>
        <w:rPr>
          <w:rFonts w:ascii="宋体" w:hAnsi="宋体" w:cs="宋体" w:eastAsia="宋体" w:hint="default"/>
          <w:sz w:val="20"/>
          <w:szCs w:val="20"/>
        </w:rPr>
      </w:pPr>
      <w:r>
        <w:rPr>
          <w:rFonts w:ascii="宋体" w:hAnsi="宋体" w:cs="宋体" w:eastAsia="宋体" w:hint="default"/>
          <w:sz w:val="20"/>
          <w:szCs w:val="20"/>
        </w:rPr>
        <w:t>我们审计了安通控股股份有限公司（以下简称安通控股）财务报表，包括</w:t>
      </w:r>
      <w:r>
        <w:rPr>
          <w:rFonts w:ascii="宋体" w:hAnsi="宋体" w:cs="宋体" w:eastAsia="宋体" w:hint="default"/>
          <w:spacing w:val="-61"/>
          <w:sz w:val="20"/>
          <w:szCs w:val="20"/>
        </w:rPr>
        <w:t> </w:t>
      </w:r>
      <w:r>
        <w:rPr>
          <w:rFonts w:ascii="宋体" w:hAnsi="宋体" w:cs="宋体" w:eastAsia="宋体" w:hint="default"/>
          <w:sz w:val="20"/>
          <w:szCs w:val="20"/>
        </w:rPr>
        <w:t>2017</w:t>
      </w:r>
      <w:r>
        <w:rPr>
          <w:rFonts w:ascii="宋体" w:hAnsi="宋体" w:cs="宋体" w:eastAsia="宋体" w:hint="default"/>
          <w:spacing w:val="-61"/>
          <w:sz w:val="20"/>
          <w:szCs w:val="20"/>
        </w:rPr>
        <w:t> </w:t>
      </w:r>
      <w:r>
        <w:rPr>
          <w:rFonts w:ascii="宋体" w:hAnsi="宋体" w:cs="宋体" w:eastAsia="宋体" w:hint="default"/>
          <w:sz w:val="20"/>
          <w:szCs w:val="20"/>
        </w:rPr>
        <w:t>年</w:t>
      </w:r>
      <w:r>
        <w:rPr>
          <w:rFonts w:ascii="宋体" w:hAnsi="宋体" w:cs="宋体" w:eastAsia="宋体" w:hint="default"/>
          <w:spacing w:val="-63"/>
          <w:sz w:val="20"/>
          <w:szCs w:val="20"/>
        </w:rPr>
        <w:t> </w:t>
      </w:r>
      <w:r>
        <w:rPr>
          <w:rFonts w:ascii="宋体" w:hAnsi="宋体" w:cs="宋体" w:eastAsia="宋体" w:hint="default"/>
          <w:sz w:val="20"/>
          <w:szCs w:val="20"/>
        </w:rPr>
        <w:t>12</w:t>
      </w:r>
      <w:r>
        <w:rPr>
          <w:rFonts w:ascii="宋体" w:hAnsi="宋体" w:cs="宋体" w:eastAsia="宋体" w:hint="default"/>
          <w:spacing w:val="-62"/>
          <w:sz w:val="20"/>
          <w:szCs w:val="20"/>
        </w:rPr>
        <w:t> </w:t>
      </w:r>
      <w:r>
        <w:rPr>
          <w:rFonts w:ascii="宋体" w:hAnsi="宋体" w:cs="宋体" w:eastAsia="宋体" w:hint="default"/>
          <w:sz w:val="20"/>
          <w:szCs w:val="20"/>
        </w:rPr>
        <w:t>月</w:t>
      </w:r>
      <w:r>
        <w:rPr>
          <w:rFonts w:ascii="宋体" w:hAnsi="宋体" w:cs="宋体" w:eastAsia="宋体" w:hint="default"/>
          <w:spacing w:val="-63"/>
          <w:sz w:val="20"/>
          <w:szCs w:val="20"/>
        </w:rPr>
        <w:t> </w:t>
      </w:r>
      <w:r>
        <w:rPr>
          <w:rFonts w:ascii="宋体" w:hAnsi="宋体" w:cs="宋体" w:eastAsia="宋体" w:hint="default"/>
          <w:sz w:val="20"/>
          <w:szCs w:val="20"/>
        </w:rPr>
        <w:t>31</w:t>
      </w:r>
      <w:r>
        <w:rPr>
          <w:rFonts w:ascii="宋体" w:hAnsi="宋体" w:cs="宋体" w:eastAsia="宋体" w:hint="default"/>
          <w:spacing w:val="-62"/>
          <w:sz w:val="20"/>
          <w:szCs w:val="20"/>
        </w:rPr>
        <w:t> </w:t>
      </w:r>
      <w:r>
        <w:rPr>
          <w:rFonts w:ascii="宋体" w:hAnsi="宋体" w:cs="宋体" w:eastAsia="宋体" w:hint="default"/>
          <w:sz w:val="20"/>
          <w:szCs w:val="20"/>
        </w:rPr>
        <w:t>日的合</w:t>
      </w:r>
      <w:r>
        <w:rPr>
          <w:rFonts w:ascii="宋体" w:hAnsi="宋体" w:cs="宋体" w:eastAsia="宋体" w:hint="default"/>
          <w:w w:val="99"/>
          <w:sz w:val="20"/>
          <w:szCs w:val="20"/>
        </w:rPr>
        <w:t> </w:t>
      </w:r>
      <w:r>
        <w:rPr>
          <w:rFonts w:ascii="宋体" w:hAnsi="宋体" w:cs="宋体" w:eastAsia="宋体" w:hint="default"/>
          <w:sz w:val="20"/>
          <w:szCs w:val="20"/>
        </w:rPr>
        <w:t>并及母公司资产负债表，</w:t>
      </w:r>
      <w:r>
        <w:rPr>
          <w:rFonts w:ascii="宋体" w:hAnsi="宋体" w:cs="宋体" w:eastAsia="宋体" w:hint="default"/>
          <w:sz w:val="20"/>
          <w:szCs w:val="20"/>
        </w:rPr>
        <w:t>2017</w:t>
      </w:r>
      <w:r>
        <w:rPr>
          <w:rFonts w:ascii="宋体" w:hAnsi="宋体" w:cs="宋体" w:eastAsia="宋体" w:hint="default"/>
          <w:spacing w:val="-68"/>
          <w:sz w:val="20"/>
          <w:szCs w:val="20"/>
        </w:rPr>
        <w:t> </w:t>
      </w:r>
      <w:r>
        <w:rPr>
          <w:rFonts w:ascii="宋体" w:hAnsi="宋体" w:cs="宋体" w:eastAsia="宋体" w:hint="default"/>
          <w:sz w:val="20"/>
          <w:szCs w:val="20"/>
        </w:rPr>
        <w:t>年度的合并及母公司利润表、合并及母公司现金流量表、合并及母公司</w:t>
      </w:r>
      <w:r>
        <w:rPr>
          <w:rFonts w:ascii="宋体" w:hAnsi="宋体" w:cs="宋体" w:eastAsia="宋体" w:hint="default"/>
          <w:w w:val="99"/>
          <w:sz w:val="20"/>
          <w:szCs w:val="20"/>
        </w:rPr>
        <w:t> </w:t>
      </w:r>
      <w:r>
        <w:rPr>
          <w:rFonts w:ascii="宋体" w:hAnsi="宋体" w:cs="宋体" w:eastAsia="宋体" w:hint="default"/>
          <w:sz w:val="20"/>
          <w:szCs w:val="20"/>
        </w:rPr>
        <w:t>所有者权益变动表以及相关财务报表附注。</w:t>
      </w:r>
    </w:p>
    <w:p>
      <w:pPr>
        <w:spacing w:line="357" w:lineRule="auto" w:before="29"/>
        <w:ind w:left="138" w:right="170" w:firstLine="400"/>
        <w:jc w:val="both"/>
        <w:rPr>
          <w:rFonts w:ascii="宋体" w:hAnsi="宋体" w:cs="宋体" w:eastAsia="宋体" w:hint="default"/>
          <w:sz w:val="20"/>
          <w:szCs w:val="20"/>
        </w:rPr>
      </w:pPr>
      <w:r>
        <w:rPr>
          <w:rFonts w:ascii="宋体" w:hAnsi="宋体" w:cs="宋体" w:eastAsia="宋体" w:hint="default"/>
          <w:w w:val="95"/>
          <w:sz w:val="20"/>
          <w:szCs w:val="20"/>
        </w:rPr>
        <w:t>我们认为，后附的财务报表在所有重大方面按照企业会计准则的规定编制，公允反映了安通控股</w:t>
      </w:r>
      <w:r>
        <w:rPr>
          <w:rFonts w:ascii="宋体" w:hAnsi="宋体" w:cs="宋体" w:eastAsia="宋体" w:hint="default"/>
          <w:spacing w:val="-83"/>
          <w:w w:val="95"/>
          <w:sz w:val="20"/>
          <w:szCs w:val="20"/>
        </w:rPr>
        <w:t> </w:t>
      </w:r>
      <w:r>
        <w:rPr>
          <w:rFonts w:ascii="宋体" w:hAnsi="宋体" w:cs="宋体" w:eastAsia="宋体" w:hint="default"/>
          <w:spacing w:val="-83"/>
          <w:w w:val="95"/>
          <w:sz w:val="20"/>
          <w:szCs w:val="20"/>
        </w:rPr>
      </w:r>
      <w:r>
        <w:rPr>
          <w:rFonts w:ascii="宋体" w:hAnsi="宋体" w:cs="宋体" w:eastAsia="宋体" w:hint="default"/>
          <w:sz w:val="20"/>
          <w:szCs w:val="20"/>
        </w:rPr>
        <w:t>2017</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4"/>
          <w:sz w:val="20"/>
          <w:szCs w:val="20"/>
        </w:rPr>
        <w:t> </w:t>
      </w:r>
      <w:r>
        <w:rPr>
          <w:rFonts w:ascii="宋体" w:hAnsi="宋体" w:cs="宋体" w:eastAsia="宋体" w:hint="default"/>
          <w:sz w:val="20"/>
          <w:szCs w:val="20"/>
        </w:rPr>
        <w:t>12</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31</w:t>
      </w:r>
      <w:r>
        <w:rPr>
          <w:rFonts w:ascii="宋体" w:hAnsi="宋体" w:cs="宋体" w:eastAsia="宋体" w:hint="default"/>
          <w:spacing w:val="-51"/>
          <w:sz w:val="20"/>
          <w:szCs w:val="20"/>
        </w:rPr>
        <w:t> </w:t>
      </w:r>
      <w:r>
        <w:rPr>
          <w:rFonts w:ascii="宋体" w:hAnsi="宋体" w:cs="宋体" w:eastAsia="宋体" w:hint="default"/>
          <w:sz w:val="20"/>
          <w:szCs w:val="20"/>
        </w:rPr>
        <w:t>日的合并及母公司财务状况以及</w:t>
      </w:r>
      <w:r>
        <w:rPr>
          <w:rFonts w:ascii="宋体" w:hAnsi="宋体" w:cs="宋体" w:eastAsia="宋体" w:hint="default"/>
          <w:spacing w:val="-51"/>
          <w:sz w:val="20"/>
          <w:szCs w:val="20"/>
        </w:rPr>
        <w:t> </w:t>
      </w:r>
      <w:r>
        <w:rPr>
          <w:rFonts w:ascii="宋体" w:hAnsi="宋体" w:cs="宋体" w:eastAsia="宋体" w:hint="default"/>
          <w:sz w:val="20"/>
          <w:szCs w:val="20"/>
        </w:rPr>
        <w:t>2017</w:t>
      </w:r>
      <w:r>
        <w:rPr>
          <w:rFonts w:ascii="宋体" w:hAnsi="宋体" w:cs="宋体" w:eastAsia="宋体" w:hint="default"/>
          <w:spacing w:val="-53"/>
          <w:sz w:val="20"/>
          <w:szCs w:val="20"/>
        </w:rPr>
        <w:t> </w:t>
      </w:r>
      <w:r>
        <w:rPr>
          <w:rFonts w:ascii="宋体" w:hAnsi="宋体" w:cs="宋体" w:eastAsia="宋体" w:hint="default"/>
          <w:sz w:val="20"/>
          <w:szCs w:val="20"/>
        </w:rPr>
        <w:t>年度的合并及母公司经营成果和现金流量。</w:t>
      </w:r>
    </w:p>
    <w:p>
      <w:pPr>
        <w:spacing w:line="357" w:lineRule="auto" w:before="29"/>
        <w:ind w:left="538" w:right="148" w:firstLine="2"/>
        <w:jc w:val="left"/>
        <w:rPr>
          <w:rFonts w:ascii="宋体" w:hAnsi="宋体" w:cs="宋体" w:eastAsia="宋体" w:hint="default"/>
          <w:sz w:val="20"/>
          <w:szCs w:val="20"/>
        </w:rPr>
      </w:pPr>
      <w:r>
        <w:rPr>
          <w:rFonts w:ascii="宋体" w:hAnsi="宋体" w:cs="宋体" w:eastAsia="宋体" w:hint="default"/>
          <w:b/>
          <w:bCs/>
          <w:sz w:val="20"/>
          <w:szCs w:val="20"/>
        </w:rPr>
        <w:t>二、形成审计意见的基础</w:t>
      </w:r>
      <w:r>
        <w:rPr>
          <w:rFonts w:ascii="宋体" w:hAnsi="宋体" w:cs="宋体" w:eastAsia="宋体" w:hint="default"/>
          <w:b/>
          <w:bCs/>
          <w:w w:val="99"/>
          <w:sz w:val="20"/>
          <w:szCs w:val="20"/>
        </w:rPr>
        <w:t> </w:t>
      </w:r>
      <w:r>
        <w:rPr>
          <w:rFonts w:ascii="宋体" w:hAnsi="宋体" w:cs="宋体" w:eastAsia="宋体" w:hint="default"/>
          <w:sz w:val="20"/>
          <w:szCs w:val="20"/>
        </w:rPr>
        <w:t>我们按照中国注册会计师审计准则的规定执行了审计工作。审计报告的“注册会计师对财务报表</w:t>
      </w:r>
    </w:p>
    <w:p>
      <w:pPr>
        <w:spacing w:line="357" w:lineRule="auto" w:before="29"/>
        <w:ind w:left="138" w:right="170" w:firstLine="0"/>
        <w:jc w:val="both"/>
        <w:rPr>
          <w:rFonts w:ascii="宋体" w:hAnsi="宋体" w:cs="宋体" w:eastAsia="宋体" w:hint="default"/>
          <w:sz w:val="20"/>
          <w:szCs w:val="20"/>
        </w:rPr>
      </w:pPr>
      <w:r>
        <w:rPr>
          <w:rFonts w:ascii="宋体" w:hAnsi="宋体" w:cs="宋体" w:eastAsia="宋体" w:hint="default"/>
          <w:w w:val="95"/>
          <w:sz w:val="20"/>
          <w:szCs w:val="20"/>
        </w:rPr>
        <w:t>审计的责任”部分进一步阐述了我们在这些准则下的责任。按照中国注册会计师职业道德守则，我们</w:t>
      </w:r>
      <w:r>
        <w:rPr>
          <w:rFonts w:ascii="宋体" w:hAnsi="宋体" w:cs="宋体" w:eastAsia="宋体" w:hint="default"/>
          <w:spacing w:val="52"/>
          <w:w w:val="95"/>
          <w:sz w:val="20"/>
          <w:szCs w:val="20"/>
        </w:rPr>
        <w:t> </w:t>
      </w:r>
      <w:r>
        <w:rPr>
          <w:rFonts w:ascii="宋体" w:hAnsi="宋体" w:cs="宋体" w:eastAsia="宋体" w:hint="default"/>
          <w:spacing w:val="52"/>
          <w:w w:val="95"/>
          <w:sz w:val="20"/>
          <w:szCs w:val="20"/>
        </w:rPr>
      </w:r>
      <w:r>
        <w:rPr>
          <w:rFonts w:ascii="宋体" w:hAnsi="宋体" w:cs="宋体" w:eastAsia="宋体" w:hint="default"/>
          <w:w w:val="95"/>
          <w:sz w:val="20"/>
          <w:szCs w:val="20"/>
        </w:rPr>
        <w:t>独立于安通控股，并履行了职业道德方面的其他责任。我们相信，我们获取的审计证据是充分、适当</w:t>
      </w:r>
      <w:r>
        <w:rPr>
          <w:rFonts w:ascii="宋体" w:hAnsi="宋体" w:cs="宋体" w:eastAsia="宋体" w:hint="default"/>
          <w:spacing w:val="52"/>
          <w:w w:val="95"/>
          <w:sz w:val="20"/>
          <w:szCs w:val="20"/>
        </w:rPr>
        <w:t> </w:t>
      </w:r>
      <w:r>
        <w:rPr>
          <w:rFonts w:ascii="宋体" w:hAnsi="宋体" w:cs="宋体" w:eastAsia="宋体" w:hint="default"/>
          <w:spacing w:val="52"/>
          <w:w w:val="95"/>
          <w:sz w:val="20"/>
          <w:szCs w:val="20"/>
        </w:rPr>
      </w:r>
      <w:r>
        <w:rPr>
          <w:rFonts w:ascii="宋体" w:hAnsi="宋体" w:cs="宋体" w:eastAsia="宋体" w:hint="default"/>
          <w:sz w:val="20"/>
          <w:szCs w:val="20"/>
        </w:rPr>
        <w:t>的，为发表审计意见提供了基础。</w:t>
      </w:r>
    </w:p>
    <w:p>
      <w:pPr>
        <w:spacing w:line="357" w:lineRule="auto" w:before="29"/>
        <w:ind w:left="538" w:right="125" w:firstLine="2"/>
        <w:jc w:val="left"/>
        <w:rPr>
          <w:rFonts w:ascii="宋体" w:hAnsi="宋体" w:cs="宋体" w:eastAsia="宋体" w:hint="default"/>
          <w:sz w:val="20"/>
          <w:szCs w:val="20"/>
        </w:rPr>
      </w:pPr>
      <w:r>
        <w:rPr>
          <w:rFonts w:ascii="宋体" w:hAnsi="宋体" w:cs="宋体" w:eastAsia="宋体" w:hint="default"/>
          <w:b/>
          <w:bCs/>
          <w:sz w:val="20"/>
          <w:szCs w:val="20"/>
        </w:rPr>
        <w:t>三、关键审计事项</w:t>
      </w:r>
      <w:r>
        <w:rPr>
          <w:rFonts w:ascii="宋体" w:hAnsi="宋体" w:cs="宋体" w:eastAsia="宋体" w:hint="default"/>
          <w:b/>
          <w:bCs/>
          <w:w w:val="99"/>
          <w:sz w:val="20"/>
          <w:szCs w:val="20"/>
        </w:rPr>
        <w:t> </w:t>
      </w:r>
      <w:r>
        <w:rPr>
          <w:rFonts w:ascii="宋体" w:hAnsi="宋体" w:cs="宋体" w:eastAsia="宋体" w:hint="default"/>
          <w:w w:val="95"/>
          <w:sz w:val="20"/>
          <w:szCs w:val="20"/>
        </w:rPr>
        <w:t>关键审计事项是我们根据职业判断，认为对本期财务报表审计最为重要的事项。这些事项的应对</w:t>
      </w:r>
      <w:r>
        <w:rPr>
          <w:rFonts w:ascii="宋体" w:hAnsi="宋体" w:cs="宋体" w:eastAsia="宋体" w:hint="default"/>
          <w:sz w:val="20"/>
          <w:szCs w:val="20"/>
        </w:rPr>
      </w:r>
    </w:p>
    <w:p>
      <w:pPr>
        <w:spacing w:before="29"/>
        <w:ind w:left="138" w:right="0" w:firstLine="0"/>
        <w:jc w:val="both"/>
        <w:rPr>
          <w:rFonts w:ascii="宋体" w:hAnsi="宋体" w:cs="宋体" w:eastAsia="宋体" w:hint="default"/>
          <w:sz w:val="20"/>
          <w:szCs w:val="20"/>
        </w:rPr>
      </w:pPr>
      <w:r>
        <w:rPr>
          <w:rFonts w:ascii="宋体" w:hAnsi="宋体" w:cs="宋体" w:eastAsia="宋体" w:hint="default"/>
          <w:sz w:val="20"/>
          <w:szCs w:val="20"/>
        </w:rPr>
        <w:t>以对财务报表整体进行审计并形成审计意见为背景，我们不对这些事项单独发表意见。</w:t>
      </w:r>
    </w:p>
    <w:p>
      <w:pPr>
        <w:spacing w:line="357" w:lineRule="auto" w:before="127"/>
        <w:ind w:left="538" w:right="7148" w:firstLine="0"/>
        <w:jc w:val="left"/>
        <w:rPr>
          <w:rFonts w:ascii="宋体" w:hAnsi="宋体" w:cs="宋体" w:eastAsia="宋体" w:hint="default"/>
          <w:sz w:val="20"/>
          <w:szCs w:val="20"/>
        </w:rPr>
      </w:pPr>
      <w:r>
        <w:rPr>
          <w:rFonts w:ascii="宋体" w:hAnsi="宋体" w:cs="宋体" w:eastAsia="宋体" w:hint="default"/>
          <w:sz w:val="20"/>
          <w:szCs w:val="20"/>
        </w:rPr>
        <w:t>（一）收入确认</w:t>
      </w:r>
      <w:r>
        <w:rPr>
          <w:rFonts w:ascii="宋体" w:hAnsi="宋体" w:cs="宋体" w:eastAsia="宋体" w:hint="default"/>
          <w:w w:val="99"/>
          <w:sz w:val="20"/>
          <w:szCs w:val="20"/>
        </w:rPr>
        <w:t> </w:t>
      </w:r>
      <w:r>
        <w:rPr>
          <w:rFonts w:ascii="宋体" w:hAnsi="宋体" w:cs="宋体" w:eastAsia="宋体" w:hint="default"/>
          <w:sz w:val="20"/>
          <w:szCs w:val="20"/>
        </w:rPr>
        <w:t>1</w:t>
      </w:r>
      <w:r>
        <w:rPr>
          <w:rFonts w:ascii="宋体" w:hAnsi="宋体" w:cs="宋体" w:eastAsia="宋体" w:hint="default"/>
          <w:sz w:val="20"/>
          <w:szCs w:val="20"/>
        </w:rPr>
        <w:t>、事项描述</w:t>
      </w:r>
    </w:p>
    <w:p>
      <w:pPr>
        <w:spacing w:before="29"/>
        <w:ind w:left="538" w:right="0" w:firstLine="0"/>
        <w:jc w:val="left"/>
        <w:rPr>
          <w:rFonts w:ascii="宋体" w:hAnsi="宋体" w:cs="宋体" w:eastAsia="宋体" w:hint="default"/>
          <w:sz w:val="20"/>
          <w:szCs w:val="20"/>
        </w:rPr>
      </w:pPr>
      <w:r>
        <w:rPr>
          <w:rFonts w:ascii="宋体" w:hAnsi="宋体" w:cs="宋体" w:eastAsia="宋体" w:hint="default"/>
          <w:sz w:val="20"/>
          <w:szCs w:val="20"/>
        </w:rPr>
        <w:t>参见财务报表附注“五、合并财务报表项目注释</w:t>
      </w:r>
      <w:r>
        <w:rPr>
          <w:rFonts w:ascii="宋体" w:hAnsi="宋体" w:cs="宋体" w:eastAsia="宋体" w:hint="default"/>
          <w:sz w:val="20"/>
          <w:szCs w:val="20"/>
        </w:rPr>
        <w:t>\37.</w:t>
      </w:r>
      <w:r>
        <w:rPr>
          <w:rFonts w:ascii="宋体" w:hAnsi="宋体" w:cs="宋体" w:eastAsia="宋体" w:hint="default"/>
          <w:sz w:val="20"/>
          <w:szCs w:val="20"/>
        </w:rPr>
        <w:t>营业收入及营业成本”所示，安通控股</w:t>
      </w:r>
      <w:r>
        <w:rPr>
          <w:rFonts w:ascii="宋体" w:hAnsi="宋体" w:cs="宋体" w:eastAsia="宋体" w:hint="default"/>
          <w:spacing w:val="-74"/>
          <w:sz w:val="20"/>
          <w:szCs w:val="20"/>
        </w:rPr>
        <w:t> </w:t>
      </w:r>
      <w:r>
        <w:rPr>
          <w:rFonts w:ascii="宋体" w:hAnsi="宋体" w:cs="宋体" w:eastAsia="宋体" w:hint="default"/>
          <w:sz w:val="20"/>
          <w:szCs w:val="20"/>
        </w:rPr>
        <w:t>2017</w:t>
      </w:r>
    </w:p>
    <w:p>
      <w:pPr>
        <w:spacing w:before="127"/>
        <w:ind w:left="138" w:right="0" w:firstLine="0"/>
        <w:jc w:val="both"/>
        <w:rPr>
          <w:rFonts w:ascii="宋体" w:hAnsi="宋体" w:cs="宋体" w:eastAsia="宋体" w:hint="default"/>
          <w:sz w:val="20"/>
          <w:szCs w:val="20"/>
        </w:rPr>
      </w:pPr>
      <w:r>
        <w:rPr>
          <w:rFonts w:ascii="宋体" w:hAnsi="宋体" w:cs="宋体" w:eastAsia="宋体" w:hint="default"/>
          <w:sz w:val="20"/>
          <w:szCs w:val="20"/>
        </w:rPr>
        <w:t>年度确认了营业收入</w:t>
      </w:r>
      <w:r>
        <w:rPr>
          <w:rFonts w:ascii="宋体" w:hAnsi="宋体" w:cs="宋体" w:eastAsia="宋体" w:hint="default"/>
          <w:spacing w:val="-56"/>
          <w:sz w:val="20"/>
          <w:szCs w:val="20"/>
        </w:rPr>
        <w:t> </w:t>
      </w:r>
      <w:r>
        <w:rPr>
          <w:rFonts w:ascii="宋体" w:hAnsi="宋体" w:cs="宋体" w:eastAsia="宋体" w:hint="default"/>
          <w:sz w:val="20"/>
          <w:szCs w:val="20"/>
        </w:rPr>
        <w:t>6,760,621,855.82</w:t>
      </w:r>
      <w:r>
        <w:rPr>
          <w:rFonts w:ascii="宋体" w:hAnsi="宋体" w:cs="宋体" w:eastAsia="宋体" w:hint="default"/>
          <w:spacing w:val="-52"/>
          <w:sz w:val="20"/>
          <w:szCs w:val="20"/>
        </w:rPr>
        <w:t> </w:t>
      </w:r>
      <w:r>
        <w:rPr>
          <w:rFonts w:ascii="宋体" w:hAnsi="宋体" w:cs="宋体" w:eastAsia="宋体" w:hint="default"/>
          <w:sz w:val="20"/>
          <w:szCs w:val="20"/>
        </w:rPr>
        <w:t>元，其中主要收入为综合物流服务收入，金额为</w:t>
      </w:r>
    </w:p>
    <w:p>
      <w:pPr>
        <w:spacing w:line="357" w:lineRule="auto" w:before="127"/>
        <w:ind w:left="138" w:right="136" w:firstLine="0"/>
        <w:jc w:val="both"/>
        <w:rPr>
          <w:rFonts w:ascii="宋体" w:hAnsi="宋体" w:cs="宋体" w:eastAsia="宋体" w:hint="default"/>
          <w:sz w:val="20"/>
          <w:szCs w:val="20"/>
        </w:rPr>
      </w:pPr>
      <w:r>
        <w:rPr>
          <w:rFonts w:ascii="宋体" w:hAnsi="宋体" w:cs="宋体" w:eastAsia="宋体" w:hint="default"/>
          <w:sz w:val="20"/>
          <w:szCs w:val="20"/>
        </w:rPr>
        <w:t>6,758,644,870.31</w:t>
      </w:r>
      <w:r>
        <w:rPr>
          <w:rFonts w:ascii="宋体" w:hAnsi="宋体" w:cs="宋体" w:eastAsia="宋体" w:hint="default"/>
          <w:spacing w:val="-71"/>
          <w:sz w:val="20"/>
          <w:szCs w:val="20"/>
        </w:rPr>
        <w:t> </w:t>
      </w:r>
      <w:r>
        <w:rPr>
          <w:rFonts w:ascii="宋体" w:hAnsi="宋体" w:cs="宋体" w:eastAsia="宋体" w:hint="default"/>
          <w:sz w:val="20"/>
          <w:szCs w:val="20"/>
        </w:rPr>
        <w:t>元。综合物流服务业务形成的收入取决于能否恰当地评估各运输服务合同中约定的</w:t>
      </w:r>
      <w:r>
        <w:rPr>
          <w:rFonts w:ascii="宋体" w:hAnsi="宋体" w:cs="宋体" w:eastAsia="宋体" w:hint="default"/>
          <w:w w:val="99"/>
          <w:sz w:val="20"/>
          <w:szCs w:val="20"/>
        </w:rPr>
        <w:t> </w:t>
      </w:r>
      <w:r>
        <w:rPr>
          <w:rFonts w:ascii="宋体" w:hAnsi="宋体" w:cs="宋体" w:eastAsia="宋体" w:hint="default"/>
          <w:sz w:val="20"/>
          <w:szCs w:val="20"/>
        </w:rPr>
        <w:t>运费标准、运行航线及收入的确认条件，这可能导致收入计算的复杂性。安通控股的综合物流服务依</w:t>
      </w:r>
      <w:r>
        <w:rPr>
          <w:rFonts w:ascii="宋体" w:hAnsi="宋体" w:cs="宋体" w:eastAsia="宋体" w:hint="default"/>
          <w:w w:val="99"/>
          <w:sz w:val="20"/>
          <w:szCs w:val="20"/>
        </w:rPr>
        <w:t> </w:t>
      </w:r>
      <w:r>
        <w:rPr>
          <w:rFonts w:ascii="宋体" w:hAnsi="宋体" w:cs="宋体" w:eastAsia="宋体" w:hint="default"/>
          <w:sz w:val="20"/>
          <w:szCs w:val="20"/>
        </w:rPr>
        <w:t>赖于业务系统及财务系统的控制。由于安通控股在计算收入时，参数的选取及系统处理的准确性、及</w:t>
      </w:r>
      <w:r>
        <w:rPr>
          <w:rFonts w:ascii="宋体" w:hAnsi="宋体" w:cs="宋体" w:eastAsia="宋体" w:hint="default"/>
          <w:w w:val="99"/>
          <w:sz w:val="20"/>
          <w:szCs w:val="20"/>
        </w:rPr>
        <w:t> </w:t>
      </w:r>
      <w:r>
        <w:rPr>
          <w:rFonts w:ascii="宋体" w:hAnsi="宋体" w:cs="宋体" w:eastAsia="宋体" w:hint="default"/>
          <w:sz w:val="20"/>
          <w:szCs w:val="20"/>
        </w:rPr>
        <w:t>时性将对安通控股收入金额产生重要影响，我们将收入确定为关键审计事项。</w:t>
      </w:r>
    </w:p>
    <w:p>
      <w:pPr>
        <w:spacing w:line="357" w:lineRule="auto" w:before="29"/>
        <w:ind w:left="538" w:right="3548" w:firstLine="0"/>
        <w:jc w:val="left"/>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z w:val="20"/>
          <w:szCs w:val="20"/>
        </w:rPr>
        <w:t>、审计应对</w:t>
      </w:r>
      <w:r>
        <w:rPr>
          <w:rFonts w:ascii="宋体" w:hAnsi="宋体" w:cs="宋体" w:eastAsia="宋体" w:hint="default"/>
          <w:w w:val="99"/>
          <w:sz w:val="20"/>
          <w:szCs w:val="20"/>
        </w:rPr>
        <w:t> </w:t>
      </w:r>
      <w:r>
        <w:rPr>
          <w:rFonts w:ascii="宋体" w:hAnsi="宋体" w:cs="宋体" w:eastAsia="宋体" w:hint="default"/>
          <w:sz w:val="20"/>
          <w:szCs w:val="20"/>
        </w:rPr>
        <w:t>我们对收入确认实施（但不限于）以下的相关程序包括：</w:t>
      </w:r>
    </w:p>
    <w:p>
      <w:pPr>
        <w:spacing w:before="29"/>
        <w:ind w:left="538" w:right="125" w:firstLine="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1</w:t>
      </w:r>
      <w:r>
        <w:rPr>
          <w:rFonts w:ascii="宋体" w:hAnsi="宋体" w:cs="宋体" w:eastAsia="宋体" w:hint="default"/>
          <w:sz w:val="20"/>
          <w:szCs w:val="20"/>
        </w:rPr>
        <w:t>）了解和评估安通控股的收入确认政策，以及相关的流程和内部控制；</w:t>
      </w:r>
    </w:p>
    <w:p>
      <w:pPr>
        <w:spacing w:after="0"/>
        <w:jc w:val="left"/>
        <w:rPr>
          <w:rFonts w:ascii="宋体" w:hAnsi="宋体" w:cs="宋体" w:eastAsia="宋体" w:hint="default"/>
          <w:sz w:val="20"/>
          <w:szCs w:val="20"/>
        </w:rPr>
        <w:sectPr>
          <w:type w:val="continuous"/>
          <w:pgSz w:w="11910" w:h="16840"/>
          <w:pgMar w:top="1120" w:bottom="1380" w:left="1660" w:right="1140"/>
        </w:sectPr>
      </w:pPr>
    </w:p>
    <w:p>
      <w:pPr>
        <w:spacing w:line="240" w:lineRule="auto" w:before="9"/>
        <w:rPr>
          <w:rFonts w:ascii="宋体" w:hAnsi="宋体" w:cs="宋体" w:eastAsia="宋体" w:hint="default"/>
          <w:sz w:val="25"/>
          <w:szCs w:val="25"/>
        </w:rPr>
      </w:pPr>
    </w:p>
    <w:p>
      <w:pPr>
        <w:spacing w:line="357" w:lineRule="auto" w:before="37"/>
        <w:ind w:left="138" w:right="136" w:firstLine="400"/>
        <w:jc w:val="both"/>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2</w:t>
      </w:r>
      <w:r>
        <w:rPr>
          <w:rFonts w:ascii="宋体" w:hAnsi="宋体" w:cs="宋体" w:eastAsia="宋体" w:hint="default"/>
          <w:sz w:val="20"/>
          <w:szCs w:val="20"/>
        </w:rPr>
        <w:t>）对业务系统和财务系统执行</w:t>
      </w:r>
      <w:r>
        <w:rPr>
          <w:rFonts w:ascii="宋体" w:hAnsi="宋体" w:cs="宋体" w:eastAsia="宋体" w:hint="default"/>
          <w:spacing w:val="-53"/>
          <w:sz w:val="20"/>
          <w:szCs w:val="20"/>
        </w:rPr>
        <w:t> </w:t>
      </w:r>
      <w:r>
        <w:rPr>
          <w:rFonts w:ascii="宋体" w:hAnsi="宋体" w:cs="宋体" w:eastAsia="宋体" w:hint="default"/>
          <w:sz w:val="20"/>
          <w:szCs w:val="20"/>
        </w:rPr>
        <w:t>IT</w:t>
      </w:r>
      <w:r>
        <w:rPr>
          <w:rFonts w:ascii="宋体" w:hAnsi="宋体" w:cs="宋体" w:eastAsia="宋体" w:hint="default"/>
          <w:spacing w:val="-53"/>
          <w:sz w:val="20"/>
          <w:szCs w:val="20"/>
        </w:rPr>
        <w:t> </w:t>
      </w:r>
      <w:r>
        <w:rPr>
          <w:rFonts w:ascii="宋体" w:hAnsi="宋体" w:cs="宋体" w:eastAsia="宋体" w:hint="default"/>
          <w:sz w:val="20"/>
          <w:szCs w:val="20"/>
        </w:rPr>
        <w:t>审计，了解和评估系统环境，选取一定样本，实施总体层面</w:t>
      </w:r>
      <w:r>
        <w:rPr>
          <w:rFonts w:ascii="宋体" w:hAnsi="宋体" w:cs="宋体" w:eastAsia="宋体" w:hint="default"/>
          <w:w w:val="99"/>
          <w:sz w:val="20"/>
          <w:szCs w:val="20"/>
        </w:rPr>
        <w:t> </w:t>
      </w:r>
      <w:r>
        <w:rPr>
          <w:rFonts w:ascii="宋体" w:hAnsi="宋体" w:cs="宋体" w:eastAsia="宋体" w:hint="default"/>
          <w:sz w:val="20"/>
          <w:szCs w:val="20"/>
        </w:rPr>
        <w:t>的一般性控制测试（即系统开发、变更管理、信息安全及运行维护等方面的</w:t>
      </w:r>
      <w:r>
        <w:rPr>
          <w:rFonts w:ascii="宋体" w:hAnsi="宋体" w:cs="宋体" w:eastAsia="宋体" w:hint="default"/>
          <w:spacing w:val="-70"/>
          <w:sz w:val="20"/>
          <w:szCs w:val="20"/>
        </w:rPr>
        <w:t> </w:t>
      </w:r>
      <w:r>
        <w:rPr>
          <w:rFonts w:ascii="宋体" w:hAnsi="宋体" w:cs="宋体" w:eastAsia="宋体" w:hint="default"/>
          <w:sz w:val="20"/>
          <w:szCs w:val="20"/>
        </w:rPr>
        <w:t>IT</w:t>
      </w:r>
      <w:r>
        <w:rPr>
          <w:rFonts w:ascii="宋体" w:hAnsi="宋体" w:cs="宋体" w:eastAsia="宋体" w:hint="default"/>
          <w:spacing w:val="-71"/>
          <w:sz w:val="20"/>
          <w:szCs w:val="20"/>
        </w:rPr>
        <w:t> </w:t>
      </w:r>
      <w:r>
        <w:rPr>
          <w:rFonts w:ascii="宋体" w:hAnsi="宋体" w:cs="宋体" w:eastAsia="宋体" w:hint="default"/>
          <w:spacing w:val="-3"/>
          <w:sz w:val="20"/>
          <w:szCs w:val="20"/>
        </w:rPr>
        <w:t>内部控制），以及业务</w:t>
      </w:r>
      <w:r>
        <w:rPr>
          <w:rFonts w:ascii="宋体" w:hAnsi="宋体" w:cs="宋体" w:eastAsia="宋体" w:hint="default"/>
          <w:w w:val="99"/>
          <w:sz w:val="20"/>
          <w:szCs w:val="20"/>
        </w:rPr>
        <w:t> </w:t>
      </w:r>
      <w:r>
        <w:rPr>
          <w:rFonts w:ascii="宋体" w:hAnsi="宋体" w:cs="宋体" w:eastAsia="宋体" w:hint="default"/>
          <w:sz w:val="20"/>
          <w:szCs w:val="20"/>
        </w:rPr>
        <w:t>层面的信息技术应用控制测试（即系统本身业务功能的设计和执行有效性测试）；</w:t>
      </w:r>
    </w:p>
    <w:p>
      <w:pPr>
        <w:spacing w:line="357" w:lineRule="auto" w:before="29"/>
        <w:ind w:left="138" w:right="125" w:firstLine="400"/>
        <w:jc w:val="left"/>
        <w:rPr>
          <w:rFonts w:ascii="宋体" w:hAnsi="宋体" w:cs="宋体" w:eastAsia="宋体" w:hint="default"/>
          <w:sz w:val="20"/>
          <w:szCs w:val="20"/>
        </w:rPr>
      </w:pPr>
      <w:r>
        <w:rPr>
          <w:rFonts w:ascii="宋体" w:hAnsi="宋体" w:cs="宋体" w:eastAsia="宋体" w:hint="default"/>
          <w:spacing w:val="-1"/>
          <w:w w:val="95"/>
          <w:sz w:val="20"/>
          <w:szCs w:val="20"/>
        </w:rPr>
        <w:t>（</w:t>
      </w:r>
      <w:r>
        <w:rPr>
          <w:rFonts w:ascii="宋体" w:hAnsi="宋体" w:cs="宋体" w:eastAsia="宋体" w:hint="default"/>
          <w:spacing w:val="-1"/>
          <w:w w:val="95"/>
          <w:sz w:val="20"/>
          <w:szCs w:val="20"/>
        </w:rPr>
        <w:t>3</w:t>
      </w:r>
      <w:r>
        <w:rPr>
          <w:rFonts w:ascii="宋体" w:hAnsi="宋体" w:cs="宋体" w:eastAsia="宋体" w:hint="default"/>
          <w:spacing w:val="-1"/>
          <w:w w:val="95"/>
          <w:sz w:val="20"/>
          <w:szCs w:val="20"/>
        </w:rPr>
        <w:t>）根据系统数据抽样选取业务订单，核对订舱单、码头装卸清单以及客户确认函等相关资料进</w:t>
      </w:r>
      <w:r>
        <w:rPr>
          <w:rFonts w:ascii="宋体" w:hAnsi="宋体" w:cs="宋体" w:eastAsia="宋体" w:hint="default"/>
          <w:w w:val="99"/>
          <w:sz w:val="20"/>
          <w:szCs w:val="20"/>
        </w:rPr>
        <w:t> </w:t>
      </w:r>
      <w:r>
        <w:rPr>
          <w:rFonts w:ascii="宋体" w:hAnsi="宋体" w:cs="宋体" w:eastAsia="宋体" w:hint="default"/>
          <w:sz w:val="20"/>
          <w:szCs w:val="20"/>
        </w:rPr>
        <w:t>行穿行测试；</w:t>
      </w:r>
    </w:p>
    <w:p>
      <w:pPr>
        <w:spacing w:line="357" w:lineRule="auto" w:before="29"/>
        <w:ind w:left="138" w:right="139" w:firstLine="400"/>
        <w:jc w:val="both"/>
        <w:rPr>
          <w:rFonts w:ascii="宋体" w:hAnsi="宋体" w:cs="宋体" w:eastAsia="宋体" w:hint="default"/>
          <w:sz w:val="20"/>
          <w:szCs w:val="20"/>
        </w:rPr>
      </w:pPr>
      <w:r>
        <w:rPr>
          <w:rFonts w:ascii="宋体" w:hAnsi="宋体" w:cs="宋体" w:eastAsia="宋体" w:hint="default"/>
          <w:spacing w:val="-1"/>
          <w:w w:val="95"/>
          <w:sz w:val="20"/>
          <w:szCs w:val="20"/>
        </w:rPr>
        <w:t>（</w:t>
      </w:r>
      <w:r>
        <w:rPr>
          <w:rFonts w:ascii="宋体" w:hAnsi="宋体" w:cs="宋体" w:eastAsia="宋体" w:hint="default"/>
          <w:spacing w:val="-1"/>
          <w:w w:val="95"/>
          <w:sz w:val="20"/>
          <w:szCs w:val="20"/>
        </w:rPr>
        <w:t>4</w:t>
      </w:r>
      <w:r>
        <w:rPr>
          <w:rFonts w:ascii="宋体" w:hAnsi="宋体" w:cs="宋体" w:eastAsia="宋体" w:hint="default"/>
          <w:spacing w:val="-1"/>
          <w:w w:val="95"/>
          <w:sz w:val="20"/>
          <w:szCs w:val="20"/>
        </w:rPr>
        <w:t>）获取安通控股提供的箱量、航线等业务数据，分析各航线运输收入的波动情况，与上期数据</w:t>
      </w:r>
      <w:r>
        <w:rPr>
          <w:rFonts w:ascii="宋体" w:hAnsi="宋体" w:cs="宋体" w:eastAsia="宋体" w:hint="default"/>
          <w:w w:val="99"/>
          <w:sz w:val="20"/>
          <w:szCs w:val="20"/>
        </w:rPr>
        <w:t> </w:t>
      </w:r>
      <w:r>
        <w:rPr>
          <w:rFonts w:ascii="宋体" w:hAnsi="宋体" w:cs="宋体" w:eastAsia="宋体" w:hint="default"/>
          <w:sz w:val="20"/>
          <w:szCs w:val="20"/>
        </w:rPr>
        <w:t>比较，检查是否存在异常，各期之间是否存在重大波动，查明原因；结合市场趋势，分析其变动趋势</w:t>
      </w:r>
      <w:r>
        <w:rPr>
          <w:rFonts w:ascii="宋体" w:hAnsi="宋体" w:cs="宋体" w:eastAsia="宋体" w:hint="default"/>
          <w:w w:val="99"/>
          <w:sz w:val="20"/>
          <w:szCs w:val="20"/>
        </w:rPr>
        <w:t> </w:t>
      </w:r>
      <w:r>
        <w:rPr>
          <w:rFonts w:ascii="宋体" w:hAnsi="宋体" w:cs="宋体" w:eastAsia="宋体" w:hint="default"/>
          <w:sz w:val="20"/>
          <w:szCs w:val="20"/>
        </w:rPr>
        <w:t>是否正常，是否符合行业季节性、周期性的经营规律，查明异常现象和重大波动的原因。</w:t>
      </w:r>
    </w:p>
    <w:p>
      <w:pPr>
        <w:spacing w:before="29"/>
        <w:ind w:left="639" w:right="125" w:firstLine="0"/>
        <w:jc w:val="left"/>
        <w:rPr>
          <w:rFonts w:ascii="宋体" w:hAnsi="宋体" w:cs="宋体" w:eastAsia="宋体" w:hint="default"/>
          <w:sz w:val="20"/>
          <w:szCs w:val="20"/>
        </w:rPr>
      </w:pPr>
      <w:r>
        <w:rPr>
          <w:rFonts w:ascii="宋体" w:hAnsi="宋体" w:cs="宋体" w:eastAsia="宋体" w:hint="default"/>
          <w:sz w:val="20"/>
          <w:szCs w:val="20"/>
        </w:rPr>
        <w:t>通过实施以上程序，我们没有发现收入确认存在异常。</w:t>
      </w:r>
    </w:p>
    <w:p>
      <w:pPr>
        <w:spacing w:line="357" w:lineRule="auto" w:before="127"/>
        <w:ind w:left="538" w:right="7148" w:firstLine="0"/>
        <w:jc w:val="left"/>
        <w:rPr>
          <w:rFonts w:ascii="宋体" w:hAnsi="宋体" w:cs="宋体" w:eastAsia="宋体" w:hint="default"/>
          <w:sz w:val="20"/>
          <w:szCs w:val="20"/>
        </w:rPr>
      </w:pPr>
      <w:r>
        <w:rPr>
          <w:rFonts w:ascii="宋体" w:hAnsi="宋体" w:cs="宋体" w:eastAsia="宋体" w:hint="default"/>
          <w:sz w:val="20"/>
          <w:szCs w:val="20"/>
        </w:rPr>
        <w:t>（二）船舶减值</w:t>
      </w:r>
      <w:r>
        <w:rPr>
          <w:rFonts w:ascii="宋体" w:hAnsi="宋体" w:cs="宋体" w:eastAsia="宋体" w:hint="default"/>
          <w:w w:val="99"/>
          <w:sz w:val="20"/>
          <w:szCs w:val="20"/>
        </w:rPr>
        <w:t> </w:t>
      </w:r>
      <w:r>
        <w:rPr>
          <w:rFonts w:ascii="宋体" w:hAnsi="宋体" w:cs="宋体" w:eastAsia="宋体" w:hint="default"/>
          <w:sz w:val="20"/>
          <w:szCs w:val="20"/>
        </w:rPr>
        <w:t>1</w:t>
      </w:r>
      <w:r>
        <w:rPr>
          <w:rFonts w:ascii="宋体" w:hAnsi="宋体" w:cs="宋体" w:eastAsia="宋体" w:hint="default"/>
          <w:sz w:val="20"/>
          <w:szCs w:val="20"/>
        </w:rPr>
        <w:t>、事项描述</w:t>
      </w:r>
    </w:p>
    <w:p>
      <w:pPr>
        <w:spacing w:line="357" w:lineRule="auto" w:before="29"/>
        <w:ind w:left="138" w:right="131" w:firstLine="400"/>
        <w:jc w:val="left"/>
        <w:rPr>
          <w:rFonts w:ascii="宋体" w:hAnsi="宋体" w:cs="宋体" w:eastAsia="宋体" w:hint="default"/>
          <w:sz w:val="20"/>
          <w:szCs w:val="20"/>
        </w:rPr>
      </w:pPr>
      <w:r>
        <w:rPr>
          <w:rFonts w:ascii="宋体" w:hAnsi="宋体" w:cs="宋体" w:eastAsia="宋体" w:hint="default"/>
          <w:spacing w:val="-6"/>
          <w:w w:val="99"/>
          <w:sz w:val="20"/>
          <w:szCs w:val="20"/>
        </w:rPr>
        <w:t>参见财务报表附注“五、合并财务报表项目注释</w:t>
      </w:r>
      <w:r>
        <w:rPr>
          <w:rFonts w:ascii="宋体" w:hAnsi="宋体" w:cs="宋体" w:eastAsia="宋体" w:hint="default"/>
          <w:spacing w:val="-6"/>
          <w:w w:val="99"/>
          <w:sz w:val="20"/>
          <w:szCs w:val="20"/>
        </w:rPr>
        <w:t>\11.</w:t>
      </w:r>
      <w:r>
        <w:rPr>
          <w:rFonts w:ascii="宋体" w:hAnsi="宋体" w:cs="宋体" w:eastAsia="宋体" w:hint="default"/>
          <w:spacing w:val="-6"/>
          <w:w w:val="99"/>
          <w:sz w:val="20"/>
          <w:szCs w:val="20"/>
        </w:rPr>
        <w:t>固定资产”所示，截至</w:t>
      </w:r>
      <w:r>
        <w:rPr>
          <w:rFonts w:ascii="宋体" w:hAnsi="宋体" w:cs="宋体" w:eastAsia="宋体" w:hint="default"/>
          <w:spacing w:val="-57"/>
          <w:w w:val="99"/>
          <w:sz w:val="20"/>
          <w:szCs w:val="20"/>
        </w:rPr>
        <w:t> </w:t>
      </w:r>
      <w:r>
        <w:rPr>
          <w:rFonts w:ascii="宋体" w:hAnsi="宋体" w:cs="宋体" w:eastAsia="宋体" w:hint="default"/>
          <w:w w:val="99"/>
          <w:sz w:val="20"/>
          <w:szCs w:val="20"/>
        </w:rPr>
        <w:t>2017</w:t>
      </w:r>
      <w:r>
        <w:rPr>
          <w:rFonts w:ascii="宋体" w:hAnsi="宋体" w:cs="宋体" w:eastAsia="宋体" w:hint="default"/>
          <w:spacing w:val="-54"/>
          <w:w w:val="99"/>
          <w:sz w:val="20"/>
          <w:szCs w:val="20"/>
        </w:rPr>
        <w:t> </w:t>
      </w:r>
      <w:r>
        <w:rPr>
          <w:rFonts w:ascii="宋体" w:hAnsi="宋体" w:cs="宋体" w:eastAsia="宋体" w:hint="default"/>
          <w:w w:val="99"/>
          <w:sz w:val="20"/>
          <w:szCs w:val="20"/>
        </w:rPr>
        <w:t>年</w:t>
      </w:r>
      <w:r>
        <w:rPr>
          <w:rFonts w:ascii="宋体" w:hAnsi="宋体" w:cs="宋体" w:eastAsia="宋体" w:hint="default"/>
          <w:spacing w:val="-57"/>
          <w:w w:val="99"/>
          <w:sz w:val="20"/>
          <w:szCs w:val="20"/>
        </w:rPr>
        <w:t> </w:t>
      </w:r>
      <w:r>
        <w:rPr>
          <w:rFonts w:ascii="宋体" w:hAnsi="宋体" w:cs="宋体" w:eastAsia="宋体" w:hint="default"/>
          <w:w w:val="99"/>
          <w:sz w:val="20"/>
          <w:szCs w:val="20"/>
        </w:rPr>
        <w:t>12</w:t>
      </w:r>
      <w:r>
        <w:rPr>
          <w:rFonts w:ascii="宋体" w:hAnsi="宋体" w:cs="宋体" w:eastAsia="宋体" w:hint="default"/>
          <w:spacing w:val="-56"/>
          <w:w w:val="99"/>
          <w:sz w:val="20"/>
          <w:szCs w:val="20"/>
        </w:rPr>
        <w:t> </w:t>
      </w:r>
      <w:r>
        <w:rPr>
          <w:rFonts w:ascii="宋体" w:hAnsi="宋体" w:cs="宋体" w:eastAsia="宋体" w:hint="default"/>
          <w:w w:val="99"/>
          <w:sz w:val="20"/>
          <w:szCs w:val="20"/>
        </w:rPr>
        <w:t>月</w:t>
      </w:r>
      <w:r>
        <w:rPr>
          <w:rFonts w:ascii="宋体" w:hAnsi="宋体" w:cs="宋体" w:eastAsia="宋体" w:hint="default"/>
          <w:spacing w:val="-57"/>
          <w:w w:val="99"/>
          <w:sz w:val="20"/>
          <w:szCs w:val="20"/>
        </w:rPr>
        <w:t> </w:t>
      </w:r>
      <w:r>
        <w:rPr>
          <w:rFonts w:ascii="宋体" w:hAnsi="宋体" w:cs="宋体" w:eastAsia="宋体" w:hint="default"/>
          <w:w w:val="99"/>
          <w:sz w:val="20"/>
          <w:szCs w:val="20"/>
        </w:rPr>
        <w:t>31</w:t>
      </w:r>
      <w:r>
        <w:rPr>
          <w:rFonts w:ascii="宋体" w:hAnsi="宋体" w:cs="宋体" w:eastAsia="宋体" w:hint="default"/>
          <w:spacing w:val="-56"/>
          <w:w w:val="99"/>
          <w:sz w:val="20"/>
          <w:szCs w:val="20"/>
        </w:rPr>
        <w:t> </w:t>
      </w:r>
      <w:r>
        <w:rPr>
          <w:rFonts w:ascii="宋体" w:hAnsi="宋体" w:cs="宋体" w:eastAsia="宋体" w:hint="default"/>
          <w:w w:val="99"/>
          <w:sz w:val="20"/>
          <w:szCs w:val="20"/>
        </w:rPr>
        <w:t>日止， </w:t>
      </w:r>
      <w:r>
        <w:rPr>
          <w:rFonts w:ascii="宋体" w:hAnsi="宋体" w:cs="宋体" w:eastAsia="宋体" w:hint="default"/>
          <w:sz w:val="20"/>
          <w:szCs w:val="20"/>
        </w:rPr>
        <w:t>安通控股船舶资产账面价值为</w:t>
      </w:r>
      <w:r>
        <w:rPr>
          <w:rFonts w:ascii="宋体" w:hAnsi="宋体" w:cs="宋体" w:eastAsia="宋体" w:hint="default"/>
          <w:spacing w:val="-52"/>
          <w:sz w:val="20"/>
          <w:szCs w:val="20"/>
        </w:rPr>
        <w:t> </w:t>
      </w:r>
      <w:r>
        <w:rPr>
          <w:rFonts w:ascii="宋体" w:hAnsi="宋体" w:cs="宋体" w:eastAsia="宋体" w:hint="default"/>
          <w:sz w:val="20"/>
          <w:szCs w:val="20"/>
        </w:rPr>
        <w:t>3,233,049,780.26</w:t>
      </w:r>
      <w:r>
        <w:rPr>
          <w:rFonts w:ascii="宋体" w:hAnsi="宋体" w:cs="宋体" w:eastAsia="宋体" w:hint="default"/>
          <w:spacing w:val="-50"/>
          <w:sz w:val="20"/>
          <w:szCs w:val="20"/>
        </w:rPr>
        <w:t> </w:t>
      </w:r>
      <w:r>
        <w:rPr>
          <w:rFonts w:ascii="宋体" w:hAnsi="宋体" w:cs="宋体" w:eastAsia="宋体" w:hint="default"/>
          <w:sz w:val="20"/>
          <w:szCs w:val="20"/>
        </w:rPr>
        <w:t>元，占资产总额的比例为</w:t>
      </w:r>
      <w:r>
        <w:rPr>
          <w:rFonts w:ascii="宋体" w:hAnsi="宋体" w:cs="宋体" w:eastAsia="宋体" w:hint="default"/>
          <w:spacing w:val="-52"/>
          <w:sz w:val="20"/>
          <w:szCs w:val="20"/>
        </w:rPr>
        <w:t> </w:t>
      </w:r>
      <w:r>
        <w:rPr>
          <w:rFonts w:ascii="宋体" w:hAnsi="宋体" w:cs="宋体" w:eastAsia="宋体" w:hint="default"/>
          <w:sz w:val="20"/>
          <w:szCs w:val="20"/>
        </w:rPr>
        <w:t>37.25%</w:t>
      </w:r>
      <w:r>
        <w:rPr>
          <w:rFonts w:ascii="宋体" w:hAnsi="宋体" w:cs="宋体" w:eastAsia="宋体" w:hint="default"/>
          <w:sz w:val="20"/>
          <w:szCs w:val="20"/>
        </w:rPr>
        <w:t>，为安通控股主要</w:t>
      </w:r>
      <w:r>
        <w:rPr>
          <w:rFonts w:ascii="宋体" w:hAnsi="宋体" w:cs="宋体" w:eastAsia="宋体" w:hint="default"/>
          <w:w w:val="99"/>
          <w:sz w:val="20"/>
          <w:szCs w:val="20"/>
        </w:rPr>
        <w:t> </w:t>
      </w:r>
      <w:r>
        <w:rPr>
          <w:rFonts w:ascii="宋体" w:hAnsi="宋体" w:cs="宋体" w:eastAsia="宋体" w:hint="default"/>
          <w:sz w:val="20"/>
          <w:szCs w:val="20"/>
        </w:rPr>
        <w:t>的经营性资产。安通控股管理层经过市场分析、业绩及前景评估、资产运行状况评估后，认为船舶资</w:t>
      </w:r>
      <w:r>
        <w:rPr>
          <w:rFonts w:ascii="宋体" w:hAnsi="宋体" w:cs="宋体" w:eastAsia="宋体" w:hint="default"/>
          <w:w w:val="99"/>
          <w:sz w:val="20"/>
          <w:szCs w:val="20"/>
        </w:rPr>
        <w:t> </w:t>
      </w:r>
      <w:r>
        <w:rPr>
          <w:rFonts w:ascii="宋体" w:hAnsi="宋体" w:cs="宋体" w:eastAsia="宋体" w:hint="default"/>
          <w:sz w:val="20"/>
          <w:szCs w:val="20"/>
        </w:rPr>
        <w:t>产不存在减值迹象，未计提资产减值损失。由于船舶资产金额大，船舶资产是否减值对财务报表的影</w:t>
      </w:r>
      <w:r>
        <w:rPr>
          <w:rFonts w:ascii="宋体" w:hAnsi="宋体" w:cs="宋体" w:eastAsia="宋体" w:hint="default"/>
          <w:w w:val="99"/>
          <w:sz w:val="20"/>
          <w:szCs w:val="20"/>
        </w:rPr>
        <w:t> </w:t>
      </w:r>
      <w:r>
        <w:rPr>
          <w:rFonts w:ascii="宋体" w:hAnsi="宋体" w:cs="宋体" w:eastAsia="宋体" w:hint="default"/>
          <w:sz w:val="20"/>
          <w:szCs w:val="20"/>
        </w:rPr>
        <w:t>响较大，我们将船舶资产减值评估确定为关键审计事项。</w:t>
      </w:r>
    </w:p>
    <w:p>
      <w:pPr>
        <w:spacing w:before="29"/>
        <w:ind w:left="538" w:right="125" w:firstLine="0"/>
        <w:jc w:val="left"/>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z w:val="20"/>
          <w:szCs w:val="20"/>
        </w:rPr>
        <w:t>、审计应对</w:t>
      </w:r>
    </w:p>
    <w:p>
      <w:pPr>
        <w:spacing w:before="127"/>
        <w:ind w:left="538" w:right="125" w:firstLine="0"/>
        <w:jc w:val="left"/>
        <w:rPr>
          <w:rFonts w:ascii="宋体" w:hAnsi="宋体" w:cs="宋体" w:eastAsia="宋体" w:hint="default"/>
          <w:sz w:val="20"/>
          <w:szCs w:val="20"/>
        </w:rPr>
      </w:pPr>
      <w:r>
        <w:rPr>
          <w:rFonts w:ascii="宋体" w:hAnsi="宋体" w:cs="宋体" w:eastAsia="宋体" w:hint="default"/>
          <w:sz w:val="20"/>
          <w:szCs w:val="20"/>
        </w:rPr>
        <w:t>我们对固定资产</w:t>
      </w:r>
      <w:r>
        <w:rPr>
          <w:rFonts w:ascii="宋体" w:hAnsi="宋体" w:cs="宋体" w:eastAsia="宋体" w:hint="default"/>
          <w:sz w:val="20"/>
          <w:szCs w:val="20"/>
        </w:rPr>
        <w:t>-</w:t>
      </w:r>
      <w:r>
        <w:rPr>
          <w:rFonts w:ascii="宋体" w:hAnsi="宋体" w:cs="宋体" w:eastAsia="宋体" w:hint="default"/>
          <w:sz w:val="20"/>
          <w:szCs w:val="20"/>
        </w:rPr>
        <w:t>船舶减值确认实施（但不限于）以下的相关程序包括：</w:t>
      </w:r>
    </w:p>
    <w:p>
      <w:pPr>
        <w:spacing w:line="357" w:lineRule="auto" w:before="127"/>
        <w:ind w:left="138" w:right="125" w:firstLine="400"/>
        <w:jc w:val="left"/>
        <w:rPr>
          <w:rFonts w:ascii="宋体" w:hAnsi="宋体" w:cs="宋体" w:eastAsia="宋体" w:hint="default"/>
          <w:sz w:val="20"/>
          <w:szCs w:val="20"/>
        </w:rPr>
      </w:pPr>
      <w:r>
        <w:rPr>
          <w:rFonts w:ascii="宋体" w:hAnsi="宋体" w:cs="宋体" w:eastAsia="宋体" w:hint="default"/>
          <w:spacing w:val="-1"/>
          <w:w w:val="95"/>
          <w:sz w:val="20"/>
          <w:szCs w:val="20"/>
        </w:rPr>
        <w:t>（</w:t>
      </w:r>
      <w:r>
        <w:rPr>
          <w:rFonts w:ascii="宋体" w:hAnsi="宋体" w:cs="宋体" w:eastAsia="宋体" w:hint="default"/>
          <w:spacing w:val="-1"/>
          <w:w w:val="95"/>
          <w:sz w:val="20"/>
          <w:szCs w:val="20"/>
        </w:rPr>
        <w:t>1</w:t>
      </w:r>
      <w:r>
        <w:rPr>
          <w:rFonts w:ascii="宋体" w:hAnsi="宋体" w:cs="宋体" w:eastAsia="宋体" w:hint="default"/>
          <w:spacing w:val="-1"/>
          <w:w w:val="95"/>
          <w:sz w:val="20"/>
          <w:szCs w:val="20"/>
        </w:rPr>
        <w:t>）了解并分析了安通控股管理层管理经营活动的方式和对船舶资产的持续使用或者处置的决策</w:t>
      </w:r>
      <w:r>
        <w:rPr>
          <w:rFonts w:ascii="宋体" w:hAnsi="宋体" w:cs="宋体" w:eastAsia="宋体" w:hint="default"/>
          <w:w w:val="99"/>
          <w:sz w:val="20"/>
          <w:szCs w:val="20"/>
        </w:rPr>
        <w:t> </w:t>
      </w:r>
      <w:r>
        <w:rPr>
          <w:rFonts w:ascii="宋体" w:hAnsi="宋体" w:cs="宋体" w:eastAsia="宋体" w:hint="default"/>
          <w:sz w:val="20"/>
          <w:szCs w:val="20"/>
        </w:rPr>
        <w:t>方式；</w:t>
      </w:r>
    </w:p>
    <w:p>
      <w:pPr>
        <w:spacing w:before="31"/>
        <w:ind w:left="538" w:right="125" w:firstLine="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2</w:t>
      </w:r>
      <w:r>
        <w:rPr>
          <w:rFonts w:ascii="宋体" w:hAnsi="宋体" w:cs="宋体" w:eastAsia="宋体" w:hint="default"/>
          <w:sz w:val="20"/>
          <w:szCs w:val="20"/>
        </w:rPr>
        <w:t>）分析复核了安通控股管理层编制的市场分析、业绩及前景评估、资产运行状况评估；</w:t>
      </w:r>
    </w:p>
    <w:p>
      <w:pPr>
        <w:spacing w:line="357" w:lineRule="auto" w:before="127"/>
        <w:ind w:left="138" w:right="125" w:firstLine="400"/>
        <w:jc w:val="left"/>
        <w:rPr>
          <w:rFonts w:ascii="宋体" w:hAnsi="宋体" w:cs="宋体" w:eastAsia="宋体" w:hint="default"/>
          <w:sz w:val="20"/>
          <w:szCs w:val="20"/>
        </w:rPr>
      </w:pPr>
      <w:r>
        <w:rPr>
          <w:rFonts w:ascii="宋体" w:hAnsi="宋体" w:cs="宋体" w:eastAsia="宋体" w:hint="default"/>
          <w:spacing w:val="-1"/>
          <w:w w:val="95"/>
          <w:sz w:val="20"/>
          <w:szCs w:val="20"/>
        </w:rPr>
        <w:t>（</w:t>
      </w:r>
      <w:r>
        <w:rPr>
          <w:rFonts w:ascii="宋体" w:hAnsi="宋体" w:cs="宋体" w:eastAsia="宋体" w:hint="default"/>
          <w:spacing w:val="-1"/>
          <w:w w:val="95"/>
          <w:sz w:val="20"/>
          <w:szCs w:val="20"/>
        </w:rPr>
        <w:t>3</w:t>
      </w:r>
      <w:r>
        <w:rPr>
          <w:rFonts w:ascii="宋体" w:hAnsi="宋体" w:cs="宋体" w:eastAsia="宋体" w:hint="default"/>
          <w:spacing w:val="-1"/>
          <w:w w:val="95"/>
          <w:sz w:val="20"/>
          <w:szCs w:val="20"/>
        </w:rPr>
        <w:t>）分析了资产负债表日船舶资产价格波动情况，并通过执行盘点程序实地观察了船舶资产的运</w:t>
      </w:r>
      <w:r>
        <w:rPr>
          <w:rFonts w:ascii="宋体" w:hAnsi="宋体" w:cs="宋体" w:eastAsia="宋体" w:hint="default"/>
          <w:w w:val="99"/>
          <w:sz w:val="20"/>
          <w:szCs w:val="20"/>
        </w:rPr>
        <w:t> </w:t>
      </w:r>
      <w:r>
        <w:rPr>
          <w:rFonts w:ascii="宋体" w:hAnsi="宋体" w:cs="宋体" w:eastAsia="宋体" w:hint="default"/>
          <w:sz w:val="20"/>
          <w:szCs w:val="20"/>
        </w:rPr>
        <w:t>行情况。</w:t>
      </w:r>
    </w:p>
    <w:p>
      <w:pPr>
        <w:spacing w:before="29"/>
        <w:ind w:left="538" w:right="125" w:firstLine="0"/>
        <w:jc w:val="left"/>
        <w:rPr>
          <w:rFonts w:ascii="宋体" w:hAnsi="宋体" w:cs="宋体" w:eastAsia="宋体" w:hint="default"/>
          <w:sz w:val="20"/>
          <w:szCs w:val="20"/>
        </w:rPr>
      </w:pPr>
      <w:r>
        <w:rPr>
          <w:rFonts w:ascii="宋体" w:hAnsi="宋体" w:cs="宋体" w:eastAsia="宋体" w:hint="default"/>
          <w:sz w:val="20"/>
          <w:szCs w:val="20"/>
        </w:rPr>
        <w:t>通过实施以上程序，我们没有发现安通控股管理层对船舶资产减值的判断和估计存在异常。</w:t>
      </w:r>
    </w:p>
    <w:p>
      <w:pPr>
        <w:spacing w:line="357" w:lineRule="auto" w:before="127"/>
        <w:ind w:left="538" w:right="6548" w:firstLine="0"/>
        <w:jc w:val="left"/>
        <w:rPr>
          <w:rFonts w:ascii="宋体" w:hAnsi="宋体" w:cs="宋体" w:eastAsia="宋体" w:hint="default"/>
          <w:sz w:val="20"/>
          <w:szCs w:val="20"/>
        </w:rPr>
      </w:pPr>
      <w:r>
        <w:rPr>
          <w:rFonts w:ascii="宋体" w:hAnsi="宋体" w:cs="宋体" w:eastAsia="宋体" w:hint="default"/>
          <w:sz w:val="20"/>
          <w:szCs w:val="20"/>
        </w:rPr>
        <w:t>（三）应收账款的减值</w:t>
      </w:r>
      <w:r>
        <w:rPr>
          <w:rFonts w:ascii="宋体" w:hAnsi="宋体" w:cs="宋体" w:eastAsia="宋体" w:hint="default"/>
          <w:w w:val="99"/>
          <w:sz w:val="20"/>
          <w:szCs w:val="20"/>
        </w:rPr>
        <w:t> </w:t>
      </w:r>
      <w:r>
        <w:rPr>
          <w:rFonts w:ascii="宋体" w:hAnsi="宋体" w:cs="宋体" w:eastAsia="宋体" w:hint="default"/>
          <w:sz w:val="20"/>
          <w:szCs w:val="20"/>
        </w:rPr>
        <w:t>1</w:t>
      </w:r>
      <w:r>
        <w:rPr>
          <w:rFonts w:ascii="宋体" w:hAnsi="宋体" w:cs="宋体" w:eastAsia="宋体" w:hint="default"/>
          <w:sz w:val="20"/>
          <w:szCs w:val="20"/>
        </w:rPr>
        <w:t>、事项描述</w:t>
      </w:r>
    </w:p>
    <w:p>
      <w:pPr>
        <w:spacing w:line="357" w:lineRule="auto" w:before="29"/>
        <w:ind w:left="138" w:right="125" w:firstLine="400"/>
        <w:jc w:val="left"/>
        <w:rPr>
          <w:rFonts w:ascii="宋体" w:hAnsi="宋体" w:cs="宋体" w:eastAsia="宋体" w:hint="default"/>
          <w:sz w:val="20"/>
          <w:szCs w:val="20"/>
        </w:rPr>
      </w:pPr>
      <w:r>
        <w:rPr>
          <w:rFonts w:ascii="宋体" w:hAnsi="宋体" w:cs="宋体" w:eastAsia="宋体" w:hint="default"/>
          <w:sz w:val="20"/>
          <w:szCs w:val="20"/>
        </w:rPr>
        <w:t>参见财务报表附注“三、重要会计政策及会计估计</w:t>
      </w:r>
      <w:r>
        <w:rPr>
          <w:rFonts w:ascii="宋体" w:hAnsi="宋体" w:cs="宋体" w:eastAsia="宋体" w:hint="default"/>
          <w:sz w:val="20"/>
          <w:szCs w:val="20"/>
        </w:rPr>
        <w:t>\11.</w:t>
      </w:r>
      <w:r>
        <w:rPr>
          <w:rFonts w:ascii="宋体" w:hAnsi="宋体" w:cs="宋体" w:eastAsia="宋体" w:hint="default"/>
          <w:sz w:val="20"/>
          <w:szCs w:val="20"/>
        </w:rPr>
        <w:t>应收款项的减值测试方法及减值准备计提</w:t>
      </w:r>
      <w:r>
        <w:rPr>
          <w:rFonts w:ascii="宋体" w:hAnsi="宋体" w:cs="宋体" w:eastAsia="宋体" w:hint="default"/>
          <w:w w:val="99"/>
          <w:sz w:val="20"/>
          <w:szCs w:val="20"/>
        </w:rPr>
        <w:t> </w:t>
      </w:r>
      <w:r>
        <w:rPr>
          <w:rFonts w:ascii="宋体" w:hAnsi="宋体" w:cs="宋体" w:eastAsia="宋体" w:hint="default"/>
          <w:spacing w:val="-5"/>
          <w:sz w:val="20"/>
          <w:szCs w:val="20"/>
        </w:rPr>
        <w:t>方法”、财务报表附注“五、合并财务报表项目注释</w:t>
      </w:r>
      <w:r>
        <w:rPr>
          <w:rFonts w:ascii="宋体" w:hAnsi="宋体" w:cs="宋体" w:eastAsia="宋体" w:hint="default"/>
          <w:spacing w:val="-5"/>
          <w:sz w:val="20"/>
          <w:szCs w:val="20"/>
        </w:rPr>
        <w:t>\3.</w:t>
      </w:r>
      <w:r>
        <w:rPr>
          <w:rFonts w:ascii="宋体" w:hAnsi="宋体" w:cs="宋体" w:eastAsia="宋体" w:hint="default"/>
          <w:spacing w:val="-5"/>
          <w:sz w:val="20"/>
          <w:szCs w:val="20"/>
        </w:rPr>
        <w:t>应收账款”所示，截至</w:t>
      </w:r>
      <w:r>
        <w:rPr>
          <w:rFonts w:ascii="宋体" w:hAnsi="宋体" w:cs="宋体" w:eastAsia="宋体" w:hint="default"/>
          <w:spacing w:val="-50"/>
          <w:sz w:val="20"/>
          <w:szCs w:val="20"/>
        </w:rPr>
        <w:t> </w:t>
      </w:r>
      <w:r>
        <w:rPr>
          <w:rFonts w:ascii="宋体" w:hAnsi="宋体" w:cs="宋体" w:eastAsia="宋体" w:hint="default"/>
          <w:sz w:val="20"/>
          <w:szCs w:val="20"/>
        </w:rPr>
        <w:t>2017</w:t>
      </w:r>
      <w:r>
        <w:rPr>
          <w:rFonts w:ascii="宋体" w:hAnsi="宋体" w:cs="宋体" w:eastAsia="宋体" w:hint="default"/>
          <w:spacing w:val="-49"/>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宋体" w:hAnsi="宋体" w:cs="宋体" w:eastAsia="宋体" w:hint="default"/>
          <w:sz w:val="20"/>
          <w:szCs w:val="20"/>
        </w:rPr>
        <w:t>12</w:t>
      </w:r>
      <w:r>
        <w:rPr>
          <w:rFonts w:ascii="宋体" w:hAnsi="宋体" w:cs="宋体" w:eastAsia="宋体" w:hint="default"/>
          <w:spacing w:val="-49"/>
          <w:sz w:val="20"/>
          <w:szCs w:val="20"/>
        </w:rPr>
        <w:t> </w:t>
      </w: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宋体" w:hAnsi="宋体" w:cs="宋体" w:eastAsia="宋体" w:hint="default"/>
          <w:sz w:val="20"/>
          <w:szCs w:val="20"/>
        </w:rPr>
        <w:t>31</w:t>
      </w:r>
      <w:r>
        <w:rPr>
          <w:rFonts w:ascii="宋体" w:hAnsi="宋体" w:cs="宋体" w:eastAsia="宋体" w:hint="default"/>
          <w:spacing w:val="-49"/>
          <w:sz w:val="20"/>
          <w:szCs w:val="20"/>
        </w:rPr>
        <w:t> </w:t>
      </w:r>
      <w:r>
        <w:rPr>
          <w:rFonts w:ascii="宋体" w:hAnsi="宋体" w:cs="宋体" w:eastAsia="宋体" w:hint="default"/>
          <w:sz w:val="20"/>
          <w:szCs w:val="20"/>
        </w:rPr>
        <w:t>日止，</w:t>
      </w:r>
    </w:p>
    <w:p>
      <w:pPr>
        <w:spacing w:line="357" w:lineRule="auto" w:before="29"/>
        <w:ind w:left="138" w:right="130" w:firstLine="0"/>
        <w:jc w:val="both"/>
        <w:rPr>
          <w:rFonts w:ascii="宋体" w:hAnsi="宋体" w:cs="宋体" w:eastAsia="宋体" w:hint="default"/>
          <w:sz w:val="20"/>
          <w:szCs w:val="20"/>
        </w:rPr>
      </w:pPr>
      <w:r>
        <w:rPr>
          <w:rFonts w:ascii="宋体" w:hAnsi="宋体" w:cs="宋体" w:eastAsia="宋体" w:hint="default"/>
          <w:sz w:val="20"/>
          <w:szCs w:val="20"/>
        </w:rPr>
        <w:t>安通控股合并财务报表中应收账款原值为</w:t>
      </w:r>
      <w:r>
        <w:rPr>
          <w:rFonts w:ascii="宋体" w:hAnsi="宋体" w:cs="宋体" w:eastAsia="宋体" w:hint="default"/>
          <w:spacing w:val="-51"/>
          <w:sz w:val="20"/>
          <w:szCs w:val="20"/>
        </w:rPr>
        <w:t> </w:t>
      </w:r>
      <w:r>
        <w:rPr>
          <w:rFonts w:ascii="宋体" w:hAnsi="宋体" w:cs="宋体" w:eastAsia="宋体" w:hint="default"/>
          <w:sz w:val="20"/>
          <w:szCs w:val="20"/>
        </w:rPr>
        <w:t>873,052,988.12</w:t>
      </w:r>
      <w:r>
        <w:rPr>
          <w:rFonts w:ascii="宋体" w:hAnsi="宋体" w:cs="宋体" w:eastAsia="宋体" w:hint="default"/>
          <w:spacing w:val="-49"/>
          <w:sz w:val="20"/>
          <w:szCs w:val="20"/>
        </w:rPr>
        <w:t> </w:t>
      </w:r>
      <w:r>
        <w:rPr>
          <w:rFonts w:ascii="宋体" w:hAnsi="宋体" w:cs="宋体" w:eastAsia="宋体" w:hint="default"/>
          <w:spacing w:val="-4"/>
          <w:sz w:val="20"/>
          <w:szCs w:val="20"/>
        </w:rPr>
        <w:t>元，坏账准备合计为</w:t>
      </w:r>
      <w:r>
        <w:rPr>
          <w:rFonts w:ascii="宋体" w:hAnsi="宋体" w:cs="宋体" w:eastAsia="宋体" w:hint="default"/>
          <w:spacing w:val="-52"/>
          <w:sz w:val="20"/>
          <w:szCs w:val="20"/>
        </w:rPr>
        <w:t> </w:t>
      </w:r>
      <w:r>
        <w:rPr>
          <w:rFonts w:ascii="宋体" w:hAnsi="宋体" w:cs="宋体" w:eastAsia="宋体" w:hint="default"/>
          <w:sz w:val="20"/>
          <w:szCs w:val="20"/>
        </w:rPr>
        <w:t>14,894,052.26</w:t>
      </w:r>
      <w:r>
        <w:rPr>
          <w:rFonts w:ascii="宋体" w:hAnsi="宋体" w:cs="宋体" w:eastAsia="宋体" w:hint="default"/>
          <w:spacing w:val="-49"/>
          <w:sz w:val="20"/>
          <w:szCs w:val="20"/>
        </w:rPr>
        <w:t> </w:t>
      </w:r>
      <w:r>
        <w:rPr>
          <w:rFonts w:ascii="宋体" w:hAnsi="宋体" w:cs="宋体" w:eastAsia="宋体" w:hint="default"/>
          <w:spacing w:val="-12"/>
          <w:sz w:val="20"/>
          <w:szCs w:val="20"/>
        </w:rPr>
        <w:t>元。当</w:t>
      </w:r>
      <w:r>
        <w:rPr>
          <w:rFonts w:ascii="宋体" w:hAnsi="宋体" w:cs="宋体" w:eastAsia="宋体" w:hint="default"/>
          <w:w w:val="99"/>
          <w:sz w:val="20"/>
          <w:szCs w:val="20"/>
        </w:rPr>
        <w:t> </w:t>
      </w:r>
      <w:r>
        <w:rPr>
          <w:rFonts w:ascii="宋体" w:hAnsi="宋体" w:cs="宋体" w:eastAsia="宋体" w:hint="default"/>
          <w:sz w:val="20"/>
          <w:szCs w:val="20"/>
        </w:rPr>
        <w:t>存在客观证据表明应收账款存在减值时，安通控股管理层根据预计未来现金流量现值低于账面价值的</w:t>
      </w:r>
      <w:r>
        <w:rPr>
          <w:rFonts w:ascii="宋体" w:hAnsi="宋体" w:cs="宋体" w:eastAsia="宋体" w:hint="default"/>
          <w:w w:val="99"/>
          <w:sz w:val="20"/>
          <w:szCs w:val="20"/>
        </w:rPr>
        <w:t> </w:t>
      </w:r>
      <w:r>
        <w:rPr>
          <w:rFonts w:ascii="宋体" w:hAnsi="宋体" w:cs="宋体" w:eastAsia="宋体" w:hint="default"/>
          <w:sz w:val="20"/>
          <w:szCs w:val="20"/>
        </w:rPr>
        <w:t>差额计提单项减值准备。对于不存在减值客观证据的应收账款，根据信用风险特征将其分为若干组合</w:t>
      </w:r>
      <w:r>
        <w:rPr>
          <w:rFonts w:ascii="宋体" w:hAnsi="宋体" w:cs="宋体" w:eastAsia="宋体" w:hint="default"/>
          <w:w w:val="99"/>
          <w:sz w:val="20"/>
          <w:szCs w:val="20"/>
        </w:rPr>
        <w:t> </w:t>
      </w:r>
      <w:r>
        <w:rPr>
          <w:rFonts w:ascii="宋体" w:hAnsi="宋体" w:cs="宋体" w:eastAsia="宋体" w:hint="default"/>
          <w:sz w:val="20"/>
          <w:szCs w:val="20"/>
        </w:rPr>
        <w:t>进行评估。安通控股管理层根据以前年度与之具有类似信用风险特征的应收账款组合的实际损失率及</w:t>
      </w:r>
      <w:r>
        <w:rPr>
          <w:rFonts w:ascii="宋体" w:hAnsi="宋体" w:cs="宋体" w:eastAsia="宋体" w:hint="default"/>
          <w:w w:val="99"/>
          <w:sz w:val="20"/>
          <w:szCs w:val="20"/>
        </w:rPr>
        <w:t> </w:t>
      </w:r>
      <w:r>
        <w:rPr>
          <w:rFonts w:ascii="宋体" w:hAnsi="宋体" w:cs="宋体" w:eastAsia="宋体" w:hint="default"/>
          <w:sz w:val="20"/>
          <w:szCs w:val="20"/>
        </w:rPr>
        <w:t>账龄分析为基础，结合现时情况确定应计提的坏账准备。由于应收账款金额重大，且安通控股管理层</w:t>
      </w:r>
      <w:r>
        <w:rPr>
          <w:rFonts w:ascii="宋体" w:hAnsi="宋体" w:cs="宋体" w:eastAsia="宋体" w:hint="default"/>
          <w:w w:val="99"/>
          <w:sz w:val="20"/>
          <w:szCs w:val="20"/>
        </w:rPr>
        <w:t> </w:t>
      </w:r>
      <w:r>
        <w:rPr>
          <w:rFonts w:ascii="宋体" w:hAnsi="宋体" w:cs="宋体" w:eastAsia="宋体" w:hint="default"/>
          <w:sz w:val="20"/>
          <w:szCs w:val="20"/>
        </w:rPr>
        <w:t>在确定应收账款减值时作出了重大判断，我们将应收账款的减值确定为关键审计事项。</w:t>
      </w:r>
    </w:p>
    <w:p>
      <w:pPr>
        <w:spacing w:before="29"/>
        <w:ind w:left="538" w:right="125" w:firstLine="0"/>
        <w:jc w:val="left"/>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z w:val="20"/>
          <w:szCs w:val="20"/>
        </w:rPr>
        <w:t>、审计应对</w:t>
      </w:r>
    </w:p>
    <w:p>
      <w:pPr>
        <w:spacing w:after="0"/>
        <w:jc w:val="left"/>
        <w:rPr>
          <w:rFonts w:ascii="宋体" w:hAnsi="宋体" w:cs="宋体" w:eastAsia="宋体" w:hint="default"/>
          <w:sz w:val="20"/>
          <w:szCs w:val="20"/>
        </w:rPr>
        <w:sectPr>
          <w:footerReference w:type="default" r:id="rId30"/>
          <w:pgSz w:w="11910" w:h="16840"/>
          <w:pgMar w:footer="1195" w:header="877" w:top="1100" w:bottom="1380" w:left="1660" w:right="1140"/>
          <w:pgNumType w:start="61"/>
        </w:sectPr>
      </w:pPr>
    </w:p>
    <w:p>
      <w:pPr>
        <w:spacing w:line="240" w:lineRule="auto" w:before="9"/>
        <w:rPr>
          <w:rFonts w:ascii="宋体" w:hAnsi="宋体" w:cs="宋体" w:eastAsia="宋体" w:hint="default"/>
          <w:sz w:val="25"/>
          <w:szCs w:val="25"/>
        </w:rPr>
      </w:pPr>
    </w:p>
    <w:p>
      <w:pPr>
        <w:spacing w:before="37"/>
        <w:ind w:left="538" w:right="104" w:firstLine="0"/>
        <w:jc w:val="left"/>
        <w:rPr>
          <w:rFonts w:ascii="宋体" w:hAnsi="宋体" w:cs="宋体" w:eastAsia="宋体" w:hint="default"/>
          <w:sz w:val="20"/>
          <w:szCs w:val="20"/>
        </w:rPr>
      </w:pPr>
      <w:r>
        <w:rPr>
          <w:rFonts w:ascii="宋体" w:hAnsi="宋体" w:cs="宋体" w:eastAsia="宋体" w:hint="default"/>
          <w:sz w:val="20"/>
          <w:szCs w:val="20"/>
        </w:rPr>
        <w:t>我们对应收账款的减值实施（但不限于）以下的相关程序包括：</w:t>
      </w:r>
    </w:p>
    <w:p>
      <w:pPr>
        <w:spacing w:line="357" w:lineRule="auto" w:before="129"/>
        <w:ind w:left="138" w:right="216" w:firstLine="400"/>
        <w:jc w:val="both"/>
        <w:rPr>
          <w:rFonts w:ascii="宋体" w:hAnsi="宋体" w:cs="宋体" w:eastAsia="宋体" w:hint="default"/>
          <w:sz w:val="20"/>
          <w:szCs w:val="20"/>
        </w:rPr>
      </w:pPr>
      <w:r>
        <w:rPr>
          <w:rFonts w:ascii="宋体" w:hAnsi="宋体" w:cs="宋体" w:eastAsia="宋体" w:hint="default"/>
          <w:spacing w:val="-1"/>
          <w:w w:val="95"/>
          <w:sz w:val="20"/>
          <w:szCs w:val="20"/>
        </w:rPr>
        <w:t>（</w:t>
      </w:r>
      <w:r>
        <w:rPr>
          <w:rFonts w:ascii="宋体" w:hAnsi="宋体" w:cs="宋体" w:eastAsia="宋体" w:hint="default"/>
          <w:spacing w:val="-1"/>
          <w:w w:val="95"/>
          <w:sz w:val="20"/>
          <w:szCs w:val="20"/>
        </w:rPr>
        <w:t>1</w:t>
      </w:r>
      <w:r>
        <w:rPr>
          <w:rFonts w:ascii="宋体" w:hAnsi="宋体" w:cs="宋体" w:eastAsia="宋体" w:hint="default"/>
          <w:spacing w:val="-1"/>
          <w:w w:val="95"/>
          <w:sz w:val="20"/>
          <w:szCs w:val="20"/>
        </w:rPr>
        <w:t>）我们评价并测试了安通控股管理层复核、评估和确定应收账款减值的内部控制，包括有关识</w:t>
      </w:r>
      <w:r>
        <w:rPr>
          <w:rFonts w:ascii="宋体" w:hAnsi="宋体" w:cs="宋体" w:eastAsia="宋体" w:hint="default"/>
          <w:w w:val="99"/>
          <w:sz w:val="20"/>
          <w:szCs w:val="20"/>
        </w:rPr>
        <w:t> </w:t>
      </w:r>
      <w:r>
        <w:rPr>
          <w:rFonts w:ascii="宋体" w:hAnsi="宋体" w:cs="宋体" w:eastAsia="宋体" w:hint="default"/>
          <w:sz w:val="20"/>
          <w:szCs w:val="20"/>
        </w:rPr>
        <w:t>别减值客观证据和计算减值准备的控制；</w:t>
      </w:r>
    </w:p>
    <w:p>
      <w:pPr>
        <w:spacing w:before="29"/>
        <w:ind w:left="538" w:right="104" w:firstLine="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2</w:t>
      </w:r>
      <w:r>
        <w:rPr>
          <w:rFonts w:ascii="宋体" w:hAnsi="宋体" w:cs="宋体" w:eastAsia="宋体" w:hint="default"/>
          <w:sz w:val="20"/>
          <w:szCs w:val="20"/>
        </w:rPr>
        <w:t>）我们重新测算了应收账款账龄分析表的准确性；</w:t>
      </w:r>
    </w:p>
    <w:p>
      <w:pPr>
        <w:spacing w:line="357" w:lineRule="auto" w:before="127"/>
        <w:ind w:left="138" w:right="217" w:firstLine="400"/>
        <w:jc w:val="both"/>
        <w:rPr>
          <w:rFonts w:ascii="宋体" w:hAnsi="宋体" w:cs="宋体" w:eastAsia="宋体" w:hint="default"/>
          <w:sz w:val="20"/>
          <w:szCs w:val="20"/>
        </w:rPr>
      </w:pPr>
      <w:r>
        <w:rPr>
          <w:rFonts w:ascii="宋体" w:hAnsi="宋体" w:cs="宋体" w:eastAsia="宋体" w:hint="default"/>
          <w:spacing w:val="-1"/>
          <w:w w:val="95"/>
          <w:sz w:val="20"/>
          <w:szCs w:val="20"/>
        </w:rPr>
        <w:t>（</w:t>
      </w:r>
      <w:r>
        <w:rPr>
          <w:rFonts w:ascii="宋体" w:hAnsi="宋体" w:cs="宋体" w:eastAsia="宋体" w:hint="default"/>
          <w:spacing w:val="-1"/>
          <w:w w:val="95"/>
          <w:sz w:val="20"/>
          <w:szCs w:val="20"/>
        </w:rPr>
        <w:t>3</w:t>
      </w:r>
      <w:r>
        <w:rPr>
          <w:rFonts w:ascii="宋体" w:hAnsi="宋体" w:cs="宋体" w:eastAsia="宋体" w:hint="default"/>
          <w:spacing w:val="-1"/>
          <w:w w:val="95"/>
          <w:sz w:val="20"/>
          <w:szCs w:val="20"/>
        </w:rPr>
        <w:t>）我们在评估应收账款的可回收性时，检查了相关的支持性证据，包括期后收款、客户的信用</w:t>
      </w:r>
      <w:r>
        <w:rPr>
          <w:rFonts w:ascii="宋体" w:hAnsi="宋体" w:cs="宋体" w:eastAsia="宋体" w:hint="default"/>
          <w:w w:val="99"/>
          <w:sz w:val="20"/>
          <w:szCs w:val="20"/>
        </w:rPr>
        <w:t> </w:t>
      </w:r>
      <w:r>
        <w:rPr>
          <w:rFonts w:ascii="宋体" w:hAnsi="宋体" w:cs="宋体" w:eastAsia="宋体" w:hint="default"/>
          <w:sz w:val="20"/>
          <w:szCs w:val="20"/>
        </w:rPr>
        <w:t>历史、经营情况和还款能力，以及外部律师询证函回函；</w:t>
      </w:r>
    </w:p>
    <w:p>
      <w:pPr>
        <w:spacing w:line="357" w:lineRule="auto" w:before="29"/>
        <w:ind w:left="138" w:right="217" w:firstLine="400"/>
        <w:jc w:val="both"/>
        <w:rPr>
          <w:rFonts w:ascii="宋体" w:hAnsi="宋体" w:cs="宋体" w:eastAsia="宋体" w:hint="default"/>
          <w:sz w:val="20"/>
          <w:szCs w:val="20"/>
        </w:rPr>
      </w:pPr>
      <w:r>
        <w:rPr>
          <w:rFonts w:ascii="宋体" w:hAnsi="宋体" w:cs="宋体" w:eastAsia="宋体" w:hint="default"/>
          <w:spacing w:val="-1"/>
          <w:w w:val="95"/>
          <w:sz w:val="20"/>
          <w:szCs w:val="20"/>
        </w:rPr>
        <w:t>（</w:t>
      </w:r>
      <w:r>
        <w:rPr>
          <w:rFonts w:ascii="宋体" w:hAnsi="宋体" w:cs="宋体" w:eastAsia="宋体" w:hint="default"/>
          <w:spacing w:val="-1"/>
          <w:w w:val="95"/>
          <w:sz w:val="20"/>
          <w:szCs w:val="20"/>
        </w:rPr>
        <w:t>4</w:t>
      </w:r>
      <w:r>
        <w:rPr>
          <w:rFonts w:ascii="宋体" w:hAnsi="宋体" w:cs="宋体" w:eastAsia="宋体" w:hint="default"/>
          <w:spacing w:val="-1"/>
          <w:w w:val="95"/>
          <w:sz w:val="20"/>
          <w:szCs w:val="20"/>
        </w:rPr>
        <w:t>）我们通过考虑历史上同类应收账款组合的实际坏账发生金额及情况，结合客户信用和市场条</w:t>
      </w:r>
      <w:r>
        <w:rPr>
          <w:rFonts w:ascii="宋体" w:hAnsi="宋体" w:cs="宋体" w:eastAsia="宋体" w:hint="default"/>
          <w:w w:val="99"/>
          <w:sz w:val="20"/>
          <w:szCs w:val="20"/>
        </w:rPr>
        <w:t> </w:t>
      </w:r>
      <w:r>
        <w:rPr>
          <w:rFonts w:ascii="宋体" w:hAnsi="宋体" w:cs="宋体" w:eastAsia="宋体" w:hint="default"/>
          <w:sz w:val="20"/>
          <w:szCs w:val="20"/>
        </w:rPr>
        <w:t>件等因素，评估了安通控股管理层将应收账款划分为若干组合进行减值评估的方法和计算是否适当。</w:t>
      </w:r>
    </w:p>
    <w:p>
      <w:pPr>
        <w:spacing w:line="357" w:lineRule="auto" w:before="29"/>
        <w:ind w:left="541" w:right="628" w:hanging="3"/>
        <w:jc w:val="left"/>
        <w:rPr>
          <w:rFonts w:ascii="宋体" w:hAnsi="宋体" w:cs="宋体" w:eastAsia="宋体" w:hint="default"/>
          <w:sz w:val="20"/>
          <w:szCs w:val="20"/>
        </w:rPr>
      </w:pPr>
      <w:r>
        <w:rPr>
          <w:rFonts w:ascii="宋体" w:hAnsi="宋体" w:cs="宋体" w:eastAsia="宋体" w:hint="default"/>
          <w:sz w:val="20"/>
          <w:szCs w:val="20"/>
        </w:rPr>
        <w:t>通过实施以上程序，我们没有发现安通控股管理层对应收账款减值的判断和估计存在异常。</w:t>
      </w:r>
      <w:r>
        <w:rPr>
          <w:rFonts w:ascii="宋体" w:hAnsi="宋体" w:cs="宋体" w:eastAsia="宋体" w:hint="default"/>
          <w:w w:val="99"/>
          <w:sz w:val="20"/>
          <w:szCs w:val="20"/>
        </w:rPr>
        <w:t> </w:t>
      </w:r>
      <w:r>
        <w:rPr>
          <w:rFonts w:ascii="宋体" w:hAnsi="宋体" w:cs="宋体" w:eastAsia="宋体" w:hint="default"/>
          <w:b/>
          <w:bCs/>
          <w:sz w:val="20"/>
          <w:szCs w:val="20"/>
        </w:rPr>
        <w:t>四、其他信息</w:t>
      </w:r>
      <w:r>
        <w:rPr>
          <w:rFonts w:ascii="宋体" w:hAnsi="宋体" w:cs="宋体" w:eastAsia="宋体" w:hint="default"/>
          <w:sz w:val="20"/>
          <w:szCs w:val="20"/>
        </w:rPr>
      </w:r>
    </w:p>
    <w:p>
      <w:pPr>
        <w:spacing w:line="357" w:lineRule="auto" w:before="31"/>
        <w:ind w:left="138" w:right="213" w:firstLine="400"/>
        <w:jc w:val="both"/>
        <w:rPr>
          <w:rFonts w:ascii="宋体" w:hAnsi="宋体" w:cs="宋体" w:eastAsia="宋体" w:hint="default"/>
          <w:sz w:val="20"/>
          <w:szCs w:val="20"/>
        </w:rPr>
      </w:pPr>
      <w:r>
        <w:rPr>
          <w:rFonts w:ascii="宋体" w:hAnsi="宋体" w:cs="宋体" w:eastAsia="宋体" w:hint="default"/>
          <w:sz w:val="20"/>
          <w:szCs w:val="20"/>
        </w:rPr>
        <w:t>安通控股管理层（以下简称管理层）对其他信息负责。其他信息包括安通控股</w:t>
      </w:r>
      <w:r>
        <w:rPr>
          <w:rFonts w:ascii="宋体" w:hAnsi="宋体" w:cs="宋体" w:eastAsia="宋体" w:hint="default"/>
          <w:spacing w:val="-83"/>
          <w:sz w:val="20"/>
          <w:szCs w:val="20"/>
        </w:rPr>
        <w:t> </w:t>
      </w:r>
      <w:r>
        <w:rPr>
          <w:rFonts w:ascii="宋体" w:hAnsi="宋体" w:cs="宋体" w:eastAsia="宋体" w:hint="default"/>
          <w:sz w:val="20"/>
          <w:szCs w:val="20"/>
        </w:rPr>
        <w:t>2017</w:t>
      </w:r>
      <w:r>
        <w:rPr>
          <w:rFonts w:ascii="宋体" w:hAnsi="宋体" w:cs="宋体" w:eastAsia="宋体" w:hint="default"/>
          <w:spacing w:val="-83"/>
          <w:sz w:val="20"/>
          <w:szCs w:val="20"/>
        </w:rPr>
        <w:t> </w:t>
      </w:r>
      <w:r>
        <w:rPr>
          <w:rFonts w:ascii="宋体" w:hAnsi="宋体" w:cs="宋体" w:eastAsia="宋体" w:hint="default"/>
          <w:sz w:val="20"/>
          <w:szCs w:val="20"/>
        </w:rPr>
        <w:t>年度报告中涵</w:t>
      </w:r>
      <w:r>
        <w:rPr>
          <w:rFonts w:ascii="宋体" w:hAnsi="宋体" w:cs="宋体" w:eastAsia="宋体" w:hint="default"/>
          <w:w w:val="99"/>
          <w:sz w:val="20"/>
          <w:szCs w:val="20"/>
        </w:rPr>
        <w:t> </w:t>
      </w:r>
      <w:r>
        <w:rPr>
          <w:rFonts w:ascii="宋体" w:hAnsi="宋体" w:cs="宋体" w:eastAsia="宋体" w:hint="default"/>
          <w:sz w:val="20"/>
          <w:szCs w:val="20"/>
        </w:rPr>
        <w:t>盖的信息，但不包括财务报表和我们的审计报告。</w:t>
      </w:r>
    </w:p>
    <w:p>
      <w:pPr>
        <w:spacing w:line="357" w:lineRule="auto" w:before="29"/>
        <w:ind w:left="538" w:right="104" w:firstLine="0"/>
        <w:jc w:val="left"/>
        <w:rPr>
          <w:rFonts w:ascii="宋体" w:hAnsi="宋体" w:cs="宋体" w:eastAsia="宋体" w:hint="default"/>
          <w:sz w:val="20"/>
          <w:szCs w:val="20"/>
        </w:rPr>
      </w:pPr>
      <w:r>
        <w:rPr>
          <w:rFonts w:ascii="宋体" w:hAnsi="宋体" w:cs="宋体" w:eastAsia="宋体" w:hint="default"/>
          <w:spacing w:val="-1"/>
          <w:w w:val="95"/>
          <w:sz w:val="20"/>
          <w:szCs w:val="20"/>
        </w:rPr>
        <w:t>我们对财务报表发表的审计意见不涵盖其他信息，我们也不对其他信息发表任何形式的鉴证结论。</w:t>
      </w:r>
      <w:r>
        <w:rPr>
          <w:rFonts w:ascii="宋体" w:hAnsi="宋体" w:cs="宋体" w:eastAsia="宋体" w:hint="default"/>
          <w:spacing w:val="19"/>
          <w:w w:val="95"/>
          <w:sz w:val="20"/>
          <w:szCs w:val="20"/>
        </w:rPr>
        <w:t> </w:t>
      </w:r>
      <w:r>
        <w:rPr>
          <w:rFonts w:ascii="宋体" w:hAnsi="宋体" w:cs="宋体" w:eastAsia="宋体" w:hint="default"/>
          <w:spacing w:val="19"/>
          <w:w w:val="95"/>
          <w:sz w:val="20"/>
          <w:szCs w:val="20"/>
        </w:rPr>
      </w:r>
      <w:r>
        <w:rPr>
          <w:rFonts w:ascii="宋体" w:hAnsi="宋体" w:cs="宋体" w:eastAsia="宋体" w:hint="default"/>
          <w:sz w:val="20"/>
          <w:szCs w:val="20"/>
        </w:rPr>
        <w:t>结合我们对财务报表的审计，我们的责任是阅读其他信息，在此过程中，考虑其他信息是否与财</w:t>
      </w:r>
    </w:p>
    <w:p>
      <w:pPr>
        <w:spacing w:line="357" w:lineRule="auto" w:before="29"/>
        <w:ind w:left="138" w:right="104" w:firstLine="0"/>
        <w:jc w:val="left"/>
        <w:rPr>
          <w:rFonts w:ascii="宋体" w:hAnsi="宋体" w:cs="宋体" w:eastAsia="宋体" w:hint="default"/>
          <w:sz w:val="20"/>
          <w:szCs w:val="20"/>
        </w:rPr>
      </w:pPr>
      <w:r>
        <w:rPr>
          <w:rFonts w:ascii="宋体" w:hAnsi="宋体" w:cs="宋体" w:eastAsia="宋体" w:hint="default"/>
          <w:sz w:val="20"/>
          <w:szCs w:val="20"/>
        </w:rPr>
        <w:t>务报表或我们在审计过程中了解到的情况存在重大不一致或者似乎存在重大错报。</w:t>
      </w:r>
      <w:r>
        <w:rPr>
          <w:rFonts w:ascii="宋体" w:hAnsi="宋体" w:cs="宋体" w:eastAsia="宋体" w:hint="default"/>
          <w:w w:val="99"/>
          <w:sz w:val="20"/>
          <w:szCs w:val="20"/>
        </w:rPr>
        <w:t> </w:t>
      </w:r>
      <w:r>
        <w:rPr>
          <w:rFonts w:ascii="宋体" w:hAnsi="宋体" w:cs="宋体" w:eastAsia="宋体" w:hint="default"/>
          <w:w w:val="95"/>
          <w:sz w:val="20"/>
          <w:szCs w:val="20"/>
        </w:rPr>
        <w:t>基于我们已执行的工作，如果我们确定其他信息存在重大错报，我们应当报告该事实。在这方面，我</w:t>
      </w:r>
      <w:r>
        <w:rPr>
          <w:rFonts w:ascii="宋体" w:hAnsi="宋体" w:cs="宋体" w:eastAsia="宋体" w:hint="default"/>
          <w:spacing w:val="53"/>
          <w:w w:val="95"/>
          <w:sz w:val="20"/>
          <w:szCs w:val="20"/>
        </w:rPr>
        <w:t> </w:t>
      </w:r>
      <w:r>
        <w:rPr>
          <w:rFonts w:ascii="宋体" w:hAnsi="宋体" w:cs="宋体" w:eastAsia="宋体" w:hint="default"/>
          <w:spacing w:val="53"/>
          <w:w w:val="95"/>
          <w:sz w:val="20"/>
          <w:szCs w:val="20"/>
        </w:rPr>
      </w:r>
      <w:r>
        <w:rPr>
          <w:rFonts w:ascii="宋体" w:hAnsi="宋体" w:cs="宋体" w:eastAsia="宋体" w:hint="default"/>
          <w:sz w:val="20"/>
          <w:szCs w:val="20"/>
        </w:rPr>
        <w:t>们无任何事项需要报告。</w:t>
      </w:r>
    </w:p>
    <w:p>
      <w:pPr>
        <w:spacing w:line="357" w:lineRule="auto" w:before="29"/>
        <w:ind w:left="538" w:right="104" w:firstLine="2"/>
        <w:jc w:val="left"/>
        <w:rPr>
          <w:rFonts w:ascii="宋体" w:hAnsi="宋体" w:cs="宋体" w:eastAsia="宋体" w:hint="default"/>
          <w:sz w:val="20"/>
          <w:szCs w:val="20"/>
        </w:rPr>
      </w:pPr>
      <w:r>
        <w:rPr>
          <w:rFonts w:ascii="宋体" w:hAnsi="宋体" w:cs="宋体" w:eastAsia="宋体" w:hint="default"/>
          <w:b/>
          <w:bCs/>
          <w:sz w:val="20"/>
          <w:szCs w:val="20"/>
        </w:rPr>
        <w:t>五、管理层和治理层对财务报表的责任</w:t>
      </w:r>
      <w:r>
        <w:rPr>
          <w:rFonts w:ascii="宋体" w:hAnsi="宋体" w:cs="宋体" w:eastAsia="宋体" w:hint="default"/>
          <w:b/>
          <w:bCs/>
          <w:w w:val="99"/>
          <w:sz w:val="20"/>
          <w:szCs w:val="20"/>
        </w:rPr>
        <w:t> </w:t>
      </w:r>
      <w:r>
        <w:rPr>
          <w:rFonts w:ascii="宋体" w:hAnsi="宋体" w:cs="宋体" w:eastAsia="宋体" w:hint="default"/>
          <w:w w:val="95"/>
          <w:sz w:val="20"/>
          <w:szCs w:val="20"/>
        </w:rPr>
        <w:t>安通控股管理层负责按照企业会计准则的规定编制财务报表，使其实现公允反映，并设计、执行</w:t>
      </w:r>
      <w:r>
        <w:rPr>
          <w:rFonts w:ascii="宋体" w:hAnsi="宋体" w:cs="宋体" w:eastAsia="宋体" w:hint="default"/>
          <w:sz w:val="20"/>
          <w:szCs w:val="20"/>
        </w:rPr>
      </w:r>
    </w:p>
    <w:p>
      <w:pPr>
        <w:spacing w:line="357" w:lineRule="auto" w:before="29"/>
        <w:ind w:left="538" w:right="228" w:hanging="401"/>
        <w:jc w:val="left"/>
        <w:rPr>
          <w:rFonts w:ascii="宋体" w:hAnsi="宋体" w:cs="宋体" w:eastAsia="宋体" w:hint="default"/>
          <w:sz w:val="20"/>
          <w:szCs w:val="20"/>
        </w:rPr>
      </w:pPr>
      <w:r>
        <w:rPr>
          <w:rFonts w:ascii="宋体" w:hAnsi="宋体" w:cs="宋体" w:eastAsia="宋体" w:hint="default"/>
          <w:sz w:val="20"/>
          <w:szCs w:val="20"/>
        </w:rPr>
        <w:t>和维护必要的内部控制，以使财务报表不存在由于舞弊或错误导致的重大错报。</w:t>
      </w:r>
      <w:r>
        <w:rPr>
          <w:rFonts w:ascii="宋体" w:hAnsi="宋体" w:cs="宋体" w:eastAsia="宋体" w:hint="default"/>
          <w:w w:val="99"/>
          <w:sz w:val="20"/>
          <w:szCs w:val="20"/>
        </w:rPr>
        <w:t> </w:t>
      </w:r>
      <w:r>
        <w:rPr>
          <w:rFonts w:ascii="宋体" w:hAnsi="宋体" w:cs="宋体" w:eastAsia="宋体" w:hint="default"/>
          <w:sz w:val="20"/>
          <w:szCs w:val="20"/>
        </w:rPr>
        <w:t>在编制财务报表时，管理层负责评估安通控股的持续经营能力，披露与持续经营相关的事项，并</w:t>
      </w:r>
    </w:p>
    <w:p>
      <w:pPr>
        <w:spacing w:line="357" w:lineRule="auto" w:before="29"/>
        <w:ind w:left="538" w:right="104" w:hanging="401"/>
        <w:jc w:val="left"/>
        <w:rPr>
          <w:rFonts w:ascii="宋体" w:hAnsi="宋体" w:cs="宋体" w:eastAsia="宋体" w:hint="default"/>
          <w:sz w:val="20"/>
          <w:szCs w:val="20"/>
        </w:rPr>
      </w:pPr>
      <w:r>
        <w:rPr>
          <w:rFonts w:ascii="宋体" w:hAnsi="宋体" w:cs="宋体" w:eastAsia="宋体" w:hint="default"/>
          <w:sz w:val="20"/>
          <w:szCs w:val="20"/>
        </w:rPr>
        <w:t>运用持续经营假设，除非管理层计划清算安通控股、终止运营或别无其他现实的选择。</w:t>
      </w:r>
      <w:r>
        <w:rPr>
          <w:rFonts w:ascii="宋体" w:hAnsi="宋体" w:cs="宋体" w:eastAsia="宋体" w:hint="default"/>
          <w:w w:val="99"/>
          <w:sz w:val="20"/>
          <w:szCs w:val="20"/>
        </w:rPr>
        <w:t> </w:t>
      </w:r>
      <w:r>
        <w:rPr>
          <w:rFonts w:ascii="宋体" w:hAnsi="宋体" w:cs="宋体" w:eastAsia="宋体" w:hint="default"/>
          <w:sz w:val="20"/>
          <w:szCs w:val="20"/>
        </w:rPr>
        <w:t>安通控股治理层（以下简称治理层）负责监督安通控股的财务报告过程。</w:t>
      </w:r>
      <w:r>
        <w:rPr>
          <w:rFonts w:ascii="宋体" w:hAnsi="宋体" w:cs="宋体" w:eastAsia="宋体" w:hint="default"/>
          <w:w w:val="99"/>
          <w:sz w:val="20"/>
          <w:szCs w:val="20"/>
        </w:rPr>
        <w:t> </w:t>
      </w:r>
      <w:r>
        <w:rPr>
          <w:rFonts w:ascii="宋体" w:hAnsi="宋体" w:cs="宋体" w:eastAsia="宋体" w:hint="default"/>
          <w:b/>
          <w:bCs/>
          <w:sz w:val="20"/>
          <w:szCs w:val="20"/>
        </w:rPr>
        <w:t>六、注册会计师对财务报表审计的责任</w:t>
      </w:r>
      <w:r>
        <w:rPr>
          <w:rFonts w:ascii="宋体" w:hAnsi="宋体" w:cs="宋体" w:eastAsia="宋体" w:hint="default"/>
          <w:b/>
          <w:bCs/>
          <w:w w:val="99"/>
          <w:sz w:val="20"/>
          <w:szCs w:val="20"/>
        </w:rPr>
        <w:t> </w:t>
      </w:r>
      <w:r>
        <w:rPr>
          <w:rFonts w:ascii="宋体" w:hAnsi="宋体" w:cs="宋体" w:eastAsia="宋体" w:hint="default"/>
          <w:w w:val="95"/>
          <w:sz w:val="20"/>
          <w:szCs w:val="20"/>
        </w:rPr>
        <w:t>我们的目标是对财务报表整体是否不存在由于舞弊或错误导致的重大错报获取合理保证，并出具</w:t>
      </w:r>
      <w:r>
        <w:rPr>
          <w:rFonts w:ascii="宋体" w:hAnsi="宋体" w:cs="宋体" w:eastAsia="宋体" w:hint="default"/>
          <w:sz w:val="20"/>
          <w:szCs w:val="20"/>
        </w:rPr>
      </w:r>
    </w:p>
    <w:p>
      <w:pPr>
        <w:spacing w:line="357" w:lineRule="auto" w:before="29"/>
        <w:ind w:left="138" w:right="250" w:firstLine="0"/>
        <w:jc w:val="both"/>
        <w:rPr>
          <w:rFonts w:ascii="宋体" w:hAnsi="宋体" w:cs="宋体" w:eastAsia="宋体" w:hint="default"/>
          <w:sz w:val="20"/>
          <w:szCs w:val="20"/>
        </w:rPr>
      </w:pPr>
      <w:r>
        <w:rPr>
          <w:rFonts w:ascii="宋体" w:hAnsi="宋体" w:cs="宋体" w:eastAsia="宋体" w:hint="default"/>
          <w:w w:val="95"/>
          <w:sz w:val="20"/>
          <w:szCs w:val="20"/>
        </w:rPr>
        <w:t>包含审计意见的审计报告。合理保证是高水平的保证，但并不能保证按照审计准则执行的审计在某一</w:t>
      </w:r>
      <w:r>
        <w:rPr>
          <w:rFonts w:ascii="宋体" w:hAnsi="宋体" w:cs="宋体" w:eastAsia="宋体" w:hint="default"/>
          <w:spacing w:val="52"/>
          <w:w w:val="95"/>
          <w:sz w:val="20"/>
          <w:szCs w:val="20"/>
        </w:rPr>
        <w:t> </w:t>
      </w:r>
      <w:r>
        <w:rPr>
          <w:rFonts w:ascii="宋体" w:hAnsi="宋体" w:cs="宋体" w:eastAsia="宋体" w:hint="default"/>
          <w:spacing w:val="52"/>
          <w:w w:val="95"/>
          <w:sz w:val="20"/>
          <w:szCs w:val="20"/>
        </w:rPr>
      </w:r>
      <w:r>
        <w:rPr>
          <w:rFonts w:ascii="宋体" w:hAnsi="宋体" w:cs="宋体" w:eastAsia="宋体" w:hint="default"/>
          <w:w w:val="95"/>
          <w:sz w:val="20"/>
          <w:szCs w:val="20"/>
        </w:rPr>
        <w:t>重大错报存在时总能发现。错报可能由于舞弊或错误导致，如果合理预期错报单独或汇总起来可能影</w:t>
      </w:r>
      <w:r>
        <w:rPr>
          <w:rFonts w:ascii="宋体" w:hAnsi="宋体" w:cs="宋体" w:eastAsia="宋体" w:hint="default"/>
          <w:spacing w:val="52"/>
          <w:w w:val="95"/>
          <w:sz w:val="20"/>
          <w:szCs w:val="20"/>
        </w:rPr>
        <w:t> </w:t>
      </w:r>
      <w:r>
        <w:rPr>
          <w:rFonts w:ascii="宋体" w:hAnsi="宋体" w:cs="宋体" w:eastAsia="宋体" w:hint="default"/>
          <w:spacing w:val="52"/>
          <w:w w:val="95"/>
          <w:sz w:val="20"/>
          <w:szCs w:val="20"/>
        </w:rPr>
      </w:r>
      <w:r>
        <w:rPr>
          <w:rFonts w:ascii="宋体" w:hAnsi="宋体" w:cs="宋体" w:eastAsia="宋体" w:hint="default"/>
          <w:sz w:val="20"/>
          <w:szCs w:val="20"/>
        </w:rPr>
        <w:t>响财务报表使用者依据财务报表作出的经济决策，则通常认为错报是重大的。</w:t>
      </w:r>
    </w:p>
    <w:p>
      <w:pPr>
        <w:spacing w:line="357" w:lineRule="auto" w:before="29"/>
        <w:ind w:left="138" w:right="250" w:firstLine="400"/>
        <w:jc w:val="both"/>
        <w:rPr>
          <w:rFonts w:ascii="宋体" w:hAnsi="宋体" w:cs="宋体" w:eastAsia="宋体" w:hint="default"/>
          <w:sz w:val="20"/>
          <w:szCs w:val="20"/>
        </w:rPr>
      </w:pPr>
      <w:r>
        <w:rPr>
          <w:rFonts w:ascii="宋体" w:hAnsi="宋体" w:cs="宋体" w:eastAsia="宋体" w:hint="default"/>
          <w:w w:val="95"/>
          <w:sz w:val="20"/>
          <w:szCs w:val="20"/>
        </w:rPr>
        <w:t>在按照审计准则执行审计工作的过程中，我们运用职业判断，并保持职业怀疑。同时，我们也执</w:t>
      </w:r>
      <w:r>
        <w:rPr>
          <w:rFonts w:ascii="宋体" w:hAnsi="宋体" w:cs="宋体" w:eastAsia="宋体" w:hint="default"/>
          <w:spacing w:val="-83"/>
          <w:w w:val="95"/>
          <w:sz w:val="20"/>
          <w:szCs w:val="20"/>
        </w:rPr>
        <w:t> </w:t>
      </w:r>
      <w:r>
        <w:rPr>
          <w:rFonts w:ascii="宋体" w:hAnsi="宋体" w:cs="宋体" w:eastAsia="宋体" w:hint="default"/>
          <w:spacing w:val="-83"/>
          <w:w w:val="95"/>
          <w:sz w:val="20"/>
          <w:szCs w:val="20"/>
        </w:rPr>
      </w:r>
      <w:r>
        <w:rPr>
          <w:rFonts w:ascii="宋体" w:hAnsi="宋体" w:cs="宋体" w:eastAsia="宋体" w:hint="default"/>
          <w:sz w:val="20"/>
          <w:szCs w:val="20"/>
        </w:rPr>
        <w:t>行以下工作：</w:t>
      </w:r>
    </w:p>
    <w:p>
      <w:pPr>
        <w:spacing w:line="357" w:lineRule="auto" w:before="29"/>
        <w:ind w:left="138" w:right="219" w:firstLine="400"/>
        <w:jc w:val="both"/>
        <w:rPr>
          <w:rFonts w:ascii="宋体" w:hAnsi="宋体" w:cs="宋体" w:eastAsia="宋体" w:hint="default"/>
          <w:sz w:val="20"/>
          <w:szCs w:val="20"/>
        </w:rPr>
      </w:pPr>
      <w:r>
        <w:rPr>
          <w:rFonts w:ascii="宋体" w:hAnsi="宋体" w:cs="宋体" w:eastAsia="宋体" w:hint="default"/>
          <w:spacing w:val="-1"/>
          <w:w w:val="95"/>
          <w:sz w:val="20"/>
          <w:szCs w:val="20"/>
        </w:rPr>
        <w:t>（</w:t>
      </w:r>
      <w:r>
        <w:rPr>
          <w:rFonts w:ascii="宋体" w:hAnsi="宋体" w:cs="宋体" w:eastAsia="宋体" w:hint="default"/>
          <w:spacing w:val="-1"/>
          <w:w w:val="95"/>
          <w:sz w:val="20"/>
          <w:szCs w:val="20"/>
        </w:rPr>
        <w:t>1</w:t>
      </w:r>
      <w:r>
        <w:rPr>
          <w:rFonts w:ascii="宋体" w:hAnsi="宋体" w:cs="宋体" w:eastAsia="宋体" w:hint="default"/>
          <w:spacing w:val="-1"/>
          <w:w w:val="95"/>
          <w:sz w:val="20"/>
          <w:szCs w:val="20"/>
        </w:rPr>
        <w:t>）识别和评估由于舞弊或错误导致的财务报表重大错报风险，设计和实施审计程序以应对这些</w:t>
      </w:r>
      <w:r>
        <w:rPr>
          <w:rFonts w:ascii="宋体" w:hAnsi="宋体" w:cs="宋体" w:eastAsia="宋体" w:hint="default"/>
          <w:w w:val="99"/>
          <w:sz w:val="20"/>
          <w:szCs w:val="20"/>
        </w:rPr>
        <w:t> </w:t>
      </w:r>
      <w:r>
        <w:rPr>
          <w:rFonts w:ascii="宋体" w:hAnsi="宋体" w:cs="宋体" w:eastAsia="宋体" w:hint="default"/>
          <w:sz w:val="20"/>
          <w:szCs w:val="20"/>
        </w:rPr>
        <w:t>风险，并获取充分、适当的审计证据，作为发表审计意见的基础。由于舞弊可能涉及串通、伪造、故</w:t>
      </w:r>
      <w:r>
        <w:rPr>
          <w:rFonts w:ascii="宋体" w:hAnsi="宋体" w:cs="宋体" w:eastAsia="宋体" w:hint="default"/>
          <w:w w:val="99"/>
          <w:sz w:val="20"/>
          <w:szCs w:val="20"/>
        </w:rPr>
        <w:t> </w:t>
      </w:r>
      <w:r>
        <w:rPr>
          <w:rFonts w:ascii="宋体" w:hAnsi="宋体" w:cs="宋体" w:eastAsia="宋体" w:hint="default"/>
          <w:sz w:val="20"/>
          <w:szCs w:val="20"/>
        </w:rPr>
        <w:t>意遗漏、虚假陈述或凌驾于内部控制之上，未能发现由于舞弊导致的重大错报的风险高于未能发现由</w:t>
      </w:r>
      <w:r>
        <w:rPr>
          <w:rFonts w:ascii="宋体" w:hAnsi="宋体" w:cs="宋体" w:eastAsia="宋体" w:hint="default"/>
          <w:w w:val="99"/>
          <w:sz w:val="20"/>
          <w:szCs w:val="20"/>
        </w:rPr>
        <w:t> </w:t>
      </w:r>
      <w:r>
        <w:rPr>
          <w:rFonts w:ascii="宋体" w:hAnsi="宋体" w:cs="宋体" w:eastAsia="宋体" w:hint="default"/>
          <w:sz w:val="20"/>
          <w:szCs w:val="20"/>
        </w:rPr>
        <w:t>于错误导致的重大错报的风险。</w:t>
      </w:r>
    </w:p>
    <w:p>
      <w:pPr>
        <w:spacing w:before="29"/>
        <w:ind w:left="538" w:right="104" w:firstLine="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2</w:t>
      </w:r>
      <w:r>
        <w:rPr>
          <w:rFonts w:ascii="宋体" w:hAnsi="宋体" w:cs="宋体" w:eastAsia="宋体" w:hint="default"/>
          <w:sz w:val="20"/>
          <w:szCs w:val="20"/>
        </w:rPr>
        <w:t>）了解与审计相关的内部控制，以设计恰当的审计程序。</w:t>
      </w:r>
    </w:p>
    <w:p>
      <w:pPr>
        <w:spacing w:after="0"/>
        <w:jc w:val="left"/>
        <w:rPr>
          <w:rFonts w:ascii="宋体" w:hAnsi="宋体" w:cs="宋体" w:eastAsia="宋体" w:hint="default"/>
          <w:sz w:val="20"/>
          <w:szCs w:val="20"/>
        </w:rPr>
        <w:sectPr>
          <w:pgSz w:w="11910" w:h="16840"/>
          <w:pgMar w:header="877" w:footer="1195" w:top="1100" w:bottom="1380" w:left="1660" w:right="1060"/>
        </w:sectPr>
      </w:pPr>
    </w:p>
    <w:p>
      <w:pPr>
        <w:spacing w:line="240" w:lineRule="auto" w:before="9"/>
        <w:rPr>
          <w:rFonts w:ascii="宋体" w:hAnsi="宋体" w:cs="宋体" w:eastAsia="宋体" w:hint="default"/>
          <w:sz w:val="25"/>
          <w:szCs w:val="25"/>
        </w:rPr>
      </w:pPr>
    </w:p>
    <w:p>
      <w:pPr>
        <w:spacing w:before="37"/>
        <w:ind w:left="538" w:right="125" w:firstLine="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3</w:t>
      </w:r>
      <w:r>
        <w:rPr>
          <w:rFonts w:ascii="宋体" w:hAnsi="宋体" w:cs="宋体" w:eastAsia="宋体" w:hint="default"/>
          <w:sz w:val="20"/>
          <w:szCs w:val="20"/>
        </w:rPr>
        <w:t>）评价管理层选用会计政策的恰当性和作出会计估计及相关披露的合理性。</w:t>
      </w:r>
    </w:p>
    <w:p>
      <w:pPr>
        <w:spacing w:line="357" w:lineRule="auto" w:before="129"/>
        <w:ind w:left="138" w:right="138" w:firstLine="400"/>
        <w:jc w:val="both"/>
        <w:rPr>
          <w:rFonts w:ascii="宋体" w:hAnsi="宋体" w:cs="宋体" w:eastAsia="宋体" w:hint="default"/>
          <w:sz w:val="20"/>
          <w:szCs w:val="20"/>
        </w:rPr>
      </w:pPr>
      <w:r>
        <w:rPr>
          <w:rFonts w:ascii="宋体" w:hAnsi="宋体" w:cs="宋体" w:eastAsia="宋体" w:hint="default"/>
          <w:spacing w:val="-1"/>
          <w:w w:val="95"/>
          <w:sz w:val="20"/>
          <w:szCs w:val="20"/>
        </w:rPr>
        <w:t>（</w:t>
      </w:r>
      <w:r>
        <w:rPr>
          <w:rFonts w:ascii="宋体" w:hAnsi="宋体" w:cs="宋体" w:eastAsia="宋体" w:hint="default"/>
          <w:spacing w:val="-1"/>
          <w:w w:val="95"/>
          <w:sz w:val="20"/>
          <w:szCs w:val="20"/>
        </w:rPr>
        <w:t>4</w:t>
      </w:r>
      <w:r>
        <w:rPr>
          <w:rFonts w:ascii="宋体" w:hAnsi="宋体" w:cs="宋体" w:eastAsia="宋体" w:hint="default"/>
          <w:spacing w:val="-1"/>
          <w:w w:val="95"/>
          <w:sz w:val="20"/>
          <w:szCs w:val="20"/>
        </w:rPr>
        <w:t>）对管理层使用持续经营假设的恰当性得出结论。同时，根据获取的审计证据，就可能导致对</w:t>
      </w:r>
      <w:r>
        <w:rPr>
          <w:rFonts w:ascii="宋体" w:hAnsi="宋体" w:cs="宋体" w:eastAsia="宋体" w:hint="default"/>
          <w:w w:val="99"/>
          <w:sz w:val="20"/>
          <w:szCs w:val="20"/>
        </w:rPr>
        <w:t> </w:t>
      </w:r>
      <w:r>
        <w:rPr>
          <w:rFonts w:ascii="宋体" w:hAnsi="宋体" w:cs="宋体" w:eastAsia="宋体" w:hint="default"/>
          <w:sz w:val="20"/>
          <w:szCs w:val="20"/>
        </w:rPr>
        <w:t>安通控股持续经营能力产生重大疑虑的事项或情况是否存在重大不确定性得出结论。如果我们得出结</w:t>
      </w:r>
      <w:r>
        <w:rPr>
          <w:rFonts w:ascii="宋体" w:hAnsi="宋体" w:cs="宋体" w:eastAsia="宋体" w:hint="default"/>
          <w:w w:val="99"/>
          <w:sz w:val="20"/>
          <w:szCs w:val="20"/>
        </w:rPr>
        <w:t> </w:t>
      </w:r>
      <w:r>
        <w:rPr>
          <w:rFonts w:ascii="宋体" w:hAnsi="宋体" w:cs="宋体" w:eastAsia="宋体" w:hint="default"/>
          <w:sz w:val="20"/>
          <w:szCs w:val="20"/>
        </w:rPr>
        <w:t>论认为存在重大不确定性，审计准则要求我们在审计报告中提请报表使用者注意财务报表中的相关披</w:t>
      </w:r>
      <w:r>
        <w:rPr>
          <w:rFonts w:ascii="宋体" w:hAnsi="宋体" w:cs="宋体" w:eastAsia="宋体" w:hint="default"/>
          <w:w w:val="99"/>
          <w:sz w:val="20"/>
          <w:szCs w:val="20"/>
        </w:rPr>
        <w:t> </w:t>
      </w:r>
      <w:r>
        <w:rPr>
          <w:rFonts w:ascii="宋体" w:hAnsi="宋体" w:cs="宋体" w:eastAsia="宋体" w:hint="default"/>
          <w:sz w:val="20"/>
          <w:szCs w:val="20"/>
        </w:rPr>
        <w:t>露；如果披露不充分，我们应当发表非无保留意见。我们的结论基于截至审计报告日可获得的信息。</w:t>
      </w:r>
      <w:r>
        <w:rPr>
          <w:rFonts w:ascii="宋体" w:hAnsi="宋体" w:cs="宋体" w:eastAsia="宋体" w:hint="default"/>
          <w:w w:val="99"/>
          <w:sz w:val="20"/>
          <w:szCs w:val="20"/>
        </w:rPr>
        <w:t> </w:t>
      </w:r>
      <w:r>
        <w:rPr>
          <w:rFonts w:ascii="宋体" w:hAnsi="宋体" w:cs="宋体" w:eastAsia="宋体" w:hint="default"/>
          <w:sz w:val="20"/>
          <w:szCs w:val="20"/>
        </w:rPr>
        <w:t>然而，未来的事项或情况可能导致安通控股不能持续经营。</w:t>
      </w:r>
    </w:p>
    <w:p>
      <w:pPr>
        <w:spacing w:line="357" w:lineRule="auto" w:before="29"/>
        <w:ind w:left="138" w:right="125" w:firstLine="400"/>
        <w:jc w:val="left"/>
        <w:rPr>
          <w:rFonts w:ascii="宋体" w:hAnsi="宋体" w:cs="宋体" w:eastAsia="宋体" w:hint="default"/>
          <w:sz w:val="20"/>
          <w:szCs w:val="20"/>
        </w:rPr>
      </w:pPr>
      <w:r>
        <w:rPr>
          <w:rFonts w:ascii="宋体" w:hAnsi="宋体" w:cs="宋体" w:eastAsia="宋体" w:hint="default"/>
          <w:spacing w:val="-1"/>
          <w:w w:val="95"/>
          <w:sz w:val="20"/>
          <w:szCs w:val="20"/>
        </w:rPr>
        <w:t>（</w:t>
      </w:r>
      <w:r>
        <w:rPr>
          <w:rFonts w:ascii="宋体" w:hAnsi="宋体" w:cs="宋体" w:eastAsia="宋体" w:hint="default"/>
          <w:spacing w:val="-1"/>
          <w:w w:val="95"/>
          <w:sz w:val="20"/>
          <w:szCs w:val="20"/>
        </w:rPr>
        <w:t>5</w:t>
      </w:r>
      <w:r>
        <w:rPr>
          <w:rFonts w:ascii="宋体" w:hAnsi="宋体" w:cs="宋体" w:eastAsia="宋体" w:hint="default"/>
          <w:spacing w:val="-1"/>
          <w:w w:val="95"/>
          <w:sz w:val="20"/>
          <w:szCs w:val="20"/>
        </w:rPr>
        <w:t>）评价财务报表的总体列报、结构和内容（包括披露），并评价财务报表是否公允反映相关交</w:t>
      </w:r>
      <w:r>
        <w:rPr>
          <w:rFonts w:ascii="宋体" w:hAnsi="宋体" w:cs="宋体" w:eastAsia="宋体" w:hint="default"/>
          <w:w w:val="99"/>
          <w:sz w:val="20"/>
          <w:szCs w:val="20"/>
        </w:rPr>
        <w:t> </w:t>
      </w:r>
      <w:r>
        <w:rPr>
          <w:rFonts w:ascii="宋体" w:hAnsi="宋体" w:cs="宋体" w:eastAsia="宋体" w:hint="default"/>
          <w:sz w:val="20"/>
          <w:szCs w:val="20"/>
        </w:rPr>
        <w:t>易和事项。</w:t>
      </w:r>
    </w:p>
    <w:p>
      <w:pPr>
        <w:spacing w:line="357" w:lineRule="auto" w:before="29"/>
        <w:ind w:left="138" w:right="125" w:firstLine="400"/>
        <w:jc w:val="left"/>
        <w:rPr>
          <w:rFonts w:ascii="宋体" w:hAnsi="宋体" w:cs="宋体" w:eastAsia="宋体" w:hint="default"/>
          <w:sz w:val="20"/>
          <w:szCs w:val="20"/>
        </w:rPr>
      </w:pPr>
      <w:r>
        <w:rPr>
          <w:rFonts w:ascii="宋体" w:hAnsi="宋体" w:cs="宋体" w:eastAsia="宋体" w:hint="default"/>
          <w:spacing w:val="-1"/>
          <w:w w:val="95"/>
          <w:sz w:val="20"/>
          <w:szCs w:val="20"/>
        </w:rPr>
        <w:t>（</w:t>
      </w:r>
      <w:r>
        <w:rPr>
          <w:rFonts w:ascii="宋体" w:hAnsi="宋体" w:cs="宋体" w:eastAsia="宋体" w:hint="default"/>
          <w:spacing w:val="-1"/>
          <w:w w:val="95"/>
          <w:sz w:val="20"/>
          <w:szCs w:val="20"/>
        </w:rPr>
        <w:t>6</w:t>
      </w:r>
      <w:r>
        <w:rPr>
          <w:rFonts w:ascii="宋体" w:hAnsi="宋体" w:cs="宋体" w:eastAsia="宋体" w:hint="default"/>
          <w:spacing w:val="-1"/>
          <w:w w:val="95"/>
          <w:sz w:val="20"/>
          <w:szCs w:val="20"/>
        </w:rPr>
        <w:t>）就安通控股中实体或业务活动的财务信息获取充分、适当的审计证据，以对财务报表发表审</w:t>
      </w:r>
      <w:r>
        <w:rPr>
          <w:rFonts w:ascii="宋体" w:hAnsi="宋体" w:cs="宋体" w:eastAsia="宋体" w:hint="default"/>
          <w:w w:val="99"/>
          <w:sz w:val="20"/>
          <w:szCs w:val="20"/>
        </w:rPr>
        <w:t> </w:t>
      </w:r>
      <w:r>
        <w:rPr>
          <w:rFonts w:ascii="宋体" w:hAnsi="宋体" w:cs="宋体" w:eastAsia="宋体" w:hint="default"/>
          <w:sz w:val="20"/>
          <w:szCs w:val="20"/>
        </w:rPr>
        <w:t>计意见。我们负责指导、监督和执行集团审计，并对审计意见承担全部责任。</w:t>
      </w:r>
    </w:p>
    <w:p>
      <w:pPr>
        <w:spacing w:line="357" w:lineRule="auto" w:before="31"/>
        <w:ind w:left="138" w:right="125" w:firstLine="400"/>
        <w:jc w:val="left"/>
        <w:rPr>
          <w:rFonts w:ascii="宋体" w:hAnsi="宋体" w:cs="宋体" w:eastAsia="宋体" w:hint="default"/>
          <w:sz w:val="20"/>
          <w:szCs w:val="20"/>
        </w:rPr>
      </w:pPr>
      <w:r>
        <w:rPr>
          <w:rFonts w:ascii="宋体" w:hAnsi="宋体" w:cs="宋体" w:eastAsia="宋体" w:hint="default"/>
          <w:w w:val="95"/>
          <w:sz w:val="20"/>
          <w:szCs w:val="20"/>
        </w:rPr>
        <w:t>我们与治理层就计划的审计范围、时间安排和重大审计发现等事项进行沟通，包括沟通我们在审</w:t>
      </w:r>
      <w:r>
        <w:rPr>
          <w:rFonts w:ascii="宋体" w:hAnsi="宋体" w:cs="宋体" w:eastAsia="宋体" w:hint="default"/>
          <w:spacing w:val="-83"/>
          <w:w w:val="95"/>
          <w:sz w:val="20"/>
          <w:szCs w:val="20"/>
        </w:rPr>
        <w:t> </w:t>
      </w:r>
      <w:r>
        <w:rPr>
          <w:rFonts w:ascii="宋体" w:hAnsi="宋体" w:cs="宋体" w:eastAsia="宋体" w:hint="default"/>
          <w:spacing w:val="-83"/>
          <w:w w:val="95"/>
          <w:sz w:val="20"/>
          <w:szCs w:val="20"/>
        </w:rPr>
      </w:r>
      <w:r>
        <w:rPr>
          <w:rFonts w:ascii="宋体" w:hAnsi="宋体" w:cs="宋体" w:eastAsia="宋体" w:hint="default"/>
          <w:sz w:val="20"/>
          <w:szCs w:val="20"/>
        </w:rPr>
        <w:t>计中识别出的值得关注的内部控制缺陷。</w:t>
      </w:r>
    </w:p>
    <w:p>
      <w:pPr>
        <w:spacing w:line="357" w:lineRule="auto" w:before="29"/>
        <w:ind w:left="138" w:right="125" w:firstLine="400"/>
        <w:jc w:val="left"/>
        <w:rPr>
          <w:rFonts w:ascii="宋体" w:hAnsi="宋体" w:cs="宋体" w:eastAsia="宋体" w:hint="default"/>
          <w:sz w:val="20"/>
          <w:szCs w:val="20"/>
        </w:rPr>
      </w:pPr>
      <w:r>
        <w:rPr>
          <w:rFonts w:ascii="宋体" w:hAnsi="宋体" w:cs="宋体" w:eastAsia="宋体" w:hint="default"/>
          <w:w w:val="95"/>
          <w:sz w:val="20"/>
          <w:szCs w:val="20"/>
        </w:rPr>
        <w:t>我们还就已遵守与独立性相关的职业道德要求向治理层提供声明，并与治理层沟通可能被合理认</w:t>
      </w:r>
      <w:r>
        <w:rPr>
          <w:rFonts w:ascii="宋体" w:hAnsi="宋体" w:cs="宋体" w:eastAsia="宋体" w:hint="default"/>
          <w:spacing w:val="-83"/>
          <w:w w:val="95"/>
          <w:sz w:val="20"/>
          <w:szCs w:val="20"/>
        </w:rPr>
        <w:t> </w:t>
      </w:r>
      <w:r>
        <w:rPr>
          <w:rFonts w:ascii="宋体" w:hAnsi="宋体" w:cs="宋体" w:eastAsia="宋体" w:hint="default"/>
          <w:spacing w:val="-83"/>
          <w:w w:val="95"/>
          <w:sz w:val="20"/>
          <w:szCs w:val="20"/>
        </w:rPr>
      </w:r>
      <w:r>
        <w:rPr>
          <w:rFonts w:ascii="宋体" w:hAnsi="宋体" w:cs="宋体" w:eastAsia="宋体" w:hint="default"/>
          <w:sz w:val="20"/>
          <w:szCs w:val="20"/>
        </w:rPr>
        <w:t>为影响我们独立性的所有关系和其他事项，以及相关的防范措施。</w:t>
      </w:r>
      <w:r>
        <w:rPr>
          <w:rFonts w:ascii="宋体" w:hAnsi="宋体" w:cs="宋体" w:eastAsia="宋体" w:hint="default"/>
          <w:w w:val="99"/>
          <w:sz w:val="20"/>
          <w:szCs w:val="20"/>
        </w:rPr>
        <w:t> </w:t>
      </w:r>
      <w:r>
        <w:rPr>
          <w:rFonts w:ascii="宋体" w:hAnsi="宋体" w:cs="宋体" w:eastAsia="宋体" w:hint="default"/>
          <w:w w:val="95"/>
          <w:sz w:val="20"/>
          <w:szCs w:val="20"/>
        </w:rPr>
        <w:t>从与治理层沟通过的事项中，我们确定哪些事项对本期财务报表审计最为重要，因而构成关键审计事</w:t>
      </w:r>
      <w:r>
        <w:rPr>
          <w:rFonts w:ascii="宋体" w:hAnsi="宋体" w:cs="宋体" w:eastAsia="宋体" w:hint="default"/>
          <w:spacing w:val="52"/>
          <w:w w:val="95"/>
          <w:sz w:val="20"/>
          <w:szCs w:val="20"/>
        </w:rPr>
        <w:t> </w:t>
      </w:r>
      <w:r>
        <w:rPr>
          <w:rFonts w:ascii="宋体" w:hAnsi="宋体" w:cs="宋体" w:eastAsia="宋体" w:hint="default"/>
          <w:spacing w:val="52"/>
          <w:w w:val="95"/>
          <w:sz w:val="20"/>
          <w:szCs w:val="20"/>
        </w:rPr>
      </w:r>
      <w:r>
        <w:rPr>
          <w:rFonts w:ascii="宋体" w:hAnsi="宋体" w:cs="宋体" w:eastAsia="宋体" w:hint="default"/>
          <w:w w:val="95"/>
          <w:sz w:val="20"/>
          <w:szCs w:val="20"/>
        </w:rPr>
        <w:t>项。我们在审计报告中描述这些事项，除非法律法规禁止公开披露这些事项，或在极少数情形下，如</w:t>
      </w:r>
      <w:r>
        <w:rPr>
          <w:rFonts w:ascii="宋体" w:hAnsi="宋体" w:cs="宋体" w:eastAsia="宋体" w:hint="default"/>
          <w:spacing w:val="52"/>
          <w:w w:val="95"/>
          <w:sz w:val="20"/>
          <w:szCs w:val="20"/>
        </w:rPr>
        <w:t> </w:t>
      </w:r>
      <w:r>
        <w:rPr>
          <w:rFonts w:ascii="宋体" w:hAnsi="宋体" w:cs="宋体" w:eastAsia="宋体" w:hint="default"/>
          <w:spacing w:val="52"/>
          <w:w w:val="95"/>
          <w:sz w:val="20"/>
          <w:szCs w:val="20"/>
        </w:rPr>
      </w:r>
      <w:r>
        <w:rPr>
          <w:rFonts w:ascii="宋体" w:hAnsi="宋体" w:cs="宋体" w:eastAsia="宋体" w:hint="default"/>
          <w:w w:val="95"/>
          <w:sz w:val="20"/>
          <w:szCs w:val="20"/>
        </w:rPr>
        <w:t>果合理预期在审计报告中沟通某事项造成的负面后果超过在公众利益方面产生的益处，我们确定不应</w:t>
      </w:r>
      <w:r>
        <w:rPr>
          <w:rFonts w:ascii="宋体" w:hAnsi="宋体" w:cs="宋体" w:eastAsia="宋体" w:hint="default"/>
          <w:spacing w:val="52"/>
          <w:w w:val="95"/>
          <w:sz w:val="20"/>
          <w:szCs w:val="20"/>
        </w:rPr>
        <w:t> </w:t>
      </w:r>
      <w:r>
        <w:rPr>
          <w:rFonts w:ascii="宋体" w:hAnsi="宋体" w:cs="宋体" w:eastAsia="宋体" w:hint="default"/>
          <w:spacing w:val="52"/>
          <w:w w:val="95"/>
          <w:sz w:val="20"/>
          <w:szCs w:val="20"/>
        </w:rPr>
      </w:r>
      <w:r>
        <w:rPr>
          <w:rFonts w:ascii="宋体" w:hAnsi="宋体" w:cs="宋体" w:eastAsia="宋体" w:hint="default"/>
          <w:sz w:val="20"/>
          <w:szCs w:val="20"/>
        </w:rPr>
        <w:t>在审计报告中沟通该事项。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tabs>
          <w:tab w:pos="4240" w:val="left" w:leader="none"/>
        </w:tabs>
        <w:spacing w:before="0"/>
        <w:ind w:left="1237" w:right="125" w:firstLine="0"/>
        <w:jc w:val="left"/>
        <w:rPr>
          <w:rFonts w:ascii="宋体" w:hAnsi="宋体" w:cs="宋体" w:eastAsia="宋体" w:hint="default"/>
          <w:sz w:val="20"/>
          <w:szCs w:val="20"/>
        </w:rPr>
      </w:pPr>
      <w:r>
        <w:rPr>
          <w:rFonts w:ascii="宋体" w:hAnsi="宋体" w:cs="宋体" w:eastAsia="宋体" w:hint="default"/>
          <w:w w:val="95"/>
          <w:sz w:val="20"/>
          <w:szCs w:val="20"/>
        </w:rPr>
        <w:t>华普天健会计师事务所</w:t>
        <w:tab/>
      </w:r>
      <w:r>
        <w:rPr>
          <w:rFonts w:ascii="宋体" w:hAnsi="宋体" w:cs="宋体" w:eastAsia="宋体" w:hint="default"/>
          <w:sz w:val="20"/>
          <w:szCs w:val="20"/>
        </w:rPr>
        <w:t>中国注册会计师（项目合伙人）：张婕</w:t>
      </w:r>
    </w:p>
    <w:p>
      <w:pPr>
        <w:spacing w:before="127"/>
        <w:ind w:left="1338" w:right="125" w:firstLine="0"/>
        <w:jc w:val="left"/>
        <w:rPr>
          <w:rFonts w:ascii="宋体" w:hAnsi="宋体" w:cs="宋体" w:eastAsia="宋体" w:hint="default"/>
          <w:sz w:val="20"/>
          <w:szCs w:val="20"/>
        </w:rPr>
      </w:pPr>
      <w:r>
        <w:rPr>
          <w:rFonts w:ascii="宋体" w:hAnsi="宋体" w:cs="宋体" w:eastAsia="宋体" w:hint="default"/>
          <w:sz w:val="20"/>
          <w:szCs w:val="20"/>
        </w:rPr>
        <w:t>（特殊普通合伙）</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p>
      <w:pPr>
        <w:tabs>
          <w:tab w:pos="4340" w:val="left" w:leader="none"/>
        </w:tabs>
        <w:spacing w:before="0"/>
        <w:ind w:left="1738" w:right="125" w:firstLine="0"/>
        <w:jc w:val="left"/>
        <w:rPr>
          <w:rFonts w:ascii="宋体" w:hAnsi="宋体" w:cs="宋体" w:eastAsia="宋体" w:hint="default"/>
          <w:sz w:val="20"/>
          <w:szCs w:val="20"/>
        </w:rPr>
      </w:pPr>
      <w:r>
        <w:rPr>
          <w:rFonts w:ascii="宋体" w:hAnsi="宋体" w:cs="宋体" w:eastAsia="宋体" w:hint="default"/>
          <w:w w:val="95"/>
          <w:sz w:val="20"/>
          <w:szCs w:val="20"/>
        </w:rPr>
        <w:t>中国·北京</w:t>
        <w:tab/>
      </w:r>
      <w:r>
        <w:rPr>
          <w:rFonts w:ascii="宋体" w:hAnsi="宋体" w:cs="宋体" w:eastAsia="宋体" w:hint="default"/>
          <w:sz w:val="20"/>
          <w:szCs w:val="20"/>
        </w:rPr>
        <w:t>中国注册会计师：蔡浩</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9"/>
          <w:szCs w:val="29"/>
        </w:rPr>
      </w:pPr>
    </w:p>
    <w:p>
      <w:pPr>
        <w:spacing w:before="0"/>
        <w:ind w:left="1303" w:right="0" w:firstLine="0"/>
        <w:jc w:val="center"/>
        <w:rPr>
          <w:rFonts w:ascii="宋体" w:hAnsi="宋体" w:cs="宋体" w:eastAsia="宋体" w:hint="default"/>
          <w:sz w:val="20"/>
          <w:szCs w:val="20"/>
        </w:rPr>
      </w:pPr>
      <w:r>
        <w:rPr>
          <w:rFonts w:ascii="宋体" w:hAnsi="宋体" w:cs="宋体" w:eastAsia="宋体" w:hint="default"/>
          <w:sz w:val="20"/>
          <w:szCs w:val="20"/>
        </w:rPr>
        <w:t>2018</w:t>
      </w:r>
      <w:r>
        <w:rPr>
          <w:rFonts w:ascii="宋体" w:hAnsi="宋体" w:cs="宋体" w:eastAsia="宋体" w:hint="default"/>
          <w:spacing w:val="-49"/>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3</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3"/>
          <w:sz w:val="20"/>
          <w:szCs w:val="20"/>
        </w:rPr>
        <w:t> </w:t>
      </w:r>
      <w:r>
        <w:rPr>
          <w:rFonts w:ascii="宋体" w:hAnsi="宋体" w:cs="宋体" w:eastAsia="宋体" w:hint="default"/>
          <w:sz w:val="20"/>
          <w:szCs w:val="20"/>
        </w:rPr>
        <w:t>11</w:t>
      </w:r>
      <w:r>
        <w:rPr>
          <w:rFonts w:ascii="宋体" w:hAnsi="宋体" w:cs="宋体" w:eastAsia="宋体" w:hint="default"/>
          <w:spacing w:val="-50"/>
          <w:sz w:val="20"/>
          <w:szCs w:val="20"/>
        </w:rPr>
        <w:t> </w:t>
      </w:r>
      <w:r>
        <w:rPr>
          <w:rFonts w:ascii="宋体" w:hAnsi="宋体" w:cs="宋体" w:eastAsia="宋体" w:hint="default"/>
          <w:sz w:val="20"/>
          <w:szCs w:val="20"/>
        </w:rPr>
        <w:t>日</w:t>
      </w:r>
    </w:p>
    <w:p>
      <w:pPr>
        <w:spacing w:after="0"/>
        <w:jc w:val="center"/>
        <w:rPr>
          <w:rFonts w:ascii="宋体" w:hAnsi="宋体" w:cs="宋体" w:eastAsia="宋体" w:hint="default"/>
          <w:sz w:val="20"/>
          <w:szCs w:val="20"/>
        </w:rPr>
        <w:sectPr>
          <w:pgSz w:w="11910" w:h="16840"/>
          <w:pgMar w:header="877" w:footer="1195" w:top="1100" w:bottom="138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77" w:footer="1195" w:top="1100" w:bottom="1380" w:left="1580" w:right="1040"/>
        </w:sectPr>
      </w:pPr>
    </w:p>
    <w:p>
      <w:pPr>
        <w:spacing w:line="240" w:lineRule="auto" w:before="12"/>
        <w:rPr>
          <w:rFonts w:ascii="宋体" w:hAnsi="宋体" w:cs="宋体" w:eastAsia="宋体" w:hint="default"/>
          <w:sz w:val="13"/>
          <w:szCs w:val="13"/>
        </w:rPr>
      </w:pPr>
    </w:p>
    <w:p>
      <w:pPr>
        <w:pStyle w:val="Heading2"/>
        <w:spacing w:line="240" w:lineRule="auto"/>
        <w:ind w:right="-16"/>
        <w:jc w:val="left"/>
        <w:rPr>
          <w:b w:val="0"/>
          <w:bCs w:val="0"/>
        </w:rPr>
      </w:pPr>
      <w:r>
        <w:rPr/>
        <w:t>二、财务报表</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5"/>
          <w:szCs w:val="25"/>
        </w:rPr>
      </w:pPr>
    </w:p>
    <w:p>
      <w:pPr>
        <w:pStyle w:val="BodyText"/>
        <w:spacing w:line="240" w:lineRule="auto"/>
        <w:ind w:right="-16"/>
        <w:jc w:val="left"/>
      </w:pPr>
      <w:r>
        <w:rPr/>
        <w:t>编制单位</w:t>
      </w:r>
      <w:r>
        <w:rPr>
          <w:rFonts w:ascii="宋体" w:hAnsi="宋体" w:cs="宋体" w:eastAsia="宋体" w:hint="default"/>
        </w:rPr>
        <w:t>:</w:t>
      </w:r>
      <w:r>
        <w:rPr>
          <w:rFonts w:ascii="宋体" w:hAnsi="宋体" w:cs="宋体" w:eastAsia="宋体" w:hint="default"/>
          <w:spacing w:val="-1"/>
        </w:rPr>
        <w:t> </w:t>
      </w:r>
      <w:r>
        <w:rPr/>
        <w:t>安通控股股份有限公司</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19"/>
          <w:szCs w:val="19"/>
        </w:rPr>
      </w:pPr>
    </w:p>
    <w:p>
      <w:pPr>
        <w:spacing w:before="0"/>
        <w:ind w:left="218" w:right="-16" w:firstLine="127"/>
        <w:jc w:val="left"/>
        <w:rPr>
          <w:rFonts w:ascii="宋体" w:hAnsi="宋体" w:cs="宋体" w:eastAsia="宋体" w:hint="default"/>
          <w:sz w:val="21"/>
          <w:szCs w:val="21"/>
        </w:rPr>
      </w:pPr>
      <w:r>
        <w:rPr>
          <w:rFonts w:ascii="宋体" w:hAnsi="宋体" w:cs="宋体" w:eastAsia="宋体" w:hint="default"/>
          <w:b/>
          <w:bCs/>
          <w:sz w:val="21"/>
          <w:szCs w:val="21"/>
        </w:rPr>
        <w:t>合并资产负债表</w:t>
      </w:r>
      <w:r>
        <w:rPr>
          <w:rFonts w:ascii="宋体" w:hAnsi="宋体" w:cs="宋体" w:eastAsia="宋体" w:hint="default"/>
          <w:b/>
          <w:bCs/>
          <w:w w:val="100"/>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pStyle w:val="BodyText"/>
        <w:tabs>
          <w:tab w:pos="1164"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3" w:equalWidth="0">
            <w:col w:w="3372" w:space="178"/>
            <w:col w:w="1954" w:space="1229"/>
            <w:col w:w="2557"/>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08"/>
        <w:gridCol w:w="2209"/>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73"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674"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675"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01"/>
              <w:jc w:val="right"/>
              <w:rPr>
                <w:rFonts w:ascii="宋体" w:hAnsi="宋体" w:cs="宋体" w:eastAsia="宋体" w:hint="default"/>
                <w:sz w:val="20"/>
                <w:szCs w:val="20"/>
              </w:rPr>
            </w:pPr>
            <w:r>
              <w:rPr>
                <w:rFonts w:ascii="宋体"/>
                <w:w w:val="95"/>
                <w:sz w:val="20"/>
              </w:rPr>
              <w:t>887,111,016.82</w:t>
            </w:r>
            <w:r>
              <w:rPr>
                <w:rFonts w:ascii="宋体"/>
                <w:sz w:val="20"/>
              </w:rPr>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9"/>
              <w:jc w:val="right"/>
              <w:rPr>
                <w:rFonts w:ascii="宋体" w:hAnsi="宋体" w:cs="宋体" w:eastAsia="宋体" w:hint="default"/>
                <w:sz w:val="20"/>
                <w:szCs w:val="20"/>
              </w:rPr>
            </w:pPr>
            <w:r>
              <w:rPr>
                <w:rFonts w:ascii="宋体"/>
                <w:w w:val="95"/>
                <w:sz w:val="20"/>
              </w:rPr>
              <w:t>1,005,931,859.65</w:t>
            </w:r>
            <w:r>
              <w:rPr>
                <w:rFonts w:ascii="宋体"/>
                <w:sz w:val="20"/>
              </w:rPr>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9"/>
              <w:jc w:val="right"/>
              <w:rPr>
                <w:rFonts w:ascii="宋体" w:hAnsi="宋体" w:cs="宋体" w:eastAsia="宋体" w:hint="default"/>
                <w:sz w:val="20"/>
                <w:szCs w:val="20"/>
              </w:rPr>
            </w:pPr>
            <w:r>
              <w:rPr>
                <w:rFonts w:ascii="宋体"/>
                <w:w w:val="95"/>
                <w:sz w:val="20"/>
              </w:rPr>
              <w:t>50,390,616.22</w:t>
            </w:r>
            <w:r>
              <w:rPr>
                <w:rFonts w:ascii="宋体"/>
                <w:sz w:val="20"/>
              </w:rPr>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9"/>
              <w:jc w:val="right"/>
              <w:rPr>
                <w:rFonts w:ascii="宋体" w:hAnsi="宋体" w:cs="宋体" w:eastAsia="宋体" w:hint="default"/>
                <w:sz w:val="20"/>
                <w:szCs w:val="20"/>
              </w:rPr>
            </w:pPr>
            <w:r>
              <w:rPr>
                <w:rFonts w:ascii="宋体"/>
                <w:w w:val="95"/>
                <w:sz w:val="20"/>
              </w:rPr>
              <w:t>59,426,908.77</w:t>
            </w:r>
            <w:r>
              <w:rPr>
                <w:rFonts w:ascii="宋体"/>
                <w:sz w:val="20"/>
              </w:rPr>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01"/>
              <w:jc w:val="right"/>
              <w:rPr>
                <w:rFonts w:ascii="宋体" w:hAnsi="宋体" w:cs="宋体" w:eastAsia="宋体" w:hint="default"/>
                <w:sz w:val="20"/>
                <w:szCs w:val="20"/>
              </w:rPr>
            </w:pPr>
            <w:r>
              <w:rPr>
                <w:rFonts w:ascii="宋体"/>
                <w:w w:val="95"/>
                <w:sz w:val="20"/>
              </w:rPr>
              <w:t>858,158,935.86</w:t>
            </w:r>
            <w:r>
              <w:rPr>
                <w:rFonts w:ascii="宋体"/>
                <w:sz w:val="20"/>
              </w:rPr>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01"/>
              <w:jc w:val="right"/>
              <w:rPr>
                <w:rFonts w:ascii="宋体" w:hAnsi="宋体" w:cs="宋体" w:eastAsia="宋体" w:hint="default"/>
                <w:sz w:val="20"/>
                <w:szCs w:val="20"/>
              </w:rPr>
            </w:pPr>
            <w:r>
              <w:rPr>
                <w:rFonts w:ascii="宋体"/>
                <w:w w:val="95"/>
                <w:sz w:val="20"/>
              </w:rPr>
              <w:t>421,984,450.99</w:t>
            </w:r>
            <w:r>
              <w:rPr>
                <w:rFonts w:ascii="宋体"/>
                <w:sz w:val="20"/>
              </w:rPr>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01"/>
              <w:jc w:val="right"/>
              <w:rPr>
                <w:rFonts w:ascii="宋体" w:hAnsi="宋体" w:cs="宋体" w:eastAsia="宋体" w:hint="default"/>
                <w:sz w:val="20"/>
                <w:szCs w:val="20"/>
              </w:rPr>
            </w:pPr>
            <w:r>
              <w:rPr>
                <w:rFonts w:ascii="宋体"/>
                <w:w w:val="95"/>
                <w:sz w:val="20"/>
              </w:rPr>
              <w:t>221,179,058.41</w:t>
            </w:r>
            <w:r>
              <w:rPr>
                <w:rFonts w:ascii="宋体"/>
                <w:sz w:val="20"/>
              </w:rPr>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01"/>
              <w:jc w:val="right"/>
              <w:rPr>
                <w:rFonts w:ascii="宋体" w:hAnsi="宋体" w:cs="宋体" w:eastAsia="宋体" w:hint="default"/>
                <w:sz w:val="20"/>
                <w:szCs w:val="20"/>
              </w:rPr>
            </w:pPr>
            <w:r>
              <w:rPr>
                <w:rFonts w:ascii="宋体"/>
                <w:w w:val="95"/>
                <w:sz w:val="20"/>
              </w:rPr>
              <w:t>114,714,428.10</w:t>
            </w:r>
            <w:r>
              <w:rPr>
                <w:rFonts w:ascii="宋体"/>
                <w:sz w:val="20"/>
              </w:rPr>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01"/>
              <w:jc w:val="right"/>
              <w:rPr>
                <w:rFonts w:ascii="宋体" w:hAnsi="宋体" w:cs="宋体" w:eastAsia="宋体" w:hint="default"/>
                <w:sz w:val="20"/>
                <w:szCs w:val="20"/>
              </w:rPr>
            </w:pPr>
            <w:r>
              <w:rPr>
                <w:rFonts w:ascii="宋体"/>
                <w:w w:val="95"/>
                <w:sz w:val="20"/>
              </w:rPr>
              <w:t>418,778,852.17</w:t>
            </w:r>
            <w:r>
              <w:rPr>
                <w:rFonts w:ascii="宋体"/>
                <w:sz w:val="20"/>
              </w:rPr>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01"/>
              <w:jc w:val="right"/>
              <w:rPr>
                <w:rFonts w:ascii="宋体" w:hAnsi="宋体" w:cs="宋体" w:eastAsia="宋体" w:hint="default"/>
                <w:sz w:val="20"/>
                <w:szCs w:val="20"/>
              </w:rPr>
            </w:pPr>
            <w:r>
              <w:rPr>
                <w:rFonts w:ascii="宋体"/>
                <w:w w:val="95"/>
                <w:sz w:val="20"/>
              </w:rPr>
              <w:t>422,753,210.65</w:t>
            </w:r>
            <w:r>
              <w:rPr>
                <w:rFonts w:ascii="宋体"/>
                <w:sz w:val="20"/>
              </w:rPr>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9"/>
              <w:jc w:val="right"/>
              <w:rPr>
                <w:rFonts w:ascii="宋体" w:hAnsi="宋体" w:cs="宋体" w:eastAsia="宋体" w:hint="default"/>
                <w:sz w:val="20"/>
                <w:szCs w:val="20"/>
              </w:rPr>
            </w:pPr>
            <w:r>
              <w:rPr>
                <w:rFonts w:ascii="宋体"/>
                <w:w w:val="95"/>
                <w:sz w:val="20"/>
              </w:rPr>
              <w:t>51,948,794.52</w:t>
            </w:r>
            <w:r>
              <w:rPr>
                <w:rFonts w:ascii="宋体"/>
                <w:sz w:val="20"/>
              </w:rPr>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9"/>
              <w:jc w:val="right"/>
              <w:rPr>
                <w:rFonts w:ascii="宋体" w:hAnsi="宋体" w:cs="宋体" w:eastAsia="宋体" w:hint="default"/>
                <w:sz w:val="20"/>
                <w:szCs w:val="20"/>
              </w:rPr>
            </w:pPr>
            <w:r>
              <w:rPr>
                <w:rFonts w:ascii="宋体"/>
                <w:w w:val="95"/>
                <w:sz w:val="20"/>
              </w:rPr>
              <w:t>27,599,831.22</w:t>
            </w:r>
            <w:r>
              <w:rPr>
                <w:rFonts w:ascii="宋体"/>
                <w:sz w:val="20"/>
              </w:rPr>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9"/>
              <w:jc w:val="right"/>
              <w:rPr>
                <w:rFonts w:ascii="宋体" w:hAnsi="宋体" w:cs="宋体" w:eastAsia="宋体" w:hint="default"/>
                <w:sz w:val="20"/>
                <w:szCs w:val="20"/>
              </w:rPr>
            </w:pPr>
            <w:r>
              <w:rPr>
                <w:rFonts w:ascii="宋体"/>
                <w:w w:val="95"/>
                <w:sz w:val="20"/>
              </w:rPr>
              <w:t>20,320,605.04</w:t>
            </w:r>
            <w:r>
              <w:rPr>
                <w:rFonts w:ascii="宋体"/>
                <w:sz w:val="20"/>
              </w:rPr>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9"/>
              <w:jc w:val="right"/>
              <w:rPr>
                <w:rFonts w:ascii="宋体" w:hAnsi="宋体" w:cs="宋体" w:eastAsia="宋体" w:hint="default"/>
                <w:sz w:val="20"/>
                <w:szCs w:val="20"/>
              </w:rPr>
            </w:pPr>
            <w:r>
              <w:rPr>
                <w:rFonts w:ascii="宋体"/>
                <w:w w:val="95"/>
                <w:sz w:val="20"/>
              </w:rPr>
              <w:t>15,168,334.63</w:t>
            </w:r>
            <w:r>
              <w:rPr>
                <w:rFonts w:ascii="宋体"/>
                <w:sz w:val="20"/>
              </w:rPr>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01"/>
              <w:jc w:val="right"/>
              <w:rPr>
                <w:rFonts w:ascii="宋体" w:hAnsi="宋体" w:cs="宋体" w:eastAsia="宋体" w:hint="default"/>
                <w:sz w:val="20"/>
                <w:szCs w:val="20"/>
              </w:rPr>
            </w:pPr>
            <w:r>
              <w:rPr>
                <w:rFonts w:ascii="宋体"/>
                <w:w w:val="95"/>
                <w:sz w:val="20"/>
              </w:rPr>
              <w:t>359,612,940.97</w:t>
            </w:r>
            <w:r>
              <w:rPr>
                <w:rFonts w:ascii="宋体"/>
                <w:sz w:val="20"/>
              </w:rPr>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01"/>
              <w:jc w:val="right"/>
              <w:rPr>
                <w:rFonts w:ascii="宋体" w:hAnsi="宋体" w:cs="宋体" w:eastAsia="宋体" w:hint="default"/>
                <w:sz w:val="20"/>
                <w:szCs w:val="20"/>
              </w:rPr>
            </w:pPr>
            <w:r>
              <w:rPr>
                <w:rFonts w:ascii="宋体"/>
                <w:w w:val="95"/>
                <w:sz w:val="20"/>
              </w:rPr>
              <w:t>148,942,139.29</w:t>
            </w:r>
            <w:r>
              <w:rPr>
                <w:rFonts w:ascii="宋体"/>
                <w:sz w:val="20"/>
              </w:rPr>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9"/>
              <w:jc w:val="right"/>
              <w:rPr>
                <w:rFonts w:ascii="宋体" w:hAnsi="宋体" w:cs="宋体" w:eastAsia="宋体" w:hint="default"/>
                <w:sz w:val="20"/>
                <w:szCs w:val="20"/>
              </w:rPr>
            </w:pPr>
            <w:r>
              <w:rPr>
                <w:rFonts w:ascii="宋体"/>
                <w:w w:val="95"/>
                <w:sz w:val="20"/>
              </w:rPr>
              <w:t>2,867,500,820.01</w:t>
            </w:r>
            <w:r>
              <w:rPr>
                <w:rFonts w:ascii="宋体"/>
                <w:sz w:val="20"/>
              </w:rPr>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9"/>
              <w:jc w:val="right"/>
              <w:rPr>
                <w:rFonts w:ascii="宋体" w:hAnsi="宋体" w:cs="宋体" w:eastAsia="宋体" w:hint="default"/>
                <w:sz w:val="20"/>
                <w:szCs w:val="20"/>
              </w:rPr>
            </w:pPr>
            <w:r>
              <w:rPr>
                <w:rFonts w:ascii="宋体"/>
                <w:w w:val="95"/>
                <w:sz w:val="20"/>
              </w:rPr>
              <w:t>2,216,521,163.30</w:t>
            </w:r>
            <w:r>
              <w:rPr>
                <w:rFonts w:ascii="宋体"/>
                <w:sz w:val="20"/>
              </w:rPr>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发放贷款和垫款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9"/>
              <w:jc w:val="right"/>
              <w:rPr>
                <w:rFonts w:ascii="宋体" w:hAnsi="宋体" w:cs="宋体" w:eastAsia="宋体" w:hint="default"/>
                <w:sz w:val="20"/>
                <w:szCs w:val="20"/>
              </w:rPr>
            </w:pPr>
            <w:r>
              <w:rPr>
                <w:rFonts w:ascii="宋体"/>
                <w:w w:val="95"/>
                <w:sz w:val="20"/>
              </w:rPr>
              <w:t>16,061,933.53</w:t>
            </w:r>
            <w:r>
              <w:rPr>
                <w:rFonts w:ascii="宋体"/>
                <w:sz w:val="20"/>
              </w:rPr>
            </w: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9"/>
              <w:jc w:val="right"/>
              <w:rPr>
                <w:rFonts w:ascii="宋体" w:hAnsi="宋体" w:cs="宋体" w:eastAsia="宋体" w:hint="default"/>
                <w:sz w:val="20"/>
                <w:szCs w:val="20"/>
              </w:rPr>
            </w:pPr>
            <w:r>
              <w:rPr>
                <w:rFonts w:ascii="宋体"/>
                <w:w w:val="95"/>
                <w:sz w:val="20"/>
              </w:rPr>
              <w:t>33,129,207.71</w:t>
            </w:r>
            <w:r>
              <w:rPr>
                <w:rFonts w:ascii="宋体"/>
                <w:sz w:val="20"/>
              </w:rPr>
            </w: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9"/>
              <w:jc w:val="right"/>
              <w:rPr>
                <w:rFonts w:ascii="宋体" w:hAnsi="宋体" w:cs="宋体" w:eastAsia="宋体" w:hint="default"/>
                <w:sz w:val="20"/>
                <w:szCs w:val="20"/>
              </w:rPr>
            </w:pPr>
            <w:r>
              <w:rPr>
                <w:rFonts w:ascii="宋体"/>
                <w:w w:val="95"/>
                <w:sz w:val="20"/>
              </w:rPr>
              <w:t>4,527,103,270.66</w:t>
            </w:r>
            <w:r>
              <w:rPr>
                <w:rFonts w:ascii="宋体"/>
                <w:sz w:val="20"/>
              </w:rPr>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9"/>
              <w:jc w:val="right"/>
              <w:rPr>
                <w:rFonts w:ascii="宋体" w:hAnsi="宋体" w:cs="宋体" w:eastAsia="宋体" w:hint="default"/>
                <w:sz w:val="20"/>
                <w:szCs w:val="20"/>
              </w:rPr>
            </w:pPr>
            <w:r>
              <w:rPr>
                <w:rFonts w:ascii="宋体"/>
                <w:w w:val="95"/>
                <w:sz w:val="20"/>
              </w:rPr>
              <w:t>3,981,738,307.60</w:t>
            </w:r>
            <w:r>
              <w:rPr>
                <w:rFonts w:ascii="宋体"/>
                <w:sz w:val="20"/>
              </w:rPr>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01"/>
              <w:jc w:val="right"/>
              <w:rPr>
                <w:rFonts w:ascii="宋体" w:hAnsi="宋体" w:cs="宋体" w:eastAsia="宋体" w:hint="default"/>
                <w:sz w:val="20"/>
                <w:szCs w:val="20"/>
              </w:rPr>
            </w:pPr>
            <w:r>
              <w:rPr>
                <w:rFonts w:ascii="宋体"/>
                <w:w w:val="95"/>
                <w:sz w:val="20"/>
              </w:rPr>
              <w:t>483,788,012.83</w:t>
            </w:r>
            <w:r>
              <w:rPr>
                <w:rFonts w:ascii="宋体"/>
                <w:sz w:val="20"/>
              </w:rPr>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9"/>
              <w:jc w:val="right"/>
              <w:rPr>
                <w:rFonts w:ascii="宋体" w:hAnsi="宋体" w:cs="宋体" w:eastAsia="宋体" w:hint="default"/>
                <w:sz w:val="20"/>
                <w:szCs w:val="20"/>
              </w:rPr>
            </w:pPr>
            <w:r>
              <w:rPr>
                <w:rFonts w:ascii="宋体"/>
                <w:w w:val="95"/>
                <w:sz w:val="20"/>
              </w:rPr>
              <w:t>52,554,191.84</w:t>
            </w:r>
            <w:r>
              <w:rPr>
                <w:rFonts w:ascii="宋体"/>
                <w:sz w:val="20"/>
              </w:rPr>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9"/>
              <w:jc w:val="right"/>
              <w:rPr>
                <w:rFonts w:ascii="宋体" w:hAnsi="宋体" w:cs="宋体" w:eastAsia="宋体" w:hint="default"/>
                <w:sz w:val="20"/>
                <w:szCs w:val="20"/>
              </w:rPr>
            </w:pPr>
            <w:r>
              <w:rPr>
                <w:rFonts w:ascii="宋体"/>
                <w:w w:val="95"/>
                <w:sz w:val="20"/>
              </w:rPr>
              <w:t>38,697,146.16</w:t>
            </w:r>
            <w:r>
              <w:rPr>
                <w:rFonts w:ascii="宋体"/>
                <w:sz w:val="20"/>
              </w:rPr>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9"/>
              <w:jc w:val="right"/>
              <w:rPr>
                <w:rFonts w:ascii="宋体" w:hAnsi="宋体" w:cs="宋体" w:eastAsia="宋体" w:hint="default"/>
                <w:sz w:val="20"/>
                <w:szCs w:val="20"/>
              </w:rPr>
            </w:pPr>
            <w:r>
              <w:rPr>
                <w:rFonts w:ascii="宋体"/>
                <w:w w:val="95"/>
                <w:sz w:val="20"/>
              </w:rPr>
              <w:t>40,775,307.85</w:t>
            </w:r>
            <w:r>
              <w:rPr>
                <w:rFonts w:ascii="宋体"/>
                <w:sz w:val="20"/>
              </w:rPr>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01"/>
              <w:jc w:val="right"/>
              <w:rPr>
                <w:rFonts w:ascii="宋体" w:hAnsi="宋体" w:cs="宋体" w:eastAsia="宋体" w:hint="default"/>
                <w:sz w:val="20"/>
                <w:szCs w:val="20"/>
              </w:rPr>
            </w:pPr>
            <w:r>
              <w:rPr>
                <w:rFonts w:ascii="宋体"/>
                <w:w w:val="95"/>
                <w:sz w:val="20"/>
              </w:rPr>
              <w:t>1,526,543.75</w:t>
            </w:r>
            <w:r>
              <w:rPr>
                <w:rFonts w:ascii="宋体"/>
                <w:sz w:val="20"/>
              </w:rPr>
            </w: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9"/>
              <w:jc w:val="right"/>
              <w:rPr>
                <w:rFonts w:ascii="宋体" w:hAnsi="宋体" w:cs="宋体" w:eastAsia="宋体" w:hint="default"/>
                <w:sz w:val="20"/>
                <w:szCs w:val="20"/>
              </w:rPr>
            </w:pPr>
            <w:r>
              <w:rPr>
                <w:rFonts w:ascii="宋体"/>
                <w:w w:val="95"/>
                <w:sz w:val="20"/>
              </w:rPr>
              <w:t>17,434,855.51</w:t>
            </w:r>
            <w:r>
              <w:rPr>
                <w:rFonts w:ascii="宋体"/>
                <w:sz w:val="20"/>
              </w:rPr>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right="99"/>
              <w:jc w:val="right"/>
              <w:rPr>
                <w:rFonts w:ascii="宋体" w:hAnsi="宋体" w:cs="宋体" w:eastAsia="宋体" w:hint="default"/>
                <w:sz w:val="20"/>
                <w:szCs w:val="20"/>
              </w:rPr>
            </w:pPr>
            <w:r>
              <w:rPr>
                <w:rFonts w:ascii="宋体"/>
                <w:w w:val="95"/>
                <w:sz w:val="20"/>
              </w:rPr>
              <w:t>17,968,420.56</w:t>
            </w:r>
            <w:r>
              <w:rPr>
                <w:rFonts w:ascii="宋体"/>
                <w:sz w:val="20"/>
              </w:rPr>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9"/>
              <w:jc w:val="right"/>
              <w:rPr>
                <w:rFonts w:ascii="宋体" w:hAnsi="宋体" w:cs="宋体" w:eastAsia="宋体" w:hint="default"/>
                <w:sz w:val="20"/>
                <w:szCs w:val="20"/>
              </w:rPr>
            </w:pPr>
            <w:r>
              <w:rPr>
                <w:rFonts w:ascii="宋体"/>
                <w:w w:val="95"/>
                <w:sz w:val="20"/>
              </w:rPr>
              <w:t>51,440,945.84</w:t>
            </w:r>
            <w:r>
              <w:rPr>
                <w:rFonts w:ascii="宋体"/>
                <w:sz w:val="20"/>
              </w:rPr>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46,726,781.88</w:t>
            </w:r>
            <w:r>
              <w:rPr>
                <w:rFonts w:ascii="宋体"/>
                <w:sz w:val="20"/>
              </w:rPr>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01"/>
              <w:jc w:val="right"/>
              <w:rPr>
                <w:rFonts w:ascii="宋体" w:hAnsi="宋体" w:cs="宋体" w:eastAsia="宋体" w:hint="default"/>
                <w:sz w:val="20"/>
                <w:szCs w:val="20"/>
              </w:rPr>
            </w:pPr>
            <w:r>
              <w:rPr>
                <w:rFonts w:ascii="宋体"/>
                <w:w w:val="95"/>
                <w:sz w:val="20"/>
              </w:rPr>
              <w:t>643,365,906.34</w:t>
            </w:r>
            <w:r>
              <w:rPr>
                <w:rFonts w:ascii="宋体"/>
                <w:sz w:val="20"/>
              </w:rPr>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284,681,425.34</w:t>
            </w:r>
            <w:r>
              <w:rPr>
                <w:rFonts w:ascii="宋体"/>
                <w:sz w:val="20"/>
              </w:rPr>
            </w:r>
          </w:p>
        </w:tc>
      </w:tr>
    </w:tbl>
    <w:p>
      <w:pPr>
        <w:spacing w:after="0" w:line="230" w:lineRule="exact"/>
        <w:jc w:val="right"/>
        <w:rPr>
          <w:rFonts w:ascii="宋体" w:hAnsi="宋体" w:cs="宋体" w:eastAsia="宋体" w:hint="default"/>
          <w:sz w:val="20"/>
          <w:szCs w:val="20"/>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08"/>
        <w:gridCol w:w="2209"/>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right="99"/>
              <w:jc w:val="right"/>
              <w:rPr>
                <w:rFonts w:ascii="宋体" w:hAnsi="宋体" w:cs="宋体" w:eastAsia="宋体" w:hint="default"/>
                <w:sz w:val="20"/>
                <w:szCs w:val="20"/>
              </w:rPr>
            </w:pPr>
            <w:r>
              <w:rPr>
                <w:rFonts w:ascii="宋体"/>
                <w:w w:val="95"/>
                <w:sz w:val="20"/>
              </w:rPr>
              <w:t>5,812,547,822.33</w:t>
            </w:r>
            <w:r>
              <w:rPr>
                <w:rFonts w:ascii="宋体"/>
                <w:sz w:val="20"/>
              </w:rPr>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right="99"/>
              <w:jc w:val="right"/>
              <w:rPr>
                <w:rFonts w:ascii="宋体" w:hAnsi="宋体" w:cs="宋体" w:eastAsia="宋体" w:hint="default"/>
                <w:sz w:val="20"/>
                <w:szCs w:val="20"/>
              </w:rPr>
            </w:pPr>
            <w:r>
              <w:rPr>
                <w:rFonts w:ascii="宋体"/>
                <w:w w:val="95"/>
                <w:sz w:val="20"/>
              </w:rPr>
              <w:t>4,424,444,435.07</w:t>
            </w:r>
            <w:r>
              <w:rPr>
                <w:rFonts w:ascii="宋体"/>
                <w:sz w:val="20"/>
              </w:rPr>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8,680,048,642.34</w:t>
            </w:r>
            <w:r>
              <w:rPr>
                <w:rFonts w:ascii="宋体"/>
                <w:sz w:val="20"/>
              </w:rPr>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6,640,965,598.37</w:t>
            </w:r>
            <w:r>
              <w:rPr>
                <w:rFonts w:ascii="宋体"/>
                <w:sz w:val="20"/>
              </w:rPr>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9"/>
              <w:jc w:val="right"/>
              <w:rPr>
                <w:rFonts w:ascii="宋体" w:hAnsi="宋体" w:cs="宋体" w:eastAsia="宋体" w:hint="default"/>
                <w:sz w:val="20"/>
                <w:szCs w:val="20"/>
              </w:rPr>
            </w:pPr>
            <w:r>
              <w:rPr>
                <w:rFonts w:ascii="宋体"/>
                <w:w w:val="95"/>
                <w:sz w:val="20"/>
              </w:rPr>
              <w:t>1,009,090,000.00</w:t>
            </w:r>
            <w:r>
              <w:rPr>
                <w:rFonts w:ascii="宋体"/>
                <w:sz w:val="20"/>
              </w:rPr>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01"/>
              <w:jc w:val="right"/>
              <w:rPr>
                <w:rFonts w:ascii="宋体" w:hAnsi="宋体" w:cs="宋体" w:eastAsia="宋体" w:hint="default"/>
                <w:sz w:val="20"/>
                <w:szCs w:val="20"/>
              </w:rPr>
            </w:pPr>
            <w:r>
              <w:rPr>
                <w:rFonts w:ascii="宋体"/>
                <w:w w:val="95"/>
                <w:sz w:val="20"/>
              </w:rPr>
              <w:t>584,100,000.00</w:t>
            </w:r>
            <w:r>
              <w:rPr>
                <w:rFonts w:ascii="宋体"/>
                <w:sz w:val="20"/>
              </w:rPr>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01"/>
              <w:jc w:val="right"/>
              <w:rPr>
                <w:rFonts w:ascii="宋体" w:hAnsi="宋体" w:cs="宋体" w:eastAsia="宋体" w:hint="default"/>
                <w:sz w:val="20"/>
                <w:szCs w:val="20"/>
              </w:rPr>
            </w:pPr>
            <w:r>
              <w:rPr>
                <w:rFonts w:ascii="宋体"/>
                <w:w w:val="95"/>
                <w:sz w:val="20"/>
              </w:rPr>
              <w:t>191,420,000.00</w:t>
            </w:r>
            <w:r>
              <w:rPr>
                <w:rFonts w:ascii="宋体"/>
                <w:sz w:val="20"/>
              </w:rPr>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01"/>
              <w:jc w:val="right"/>
              <w:rPr>
                <w:rFonts w:ascii="宋体" w:hAnsi="宋体" w:cs="宋体" w:eastAsia="宋体" w:hint="default"/>
                <w:sz w:val="20"/>
                <w:szCs w:val="20"/>
              </w:rPr>
            </w:pPr>
            <w:r>
              <w:rPr>
                <w:rFonts w:ascii="宋体"/>
                <w:w w:val="95"/>
                <w:sz w:val="20"/>
              </w:rPr>
              <w:t>304,660,000.00</w:t>
            </w:r>
            <w:r>
              <w:rPr>
                <w:rFonts w:ascii="宋体"/>
                <w:sz w:val="20"/>
              </w:rPr>
            </w: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9"/>
              <w:jc w:val="right"/>
              <w:rPr>
                <w:rFonts w:ascii="宋体" w:hAnsi="宋体" w:cs="宋体" w:eastAsia="宋体" w:hint="default"/>
                <w:sz w:val="20"/>
                <w:szCs w:val="20"/>
              </w:rPr>
            </w:pPr>
            <w:r>
              <w:rPr>
                <w:rFonts w:ascii="宋体"/>
                <w:w w:val="95"/>
                <w:sz w:val="20"/>
              </w:rPr>
              <w:t>1,030,041,757.64</w:t>
            </w:r>
            <w:r>
              <w:rPr>
                <w:rFonts w:ascii="宋体"/>
                <w:sz w:val="20"/>
              </w:rPr>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01"/>
              <w:jc w:val="right"/>
              <w:rPr>
                <w:rFonts w:ascii="宋体" w:hAnsi="宋体" w:cs="宋体" w:eastAsia="宋体" w:hint="default"/>
                <w:sz w:val="20"/>
                <w:szCs w:val="20"/>
              </w:rPr>
            </w:pPr>
            <w:r>
              <w:rPr>
                <w:rFonts w:ascii="宋体"/>
                <w:w w:val="95"/>
                <w:sz w:val="20"/>
              </w:rPr>
              <w:t>603,773,489.32</w:t>
            </w:r>
            <w:r>
              <w:rPr>
                <w:rFonts w:ascii="宋体"/>
                <w:sz w:val="20"/>
              </w:rPr>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9"/>
              <w:jc w:val="right"/>
              <w:rPr>
                <w:rFonts w:ascii="宋体" w:hAnsi="宋体" w:cs="宋体" w:eastAsia="宋体" w:hint="default"/>
                <w:sz w:val="20"/>
                <w:szCs w:val="20"/>
              </w:rPr>
            </w:pPr>
            <w:r>
              <w:rPr>
                <w:rFonts w:ascii="宋体"/>
                <w:w w:val="95"/>
                <w:sz w:val="20"/>
              </w:rPr>
              <w:t>42,146,010.06</w:t>
            </w:r>
            <w:r>
              <w:rPr>
                <w:rFonts w:ascii="宋体"/>
                <w:sz w:val="20"/>
              </w:rPr>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9"/>
              <w:jc w:val="right"/>
              <w:rPr>
                <w:rFonts w:ascii="宋体" w:hAnsi="宋体" w:cs="宋体" w:eastAsia="宋体" w:hint="default"/>
                <w:sz w:val="20"/>
                <w:szCs w:val="20"/>
              </w:rPr>
            </w:pPr>
            <w:r>
              <w:rPr>
                <w:rFonts w:ascii="宋体"/>
                <w:w w:val="95"/>
                <w:sz w:val="20"/>
              </w:rPr>
              <w:t>11,427,807.41</w:t>
            </w:r>
            <w:r>
              <w:rPr>
                <w:rFonts w:ascii="宋体"/>
                <w:sz w:val="20"/>
              </w:rPr>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9"/>
              <w:jc w:val="right"/>
              <w:rPr>
                <w:rFonts w:ascii="宋体" w:hAnsi="宋体" w:cs="宋体" w:eastAsia="宋体" w:hint="default"/>
                <w:sz w:val="20"/>
                <w:szCs w:val="20"/>
              </w:rPr>
            </w:pPr>
            <w:r>
              <w:rPr>
                <w:rFonts w:ascii="宋体"/>
                <w:w w:val="95"/>
                <w:sz w:val="20"/>
              </w:rPr>
              <w:t>15,414,354.39</w:t>
            </w:r>
            <w:r>
              <w:rPr>
                <w:rFonts w:ascii="宋体"/>
                <w:sz w:val="20"/>
              </w:rPr>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9"/>
              <w:jc w:val="right"/>
              <w:rPr>
                <w:rFonts w:ascii="宋体" w:hAnsi="宋体" w:cs="宋体" w:eastAsia="宋体" w:hint="default"/>
                <w:sz w:val="20"/>
                <w:szCs w:val="20"/>
              </w:rPr>
            </w:pPr>
            <w:r>
              <w:rPr>
                <w:rFonts w:ascii="宋体"/>
                <w:w w:val="95"/>
                <w:sz w:val="20"/>
              </w:rPr>
              <w:t>13,980,668.02</w:t>
            </w:r>
            <w:r>
              <w:rPr>
                <w:rFonts w:ascii="宋体"/>
                <w:sz w:val="20"/>
              </w:rPr>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01"/>
              <w:jc w:val="right"/>
              <w:rPr>
                <w:rFonts w:ascii="宋体" w:hAnsi="宋体" w:cs="宋体" w:eastAsia="宋体" w:hint="default"/>
                <w:sz w:val="20"/>
                <w:szCs w:val="20"/>
              </w:rPr>
            </w:pPr>
            <w:r>
              <w:rPr>
                <w:rFonts w:ascii="宋体"/>
                <w:w w:val="95"/>
                <w:sz w:val="20"/>
              </w:rPr>
              <w:t>154,450,956.87</w:t>
            </w:r>
            <w:r>
              <w:rPr>
                <w:rFonts w:ascii="宋体"/>
                <w:sz w:val="20"/>
              </w:rPr>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01"/>
              <w:jc w:val="right"/>
              <w:rPr>
                <w:rFonts w:ascii="宋体" w:hAnsi="宋体" w:cs="宋体" w:eastAsia="宋体" w:hint="default"/>
                <w:sz w:val="20"/>
                <w:szCs w:val="20"/>
              </w:rPr>
            </w:pPr>
            <w:r>
              <w:rPr>
                <w:rFonts w:ascii="宋体"/>
                <w:w w:val="95"/>
                <w:sz w:val="20"/>
              </w:rPr>
              <w:t>145,070,263.41</w:t>
            </w:r>
            <w:r>
              <w:rPr>
                <w:rFonts w:ascii="宋体"/>
                <w:sz w:val="20"/>
              </w:rPr>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1"/>
              <w:jc w:val="right"/>
              <w:rPr>
                <w:rFonts w:ascii="宋体" w:hAnsi="宋体" w:cs="宋体" w:eastAsia="宋体" w:hint="default"/>
                <w:sz w:val="20"/>
                <w:szCs w:val="20"/>
              </w:rPr>
            </w:pPr>
            <w:r>
              <w:rPr>
                <w:rFonts w:ascii="宋体"/>
                <w:w w:val="95"/>
                <w:sz w:val="20"/>
              </w:rPr>
              <w:t>1,824,196.95</w:t>
            </w:r>
            <w:r>
              <w:rPr>
                <w:rFonts w:ascii="宋体"/>
                <w:sz w:val="20"/>
              </w:rPr>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1"/>
              <w:jc w:val="right"/>
              <w:rPr>
                <w:rFonts w:ascii="宋体" w:hAnsi="宋体" w:cs="宋体" w:eastAsia="宋体" w:hint="default"/>
                <w:sz w:val="20"/>
                <w:szCs w:val="20"/>
              </w:rPr>
            </w:pPr>
            <w:r>
              <w:rPr>
                <w:rFonts w:ascii="宋体"/>
                <w:w w:val="95"/>
                <w:sz w:val="20"/>
              </w:rPr>
              <w:t>3,541,943.47</w:t>
            </w:r>
            <w:r>
              <w:rPr>
                <w:rFonts w:ascii="宋体"/>
                <w:sz w:val="20"/>
              </w:rPr>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9"/>
              <w:jc w:val="right"/>
              <w:rPr>
                <w:rFonts w:ascii="宋体" w:hAnsi="宋体" w:cs="宋体" w:eastAsia="宋体" w:hint="default"/>
                <w:sz w:val="20"/>
                <w:szCs w:val="20"/>
              </w:rPr>
            </w:pPr>
            <w:r>
              <w:rPr>
                <w:rFonts w:ascii="宋体"/>
                <w:w w:val="95"/>
                <w:sz w:val="20"/>
              </w:rPr>
              <w:t>82,601,640.78</w:t>
            </w:r>
            <w:r>
              <w:rPr>
                <w:rFonts w:ascii="宋体"/>
                <w:sz w:val="20"/>
              </w:rPr>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9"/>
              <w:jc w:val="right"/>
              <w:rPr>
                <w:rFonts w:ascii="宋体" w:hAnsi="宋体" w:cs="宋体" w:eastAsia="宋体" w:hint="default"/>
                <w:sz w:val="20"/>
                <w:szCs w:val="20"/>
              </w:rPr>
            </w:pPr>
            <w:r>
              <w:rPr>
                <w:rFonts w:ascii="宋体"/>
                <w:w w:val="95"/>
                <w:sz w:val="20"/>
              </w:rPr>
              <w:t>56,565,642.42</w:t>
            </w:r>
            <w:r>
              <w:rPr>
                <w:rFonts w:ascii="宋体"/>
                <w:sz w:val="20"/>
              </w:rPr>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01"/>
              <w:jc w:val="right"/>
              <w:rPr>
                <w:rFonts w:ascii="宋体" w:hAnsi="宋体" w:cs="宋体" w:eastAsia="宋体" w:hint="default"/>
                <w:sz w:val="20"/>
                <w:szCs w:val="20"/>
              </w:rPr>
            </w:pPr>
            <w:r>
              <w:rPr>
                <w:rFonts w:ascii="宋体"/>
                <w:w w:val="95"/>
                <w:sz w:val="20"/>
              </w:rPr>
              <w:t>512,449,463.90</w:t>
            </w:r>
            <w:r>
              <w:rPr>
                <w:rFonts w:ascii="宋体"/>
                <w:sz w:val="20"/>
              </w:rPr>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01"/>
              <w:jc w:val="right"/>
              <w:rPr>
                <w:rFonts w:ascii="宋体" w:hAnsi="宋体" w:cs="宋体" w:eastAsia="宋体" w:hint="default"/>
                <w:sz w:val="20"/>
                <w:szCs w:val="20"/>
              </w:rPr>
            </w:pPr>
            <w:r>
              <w:rPr>
                <w:rFonts w:ascii="宋体"/>
                <w:w w:val="95"/>
                <w:sz w:val="20"/>
              </w:rPr>
              <w:t>798,244,676.77</w:t>
            </w:r>
            <w:r>
              <w:rPr>
                <w:rFonts w:ascii="宋体"/>
                <w:sz w:val="20"/>
              </w:rPr>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01"/>
              <w:jc w:val="right"/>
              <w:rPr>
                <w:rFonts w:ascii="宋体" w:hAnsi="宋体" w:cs="宋体" w:eastAsia="宋体" w:hint="default"/>
                <w:sz w:val="20"/>
                <w:szCs w:val="20"/>
              </w:rPr>
            </w:pPr>
            <w:r>
              <w:rPr>
                <w:rFonts w:ascii="宋体"/>
                <w:w w:val="95"/>
                <w:sz w:val="20"/>
              </w:rPr>
              <w:t>505,624,589.69</w:t>
            </w:r>
            <w:r>
              <w:rPr>
                <w:rFonts w:ascii="宋体"/>
                <w:sz w:val="20"/>
              </w:rPr>
            </w: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9"/>
              <w:jc w:val="right"/>
              <w:rPr>
                <w:rFonts w:ascii="宋体" w:hAnsi="宋体" w:cs="宋体" w:eastAsia="宋体" w:hint="default"/>
                <w:sz w:val="20"/>
                <w:szCs w:val="20"/>
              </w:rPr>
            </w:pPr>
            <w:r>
              <w:rPr>
                <w:rFonts w:ascii="宋体"/>
                <w:w w:val="95"/>
                <w:sz w:val="20"/>
              </w:rPr>
              <w:t>3,545,062,970.28</w:t>
            </w:r>
            <w:r>
              <w:rPr>
                <w:rFonts w:ascii="宋体"/>
                <w:sz w:val="20"/>
              </w:rPr>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9"/>
              <w:jc w:val="right"/>
              <w:rPr>
                <w:rFonts w:ascii="宋体" w:hAnsi="宋体" w:cs="宋体" w:eastAsia="宋体" w:hint="default"/>
                <w:sz w:val="20"/>
                <w:szCs w:val="20"/>
              </w:rPr>
            </w:pPr>
            <w:r>
              <w:rPr>
                <w:rFonts w:ascii="宋体"/>
                <w:w w:val="95"/>
                <w:sz w:val="20"/>
              </w:rPr>
              <w:t>2,521,364,490.82</w:t>
            </w:r>
            <w:r>
              <w:rPr>
                <w:rFonts w:ascii="宋体"/>
                <w:sz w:val="20"/>
              </w:rPr>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9"/>
              <w:jc w:val="right"/>
              <w:rPr>
                <w:rFonts w:ascii="宋体" w:hAnsi="宋体" w:cs="宋体" w:eastAsia="宋体" w:hint="default"/>
                <w:sz w:val="20"/>
                <w:szCs w:val="20"/>
              </w:rPr>
            </w:pPr>
            <w:r>
              <w:rPr>
                <w:rFonts w:ascii="宋体"/>
                <w:w w:val="95"/>
                <w:sz w:val="20"/>
              </w:rPr>
              <w:t>1,965,431,730.18</w:t>
            </w:r>
            <w:r>
              <w:rPr>
                <w:rFonts w:ascii="宋体"/>
                <w:sz w:val="20"/>
              </w:rPr>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9"/>
              <w:jc w:val="right"/>
              <w:rPr>
                <w:rFonts w:ascii="宋体" w:hAnsi="宋体" w:cs="宋体" w:eastAsia="宋体" w:hint="default"/>
                <w:sz w:val="20"/>
                <w:szCs w:val="20"/>
              </w:rPr>
            </w:pPr>
            <w:r>
              <w:rPr>
                <w:rFonts w:ascii="宋体"/>
                <w:w w:val="95"/>
                <w:sz w:val="20"/>
              </w:rPr>
              <w:t>1,616,255,882.73</w:t>
            </w:r>
            <w:r>
              <w:rPr>
                <w:rFonts w:ascii="宋体"/>
                <w:sz w:val="20"/>
              </w:rPr>
            </w: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01"/>
              <w:jc w:val="right"/>
              <w:rPr>
                <w:rFonts w:ascii="宋体" w:hAnsi="宋体" w:cs="宋体" w:eastAsia="宋体" w:hint="default"/>
                <w:sz w:val="20"/>
                <w:szCs w:val="20"/>
              </w:rPr>
            </w:pPr>
            <w:r>
              <w:rPr>
                <w:rFonts w:ascii="宋体"/>
                <w:w w:val="95"/>
                <w:sz w:val="20"/>
              </w:rPr>
              <w:t>168,803,949.55</w:t>
            </w:r>
            <w:r>
              <w:rPr>
                <w:rFonts w:ascii="宋体"/>
                <w:sz w:val="20"/>
              </w:rPr>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9"/>
              <w:jc w:val="right"/>
              <w:rPr>
                <w:rFonts w:ascii="宋体" w:hAnsi="宋体" w:cs="宋体" w:eastAsia="宋体" w:hint="default"/>
                <w:sz w:val="20"/>
                <w:szCs w:val="20"/>
              </w:rPr>
            </w:pPr>
            <w:r>
              <w:rPr>
                <w:rFonts w:ascii="宋体"/>
                <w:w w:val="95"/>
                <w:sz w:val="20"/>
              </w:rPr>
              <w:t>56,840,490.27</w:t>
            </w:r>
            <w:r>
              <w:rPr>
                <w:rFonts w:ascii="宋体"/>
                <w:sz w:val="20"/>
              </w:rPr>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01"/>
              <w:jc w:val="right"/>
              <w:rPr>
                <w:rFonts w:ascii="宋体" w:hAnsi="宋体" w:cs="宋体" w:eastAsia="宋体" w:hint="default"/>
                <w:sz w:val="20"/>
                <w:szCs w:val="20"/>
              </w:rPr>
            </w:pPr>
            <w:r>
              <w:rPr>
                <w:rFonts w:ascii="宋体"/>
                <w:w w:val="95"/>
                <w:sz w:val="20"/>
              </w:rPr>
              <w:t>1,887,382.79</w:t>
            </w:r>
            <w:r>
              <w:rPr>
                <w:rFonts w:ascii="宋体"/>
                <w:sz w:val="20"/>
              </w:rPr>
            </w: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9"/>
              <w:jc w:val="right"/>
              <w:rPr>
                <w:rFonts w:ascii="宋体" w:hAnsi="宋体" w:cs="宋体" w:eastAsia="宋体" w:hint="default"/>
                <w:sz w:val="20"/>
                <w:szCs w:val="20"/>
              </w:rPr>
            </w:pPr>
            <w:r>
              <w:rPr>
                <w:rFonts w:ascii="宋体"/>
                <w:w w:val="95"/>
                <w:sz w:val="20"/>
              </w:rPr>
              <w:t>2,136,123,062.52</w:t>
            </w:r>
            <w:r>
              <w:rPr>
                <w:rFonts w:ascii="宋体"/>
                <w:sz w:val="20"/>
              </w:rPr>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9"/>
              <w:jc w:val="right"/>
              <w:rPr>
                <w:rFonts w:ascii="宋体" w:hAnsi="宋体" w:cs="宋体" w:eastAsia="宋体" w:hint="default"/>
                <w:sz w:val="20"/>
                <w:szCs w:val="20"/>
              </w:rPr>
            </w:pPr>
            <w:r>
              <w:rPr>
                <w:rFonts w:ascii="宋体"/>
                <w:w w:val="95"/>
                <w:sz w:val="20"/>
              </w:rPr>
              <w:t>1,673,096,373.00</w:t>
            </w:r>
            <w:r>
              <w:rPr>
                <w:rFonts w:ascii="宋体"/>
                <w:sz w:val="20"/>
              </w:rPr>
            </w:r>
          </w:p>
        </w:tc>
      </w:tr>
      <w:tr>
        <w:trPr>
          <w:trHeight w:val="533"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73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99"/>
              <w:jc w:val="right"/>
              <w:rPr>
                <w:rFonts w:ascii="宋体" w:hAnsi="宋体" w:cs="宋体" w:eastAsia="宋体" w:hint="default"/>
                <w:sz w:val="20"/>
                <w:szCs w:val="20"/>
              </w:rPr>
            </w:pPr>
            <w:r>
              <w:rPr>
                <w:rFonts w:ascii="宋体"/>
                <w:w w:val="95"/>
                <w:sz w:val="20"/>
              </w:rPr>
              <w:t>5,681,186,032.80</w:t>
            </w:r>
            <w:r>
              <w:rPr>
                <w:rFonts w:ascii="宋体"/>
                <w:sz w:val="20"/>
              </w:rPr>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99"/>
              <w:jc w:val="right"/>
              <w:rPr>
                <w:rFonts w:ascii="宋体" w:hAnsi="宋体" w:cs="宋体" w:eastAsia="宋体" w:hint="default"/>
                <w:sz w:val="20"/>
                <w:szCs w:val="20"/>
              </w:rPr>
            </w:pPr>
            <w:r>
              <w:rPr>
                <w:rFonts w:ascii="宋体"/>
                <w:w w:val="95"/>
                <w:sz w:val="20"/>
              </w:rPr>
              <w:t>4,194,460,863.82</w:t>
            </w:r>
            <w:r>
              <w:rPr>
                <w:rFonts w:ascii="宋体"/>
                <w:sz w:val="20"/>
              </w:rPr>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9"/>
              <w:jc w:val="right"/>
              <w:rPr>
                <w:rFonts w:ascii="宋体" w:hAnsi="宋体" w:cs="宋体" w:eastAsia="宋体" w:hint="default"/>
                <w:sz w:val="20"/>
                <w:szCs w:val="20"/>
              </w:rPr>
            </w:pPr>
            <w:r>
              <w:rPr>
                <w:rFonts w:ascii="宋体"/>
                <w:w w:val="95"/>
                <w:sz w:val="20"/>
              </w:rPr>
              <w:t>1,360,711,170.98</w:t>
            </w:r>
            <w:r>
              <w:rPr>
                <w:rFonts w:ascii="宋体"/>
                <w:sz w:val="20"/>
              </w:rPr>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9"/>
              <w:jc w:val="right"/>
              <w:rPr>
                <w:rFonts w:ascii="宋体" w:hAnsi="宋体" w:cs="宋体" w:eastAsia="宋体" w:hint="default"/>
                <w:sz w:val="20"/>
                <w:szCs w:val="20"/>
              </w:rPr>
            </w:pPr>
            <w:r>
              <w:rPr>
                <w:rFonts w:ascii="宋体"/>
                <w:w w:val="95"/>
                <w:sz w:val="20"/>
              </w:rPr>
              <w:t>1,360,711,170.98</w:t>
            </w:r>
            <w:r>
              <w:rPr>
                <w:rFonts w:ascii="宋体"/>
                <w:sz w:val="20"/>
              </w:rPr>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1195"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08"/>
        <w:gridCol w:w="2209"/>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01"/>
              <w:jc w:val="right"/>
              <w:rPr>
                <w:rFonts w:ascii="宋体" w:hAnsi="宋体" w:cs="宋体" w:eastAsia="宋体" w:hint="default"/>
                <w:sz w:val="20"/>
                <w:szCs w:val="20"/>
              </w:rPr>
            </w:pPr>
            <w:r>
              <w:rPr>
                <w:rFonts w:ascii="宋体"/>
                <w:w w:val="95"/>
                <w:sz w:val="20"/>
              </w:rPr>
              <w:t>556,367,822.80</w:t>
            </w:r>
            <w:r>
              <w:rPr>
                <w:rFonts w:ascii="宋体"/>
                <w:sz w:val="20"/>
              </w:rPr>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01"/>
              <w:jc w:val="right"/>
              <w:rPr>
                <w:rFonts w:ascii="宋体" w:hAnsi="宋体" w:cs="宋体" w:eastAsia="宋体" w:hint="default"/>
                <w:sz w:val="20"/>
                <w:szCs w:val="20"/>
              </w:rPr>
            </w:pPr>
            <w:r>
              <w:rPr>
                <w:rFonts w:ascii="宋体"/>
                <w:w w:val="95"/>
                <w:sz w:val="20"/>
              </w:rPr>
              <w:t>556,367,822.80</w:t>
            </w:r>
            <w:r>
              <w:rPr>
                <w:rFonts w:ascii="宋体"/>
                <w:sz w:val="20"/>
              </w:rPr>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01"/>
              <w:jc w:val="right"/>
              <w:rPr>
                <w:rFonts w:ascii="宋体" w:hAnsi="宋体" w:cs="宋体" w:eastAsia="宋体" w:hint="default"/>
                <w:sz w:val="20"/>
                <w:szCs w:val="20"/>
              </w:rPr>
            </w:pPr>
            <w:r>
              <w:rPr>
                <w:rFonts w:ascii="宋体"/>
                <w:w w:val="95"/>
                <w:sz w:val="20"/>
              </w:rPr>
              <w:t>643,647,291.29</w:t>
            </w:r>
            <w:r>
              <w:rPr>
                <w:rFonts w:ascii="宋体"/>
                <w:sz w:val="20"/>
              </w:rPr>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01"/>
              <w:jc w:val="right"/>
              <w:rPr>
                <w:rFonts w:ascii="宋体" w:hAnsi="宋体" w:cs="宋体" w:eastAsia="宋体" w:hint="default"/>
                <w:sz w:val="20"/>
                <w:szCs w:val="20"/>
              </w:rPr>
            </w:pPr>
            <w:r>
              <w:rPr>
                <w:rFonts w:ascii="宋体"/>
                <w:w w:val="95"/>
                <w:sz w:val="20"/>
              </w:rPr>
              <w:t>643,647,291.29</w:t>
            </w:r>
            <w:r>
              <w:rPr>
                <w:rFonts w:ascii="宋体"/>
                <w:sz w:val="20"/>
              </w:rPr>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01"/>
              <w:jc w:val="right"/>
              <w:rPr>
                <w:rFonts w:ascii="宋体" w:hAnsi="宋体" w:cs="宋体" w:eastAsia="宋体" w:hint="default"/>
                <w:sz w:val="20"/>
                <w:szCs w:val="20"/>
              </w:rPr>
            </w:pPr>
            <w:r>
              <w:rPr>
                <w:rFonts w:ascii="宋体"/>
                <w:w w:val="95"/>
                <w:sz w:val="20"/>
              </w:rPr>
              <w:t>-161,287.73</w:t>
            </w:r>
            <w:r>
              <w:rPr>
                <w:rFonts w:ascii="宋体"/>
                <w:sz w:val="20"/>
              </w:rPr>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01"/>
              <w:jc w:val="right"/>
              <w:rPr>
                <w:rFonts w:ascii="宋体" w:hAnsi="宋体" w:cs="宋体" w:eastAsia="宋体" w:hint="default"/>
                <w:sz w:val="20"/>
                <w:szCs w:val="20"/>
              </w:rPr>
            </w:pPr>
            <w:r>
              <w:rPr>
                <w:rFonts w:ascii="宋体"/>
                <w:w w:val="95"/>
                <w:sz w:val="20"/>
              </w:rPr>
              <w:t>-153,055.10</w:t>
            </w:r>
            <w:r>
              <w:rPr>
                <w:rFonts w:ascii="宋体"/>
                <w:sz w:val="20"/>
              </w:rPr>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535"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311"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01"/>
              <w:jc w:val="right"/>
              <w:rPr>
                <w:rFonts w:ascii="宋体" w:hAnsi="宋体" w:cs="宋体" w:eastAsia="宋体" w:hint="default"/>
                <w:sz w:val="20"/>
                <w:szCs w:val="20"/>
              </w:rPr>
            </w:pPr>
            <w:r>
              <w:rPr>
                <w:rFonts w:ascii="宋体"/>
                <w:w w:val="95"/>
                <w:sz w:val="20"/>
              </w:rPr>
              <w:t>173,123,782.22</w:t>
            </w:r>
            <w:r>
              <w:rPr>
                <w:rFonts w:ascii="宋体"/>
                <w:sz w:val="20"/>
              </w:rPr>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宋体" w:hAnsi="宋体" w:cs="宋体" w:eastAsia="宋体" w:hint="default"/>
                <w:sz w:val="20"/>
                <w:szCs w:val="20"/>
              </w:rPr>
            </w:pPr>
            <w:r>
              <w:rPr>
                <w:rFonts w:ascii="宋体"/>
                <w:w w:val="95"/>
                <w:sz w:val="20"/>
              </w:rPr>
              <w:t>117,813,704.26</w:t>
            </w:r>
            <w:r>
              <w:rPr>
                <w:rFonts w:ascii="宋体"/>
                <w:sz w:val="20"/>
              </w:rPr>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9"/>
              <w:jc w:val="right"/>
              <w:rPr>
                <w:rFonts w:ascii="宋体" w:hAnsi="宋体" w:cs="宋体" w:eastAsia="宋体" w:hint="default"/>
                <w:sz w:val="20"/>
                <w:szCs w:val="20"/>
              </w:rPr>
            </w:pPr>
            <w:r>
              <w:rPr>
                <w:rFonts w:ascii="宋体"/>
                <w:w w:val="95"/>
                <w:sz w:val="20"/>
              </w:rPr>
              <w:t>1,552,468,412.56</w:t>
            </w:r>
            <w:r>
              <w:rPr>
                <w:rFonts w:ascii="宋体"/>
                <w:sz w:val="20"/>
              </w:rPr>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9"/>
              <w:jc w:val="right"/>
              <w:rPr>
                <w:rFonts w:ascii="宋体" w:hAnsi="宋体" w:cs="宋体" w:eastAsia="宋体" w:hint="default"/>
                <w:sz w:val="20"/>
                <w:szCs w:val="20"/>
              </w:rPr>
            </w:pPr>
            <w:r>
              <w:rPr>
                <w:rFonts w:ascii="宋体"/>
                <w:w w:val="95"/>
                <w:sz w:val="20"/>
              </w:rPr>
              <w:t>1,055,412,382.90</w:t>
            </w:r>
            <w:r>
              <w:rPr>
                <w:rFonts w:ascii="宋体"/>
                <w:sz w:val="20"/>
              </w:rPr>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9"/>
              <w:jc w:val="right"/>
              <w:rPr>
                <w:rFonts w:ascii="宋体" w:hAnsi="宋体" w:cs="宋体" w:eastAsia="宋体" w:hint="default"/>
                <w:sz w:val="20"/>
                <w:szCs w:val="20"/>
              </w:rPr>
            </w:pPr>
            <w:r>
              <w:rPr>
                <w:rFonts w:ascii="宋体"/>
                <w:w w:val="95"/>
                <w:sz w:val="20"/>
              </w:rPr>
              <w:t>2,998,862,609.54</w:t>
            </w:r>
            <w:r>
              <w:rPr>
                <w:rFonts w:ascii="宋体"/>
                <w:sz w:val="20"/>
              </w:rPr>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9"/>
              <w:jc w:val="right"/>
              <w:rPr>
                <w:rFonts w:ascii="宋体" w:hAnsi="宋体" w:cs="宋体" w:eastAsia="宋体" w:hint="default"/>
                <w:sz w:val="20"/>
                <w:szCs w:val="20"/>
              </w:rPr>
            </w:pPr>
            <w:r>
              <w:rPr>
                <w:rFonts w:ascii="宋体"/>
                <w:w w:val="95"/>
                <w:sz w:val="20"/>
              </w:rPr>
              <w:t>2,446,504,734.55</w:t>
            </w:r>
            <w:r>
              <w:rPr>
                <w:rFonts w:ascii="宋体"/>
                <w:sz w:val="20"/>
              </w:rPr>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9"/>
              <w:jc w:val="right"/>
              <w:rPr>
                <w:rFonts w:ascii="宋体" w:hAnsi="宋体" w:cs="宋体" w:eastAsia="宋体" w:hint="default"/>
                <w:sz w:val="20"/>
                <w:szCs w:val="20"/>
              </w:rPr>
            </w:pPr>
            <w:r>
              <w:rPr>
                <w:rFonts w:ascii="宋体"/>
                <w:w w:val="95"/>
                <w:sz w:val="20"/>
              </w:rPr>
              <w:t>2,998,862,609.54</w:t>
            </w:r>
            <w:r>
              <w:rPr>
                <w:rFonts w:ascii="宋体"/>
                <w:sz w:val="20"/>
              </w:rPr>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9"/>
              <w:jc w:val="right"/>
              <w:rPr>
                <w:rFonts w:ascii="宋体" w:hAnsi="宋体" w:cs="宋体" w:eastAsia="宋体" w:hint="default"/>
                <w:sz w:val="20"/>
                <w:szCs w:val="20"/>
              </w:rPr>
            </w:pPr>
            <w:r>
              <w:rPr>
                <w:rFonts w:ascii="宋体"/>
                <w:w w:val="95"/>
                <w:sz w:val="20"/>
              </w:rPr>
              <w:t>2,446,504,734.55</w:t>
            </w:r>
            <w:r>
              <w:rPr>
                <w:rFonts w:ascii="宋体"/>
                <w:sz w:val="20"/>
              </w:rPr>
            </w: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9"/>
              <w:jc w:val="right"/>
              <w:rPr>
                <w:rFonts w:ascii="宋体" w:hAnsi="宋体" w:cs="宋体" w:eastAsia="宋体" w:hint="default"/>
                <w:sz w:val="20"/>
                <w:szCs w:val="20"/>
              </w:rPr>
            </w:pPr>
            <w:r>
              <w:rPr>
                <w:rFonts w:ascii="宋体"/>
                <w:w w:val="95"/>
                <w:sz w:val="20"/>
              </w:rPr>
              <w:t>8,680,048,642.34</w:t>
            </w:r>
            <w:r>
              <w:rPr>
                <w:rFonts w:ascii="宋体"/>
                <w:sz w:val="20"/>
              </w:rPr>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9"/>
              <w:jc w:val="right"/>
              <w:rPr>
                <w:rFonts w:ascii="宋体" w:hAnsi="宋体" w:cs="宋体" w:eastAsia="宋体" w:hint="default"/>
                <w:sz w:val="20"/>
                <w:szCs w:val="20"/>
              </w:rPr>
            </w:pPr>
            <w:r>
              <w:rPr>
                <w:rFonts w:ascii="宋体"/>
                <w:w w:val="95"/>
                <w:sz w:val="20"/>
              </w:rPr>
              <w:t>6,640,965,598.37</w:t>
            </w:r>
            <w:r>
              <w:rPr>
                <w:rFonts w:ascii="宋体"/>
                <w:sz w:val="20"/>
              </w:rPr>
            </w:r>
          </w:p>
        </w:tc>
      </w:tr>
    </w:tbl>
    <w:p>
      <w:pPr>
        <w:spacing w:line="240" w:lineRule="auto" w:before="8"/>
        <w:rPr>
          <w:rFonts w:ascii="Times New Roman" w:hAnsi="Times New Roman" w:cs="Times New Roman" w:eastAsia="Times New Roman" w:hint="default"/>
          <w:sz w:val="17"/>
          <w:szCs w:val="17"/>
        </w:rPr>
      </w:pPr>
    </w:p>
    <w:p>
      <w:pPr>
        <w:pStyle w:val="BodyText"/>
        <w:tabs>
          <w:tab w:pos="2738" w:val="left" w:leader="none"/>
          <w:tab w:pos="5784" w:val="left" w:leader="none"/>
        </w:tabs>
        <w:spacing w:line="240" w:lineRule="auto" w:before="36"/>
        <w:ind w:right="227"/>
        <w:jc w:val="left"/>
      </w:pPr>
      <w:r>
        <w:rPr>
          <w:spacing w:val="-1"/>
        </w:rPr>
        <w:t>法定代表人：郭东圣</w:t>
        <w:tab/>
      </w:r>
      <w:r>
        <w:rPr>
          <w:spacing w:val="-2"/>
        </w:rPr>
        <w:t>主管会计工作负责人：李良海</w:t>
        <w:tab/>
        <w:t>会计机构负责人：郑清勇</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77" w:footer="1195" w:top="1100" w:bottom="1380" w:left="1580" w:right="10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pStyle w:val="BodyText"/>
        <w:spacing w:line="240" w:lineRule="auto"/>
        <w:ind w:right="0"/>
        <w:jc w:val="left"/>
      </w:pPr>
      <w:r>
        <w:rPr>
          <w:spacing w:val="-2"/>
        </w:rPr>
        <w:t>编制单位</w:t>
      </w:r>
      <w:r>
        <w:rPr>
          <w:rFonts w:ascii="宋体" w:hAnsi="宋体" w:cs="宋体" w:eastAsia="宋体" w:hint="default"/>
          <w:spacing w:val="-2"/>
        </w:rPr>
        <w:t>:</w:t>
      </w:r>
      <w:r>
        <w:rPr>
          <w:spacing w:val="-2"/>
        </w:rPr>
        <w:t>安通控股股份有限公司</w:t>
      </w:r>
    </w:p>
    <w:p>
      <w:pPr>
        <w:spacing w:before="36"/>
        <w:ind w:left="218" w:right="-16" w:firstLine="21"/>
        <w:jc w:val="left"/>
        <w:rPr>
          <w:rFonts w:ascii="宋体" w:hAnsi="宋体" w:cs="宋体" w:eastAsia="宋体" w:hint="default"/>
          <w:sz w:val="21"/>
          <w:szCs w:val="21"/>
        </w:rPr>
      </w:pPr>
      <w:r>
        <w:rPr/>
        <w:br w:type="column"/>
      </w:r>
      <w:r>
        <w:rPr>
          <w:rFonts w:ascii="宋体" w:hAnsi="宋体" w:cs="宋体" w:eastAsia="宋体" w:hint="default"/>
          <w:b/>
          <w:bCs/>
          <w:sz w:val="21"/>
          <w:szCs w:val="21"/>
        </w:rPr>
        <w:t>母公司资产负债表</w:t>
      </w:r>
      <w:r>
        <w:rPr>
          <w:rFonts w:ascii="宋体" w:hAnsi="宋体" w:cs="宋体" w:eastAsia="宋体" w:hint="default"/>
          <w:b/>
          <w:bCs/>
          <w:w w:val="100"/>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tabs>
          <w:tab w:pos="1164"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3" w:equalWidth="0">
            <w:col w:w="3267" w:space="283"/>
            <w:col w:w="1954" w:space="1229"/>
            <w:col w:w="2557"/>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65"/>
        <w:gridCol w:w="955"/>
        <w:gridCol w:w="2194"/>
        <w:gridCol w:w="2235"/>
      </w:tblGrid>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59"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67"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9"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01"/>
              <w:jc w:val="right"/>
              <w:rPr>
                <w:rFonts w:ascii="宋体" w:hAnsi="宋体" w:cs="宋体" w:eastAsia="宋体" w:hint="default"/>
                <w:sz w:val="20"/>
                <w:szCs w:val="20"/>
              </w:rPr>
            </w:pPr>
            <w:r>
              <w:rPr>
                <w:rFonts w:ascii="宋体"/>
                <w:w w:val="95"/>
                <w:sz w:val="20"/>
              </w:rPr>
              <w:t>5,596,849.38</w:t>
            </w:r>
            <w:r>
              <w:rPr>
                <w:rFonts w:ascii="宋体"/>
                <w:sz w:val="20"/>
              </w:rPr>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01"/>
              <w:jc w:val="right"/>
              <w:rPr>
                <w:rFonts w:ascii="宋体" w:hAnsi="宋体" w:cs="宋体" w:eastAsia="宋体" w:hint="default"/>
                <w:sz w:val="20"/>
                <w:szCs w:val="20"/>
              </w:rPr>
            </w:pPr>
            <w:r>
              <w:rPr>
                <w:rFonts w:ascii="宋体"/>
                <w:w w:val="95"/>
                <w:sz w:val="20"/>
              </w:rPr>
              <w:t>72,839.94</w:t>
            </w:r>
            <w:r>
              <w:rPr>
                <w:rFonts w:ascii="宋体"/>
                <w:sz w:val="20"/>
              </w:rPr>
            </w:r>
          </w:p>
        </w:tc>
      </w:tr>
      <w:tr>
        <w:trPr>
          <w:trHeight w:val="562"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19,300,000.00</w:t>
            </w:r>
            <w:r>
              <w:rPr>
                <w:rFonts w:ascii="宋体"/>
                <w:sz w:val="20"/>
              </w:rPr>
            </w: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635,921,831.93</w:t>
            </w:r>
            <w:r>
              <w:rPr>
                <w:rFonts w:ascii="宋体"/>
                <w:sz w:val="20"/>
              </w:rPr>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30,182,833.07</w:t>
            </w:r>
            <w:r>
              <w:rPr>
                <w:rFonts w:ascii="宋体"/>
                <w:sz w:val="20"/>
              </w:rPr>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184,462.82</w:t>
            </w:r>
            <w:r>
              <w:rPr>
                <w:rFonts w:ascii="宋体"/>
                <w:sz w:val="20"/>
              </w:rPr>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504,063.07</w:t>
            </w:r>
            <w:r>
              <w:rPr>
                <w:rFonts w:ascii="宋体"/>
                <w:sz w:val="20"/>
              </w:rPr>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661,003,144.13</w:t>
            </w:r>
            <w:r>
              <w:rPr>
                <w:rFonts w:ascii="宋体"/>
                <w:sz w:val="20"/>
              </w:rPr>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30,759,736.08</w:t>
            </w:r>
            <w:r>
              <w:rPr>
                <w:rFonts w:ascii="宋体"/>
                <w:sz w:val="20"/>
              </w:rPr>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4,456,421,224.82</w:t>
            </w:r>
            <w:r>
              <w:rPr>
                <w:rFonts w:ascii="宋体"/>
                <w:sz w:val="20"/>
              </w:rPr>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4,293,647,291.29</w:t>
            </w:r>
            <w:r>
              <w:rPr>
                <w:rFonts w:ascii="宋体"/>
                <w:sz w:val="20"/>
              </w:rPr>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188,103.11</w:t>
            </w:r>
            <w:r>
              <w:rPr>
                <w:rFonts w:ascii="宋体"/>
                <w:sz w:val="20"/>
              </w:rPr>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222,666.92</w:t>
            </w:r>
            <w:r>
              <w:rPr>
                <w:rFonts w:ascii="宋体"/>
                <w:sz w:val="20"/>
              </w:rPr>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65"/>
        <w:gridCol w:w="955"/>
        <w:gridCol w:w="2194"/>
        <w:gridCol w:w="2235"/>
      </w:tblGrid>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4,456,609,327.93</w:t>
            </w:r>
            <w:r>
              <w:rPr>
                <w:rFonts w:ascii="宋体"/>
                <w:sz w:val="20"/>
              </w:rPr>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4,293,869,958.21</w:t>
            </w:r>
            <w:r>
              <w:rPr>
                <w:rFonts w:ascii="宋体"/>
                <w:sz w:val="20"/>
              </w:rPr>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5,117,612,472.06</w:t>
            </w:r>
            <w:r>
              <w:rPr>
                <w:rFonts w:ascii="宋体"/>
                <w:sz w:val="20"/>
              </w:rPr>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4,324,629,694.29</w:t>
            </w:r>
            <w:r>
              <w:rPr>
                <w:rFonts w:ascii="宋体"/>
                <w:sz w:val="20"/>
              </w:rPr>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300,000,000.00</w:t>
            </w:r>
            <w:r>
              <w:rPr>
                <w:rFonts w:ascii="宋体"/>
                <w:sz w:val="20"/>
              </w:rPr>
            </w: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8"/>
              <w:jc w:val="right"/>
              <w:rPr>
                <w:rFonts w:ascii="宋体" w:hAnsi="宋体" w:cs="宋体" w:eastAsia="宋体" w:hint="default"/>
                <w:sz w:val="20"/>
                <w:szCs w:val="20"/>
              </w:rPr>
            </w:pPr>
            <w:r>
              <w:rPr>
                <w:rFonts w:ascii="宋体"/>
                <w:w w:val="95"/>
                <w:sz w:val="20"/>
              </w:rPr>
              <w:t>4,500.00</w:t>
            </w:r>
            <w:r>
              <w:rPr>
                <w:rFonts w:ascii="宋体"/>
                <w:sz w:val="20"/>
              </w:rPr>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345,797.25</w:t>
            </w:r>
            <w:r>
              <w:rPr>
                <w:rFonts w:ascii="宋体"/>
                <w:sz w:val="20"/>
              </w:rPr>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359,286.98</w:t>
            </w:r>
            <w:r>
              <w:rPr>
                <w:rFonts w:ascii="宋体"/>
                <w:sz w:val="20"/>
              </w:rPr>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465,017.01</w:t>
            </w:r>
            <w:r>
              <w:rPr>
                <w:rFonts w:ascii="宋体"/>
                <w:sz w:val="20"/>
              </w:rPr>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93,199.26</w:t>
            </w:r>
            <w:r>
              <w:rPr>
                <w:rFonts w:ascii="宋体"/>
                <w:sz w:val="20"/>
              </w:rPr>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632,500.00</w:t>
            </w:r>
            <w:r>
              <w:rPr>
                <w:rFonts w:ascii="宋体"/>
                <w:sz w:val="20"/>
              </w:rPr>
            </w: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99"/>
              <w:jc w:val="right"/>
              <w:rPr>
                <w:rFonts w:ascii="宋体" w:hAnsi="宋体" w:cs="宋体" w:eastAsia="宋体" w:hint="default"/>
                <w:sz w:val="20"/>
                <w:szCs w:val="20"/>
              </w:rPr>
            </w:pPr>
            <w:r>
              <w:rPr>
                <w:rFonts w:ascii="宋体"/>
                <w:w w:val="95"/>
                <w:sz w:val="20"/>
              </w:rPr>
              <w:t>632,083.61</w:t>
            </w:r>
            <w:r>
              <w:rPr>
                <w:rFonts w:ascii="宋体"/>
                <w:sz w:val="20"/>
              </w:rPr>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99"/>
              <w:jc w:val="right"/>
              <w:rPr>
                <w:rFonts w:ascii="宋体" w:hAnsi="宋体" w:cs="宋体" w:eastAsia="宋体" w:hint="default"/>
                <w:sz w:val="20"/>
                <w:szCs w:val="20"/>
              </w:rPr>
            </w:pPr>
            <w:r>
              <w:rPr>
                <w:rFonts w:ascii="宋体"/>
                <w:w w:val="95"/>
                <w:sz w:val="20"/>
              </w:rPr>
              <w:t>15,008,066.09</w:t>
            </w:r>
            <w:r>
              <w:rPr>
                <w:rFonts w:ascii="宋体"/>
                <w:sz w:val="20"/>
              </w:rPr>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505,624,589.69</w:t>
            </w:r>
            <w:r>
              <w:rPr>
                <w:rFonts w:ascii="宋体"/>
                <w:sz w:val="20"/>
              </w:rPr>
            </w: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101"/>
              <w:jc w:val="right"/>
              <w:rPr>
                <w:rFonts w:ascii="宋体" w:hAnsi="宋体" w:cs="宋体" w:eastAsia="宋体" w:hint="default"/>
                <w:sz w:val="20"/>
                <w:szCs w:val="20"/>
              </w:rPr>
            </w:pPr>
            <w:r>
              <w:rPr>
                <w:rFonts w:ascii="宋体"/>
                <w:w w:val="95"/>
                <w:sz w:val="20"/>
              </w:rPr>
              <w:t>807,699,987.56</w:t>
            </w:r>
            <w:r>
              <w:rPr>
                <w:rFonts w:ascii="宋体"/>
                <w:sz w:val="20"/>
              </w:rPr>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99"/>
              <w:jc w:val="right"/>
              <w:rPr>
                <w:rFonts w:ascii="宋体" w:hAnsi="宋体" w:cs="宋体" w:eastAsia="宋体" w:hint="default"/>
                <w:sz w:val="20"/>
                <w:szCs w:val="20"/>
              </w:rPr>
            </w:pPr>
            <w:r>
              <w:rPr>
                <w:rFonts w:ascii="宋体"/>
                <w:w w:val="95"/>
                <w:sz w:val="20"/>
              </w:rPr>
              <w:t>15,465,052.33</w:t>
            </w:r>
            <w:r>
              <w:rPr>
                <w:rFonts w:ascii="宋体"/>
                <w:sz w:val="20"/>
              </w:rPr>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807,699,987.56</w:t>
            </w:r>
            <w:r>
              <w:rPr>
                <w:rFonts w:ascii="宋体"/>
                <w:sz w:val="20"/>
              </w:rPr>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15,465,052.33</w:t>
            </w:r>
            <w:r>
              <w:rPr>
                <w:rFonts w:ascii="宋体"/>
                <w:sz w:val="20"/>
              </w:rPr>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1,062,128,511.00</w:t>
            </w:r>
            <w:r>
              <w:rPr>
                <w:rFonts w:ascii="宋体"/>
                <w:sz w:val="20"/>
              </w:rPr>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1,062,128,511.00</w:t>
            </w:r>
            <w:r>
              <w:rPr>
                <w:rFonts w:ascii="宋体"/>
                <w:sz w:val="20"/>
              </w:rPr>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3,947,156,119.85</w:t>
            </w:r>
            <w:r>
              <w:rPr>
                <w:rFonts w:ascii="宋体"/>
                <w:sz w:val="20"/>
              </w:rPr>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3,947,156,119.85</w:t>
            </w:r>
            <w:r>
              <w:rPr>
                <w:rFonts w:ascii="宋体"/>
                <w:sz w:val="20"/>
              </w:rPr>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1195"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65"/>
        <w:gridCol w:w="955"/>
        <w:gridCol w:w="2194"/>
        <w:gridCol w:w="2235"/>
      </w:tblGrid>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28,067,460.06</w:t>
            </w:r>
            <w:r>
              <w:rPr>
                <w:rFonts w:ascii="宋体"/>
                <w:sz w:val="20"/>
              </w:rPr>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28,067,460.06</w:t>
            </w:r>
            <w:r>
              <w:rPr>
                <w:rFonts w:ascii="宋体"/>
                <w:sz w:val="20"/>
              </w:rPr>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-727,439,606.41</w:t>
            </w:r>
            <w:r>
              <w:rPr>
                <w:rFonts w:ascii="宋体"/>
                <w:sz w:val="20"/>
              </w:rPr>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-728,187,448.95</w:t>
            </w:r>
            <w:r>
              <w:rPr>
                <w:rFonts w:ascii="宋体"/>
                <w:sz w:val="20"/>
              </w:rPr>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4,309,912,484.50</w:t>
            </w:r>
            <w:r>
              <w:rPr>
                <w:rFonts w:ascii="宋体"/>
                <w:sz w:val="20"/>
              </w:rPr>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4,309,164,641.96</w:t>
            </w:r>
            <w:r>
              <w:rPr>
                <w:rFonts w:ascii="宋体"/>
                <w:sz w:val="20"/>
              </w:rPr>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99"/>
              <w:jc w:val="right"/>
              <w:rPr>
                <w:rFonts w:ascii="宋体" w:hAnsi="宋体" w:cs="宋体" w:eastAsia="宋体" w:hint="default"/>
                <w:sz w:val="20"/>
                <w:szCs w:val="20"/>
              </w:rPr>
            </w:pPr>
            <w:r>
              <w:rPr>
                <w:rFonts w:ascii="宋体"/>
                <w:w w:val="95"/>
                <w:sz w:val="20"/>
              </w:rPr>
              <w:t>5,117,612,472.06</w:t>
            </w:r>
            <w:r>
              <w:rPr>
                <w:rFonts w:ascii="宋体"/>
                <w:sz w:val="20"/>
              </w:rPr>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99"/>
              <w:jc w:val="right"/>
              <w:rPr>
                <w:rFonts w:ascii="宋体" w:hAnsi="宋体" w:cs="宋体" w:eastAsia="宋体" w:hint="default"/>
                <w:sz w:val="20"/>
                <w:szCs w:val="20"/>
              </w:rPr>
            </w:pPr>
            <w:r>
              <w:rPr>
                <w:rFonts w:ascii="宋体"/>
                <w:w w:val="95"/>
                <w:sz w:val="20"/>
              </w:rPr>
              <w:t>4,324,629,694.29</w:t>
            </w:r>
            <w:r>
              <w:rPr>
                <w:rFonts w:ascii="宋体"/>
                <w:sz w:val="20"/>
              </w:rPr>
            </w:r>
          </w:p>
        </w:tc>
      </w:tr>
    </w:tbl>
    <w:p>
      <w:pPr>
        <w:spacing w:line="240" w:lineRule="auto" w:before="8"/>
        <w:rPr>
          <w:rFonts w:ascii="Times New Roman" w:hAnsi="Times New Roman" w:cs="Times New Roman" w:eastAsia="Times New Roman" w:hint="default"/>
          <w:sz w:val="17"/>
          <w:szCs w:val="17"/>
        </w:rPr>
      </w:pPr>
    </w:p>
    <w:p>
      <w:pPr>
        <w:pStyle w:val="BodyText"/>
        <w:tabs>
          <w:tab w:pos="2738" w:val="left" w:leader="none"/>
          <w:tab w:pos="6310" w:val="left" w:leader="none"/>
        </w:tabs>
        <w:spacing w:line="240" w:lineRule="auto" w:before="36"/>
        <w:ind w:right="227"/>
        <w:jc w:val="left"/>
      </w:pPr>
      <w:r>
        <w:rPr>
          <w:spacing w:val="-1"/>
        </w:rPr>
        <w:t>法定代表人：郭东圣</w:t>
        <w:tab/>
      </w:r>
      <w:r>
        <w:rPr>
          <w:spacing w:val="-2"/>
        </w:rPr>
        <w:t>主管会计工作负责人：李良海</w:t>
        <w:tab/>
        <w:t>会计机构负责人：郑清勇</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77" w:footer="1195" w:top="1100" w:bottom="1380" w:left="1580" w:right="1040"/>
        </w:sectPr>
      </w:pPr>
    </w:p>
    <w:p>
      <w:pPr>
        <w:spacing w:line="272" w:lineRule="exact" w:before="64"/>
        <w:ind w:left="3873" w:right="-16" w:firstLine="232"/>
        <w:jc w:val="left"/>
        <w:rPr>
          <w:rFonts w:ascii="宋体" w:hAnsi="宋体" w:cs="宋体" w:eastAsia="宋体" w:hint="default"/>
          <w:sz w:val="21"/>
          <w:szCs w:val="21"/>
        </w:rPr>
      </w:pPr>
      <w:r>
        <w:rPr>
          <w:rFonts w:ascii="宋体" w:hAnsi="宋体" w:cs="宋体" w:eastAsia="宋体" w:hint="default"/>
          <w:b/>
          <w:bCs/>
          <w:sz w:val="21"/>
          <w:szCs w:val="21"/>
        </w:rPr>
        <w:t>合并利润表</w:t>
      </w:r>
      <w:r>
        <w:rPr>
          <w:rFonts w:ascii="宋体" w:hAnsi="宋体" w:cs="宋体" w:eastAsia="宋体" w:hint="default"/>
          <w:b/>
          <w:bCs/>
          <w:w w:val="100"/>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6"/>
        <w:rPr>
          <w:rFonts w:ascii="宋体" w:hAnsi="宋体" w:cs="宋体" w:eastAsia="宋体" w:hint="default"/>
          <w:sz w:val="24"/>
          <w:szCs w:val="24"/>
        </w:rPr>
      </w:pPr>
    </w:p>
    <w:p>
      <w:pPr>
        <w:pStyle w:val="BodyText"/>
        <w:tabs>
          <w:tab w:pos="2458" w:val="left" w:leader="none"/>
        </w:tabs>
        <w:spacing w:line="240" w:lineRule="auto"/>
        <w:ind w:left="1512"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5399" w:space="40"/>
            <w:col w:w="3851"/>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126"/>
        <w:gridCol w:w="968"/>
        <w:gridCol w:w="1973"/>
        <w:gridCol w:w="1983"/>
      </w:tblGrid>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9"/>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3"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8"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8"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02"/>
              <w:jc w:val="right"/>
              <w:rPr>
                <w:rFonts w:ascii="宋体" w:hAnsi="宋体" w:cs="宋体" w:eastAsia="宋体" w:hint="default"/>
                <w:sz w:val="20"/>
                <w:szCs w:val="20"/>
              </w:rPr>
            </w:pPr>
            <w:r>
              <w:rPr>
                <w:rFonts w:ascii="宋体"/>
                <w:w w:val="95"/>
                <w:sz w:val="20"/>
              </w:rPr>
              <w:t>6,760,621,855.82</w:t>
            </w:r>
            <w:r>
              <w:rPr>
                <w:rFonts w:ascii="宋体"/>
                <w:sz w:val="20"/>
              </w:rPr>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7"/>
              <w:jc w:val="right"/>
              <w:rPr>
                <w:rFonts w:ascii="宋体" w:hAnsi="宋体" w:cs="宋体" w:eastAsia="宋体" w:hint="default"/>
                <w:sz w:val="20"/>
                <w:szCs w:val="20"/>
              </w:rPr>
            </w:pPr>
            <w:r>
              <w:rPr>
                <w:rFonts w:ascii="宋体"/>
                <w:w w:val="95"/>
                <w:sz w:val="20"/>
              </w:rPr>
              <w:t>3,798,127,101.17</w:t>
            </w:r>
            <w:r>
              <w:rPr>
                <w:rFonts w:ascii="宋体"/>
                <w:sz w:val="20"/>
              </w:rPr>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02"/>
              <w:jc w:val="right"/>
              <w:rPr>
                <w:rFonts w:ascii="宋体" w:hAnsi="宋体" w:cs="宋体" w:eastAsia="宋体" w:hint="default"/>
                <w:sz w:val="20"/>
                <w:szCs w:val="20"/>
              </w:rPr>
            </w:pPr>
            <w:r>
              <w:rPr>
                <w:rFonts w:ascii="宋体"/>
                <w:w w:val="95"/>
                <w:sz w:val="20"/>
              </w:rPr>
              <w:t>6,760,621,855.82</w:t>
            </w:r>
            <w:r>
              <w:rPr>
                <w:rFonts w:ascii="宋体"/>
                <w:sz w:val="20"/>
              </w:rPr>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7"/>
              <w:jc w:val="right"/>
              <w:rPr>
                <w:rFonts w:ascii="宋体" w:hAnsi="宋体" w:cs="宋体" w:eastAsia="宋体" w:hint="default"/>
                <w:sz w:val="20"/>
                <w:szCs w:val="20"/>
              </w:rPr>
            </w:pPr>
            <w:r>
              <w:rPr>
                <w:rFonts w:ascii="宋体"/>
                <w:w w:val="95"/>
                <w:sz w:val="20"/>
              </w:rPr>
              <w:t>3,798,127,101.17</w:t>
            </w:r>
            <w:r>
              <w:rPr>
                <w:rFonts w:ascii="宋体"/>
                <w:sz w:val="20"/>
              </w:rPr>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102"/>
              <w:jc w:val="right"/>
              <w:rPr>
                <w:rFonts w:ascii="宋体" w:hAnsi="宋体" w:cs="宋体" w:eastAsia="宋体" w:hint="default"/>
                <w:sz w:val="20"/>
                <w:szCs w:val="20"/>
              </w:rPr>
            </w:pPr>
            <w:r>
              <w:rPr>
                <w:rFonts w:ascii="宋体"/>
                <w:w w:val="95"/>
                <w:sz w:val="20"/>
              </w:rPr>
              <w:t>6,075,963,912.41</w:t>
            </w:r>
            <w:r>
              <w:rPr>
                <w:rFonts w:ascii="宋体"/>
                <w:sz w:val="20"/>
              </w:rPr>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97"/>
              <w:jc w:val="right"/>
              <w:rPr>
                <w:rFonts w:ascii="宋体" w:hAnsi="宋体" w:cs="宋体" w:eastAsia="宋体" w:hint="default"/>
                <w:sz w:val="20"/>
                <w:szCs w:val="20"/>
              </w:rPr>
            </w:pPr>
            <w:r>
              <w:rPr>
                <w:rFonts w:ascii="宋体"/>
                <w:w w:val="95"/>
                <w:sz w:val="20"/>
              </w:rPr>
              <w:t>3,317,545,467.78</w:t>
            </w:r>
            <w:r>
              <w:rPr>
                <w:rFonts w:ascii="宋体"/>
                <w:sz w:val="20"/>
              </w:rPr>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102"/>
              <w:jc w:val="right"/>
              <w:rPr>
                <w:rFonts w:ascii="宋体" w:hAnsi="宋体" w:cs="宋体" w:eastAsia="宋体" w:hint="default"/>
                <w:sz w:val="20"/>
                <w:szCs w:val="20"/>
              </w:rPr>
            </w:pPr>
            <w:r>
              <w:rPr>
                <w:rFonts w:ascii="宋体"/>
                <w:w w:val="95"/>
                <w:sz w:val="20"/>
              </w:rPr>
              <w:t>5,675,039,390.11</w:t>
            </w:r>
            <w:r>
              <w:rPr>
                <w:rFonts w:ascii="宋体"/>
                <w:sz w:val="20"/>
              </w:rPr>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7"/>
              <w:jc w:val="right"/>
              <w:rPr>
                <w:rFonts w:ascii="宋体" w:hAnsi="宋体" w:cs="宋体" w:eastAsia="宋体" w:hint="default"/>
                <w:sz w:val="20"/>
                <w:szCs w:val="20"/>
              </w:rPr>
            </w:pPr>
            <w:r>
              <w:rPr>
                <w:rFonts w:ascii="宋体"/>
                <w:w w:val="95"/>
                <w:sz w:val="20"/>
              </w:rPr>
              <w:t>2,933,240,601.70</w:t>
            </w:r>
            <w:r>
              <w:rPr>
                <w:rFonts w:ascii="宋体"/>
                <w:sz w:val="20"/>
              </w:rPr>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731"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10,044,296.68</w:t>
            </w:r>
            <w:r>
              <w:rPr>
                <w:rFonts w:ascii="宋体"/>
                <w:sz w:val="20"/>
              </w:rPr>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6"/>
              <w:jc w:val="right"/>
              <w:rPr>
                <w:rFonts w:ascii="宋体" w:hAnsi="宋体" w:cs="宋体" w:eastAsia="宋体" w:hint="default"/>
                <w:sz w:val="20"/>
                <w:szCs w:val="20"/>
              </w:rPr>
            </w:pPr>
            <w:r>
              <w:rPr>
                <w:rFonts w:ascii="宋体"/>
                <w:w w:val="95"/>
                <w:sz w:val="20"/>
              </w:rPr>
              <w:t>8,170,894.32</w:t>
            </w:r>
            <w:r>
              <w:rPr>
                <w:rFonts w:ascii="宋体"/>
                <w:sz w:val="20"/>
              </w:rPr>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15,489,084.44</w:t>
            </w:r>
            <w:r>
              <w:rPr>
                <w:rFonts w:ascii="宋体"/>
                <w:sz w:val="20"/>
              </w:rPr>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7"/>
              <w:jc w:val="right"/>
              <w:rPr>
                <w:rFonts w:ascii="宋体" w:hAnsi="宋体" w:cs="宋体" w:eastAsia="宋体" w:hint="default"/>
                <w:sz w:val="20"/>
                <w:szCs w:val="20"/>
              </w:rPr>
            </w:pPr>
            <w:r>
              <w:rPr>
                <w:rFonts w:ascii="宋体"/>
                <w:w w:val="95"/>
                <w:sz w:val="20"/>
              </w:rPr>
              <w:t>13,909,402.46</w:t>
            </w:r>
            <w:r>
              <w:rPr>
                <w:rFonts w:ascii="宋体"/>
                <w:sz w:val="20"/>
              </w:rPr>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101"/>
              <w:jc w:val="right"/>
              <w:rPr>
                <w:rFonts w:ascii="宋体" w:hAnsi="宋体" w:cs="宋体" w:eastAsia="宋体" w:hint="default"/>
                <w:sz w:val="20"/>
                <w:szCs w:val="20"/>
              </w:rPr>
            </w:pPr>
            <w:r>
              <w:rPr>
                <w:rFonts w:ascii="宋体"/>
                <w:w w:val="95"/>
                <w:sz w:val="20"/>
              </w:rPr>
              <w:t>173,981,056.46</w:t>
            </w:r>
            <w:r>
              <w:rPr>
                <w:rFonts w:ascii="宋体"/>
                <w:sz w:val="20"/>
              </w:rPr>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97"/>
              <w:jc w:val="right"/>
              <w:rPr>
                <w:rFonts w:ascii="宋体" w:hAnsi="宋体" w:cs="宋体" w:eastAsia="宋体" w:hint="default"/>
                <w:sz w:val="20"/>
                <w:szCs w:val="20"/>
              </w:rPr>
            </w:pPr>
            <w:r>
              <w:rPr>
                <w:rFonts w:ascii="宋体"/>
                <w:w w:val="95"/>
                <w:sz w:val="20"/>
              </w:rPr>
              <w:t>121,363,524.06</w:t>
            </w:r>
            <w:r>
              <w:rPr>
                <w:rFonts w:ascii="宋体"/>
                <w:sz w:val="20"/>
              </w:rPr>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190,707,407.06</w:t>
            </w:r>
            <w:r>
              <w:rPr>
                <w:rFonts w:ascii="宋体"/>
                <w:sz w:val="20"/>
              </w:rPr>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7"/>
              <w:jc w:val="right"/>
              <w:rPr>
                <w:rFonts w:ascii="宋体" w:hAnsi="宋体" w:cs="宋体" w:eastAsia="宋体" w:hint="default"/>
                <w:sz w:val="20"/>
                <w:szCs w:val="20"/>
              </w:rPr>
            </w:pPr>
            <w:r>
              <w:rPr>
                <w:rFonts w:ascii="宋体"/>
                <w:w w:val="95"/>
                <w:sz w:val="20"/>
              </w:rPr>
              <w:t>237,237,523.16</w:t>
            </w:r>
            <w:r>
              <w:rPr>
                <w:rFonts w:ascii="宋体"/>
                <w:sz w:val="20"/>
              </w:rPr>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10,702,677.66</w:t>
            </w:r>
            <w:r>
              <w:rPr>
                <w:rFonts w:ascii="宋体"/>
                <w:sz w:val="20"/>
              </w:rPr>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6"/>
              <w:jc w:val="right"/>
              <w:rPr>
                <w:rFonts w:ascii="宋体" w:hAnsi="宋体" w:cs="宋体" w:eastAsia="宋体" w:hint="default"/>
                <w:sz w:val="20"/>
                <w:szCs w:val="20"/>
              </w:rPr>
            </w:pPr>
            <w:r>
              <w:rPr>
                <w:rFonts w:ascii="宋体"/>
                <w:w w:val="95"/>
                <w:sz w:val="20"/>
              </w:rPr>
              <w:t>3,623,522.08</w:t>
            </w:r>
            <w:r>
              <w:rPr>
                <w:rFonts w:ascii="宋体"/>
                <w:sz w:val="20"/>
              </w:rPr>
            </w: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pacing w:val="-6"/>
                <w:sz w:val="21"/>
                <w:szCs w:val="21"/>
              </w:rPr>
              <w:t>加：公允价值变动收益（损失以“－”号</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1,061,933.53</w:t>
            </w:r>
            <w:r>
              <w:rPr>
                <w:rFonts w:ascii="宋体"/>
                <w:sz w:val="20"/>
              </w:rPr>
            </w: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731" w:right="0"/>
              <w:jc w:val="left"/>
              <w:rPr>
                <w:rFonts w:ascii="宋体" w:hAnsi="宋体" w:cs="宋体" w:eastAsia="宋体" w:hint="default"/>
                <w:sz w:val="21"/>
                <w:szCs w:val="21"/>
              </w:rPr>
            </w:pPr>
            <w:r>
              <w:rPr>
                <w:rFonts w:ascii="宋体" w:hAnsi="宋体" w:cs="宋体" w:eastAsia="宋体" w:hint="default"/>
                <w:spacing w:val="-7"/>
                <w:sz w:val="21"/>
                <w:szCs w:val="21"/>
              </w:rPr>
              <w:t>其中：对联营企业和合营企业的投资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8"/>
              <w:jc w:val="left"/>
              <w:rPr>
                <w:rFonts w:ascii="宋体" w:hAnsi="宋体" w:cs="宋体" w:eastAsia="宋体" w:hint="default"/>
                <w:sz w:val="21"/>
                <w:szCs w:val="21"/>
              </w:rPr>
            </w:pPr>
            <w:r>
              <w:rPr>
                <w:rFonts w:ascii="宋体" w:hAnsi="宋体" w:cs="宋体" w:eastAsia="宋体" w:hint="default"/>
                <w:spacing w:val="-13"/>
                <w:sz w:val="21"/>
                <w:szCs w:val="21"/>
              </w:rPr>
              <w:t>资产处置收益（损失以“－”号填列）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-39,383,950.57</w:t>
            </w:r>
            <w:r>
              <w:rPr>
                <w:rFonts w:ascii="宋体"/>
                <w:sz w:val="20"/>
              </w:rPr>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6"/>
              <w:jc w:val="right"/>
              <w:rPr>
                <w:rFonts w:ascii="宋体" w:hAnsi="宋体" w:cs="宋体" w:eastAsia="宋体" w:hint="default"/>
                <w:sz w:val="20"/>
                <w:szCs w:val="20"/>
              </w:rPr>
            </w:pPr>
            <w:r>
              <w:rPr>
                <w:rFonts w:ascii="宋体"/>
                <w:w w:val="95"/>
                <w:sz w:val="20"/>
              </w:rPr>
              <w:t>-2,945,247.29</w:t>
            </w:r>
            <w:r>
              <w:rPr>
                <w:rFonts w:ascii="宋体"/>
                <w:sz w:val="20"/>
              </w:rPr>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汇兑收益（损失以“－”号填列）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95,610,078.00</w:t>
            </w:r>
            <w:r>
              <w:rPr>
                <w:rFonts w:ascii="宋体"/>
                <w:sz w:val="20"/>
              </w:rPr>
            </w: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三、营业利润（亏损以“－”号填列）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741,946,004.37</w:t>
            </w:r>
            <w:r>
              <w:rPr>
                <w:rFonts w:ascii="宋体"/>
                <w:sz w:val="20"/>
              </w:rPr>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7"/>
              <w:jc w:val="right"/>
              <w:rPr>
                <w:rFonts w:ascii="宋体" w:hAnsi="宋体" w:cs="宋体" w:eastAsia="宋体" w:hint="default"/>
                <w:sz w:val="20"/>
                <w:szCs w:val="20"/>
              </w:rPr>
            </w:pPr>
            <w:r>
              <w:rPr>
                <w:rFonts w:ascii="宋体"/>
                <w:w w:val="95"/>
                <w:sz w:val="20"/>
              </w:rPr>
              <w:t>477,636,386.10</w:t>
            </w:r>
            <w:r>
              <w:rPr>
                <w:rFonts w:ascii="宋体"/>
                <w:sz w:val="20"/>
              </w:rPr>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1,116,902.79</w:t>
            </w:r>
            <w:r>
              <w:rPr>
                <w:rFonts w:ascii="宋体"/>
                <w:sz w:val="20"/>
              </w:rPr>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7"/>
              <w:jc w:val="right"/>
              <w:rPr>
                <w:rFonts w:ascii="宋体" w:hAnsi="宋体" w:cs="宋体" w:eastAsia="宋体" w:hint="default"/>
                <w:sz w:val="20"/>
                <w:szCs w:val="20"/>
              </w:rPr>
            </w:pPr>
            <w:r>
              <w:rPr>
                <w:rFonts w:ascii="宋体"/>
                <w:w w:val="95"/>
                <w:sz w:val="20"/>
              </w:rPr>
              <w:t>64,191,257.01</w:t>
            </w:r>
            <w:r>
              <w:rPr>
                <w:rFonts w:ascii="宋体"/>
                <w:sz w:val="20"/>
              </w:rPr>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101"/>
              <w:jc w:val="right"/>
              <w:rPr>
                <w:rFonts w:ascii="宋体" w:hAnsi="宋体" w:cs="宋体" w:eastAsia="宋体" w:hint="default"/>
                <w:sz w:val="20"/>
                <w:szCs w:val="20"/>
              </w:rPr>
            </w:pPr>
            <w:r>
              <w:rPr>
                <w:rFonts w:ascii="宋体"/>
                <w:w w:val="95"/>
                <w:sz w:val="20"/>
              </w:rPr>
              <w:t>939,377.92</w:t>
            </w:r>
            <w:r>
              <w:rPr>
                <w:rFonts w:ascii="宋体"/>
                <w:sz w:val="20"/>
              </w:rPr>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96"/>
              <w:jc w:val="right"/>
              <w:rPr>
                <w:rFonts w:ascii="宋体" w:hAnsi="宋体" w:cs="宋体" w:eastAsia="宋体" w:hint="default"/>
                <w:sz w:val="20"/>
                <w:szCs w:val="20"/>
              </w:rPr>
            </w:pPr>
            <w:r>
              <w:rPr>
                <w:rFonts w:ascii="宋体"/>
                <w:w w:val="95"/>
                <w:sz w:val="20"/>
              </w:rPr>
              <w:t>3,642,414.41</w:t>
            </w:r>
            <w:r>
              <w:rPr>
                <w:rFonts w:ascii="宋体"/>
                <w:sz w:val="20"/>
              </w:rPr>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四、利润总额（亏损总额以“－”号填列）</w:t>
            </w:r>
            <w:r>
              <w:rPr>
                <w:rFonts w:ascii="宋体" w:hAnsi="宋体" w:cs="宋体" w:eastAsia="宋体" w:hint="default"/>
                <w:sz w:val="21"/>
                <w:szCs w:val="21"/>
              </w:rPr>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742,123,529.24</w:t>
            </w:r>
            <w:r>
              <w:rPr>
                <w:rFonts w:ascii="宋体"/>
                <w:sz w:val="20"/>
              </w:rPr>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7"/>
              <w:jc w:val="right"/>
              <w:rPr>
                <w:rFonts w:ascii="宋体" w:hAnsi="宋体" w:cs="宋体" w:eastAsia="宋体" w:hint="default"/>
                <w:sz w:val="20"/>
                <w:szCs w:val="20"/>
              </w:rPr>
            </w:pPr>
            <w:r>
              <w:rPr>
                <w:rFonts w:ascii="宋体"/>
                <w:w w:val="95"/>
                <w:sz w:val="20"/>
              </w:rPr>
              <w:t>538,185,228.70</w:t>
            </w:r>
            <w:r>
              <w:rPr>
                <w:rFonts w:ascii="宋体"/>
                <w:sz w:val="20"/>
              </w:rPr>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189,757,421.62</w:t>
            </w:r>
            <w:r>
              <w:rPr>
                <w:rFonts w:ascii="宋体"/>
                <w:sz w:val="20"/>
              </w:rPr>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7"/>
              <w:jc w:val="right"/>
              <w:rPr>
                <w:rFonts w:ascii="宋体" w:hAnsi="宋体" w:cs="宋体" w:eastAsia="宋体" w:hint="default"/>
                <w:sz w:val="20"/>
                <w:szCs w:val="20"/>
              </w:rPr>
            </w:pPr>
            <w:r>
              <w:rPr>
                <w:rFonts w:ascii="宋体"/>
                <w:w w:val="95"/>
                <w:sz w:val="20"/>
              </w:rPr>
              <w:t>136,892,423.25</w:t>
            </w:r>
            <w:r>
              <w:rPr>
                <w:rFonts w:ascii="宋体"/>
                <w:sz w:val="20"/>
              </w:rPr>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五、净利润（净亏损以“－”号填列）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552,366,107.62</w:t>
            </w:r>
            <w:r>
              <w:rPr>
                <w:rFonts w:ascii="宋体"/>
                <w:sz w:val="20"/>
              </w:rPr>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7"/>
              <w:jc w:val="right"/>
              <w:rPr>
                <w:rFonts w:ascii="宋体" w:hAnsi="宋体" w:cs="宋体" w:eastAsia="宋体" w:hint="default"/>
                <w:sz w:val="20"/>
                <w:szCs w:val="20"/>
              </w:rPr>
            </w:pPr>
            <w:r>
              <w:rPr>
                <w:rFonts w:ascii="宋体"/>
                <w:w w:val="95"/>
                <w:sz w:val="20"/>
              </w:rPr>
              <w:t>401,292,805.45</w:t>
            </w:r>
            <w:r>
              <w:rPr>
                <w:rFonts w:ascii="宋体"/>
                <w:sz w:val="20"/>
              </w:rPr>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z w:val="21"/>
                <w:szCs w:val="21"/>
              </w:rPr>
              <w:t>按经营持续性分类</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4126"/>
        <w:gridCol w:w="968"/>
        <w:gridCol w:w="1973"/>
        <w:gridCol w:w="1983"/>
      </w:tblGrid>
      <w:tr>
        <w:trPr>
          <w:trHeight w:val="795"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100" w:right="95" w:firstLine="419"/>
              <w:jc w:val="left"/>
              <w:rPr>
                <w:rFonts w:ascii="宋体" w:hAnsi="宋体" w:cs="宋体" w:eastAsia="宋体" w:hint="default"/>
                <w:sz w:val="21"/>
                <w:szCs w:val="21"/>
              </w:rPr>
            </w:pPr>
            <w:r>
              <w:rPr>
                <w:rFonts w:ascii="宋体" w:hAnsi="宋体" w:cs="宋体" w:eastAsia="宋体" w:hint="default"/>
                <w:spacing w:val="-6"/>
                <w:sz w:val="21"/>
                <w:szCs w:val="21"/>
              </w:rPr>
              <w:t>1.</w:t>
            </w:r>
            <w:r>
              <w:rPr>
                <w:rFonts w:ascii="宋体" w:hAnsi="宋体" w:cs="宋体" w:eastAsia="宋体" w:hint="default"/>
                <w:spacing w:val="-6"/>
                <w:sz w:val="21"/>
                <w:szCs w:val="21"/>
              </w:rPr>
              <w:t>持续经营净利润（净亏损以“－”号</w:t>
            </w:r>
            <w:r>
              <w:rPr>
                <w:rFonts w:ascii="宋体" w:hAnsi="宋体" w:cs="宋体" w:eastAsia="宋体" w:hint="default"/>
                <w:w w:val="100"/>
                <w:sz w:val="21"/>
                <w:szCs w:val="21"/>
              </w:rPr>
              <w:t> </w:t>
            </w:r>
            <w:r>
              <w:rPr>
                <w:rFonts w:ascii="宋体" w:hAnsi="宋体" w:cs="宋体" w:eastAsia="宋体" w:hint="default"/>
                <w:sz w:val="21"/>
                <w:szCs w:val="21"/>
              </w:rPr>
              <w:t>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04"/>
              <w:jc w:val="right"/>
              <w:rPr>
                <w:rFonts w:ascii="宋体" w:hAnsi="宋体" w:cs="宋体" w:eastAsia="宋体" w:hint="default"/>
                <w:sz w:val="20"/>
                <w:szCs w:val="20"/>
              </w:rPr>
            </w:pPr>
            <w:r>
              <w:rPr>
                <w:rFonts w:ascii="宋体"/>
                <w:w w:val="95"/>
                <w:sz w:val="20"/>
              </w:rPr>
              <w:t>552,366,107.62</w:t>
            </w:r>
            <w:r>
              <w:rPr>
                <w:rFonts w:ascii="宋体"/>
                <w:sz w:val="20"/>
              </w:rPr>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97"/>
              <w:jc w:val="right"/>
              <w:rPr>
                <w:rFonts w:ascii="宋体" w:hAnsi="宋体" w:cs="宋体" w:eastAsia="宋体" w:hint="default"/>
                <w:sz w:val="20"/>
                <w:szCs w:val="20"/>
              </w:rPr>
            </w:pPr>
            <w:r>
              <w:rPr>
                <w:rFonts w:ascii="宋体"/>
                <w:w w:val="95"/>
                <w:sz w:val="20"/>
              </w:rPr>
              <w:t>401,292,805.45</w:t>
            </w:r>
            <w:r>
              <w:rPr>
                <w:rFonts w:ascii="宋体"/>
                <w:sz w:val="20"/>
              </w:rPr>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pacing w:val="-6"/>
                <w:sz w:val="21"/>
                <w:szCs w:val="21"/>
              </w:rPr>
              <w:t>2.</w:t>
            </w:r>
            <w:r>
              <w:rPr>
                <w:rFonts w:ascii="宋体" w:hAnsi="宋体" w:cs="宋体" w:eastAsia="宋体" w:hint="default"/>
                <w:spacing w:val="-6"/>
                <w:sz w:val="21"/>
                <w:szCs w:val="21"/>
              </w:rPr>
              <w:t>终止经营净利润（净亏损以“－”号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二</w:t>
            </w:r>
            <w:r>
              <w:rPr>
                <w:rFonts w:ascii="宋体" w:hAnsi="宋体" w:cs="宋体" w:eastAsia="宋体" w:hint="default"/>
                <w:sz w:val="21"/>
                <w:szCs w:val="21"/>
              </w:rPr>
              <w:t>)</w:t>
            </w:r>
            <w:r>
              <w:rPr>
                <w:rFonts w:ascii="宋体" w:hAnsi="宋体" w:cs="宋体" w:eastAsia="宋体" w:hint="default"/>
                <w:sz w:val="21"/>
                <w:szCs w:val="21"/>
              </w:rPr>
              <w:t>按所有权归属分类</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少数股东损益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归属于母公司股东的净利润</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552,366,107.62</w:t>
            </w:r>
            <w:r>
              <w:rPr>
                <w:rFonts w:ascii="宋体"/>
                <w:sz w:val="20"/>
              </w:rPr>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7"/>
              <w:jc w:val="right"/>
              <w:rPr>
                <w:rFonts w:ascii="宋体" w:hAnsi="宋体" w:cs="宋体" w:eastAsia="宋体" w:hint="default"/>
                <w:sz w:val="20"/>
                <w:szCs w:val="20"/>
              </w:rPr>
            </w:pPr>
            <w:r>
              <w:rPr>
                <w:rFonts w:ascii="宋体"/>
                <w:w w:val="95"/>
                <w:sz w:val="20"/>
              </w:rPr>
              <w:t>401,292,805.45</w:t>
            </w:r>
            <w:r>
              <w:rPr>
                <w:rFonts w:ascii="宋体"/>
                <w:sz w:val="20"/>
              </w:rPr>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101"/>
              <w:jc w:val="right"/>
              <w:rPr>
                <w:rFonts w:ascii="宋体" w:hAnsi="宋体" w:cs="宋体" w:eastAsia="宋体" w:hint="default"/>
                <w:sz w:val="20"/>
                <w:szCs w:val="20"/>
              </w:rPr>
            </w:pPr>
            <w:r>
              <w:rPr>
                <w:rFonts w:ascii="宋体"/>
                <w:w w:val="95"/>
                <w:sz w:val="20"/>
              </w:rPr>
              <w:t>-8,232.63</w:t>
            </w:r>
            <w:r>
              <w:rPr>
                <w:rFonts w:ascii="宋体"/>
                <w:sz w:val="20"/>
              </w:rPr>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96"/>
              <w:jc w:val="right"/>
              <w:rPr>
                <w:rFonts w:ascii="宋体" w:hAnsi="宋体" w:cs="宋体" w:eastAsia="宋体" w:hint="default"/>
                <w:sz w:val="20"/>
                <w:szCs w:val="20"/>
              </w:rPr>
            </w:pPr>
            <w:r>
              <w:rPr>
                <w:rFonts w:ascii="宋体"/>
                <w:w w:val="95"/>
                <w:sz w:val="20"/>
              </w:rPr>
              <w:t>47,631.93</w:t>
            </w:r>
            <w:r>
              <w:rPr>
                <w:rFonts w:ascii="宋体"/>
                <w:sz w:val="20"/>
              </w:rPr>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归属母公司所有者的其他综合收益的税</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后净额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-8,232.63</w:t>
            </w:r>
            <w:r>
              <w:rPr>
                <w:rFonts w:ascii="宋体"/>
                <w:sz w:val="20"/>
              </w:rPr>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6"/>
              <w:jc w:val="right"/>
              <w:rPr>
                <w:rFonts w:ascii="宋体" w:hAnsi="宋体" w:cs="宋体" w:eastAsia="宋体" w:hint="default"/>
                <w:sz w:val="20"/>
                <w:szCs w:val="20"/>
              </w:rPr>
            </w:pPr>
            <w:r>
              <w:rPr>
                <w:rFonts w:ascii="宋体"/>
                <w:w w:val="95"/>
                <w:sz w:val="20"/>
              </w:rPr>
              <w:t>47,631.93</w:t>
            </w:r>
            <w:r>
              <w:rPr>
                <w:rFonts w:ascii="宋体"/>
                <w:sz w:val="20"/>
              </w:rPr>
            </w: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pacing w:val="-6"/>
                <w:sz w:val="21"/>
                <w:szCs w:val="21"/>
              </w:rPr>
              <w:t>（一）以后不能重分类进损益的其他综</w:t>
            </w:r>
          </w:p>
          <w:p>
            <w:pPr>
              <w:pStyle w:val="TableParagraph"/>
              <w:spacing w:line="275" w:lineRule="exact"/>
              <w:ind w:left="100" w:right="0"/>
              <w:jc w:val="left"/>
              <w:rPr>
                <w:rFonts w:ascii="宋体" w:hAnsi="宋体" w:cs="宋体" w:eastAsia="宋体" w:hint="default"/>
                <w:sz w:val="21"/>
                <w:szCs w:val="21"/>
              </w:rPr>
            </w:pPr>
            <w:r>
              <w:rPr>
                <w:rFonts w:ascii="宋体" w:hAnsi="宋体" w:cs="宋体" w:eastAsia="宋体" w:hint="default"/>
                <w:sz w:val="21"/>
                <w:szCs w:val="21"/>
              </w:rPr>
              <w:t>合收益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重新计量设定受益计划净负债或</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净资产的变动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73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权益法下在被投资单位不能重分</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类进损益的其他综合收益中享有的份额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pacing w:val="-6"/>
                <w:sz w:val="21"/>
                <w:szCs w:val="21"/>
              </w:rPr>
              <w:t>（二）以后将重分类进损益的其他综合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-8,232.63</w:t>
            </w:r>
            <w:r>
              <w:rPr>
                <w:rFonts w:ascii="宋体"/>
                <w:sz w:val="20"/>
              </w:rPr>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6"/>
              <w:jc w:val="right"/>
              <w:rPr>
                <w:rFonts w:ascii="宋体" w:hAnsi="宋体" w:cs="宋体" w:eastAsia="宋体" w:hint="default"/>
                <w:sz w:val="20"/>
                <w:szCs w:val="20"/>
              </w:rPr>
            </w:pPr>
            <w:r>
              <w:rPr>
                <w:rFonts w:ascii="宋体"/>
                <w:w w:val="95"/>
                <w:sz w:val="20"/>
              </w:rPr>
              <w:t>47,631.93</w:t>
            </w:r>
            <w:r>
              <w:rPr>
                <w:rFonts w:ascii="宋体"/>
                <w:sz w:val="20"/>
              </w:rPr>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firstLine="631"/>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权益法下在被投资单位以后将重</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分类进损益的其他综合收益中享有的份额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可供出售金融资产公允价值变动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1"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持有至到期投资重分类为可供出</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售金融资产损益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32"/>
              <w:jc w:val="right"/>
              <w:rPr>
                <w:rFonts w:ascii="宋体" w:hAnsi="宋体" w:cs="宋体" w:eastAsia="宋体" w:hint="default"/>
                <w:sz w:val="21"/>
                <w:szCs w:val="21"/>
              </w:rPr>
            </w:pPr>
            <w:r>
              <w:rPr>
                <w:rFonts w:ascii="宋体" w:hAnsi="宋体" w:cs="宋体" w:eastAsia="宋体" w:hint="default"/>
                <w:spacing w:val="-1"/>
                <w:sz w:val="21"/>
                <w:szCs w:val="21"/>
              </w:rPr>
              <w:t>4.</w:t>
            </w:r>
            <w:r>
              <w:rPr>
                <w:rFonts w:ascii="宋体" w:hAnsi="宋体" w:cs="宋体" w:eastAsia="宋体" w:hint="default"/>
                <w:spacing w:val="-1"/>
                <w:sz w:val="21"/>
                <w:szCs w:val="21"/>
              </w:rPr>
              <w:t>现金流量套期损益的有效部分</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外币财务报表折算差额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101"/>
              <w:jc w:val="right"/>
              <w:rPr>
                <w:rFonts w:ascii="宋体" w:hAnsi="宋体" w:cs="宋体" w:eastAsia="宋体" w:hint="default"/>
                <w:sz w:val="20"/>
                <w:szCs w:val="20"/>
              </w:rPr>
            </w:pPr>
            <w:r>
              <w:rPr>
                <w:rFonts w:ascii="宋体"/>
                <w:w w:val="95"/>
                <w:sz w:val="20"/>
              </w:rPr>
              <w:t>-8,232.63</w:t>
            </w:r>
            <w:r>
              <w:rPr>
                <w:rFonts w:ascii="宋体"/>
                <w:sz w:val="20"/>
              </w:rPr>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96"/>
              <w:jc w:val="right"/>
              <w:rPr>
                <w:rFonts w:ascii="宋体" w:hAnsi="宋体" w:cs="宋体" w:eastAsia="宋体" w:hint="default"/>
                <w:sz w:val="20"/>
                <w:szCs w:val="20"/>
              </w:rPr>
            </w:pPr>
            <w:r>
              <w:rPr>
                <w:rFonts w:ascii="宋体"/>
                <w:w w:val="95"/>
                <w:sz w:val="20"/>
              </w:rPr>
              <w:t>47,631.93</w:t>
            </w:r>
            <w:r>
              <w:rPr>
                <w:rFonts w:ascii="宋体"/>
                <w:sz w:val="20"/>
              </w:rPr>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归属于少数股东的其他综合收益的税后</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552,357,874.99</w:t>
            </w:r>
            <w:r>
              <w:rPr>
                <w:rFonts w:ascii="宋体"/>
                <w:sz w:val="20"/>
              </w:rPr>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7"/>
              <w:jc w:val="right"/>
              <w:rPr>
                <w:rFonts w:ascii="宋体" w:hAnsi="宋体" w:cs="宋体" w:eastAsia="宋体" w:hint="default"/>
                <w:sz w:val="20"/>
                <w:szCs w:val="20"/>
              </w:rPr>
            </w:pPr>
            <w:r>
              <w:rPr>
                <w:rFonts w:ascii="宋体"/>
                <w:w w:val="95"/>
                <w:sz w:val="20"/>
              </w:rPr>
              <w:t>401,340,437.38</w:t>
            </w:r>
            <w:r>
              <w:rPr>
                <w:rFonts w:ascii="宋体"/>
                <w:sz w:val="20"/>
              </w:rPr>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32"/>
              <w:jc w:val="right"/>
              <w:rPr>
                <w:rFonts w:ascii="宋体" w:hAnsi="宋体" w:cs="宋体" w:eastAsia="宋体" w:hint="default"/>
                <w:sz w:val="21"/>
                <w:szCs w:val="21"/>
              </w:rPr>
            </w:pPr>
            <w:r>
              <w:rPr>
                <w:rFonts w:ascii="宋体" w:hAnsi="宋体" w:cs="宋体" w:eastAsia="宋体" w:hint="default"/>
                <w:spacing w:val="-2"/>
                <w:sz w:val="21"/>
                <w:szCs w:val="21"/>
              </w:rPr>
              <w:t>归属于母公司所有者的综合收益总额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552,357,874.99</w:t>
            </w:r>
            <w:r>
              <w:rPr>
                <w:rFonts w:ascii="宋体"/>
                <w:sz w:val="20"/>
              </w:rPr>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7"/>
              <w:jc w:val="right"/>
              <w:rPr>
                <w:rFonts w:ascii="宋体" w:hAnsi="宋体" w:cs="宋体" w:eastAsia="宋体" w:hint="default"/>
                <w:sz w:val="20"/>
                <w:szCs w:val="20"/>
              </w:rPr>
            </w:pPr>
            <w:r>
              <w:rPr>
                <w:rFonts w:ascii="宋体"/>
                <w:w w:val="95"/>
                <w:sz w:val="20"/>
              </w:rPr>
              <w:t>401,340,437.38</w:t>
            </w:r>
            <w:r>
              <w:rPr>
                <w:rFonts w:ascii="宋体"/>
                <w:sz w:val="20"/>
              </w:rPr>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八、每股收益：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8"/>
              <w:jc w:val="right"/>
              <w:rPr>
                <w:rFonts w:ascii="宋体" w:hAnsi="宋体" w:cs="宋体" w:eastAsia="宋体" w:hint="default"/>
                <w:sz w:val="20"/>
                <w:szCs w:val="20"/>
              </w:rPr>
            </w:pPr>
            <w:r>
              <w:rPr>
                <w:rFonts w:ascii="宋体"/>
                <w:sz w:val="20"/>
              </w:rPr>
              <w:t>0.52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5"/>
              <w:jc w:val="right"/>
              <w:rPr>
                <w:rFonts w:ascii="宋体" w:hAnsi="宋体" w:cs="宋体" w:eastAsia="宋体" w:hint="default"/>
                <w:sz w:val="20"/>
                <w:szCs w:val="20"/>
              </w:rPr>
            </w:pPr>
            <w:r>
              <w:rPr>
                <w:rFonts w:ascii="宋体"/>
                <w:sz w:val="20"/>
              </w:rPr>
              <w:t>0.50</w:t>
            </w:r>
          </w:p>
        </w:tc>
      </w:tr>
      <w:tr>
        <w:trPr>
          <w:trHeight w:val="28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8"/>
              <w:jc w:val="right"/>
              <w:rPr>
                <w:rFonts w:ascii="宋体" w:hAnsi="宋体" w:cs="宋体" w:eastAsia="宋体" w:hint="default"/>
                <w:sz w:val="20"/>
                <w:szCs w:val="20"/>
              </w:rPr>
            </w:pPr>
            <w:r>
              <w:rPr>
                <w:rFonts w:ascii="宋体"/>
                <w:sz w:val="20"/>
              </w:rPr>
              <w:t>0.52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5"/>
              <w:jc w:val="right"/>
              <w:rPr>
                <w:rFonts w:ascii="宋体" w:hAnsi="宋体" w:cs="宋体" w:eastAsia="宋体" w:hint="default"/>
                <w:sz w:val="20"/>
                <w:szCs w:val="20"/>
              </w:rPr>
            </w:pPr>
            <w:r>
              <w:rPr>
                <w:rFonts w:ascii="宋体"/>
                <w:sz w:val="20"/>
              </w:rPr>
              <w:t>0.50</w:t>
            </w:r>
          </w:p>
        </w:tc>
      </w:tr>
    </w:tbl>
    <w:p>
      <w:pPr>
        <w:spacing w:line="240" w:lineRule="auto" w:before="5"/>
        <w:rPr>
          <w:rFonts w:ascii="宋体" w:hAnsi="宋体" w:cs="宋体" w:eastAsia="宋体" w:hint="default"/>
          <w:sz w:val="15"/>
          <w:szCs w:val="15"/>
        </w:rPr>
      </w:pPr>
    </w:p>
    <w:p>
      <w:pPr>
        <w:pStyle w:val="BodyText"/>
        <w:spacing w:line="240" w:lineRule="auto" w:before="36"/>
        <w:ind w:right="227"/>
        <w:jc w:val="left"/>
      </w:pPr>
      <w:r>
        <w:rPr>
          <w:spacing w:val="-5"/>
        </w:rPr>
        <w:t>本期发生同一控制下企业合并的，被合并方在合并前实现的净利润为：</w:t>
      </w:r>
      <w:r>
        <w:rPr>
          <w:rFonts w:ascii="宋体" w:hAnsi="宋体" w:cs="宋体" w:eastAsia="宋体" w:hint="default"/>
          <w:spacing w:val="-5"/>
        </w:rPr>
        <w:t>0</w:t>
      </w:r>
      <w:r>
        <w:rPr>
          <w:rFonts w:ascii="宋体" w:hAnsi="宋体" w:cs="宋体" w:eastAsia="宋体" w:hint="default"/>
          <w:spacing w:val="51"/>
        </w:rPr>
        <w:t> </w:t>
      </w:r>
      <w:r>
        <w:rPr/>
        <w:t>元</w:t>
      </w:r>
      <w:r>
        <w:rPr>
          <w:rFonts w:ascii="宋体" w:hAnsi="宋体" w:cs="宋体" w:eastAsia="宋体" w:hint="default"/>
        </w:rPr>
        <w:t>,</w:t>
      </w:r>
      <w:r>
        <w:rPr/>
        <w:t>上期被合并方实现的</w:t>
      </w:r>
      <w:r>
        <w:rPr>
          <w:spacing w:val="-96"/>
        </w:rPr>
        <w:t> </w:t>
      </w:r>
      <w:r>
        <w:rPr>
          <w:spacing w:val="-96"/>
        </w:rPr>
      </w:r>
      <w:r>
        <w:rPr/>
        <w:t>净利润为：</w:t>
      </w:r>
      <w:r>
        <w:rPr>
          <w:rFonts w:ascii="宋体" w:hAnsi="宋体" w:cs="宋体" w:eastAsia="宋体" w:hint="default"/>
        </w:rPr>
        <w:t>0</w:t>
      </w:r>
      <w:r>
        <w:rPr>
          <w:rFonts w:ascii="宋体" w:hAnsi="宋体" w:cs="宋体" w:eastAsia="宋体" w:hint="default"/>
          <w:spacing w:val="3"/>
        </w:rPr>
        <w:t> </w:t>
      </w:r>
      <w:r>
        <w:rPr>
          <w:spacing w:val="-3"/>
        </w:rPr>
        <w:t>元。</w:t>
      </w:r>
      <w:r>
        <w:rPr/>
      </w:r>
    </w:p>
    <w:p>
      <w:pPr>
        <w:pStyle w:val="BodyText"/>
        <w:tabs>
          <w:tab w:pos="2738" w:val="left" w:leader="none"/>
          <w:tab w:pos="5784" w:val="left" w:leader="none"/>
        </w:tabs>
        <w:spacing w:line="271" w:lineRule="exact"/>
        <w:ind w:right="227"/>
        <w:jc w:val="left"/>
      </w:pPr>
      <w:r>
        <w:rPr>
          <w:spacing w:val="-1"/>
        </w:rPr>
        <w:t>法定代表人：郭东圣</w:t>
        <w:tab/>
      </w:r>
      <w:r>
        <w:rPr>
          <w:spacing w:val="-2"/>
        </w:rPr>
        <w:t>主管会计工作负责人：李良海</w:t>
        <w:tab/>
        <w:t>会计机构负责人：郑清勇</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77" w:footer="1195" w:top="1100" w:bottom="1380" w:left="1580" w:right="1040"/>
        </w:sectPr>
      </w:pPr>
    </w:p>
    <w:p>
      <w:pPr>
        <w:spacing w:before="36"/>
        <w:ind w:left="3873" w:right="-16" w:firstLine="127"/>
        <w:jc w:val="left"/>
        <w:rPr>
          <w:rFonts w:ascii="宋体" w:hAnsi="宋体" w:cs="宋体" w:eastAsia="宋体" w:hint="default"/>
          <w:sz w:val="21"/>
          <w:szCs w:val="21"/>
        </w:rPr>
      </w:pPr>
      <w:r>
        <w:rPr>
          <w:rFonts w:ascii="宋体" w:hAnsi="宋体" w:cs="宋体" w:eastAsia="宋体" w:hint="default"/>
          <w:b/>
          <w:bCs/>
          <w:sz w:val="21"/>
          <w:szCs w:val="21"/>
        </w:rPr>
        <w:t>母公司利润表</w:t>
      </w:r>
      <w:r>
        <w:rPr>
          <w:rFonts w:ascii="宋体" w:hAnsi="宋体" w:cs="宋体" w:eastAsia="宋体" w:hint="default"/>
          <w:b/>
          <w:bCs/>
          <w:w w:val="100"/>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458" w:val="left" w:leader="none"/>
        </w:tabs>
        <w:spacing w:line="240" w:lineRule="auto"/>
        <w:ind w:left="1512"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5399" w:space="40"/>
            <w:col w:w="3851"/>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126"/>
        <w:gridCol w:w="968"/>
        <w:gridCol w:w="1973"/>
        <w:gridCol w:w="1983"/>
      </w:tblGrid>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9"/>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3"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8"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8"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18,207,547.16</w:t>
            </w:r>
            <w:r>
              <w:rPr>
                <w:rFonts w:ascii="宋体"/>
                <w:sz w:val="20"/>
              </w:rPr>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7"/>
              <w:jc w:val="right"/>
              <w:rPr>
                <w:rFonts w:ascii="宋体" w:hAnsi="宋体" w:cs="宋体" w:eastAsia="宋体" w:hint="default"/>
                <w:sz w:val="20"/>
                <w:szCs w:val="20"/>
              </w:rPr>
            </w:pPr>
            <w:r>
              <w:rPr>
                <w:rFonts w:ascii="宋体"/>
                <w:w w:val="95"/>
                <w:sz w:val="20"/>
              </w:rPr>
              <w:t>153,578,626.07</w:t>
            </w:r>
            <w:r>
              <w:rPr>
                <w:rFonts w:ascii="宋体"/>
                <w:sz w:val="20"/>
              </w:rPr>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97"/>
              <w:jc w:val="right"/>
              <w:rPr>
                <w:rFonts w:ascii="宋体" w:hAnsi="宋体" w:cs="宋体" w:eastAsia="宋体" w:hint="default"/>
                <w:sz w:val="20"/>
                <w:szCs w:val="20"/>
              </w:rPr>
            </w:pPr>
            <w:r>
              <w:rPr>
                <w:rFonts w:ascii="宋体"/>
                <w:w w:val="95"/>
                <w:sz w:val="20"/>
              </w:rPr>
              <w:t>168,458,068.73</w:t>
            </w:r>
            <w:r>
              <w:rPr>
                <w:rFonts w:ascii="宋体"/>
                <w:sz w:val="20"/>
              </w:rPr>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83,994.48</w:t>
            </w:r>
            <w:r>
              <w:rPr>
                <w:rFonts w:ascii="宋体"/>
                <w:sz w:val="20"/>
              </w:rPr>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6"/>
              <w:jc w:val="right"/>
              <w:rPr>
                <w:rFonts w:ascii="宋体" w:hAnsi="宋体" w:cs="宋体" w:eastAsia="宋体" w:hint="default"/>
                <w:sz w:val="20"/>
                <w:szCs w:val="20"/>
              </w:rPr>
            </w:pPr>
            <w:r>
              <w:rPr>
                <w:rFonts w:ascii="宋体"/>
                <w:w w:val="95"/>
                <w:sz w:val="20"/>
              </w:rPr>
              <w:t>2,146,823.70</w:t>
            </w:r>
            <w:r>
              <w:rPr>
                <w:rFonts w:ascii="宋体"/>
                <w:sz w:val="20"/>
              </w:rPr>
            </w:r>
          </w:p>
        </w:tc>
      </w:tr>
    </w:tbl>
    <w:p>
      <w:pPr>
        <w:spacing w:after="0" w:line="230" w:lineRule="exact"/>
        <w:jc w:val="right"/>
        <w:rPr>
          <w:rFonts w:ascii="宋体" w:hAnsi="宋体" w:cs="宋体" w:eastAsia="宋体" w:hint="default"/>
          <w:sz w:val="20"/>
          <w:szCs w:val="20"/>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4126"/>
        <w:gridCol w:w="968"/>
        <w:gridCol w:w="1973"/>
        <w:gridCol w:w="1983"/>
      </w:tblGrid>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73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right="96"/>
              <w:jc w:val="right"/>
              <w:rPr>
                <w:rFonts w:ascii="宋体" w:hAnsi="宋体" w:cs="宋体" w:eastAsia="宋体" w:hint="default"/>
                <w:sz w:val="20"/>
                <w:szCs w:val="20"/>
              </w:rPr>
            </w:pPr>
            <w:r>
              <w:rPr>
                <w:rFonts w:ascii="宋体"/>
                <w:w w:val="95"/>
                <w:sz w:val="20"/>
              </w:rPr>
              <w:t>3,097,173.98</w:t>
            </w:r>
            <w:r>
              <w:rPr>
                <w:rFonts w:ascii="宋体"/>
                <w:sz w:val="20"/>
              </w:rPr>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14,035,491.50</w:t>
            </w:r>
            <w:r>
              <w:rPr>
                <w:rFonts w:ascii="宋体"/>
                <w:sz w:val="20"/>
              </w:rPr>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7"/>
              <w:jc w:val="right"/>
              <w:rPr>
                <w:rFonts w:ascii="宋体" w:hAnsi="宋体" w:cs="宋体" w:eastAsia="宋体" w:hint="default"/>
                <w:sz w:val="20"/>
                <w:szCs w:val="20"/>
              </w:rPr>
            </w:pPr>
            <w:r>
              <w:rPr>
                <w:rFonts w:ascii="宋体"/>
                <w:w w:val="95"/>
                <w:sz w:val="20"/>
              </w:rPr>
              <w:t>109,348,104.60</w:t>
            </w:r>
            <w:r>
              <w:rPr>
                <w:rFonts w:ascii="宋体"/>
                <w:sz w:val="20"/>
              </w:rPr>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3,910,729.48</w:t>
            </w:r>
            <w:r>
              <w:rPr>
                <w:rFonts w:ascii="宋体"/>
                <w:sz w:val="20"/>
              </w:rPr>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6"/>
              <w:jc w:val="right"/>
              <w:rPr>
                <w:rFonts w:ascii="宋体" w:hAnsi="宋体" w:cs="宋体" w:eastAsia="宋体" w:hint="default"/>
                <w:sz w:val="20"/>
                <w:szCs w:val="20"/>
              </w:rPr>
            </w:pPr>
            <w:r>
              <w:rPr>
                <w:rFonts w:ascii="宋体"/>
                <w:w w:val="95"/>
                <w:sz w:val="20"/>
              </w:rPr>
              <w:t>-360,898.92</w:t>
            </w:r>
            <w:r>
              <w:rPr>
                <w:rFonts w:ascii="宋体"/>
                <w:sz w:val="20"/>
              </w:rPr>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-1,865.00</w:t>
            </w:r>
            <w:r>
              <w:rPr>
                <w:rFonts w:ascii="宋体"/>
                <w:sz w:val="20"/>
              </w:rPr>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6"/>
              <w:jc w:val="right"/>
              <w:rPr>
                <w:rFonts w:ascii="宋体" w:hAnsi="宋体" w:cs="宋体" w:eastAsia="宋体" w:hint="default"/>
                <w:sz w:val="20"/>
                <w:szCs w:val="20"/>
              </w:rPr>
            </w:pPr>
            <w:r>
              <w:rPr>
                <w:rFonts w:ascii="宋体"/>
                <w:w w:val="95"/>
                <w:sz w:val="20"/>
              </w:rPr>
              <w:t>1,401,065.92</w:t>
            </w:r>
            <w:r>
              <w:rPr>
                <w:rFonts w:ascii="宋体"/>
                <w:sz w:val="20"/>
              </w:rPr>
            </w:r>
          </w:p>
        </w:tc>
      </w:tr>
      <w:tr>
        <w:trPr>
          <w:trHeight w:val="56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pacing w:val="-6"/>
                <w:sz w:val="21"/>
                <w:szCs w:val="21"/>
              </w:rPr>
              <w:t>加：公允价值变动收益（损失以“－”号</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1,061,933.53</w:t>
            </w:r>
            <w:r>
              <w:rPr>
                <w:rFonts w:ascii="宋体"/>
                <w:sz w:val="20"/>
              </w:rPr>
            </w: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pacing w:val="-7"/>
                <w:sz w:val="21"/>
                <w:szCs w:val="21"/>
              </w:rPr>
              <w:t>其中：对联营企业和合营企业的投资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101"/>
              <w:jc w:val="right"/>
              <w:rPr>
                <w:rFonts w:ascii="宋体" w:hAnsi="宋体" w:cs="宋体" w:eastAsia="宋体" w:hint="default"/>
                <w:sz w:val="20"/>
                <w:szCs w:val="20"/>
              </w:rPr>
            </w:pPr>
            <w:r>
              <w:rPr>
                <w:rFonts w:ascii="宋体"/>
                <w:w w:val="95"/>
                <w:sz w:val="20"/>
              </w:rPr>
              <w:t>1,061,933.53</w:t>
            </w:r>
            <w:r>
              <w:rPr>
                <w:rFonts w:ascii="宋体"/>
                <w:sz w:val="20"/>
              </w:rPr>
            </w: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8"/>
              <w:jc w:val="left"/>
              <w:rPr>
                <w:rFonts w:ascii="宋体" w:hAnsi="宋体" w:cs="宋体" w:eastAsia="宋体" w:hint="default"/>
                <w:sz w:val="21"/>
                <w:szCs w:val="21"/>
              </w:rPr>
            </w:pPr>
            <w:r>
              <w:rPr>
                <w:rFonts w:ascii="宋体" w:hAnsi="宋体" w:cs="宋体" w:eastAsia="宋体" w:hint="default"/>
                <w:spacing w:val="-13"/>
                <w:sz w:val="21"/>
                <w:szCs w:val="21"/>
              </w:rPr>
              <w:t>资产处置收益（损失以“－”号填列）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二、营业利润（亏损以“－”号填列）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1,241,130.23</w:t>
            </w:r>
            <w:r>
              <w:rPr>
                <w:rFonts w:ascii="宋体"/>
                <w:sz w:val="20"/>
              </w:rPr>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7"/>
              <w:jc w:val="right"/>
              <w:rPr>
                <w:rFonts w:ascii="宋体" w:hAnsi="宋体" w:cs="宋体" w:eastAsia="宋体" w:hint="default"/>
                <w:sz w:val="20"/>
                <w:szCs w:val="20"/>
              </w:rPr>
            </w:pPr>
            <w:r>
              <w:rPr>
                <w:rFonts w:ascii="宋体"/>
                <w:w w:val="95"/>
                <w:sz w:val="20"/>
              </w:rPr>
              <w:t>-130,511,711.94</w:t>
            </w:r>
            <w:r>
              <w:rPr>
                <w:rFonts w:ascii="宋体"/>
                <w:sz w:val="20"/>
              </w:rPr>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16,422.31</w:t>
            </w:r>
            <w:r>
              <w:rPr>
                <w:rFonts w:ascii="宋体"/>
                <w:sz w:val="20"/>
              </w:rPr>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7"/>
              <w:jc w:val="right"/>
              <w:rPr>
                <w:rFonts w:ascii="宋体" w:hAnsi="宋体" w:cs="宋体" w:eastAsia="宋体" w:hint="default"/>
                <w:sz w:val="20"/>
                <w:szCs w:val="20"/>
              </w:rPr>
            </w:pPr>
            <w:r>
              <w:rPr>
                <w:rFonts w:ascii="宋体"/>
                <w:w w:val="95"/>
                <w:sz w:val="20"/>
              </w:rPr>
              <w:t>424,875,824.85</w:t>
            </w:r>
            <w:r>
              <w:rPr>
                <w:rFonts w:ascii="宋体"/>
                <w:sz w:val="20"/>
              </w:rPr>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101"/>
              <w:jc w:val="right"/>
              <w:rPr>
                <w:rFonts w:ascii="宋体" w:hAnsi="宋体" w:cs="宋体" w:eastAsia="宋体" w:hint="default"/>
                <w:sz w:val="20"/>
                <w:szCs w:val="20"/>
              </w:rPr>
            </w:pPr>
            <w:r>
              <w:rPr>
                <w:rFonts w:ascii="宋体"/>
                <w:w w:val="95"/>
                <w:sz w:val="20"/>
              </w:rPr>
              <w:t>509,710.00</w:t>
            </w:r>
            <w:r>
              <w:rPr>
                <w:rFonts w:ascii="宋体"/>
                <w:sz w:val="20"/>
              </w:rPr>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96"/>
              <w:jc w:val="right"/>
              <w:rPr>
                <w:rFonts w:ascii="宋体" w:hAnsi="宋体" w:cs="宋体" w:eastAsia="宋体" w:hint="default"/>
                <w:sz w:val="20"/>
                <w:szCs w:val="20"/>
              </w:rPr>
            </w:pPr>
            <w:r>
              <w:rPr>
                <w:rFonts w:ascii="宋体"/>
                <w:w w:val="95"/>
                <w:sz w:val="20"/>
              </w:rPr>
              <w:t>1,321,010.84</w:t>
            </w:r>
            <w:r>
              <w:rPr>
                <w:rFonts w:ascii="宋体"/>
                <w:sz w:val="20"/>
              </w:rPr>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三、利润总额（亏损总额以“－”号填列）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747,842.54</w:t>
            </w:r>
            <w:r>
              <w:rPr>
                <w:rFonts w:ascii="宋体"/>
                <w:sz w:val="20"/>
              </w:rPr>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7"/>
              <w:jc w:val="right"/>
              <w:rPr>
                <w:rFonts w:ascii="宋体" w:hAnsi="宋体" w:cs="宋体" w:eastAsia="宋体" w:hint="default"/>
                <w:sz w:val="20"/>
                <w:szCs w:val="20"/>
              </w:rPr>
            </w:pPr>
            <w:r>
              <w:rPr>
                <w:rFonts w:ascii="宋体"/>
                <w:w w:val="95"/>
                <w:sz w:val="20"/>
              </w:rPr>
              <w:t>293,043,102.07</w:t>
            </w:r>
            <w:r>
              <w:rPr>
                <w:rFonts w:ascii="宋体"/>
                <w:sz w:val="20"/>
              </w:rPr>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四、净利润（净亏损以“－”号填列）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747,842.54</w:t>
            </w:r>
            <w:r>
              <w:rPr>
                <w:rFonts w:ascii="宋体"/>
                <w:sz w:val="20"/>
              </w:rPr>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7"/>
              <w:jc w:val="right"/>
              <w:rPr>
                <w:rFonts w:ascii="宋体" w:hAnsi="宋体" w:cs="宋体" w:eastAsia="宋体" w:hint="default"/>
                <w:sz w:val="20"/>
                <w:szCs w:val="20"/>
              </w:rPr>
            </w:pPr>
            <w:r>
              <w:rPr>
                <w:rFonts w:ascii="宋体"/>
                <w:w w:val="95"/>
                <w:sz w:val="20"/>
              </w:rPr>
              <w:t>293,043,102.07</w:t>
            </w:r>
            <w:r>
              <w:rPr>
                <w:rFonts w:ascii="宋体"/>
                <w:sz w:val="20"/>
              </w:rPr>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3" w:right="0"/>
              <w:jc w:val="left"/>
              <w:rPr>
                <w:rFonts w:ascii="宋体" w:hAnsi="宋体" w:cs="宋体" w:eastAsia="宋体" w:hint="default"/>
                <w:sz w:val="21"/>
                <w:szCs w:val="21"/>
              </w:rPr>
            </w:pPr>
            <w:r>
              <w:rPr>
                <w:rFonts w:ascii="宋体" w:hAnsi="宋体" w:cs="宋体" w:eastAsia="宋体" w:hint="default"/>
                <w:spacing w:val="-5"/>
                <w:sz w:val="21"/>
                <w:szCs w:val="21"/>
              </w:rPr>
              <w:t>(</w:t>
            </w:r>
            <w:r>
              <w:rPr>
                <w:rFonts w:ascii="宋体" w:hAnsi="宋体" w:cs="宋体" w:eastAsia="宋体" w:hint="default"/>
                <w:spacing w:val="-5"/>
                <w:sz w:val="21"/>
                <w:szCs w:val="21"/>
              </w:rPr>
              <w:t>一</w:t>
            </w:r>
            <w:r>
              <w:rPr>
                <w:rFonts w:ascii="宋体" w:hAnsi="宋体" w:cs="宋体" w:eastAsia="宋体" w:hint="default"/>
                <w:spacing w:val="-5"/>
                <w:sz w:val="21"/>
                <w:szCs w:val="21"/>
              </w:rPr>
              <w:t>)</w:t>
            </w:r>
            <w:r>
              <w:rPr>
                <w:rFonts w:ascii="宋体" w:hAnsi="宋体" w:cs="宋体" w:eastAsia="宋体" w:hint="default"/>
                <w:spacing w:val="-5"/>
                <w:sz w:val="21"/>
                <w:szCs w:val="21"/>
              </w:rPr>
              <w:t>持续经营净利润（净亏损以“－”</w:t>
            </w:r>
          </w:p>
          <w:p>
            <w:pPr>
              <w:pStyle w:val="TableParagraph"/>
              <w:spacing w:line="273" w:lineRule="exact"/>
              <w:ind w:left="8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101"/>
              <w:jc w:val="right"/>
              <w:rPr>
                <w:rFonts w:ascii="宋体" w:hAnsi="宋体" w:cs="宋体" w:eastAsia="宋体" w:hint="default"/>
                <w:sz w:val="20"/>
                <w:szCs w:val="20"/>
              </w:rPr>
            </w:pPr>
            <w:r>
              <w:rPr>
                <w:rFonts w:ascii="宋体"/>
                <w:w w:val="95"/>
                <w:sz w:val="20"/>
              </w:rPr>
              <w:t>747,842.54</w:t>
            </w:r>
            <w:r>
              <w:rPr>
                <w:rFonts w:ascii="宋体"/>
                <w:sz w:val="20"/>
              </w:rPr>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97"/>
              <w:jc w:val="right"/>
              <w:rPr>
                <w:rFonts w:ascii="宋体" w:hAnsi="宋体" w:cs="宋体" w:eastAsia="宋体" w:hint="default"/>
                <w:sz w:val="20"/>
                <w:szCs w:val="20"/>
              </w:rPr>
            </w:pPr>
            <w:r>
              <w:rPr>
                <w:rFonts w:ascii="宋体"/>
                <w:w w:val="95"/>
                <w:sz w:val="20"/>
              </w:rPr>
              <w:t>293,043,102.07</w:t>
            </w:r>
            <w:r>
              <w:rPr>
                <w:rFonts w:ascii="宋体"/>
                <w:sz w:val="20"/>
              </w:rPr>
            </w:r>
          </w:p>
        </w:tc>
      </w:tr>
      <w:tr>
        <w:trPr>
          <w:trHeight w:val="56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3" w:right="-8"/>
              <w:jc w:val="left"/>
              <w:rPr>
                <w:rFonts w:ascii="宋体" w:hAnsi="宋体" w:cs="宋体" w:eastAsia="宋体" w:hint="default"/>
                <w:sz w:val="21"/>
                <w:szCs w:val="21"/>
              </w:rPr>
            </w:pPr>
            <w:r>
              <w:rPr>
                <w:rFonts w:ascii="宋体" w:hAnsi="宋体" w:cs="宋体" w:eastAsia="宋体" w:hint="default"/>
                <w:spacing w:val="-11"/>
                <w:sz w:val="21"/>
                <w:szCs w:val="21"/>
              </w:rPr>
              <w:t>（二）终止经营净利润（净亏损以“－”</w:t>
            </w:r>
          </w:p>
          <w:p>
            <w:pPr>
              <w:pStyle w:val="TableParagraph"/>
              <w:spacing w:line="273" w:lineRule="exact"/>
              <w:ind w:left="8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0"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311" w:right="0"/>
              <w:jc w:val="left"/>
              <w:rPr>
                <w:rFonts w:ascii="宋体" w:hAnsi="宋体" w:cs="宋体" w:eastAsia="宋体" w:hint="default"/>
                <w:sz w:val="21"/>
                <w:szCs w:val="21"/>
              </w:rPr>
            </w:pPr>
            <w:r>
              <w:rPr>
                <w:rFonts w:ascii="宋体" w:hAnsi="宋体" w:cs="宋体" w:eastAsia="宋体" w:hint="default"/>
                <w:spacing w:val="-6"/>
                <w:sz w:val="21"/>
                <w:szCs w:val="21"/>
              </w:rPr>
              <w:t>（一）以后不能重分类进损益的其他综合</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重新计量设定受益计划净负债或净</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资产的变动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6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权益法下在被投资单位不能重分类</w:t>
            </w:r>
          </w:p>
          <w:p>
            <w:pPr>
              <w:pStyle w:val="TableParagraph"/>
              <w:spacing w:line="274" w:lineRule="exact"/>
              <w:ind w:left="43" w:right="0"/>
              <w:jc w:val="left"/>
              <w:rPr>
                <w:rFonts w:ascii="宋体" w:hAnsi="宋体" w:cs="宋体" w:eastAsia="宋体" w:hint="default"/>
                <w:sz w:val="21"/>
                <w:szCs w:val="21"/>
              </w:rPr>
            </w:pPr>
            <w:r>
              <w:rPr>
                <w:rFonts w:ascii="宋体" w:hAnsi="宋体" w:cs="宋体" w:eastAsia="宋体" w:hint="default"/>
                <w:sz w:val="21"/>
                <w:szCs w:val="21"/>
              </w:rPr>
              <w:t>进损益的其他综合收益中享有的份额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pacing w:val="-6"/>
                <w:sz w:val="21"/>
                <w:szCs w:val="21"/>
              </w:rPr>
              <w:t>（二）以后将重分类进损益的其他综合收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权益法下在被投资单位以后将重分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类进损益的其他综合收益中享有的份额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可供出售金融资产公允价值变动损</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持有至到期投资重分类为可供出售</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金融资产损益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现金流量套期损益的有效部分</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外币财务报表折算差额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六、综合收益总额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747,842.54</w:t>
            </w:r>
            <w:r>
              <w:rPr>
                <w:rFonts w:ascii="宋体"/>
                <w:sz w:val="20"/>
              </w:rPr>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7"/>
              <w:jc w:val="right"/>
              <w:rPr>
                <w:rFonts w:ascii="宋体" w:hAnsi="宋体" w:cs="宋体" w:eastAsia="宋体" w:hint="default"/>
                <w:sz w:val="20"/>
                <w:szCs w:val="20"/>
              </w:rPr>
            </w:pPr>
            <w:r>
              <w:rPr>
                <w:rFonts w:ascii="宋体"/>
                <w:w w:val="95"/>
                <w:sz w:val="20"/>
              </w:rPr>
              <w:t>293,043,102.07</w:t>
            </w:r>
            <w:r>
              <w:rPr>
                <w:rFonts w:ascii="宋体"/>
                <w:sz w:val="20"/>
              </w:rPr>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0" w:right="0"/>
              <w:jc w:val="left"/>
              <w:rPr>
                <w:rFonts w:ascii="宋体" w:hAnsi="宋体" w:cs="宋体" w:eastAsia="宋体" w:hint="default"/>
                <w:sz w:val="21"/>
                <w:szCs w:val="21"/>
              </w:rPr>
            </w:pPr>
            <w:r>
              <w:rPr>
                <w:rFonts w:ascii="宋体" w:hAnsi="宋体" w:cs="宋体" w:eastAsia="宋体" w:hint="default"/>
                <w:sz w:val="21"/>
                <w:szCs w:val="21"/>
              </w:rPr>
              <w:t>七、每股收益：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01"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7"/>
        <w:rPr>
          <w:rFonts w:ascii="宋体" w:hAnsi="宋体" w:cs="宋体" w:eastAsia="宋体" w:hint="default"/>
          <w:sz w:val="15"/>
          <w:szCs w:val="15"/>
        </w:rPr>
      </w:pPr>
    </w:p>
    <w:p>
      <w:pPr>
        <w:pStyle w:val="BodyText"/>
        <w:tabs>
          <w:tab w:pos="2738" w:val="left" w:leader="none"/>
          <w:tab w:pos="5784" w:val="left" w:leader="none"/>
        </w:tabs>
        <w:spacing w:line="240" w:lineRule="auto" w:before="36"/>
        <w:ind w:right="227"/>
        <w:jc w:val="left"/>
      </w:pPr>
      <w:r>
        <w:rPr>
          <w:spacing w:val="-1"/>
        </w:rPr>
        <w:t>法定代表人：郭东圣</w:t>
        <w:tab/>
      </w:r>
      <w:r>
        <w:rPr>
          <w:spacing w:val="-2"/>
        </w:rPr>
        <w:t>主管会计工作负责人：李良海</w:t>
        <w:tab/>
        <w:t>会计机构负责人：郑清勇</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pStyle w:val="Heading2"/>
        <w:spacing w:line="240" w:lineRule="auto"/>
        <w:ind w:left="0" w:right="15"/>
        <w:jc w:val="center"/>
        <w:rPr>
          <w:b w:val="0"/>
          <w:bCs w:val="0"/>
        </w:rPr>
      </w:pPr>
      <w:r>
        <w:rPr/>
        <w:t>合并现金流量表</w:t>
      </w:r>
      <w:r>
        <w:rPr>
          <w:b w:val="0"/>
          <w:bCs w:val="0"/>
        </w:rPr>
      </w:r>
    </w:p>
    <w:p>
      <w:pPr>
        <w:spacing w:after="0" w:line="240" w:lineRule="auto"/>
        <w:jc w:val="center"/>
        <w:sectPr>
          <w:footerReference w:type="default" r:id="rId31"/>
          <w:pgSz w:w="11910" w:h="16840"/>
          <w:pgMar w:footer="1195" w:header="877" w:top="1100" w:bottom="1380" w:left="1580" w:right="1040"/>
        </w:sectPr>
      </w:pPr>
    </w:p>
    <w:p>
      <w:pPr>
        <w:spacing w:line="240" w:lineRule="auto" w:before="9"/>
        <w:rPr>
          <w:rFonts w:ascii="宋体" w:hAnsi="宋体" w:cs="宋体" w:eastAsia="宋体" w:hint="default"/>
          <w:b/>
          <w:bCs/>
          <w:sz w:val="25"/>
          <w:szCs w:val="25"/>
        </w:rPr>
      </w:pPr>
    </w:p>
    <w:p>
      <w:pPr>
        <w:pStyle w:val="BodyText"/>
        <w:spacing w:line="274" w:lineRule="exact" w:before="36"/>
        <w:ind w:left="0" w:right="12"/>
        <w:jc w:val="center"/>
      </w:pPr>
      <w:r>
        <w:rPr>
          <w:rFonts w:ascii="宋体" w:hAnsi="宋体" w:cs="宋体" w:eastAsia="宋体" w:hint="default"/>
        </w:rPr>
        <w:t>2017</w:t>
      </w:r>
      <w:r>
        <w:rPr>
          <w:rFonts w:ascii="宋体" w:hAnsi="宋体" w:cs="宋体" w:eastAsia="宋体" w:hint="default"/>
          <w:spacing w:val="-54"/>
        </w:rPr>
        <w:t> </w:t>
      </w:r>
      <w:r>
        <w:rPr/>
        <w:t>年</w:t>
      </w:r>
      <w:r>
        <w:rPr>
          <w:spacing w:val="-51"/>
        </w:rPr>
        <w:t> </w:t>
      </w:r>
      <w:r>
        <w:rPr>
          <w:rFonts w:ascii="宋体" w:hAnsi="宋体" w:cs="宋体" w:eastAsia="宋体" w:hint="default"/>
        </w:rPr>
        <w:t>1</w:t>
      </w:r>
      <w:r>
        <w:rPr/>
        <w:t>—</w:t>
      </w:r>
      <w:r>
        <w:rPr>
          <w:rFonts w:ascii="宋体" w:hAnsi="宋体" w:cs="宋体" w:eastAsia="宋体" w:hint="default"/>
        </w:rPr>
        <w:t>12</w:t>
      </w:r>
      <w:r>
        <w:rPr>
          <w:rFonts w:ascii="宋体" w:hAnsi="宋体" w:cs="宋体" w:eastAsia="宋体" w:hint="default"/>
          <w:spacing w:val="-54"/>
        </w:rPr>
        <w:t> </w:t>
      </w:r>
      <w:r>
        <w:rPr/>
        <w:t>月</w:t>
      </w:r>
    </w:p>
    <w:p>
      <w:pPr>
        <w:pStyle w:val="BodyText"/>
        <w:tabs>
          <w:tab w:pos="1051" w:val="left" w:leader="none"/>
        </w:tabs>
        <w:spacing w:line="274" w:lineRule="exact"/>
        <w:ind w:left="0" w:right="230"/>
        <w:jc w:val="right"/>
      </w:pPr>
      <w:r>
        <w:rPr>
          <w:spacing w:val="-1"/>
        </w:rPr>
        <w:t>单位：元</w:t>
        <w:tab/>
        <w:t>币种：人民币</w:t>
      </w: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16"/>
        <w:gridCol w:w="2201"/>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73"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73"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66"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5,335,907,417.31</w:t>
            </w:r>
            <w:r>
              <w:rPr>
                <w:rFonts w:ascii="宋体"/>
                <w:sz w:val="20"/>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3,160,213,963.41</w:t>
            </w:r>
            <w:r>
              <w:rPr>
                <w:rFonts w:ascii="宋体"/>
                <w:sz w:val="20"/>
              </w:rPr>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客户存款和同业存放款项净增加额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向其他金融机构拆入资金净增加额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收到原保险合同保费取得的现金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收到再保险业务现金净额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w:t>
            </w:r>
          </w:p>
          <w:p>
            <w:pPr>
              <w:pStyle w:val="TableParagraph"/>
              <w:spacing w:line="275" w:lineRule="exact"/>
              <w:ind w:left="100" w:right="0"/>
              <w:jc w:val="left"/>
              <w:rPr>
                <w:rFonts w:ascii="宋体" w:hAnsi="宋体" w:cs="宋体" w:eastAsia="宋体" w:hint="default"/>
                <w:sz w:val="21"/>
                <w:szCs w:val="21"/>
              </w:rPr>
            </w:pPr>
            <w:r>
              <w:rPr>
                <w:rFonts w:ascii="宋体" w:hAnsi="宋体" w:cs="宋体" w:eastAsia="宋体" w:hint="default"/>
                <w:sz w:val="21"/>
                <w:szCs w:val="21"/>
              </w:rPr>
              <w:t>当期损益的金融资产净增加额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收取利息、手续费及佣金的现金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114,435,025.70</w:t>
            </w:r>
            <w:r>
              <w:rPr>
                <w:rFonts w:ascii="宋体"/>
                <w:sz w:val="20"/>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114,591,006.21</w:t>
            </w:r>
            <w:r>
              <w:rPr>
                <w:rFonts w:ascii="宋体"/>
                <w:sz w:val="20"/>
              </w:rPr>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5,450,342,443.01</w:t>
            </w:r>
            <w:r>
              <w:rPr>
                <w:rFonts w:ascii="宋体"/>
                <w:sz w:val="20"/>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3,274,804,969.62</w:t>
            </w:r>
            <w:r>
              <w:rPr>
                <w:rFonts w:ascii="宋体"/>
                <w:sz w:val="20"/>
              </w:rPr>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99"/>
              <w:jc w:val="right"/>
              <w:rPr>
                <w:rFonts w:ascii="宋体" w:hAnsi="宋体" w:cs="宋体" w:eastAsia="宋体" w:hint="default"/>
                <w:sz w:val="20"/>
                <w:szCs w:val="20"/>
              </w:rPr>
            </w:pPr>
            <w:r>
              <w:rPr>
                <w:rFonts w:ascii="宋体"/>
                <w:w w:val="95"/>
                <w:sz w:val="20"/>
              </w:rPr>
              <w:t>4,073,741,507.96</w:t>
            </w:r>
            <w:r>
              <w:rPr>
                <w:rFonts w:ascii="宋体"/>
                <w:sz w:val="20"/>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99"/>
              <w:jc w:val="right"/>
              <w:rPr>
                <w:rFonts w:ascii="宋体" w:hAnsi="宋体" w:cs="宋体" w:eastAsia="宋体" w:hint="default"/>
                <w:sz w:val="20"/>
                <w:szCs w:val="20"/>
              </w:rPr>
            </w:pPr>
            <w:r>
              <w:rPr>
                <w:rFonts w:ascii="宋体"/>
                <w:w w:val="95"/>
                <w:sz w:val="20"/>
              </w:rPr>
              <w:t>2,002,932,959.32</w:t>
            </w:r>
            <w:r>
              <w:rPr>
                <w:rFonts w:ascii="宋体"/>
                <w:sz w:val="20"/>
              </w:rPr>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存放中央银行和同业款项净增加额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支付原保险合同赔付款项的现金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支付利息、手续费及佣金的现金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支付给职工以及为职工支付的现金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213,339,188.25</w:t>
            </w:r>
            <w:r>
              <w:rPr>
                <w:rFonts w:ascii="宋体"/>
                <w:sz w:val="20"/>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176,015,707.92</w:t>
            </w:r>
            <w:r>
              <w:rPr>
                <w:rFonts w:ascii="宋体"/>
                <w:sz w:val="20"/>
              </w:rPr>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238,371,977.51</w:t>
            </w:r>
            <w:r>
              <w:rPr>
                <w:rFonts w:ascii="宋体"/>
                <w:sz w:val="20"/>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106,464,279.88</w:t>
            </w:r>
            <w:r>
              <w:rPr>
                <w:rFonts w:ascii="宋体"/>
                <w:sz w:val="20"/>
              </w:rPr>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99"/>
              <w:jc w:val="right"/>
              <w:rPr>
                <w:rFonts w:ascii="宋体" w:hAnsi="宋体" w:cs="宋体" w:eastAsia="宋体" w:hint="default"/>
                <w:sz w:val="20"/>
                <w:szCs w:val="20"/>
              </w:rPr>
            </w:pPr>
            <w:r>
              <w:rPr>
                <w:rFonts w:ascii="宋体"/>
                <w:w w:val="95"/>
                <w:sz w:val="20"/>
              </w:rPr>
              <w:t>72,899,467.27</w:t>
            </w:r>
            <w:r>
              <w:rPr>
                <w:rFonts w:ascii="宋体"/>
                <w:sz w:val="20"/>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99"/>
              <w:jc w:val="right"/>
              <w:rPr>
                <w:rFonts w:ascii="宋体" w:hAnsi="宋体" w:cs="宋体" w:eastAsia="宋体" w:hint="default"/>
                <w:sz w:val="20"/>
                <w:szCs w:val="20"/>
              </w:rPr>
            </w:pPr>
            <w:r>
              <w:rPr>
                <w:rFonts w:ascii="宋体"/>
                <w:w w:val="95"/>
                <w:sz w:val="20"/>
              </w:rPr>
              <w:t>49,699,168.34</w:t>
            </w:r>
            <w:r>
              <w:rPr>
                <w:rFonts w:ascii="宋体"/>
                <w:sz w:val="20"/>
              </w:rPr>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4,598,352,140.99</w:t>
            </w:r>
            <w:r>
              <w:rPr>
                <w:rFonts w:ascii="宋体"/>
                <w:sz w:val="20"/>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2,335,112,115.46</w:t>
            </w:r>
            <w:r>
              <w:rPr>
                <w:rFonts w:ascii="宋体"/>
                <w:sz w:val="20"/>
              </w:rPr>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经营活动产生的现金流量净额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851,990,302.02</w:t>
            </w:r>
            <w:r>
              <w:rPr>
                <w:rFonts w:ascii="宋体"/>
                <w:sz w:val="20"/>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939,692,854.16</w:t>
            </w:r>
            <w:r>
              <w:rPr>
                <w:rFonts w:ascii="宋体"/>
                <w:sz w:val="20"/>
              </w:rPr>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期资产收回的现金净额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172,200,298.87</w:t>
            </w:r>
            <w:r>
              <w:rPr>
                <w:rFonts w:ascii="宋体"/>
                <w:sz w:val="20"/>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22,434,187.33</w:t>
            </w:r>
            <w:r>
              <w:rPr>
                <w:rFonts w:ascii="宋体"/>
                <w:sz w:val="20"/>
              </w:rPr>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5,950,769.31</w:t>
            </w:r>
            <w:r>
              <w:rPr>
                <w:rFonts w:ascii="宋体"/>
                <w:sz w:val="20"/>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3,794,925.33</w:t>
            </w:r>
            <w:r>
              <w:rPr>
                <w:rFonts w:ascii="宋体"/>
                <w:sz w:val="20"/>
              </w:rPr>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178,151,068.18</w:t>
            </w:r>
            <w:r>
              <w:rPr>
                <w:rFonts w:ascii="宋体"/>
                <w:sz w:val="20"/>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26,229,112.66</w:t>
            </w:r>
            <w:r>
              <w:rPr>
                <w:rFonts w:ascii="宋体"/>
                <w:sz w:val="20"/>
              </w:rPr>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1,329,793,199.09</w:t>
            </w:r>
            <w:r>
              <w:rPr>
                <w:rFonts w:ascii="宋体"/>
                <w:sz w:val="20"/>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515,942,090.92</w:t>
            </w:r>
            <w:r>
              <w:rPr>
                <w:rFonts w:ascii="宋体"/>
                <w:sz w:val="20"/>
              </w:rPr>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15,000,000.00</w:t>
            </w:r>
            <w:r>
              <w:rPr>
                <w:rFonts w:ascii="宋体"/>
                <w:sz w:val="20"/>
              </w:rPr>
            </w: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32,980,605.92</w:t>
            </w:r>
            <w:r>
              <w:rPr>
                <w:rFonts w:ascii="宋体"/>
                <w:sz w:val="20"/>
              </w:rPr>
            </w: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1,377,773,805.01</w:t>
            </w:r>
            <w:r>
              <w:rPr>
                <w:rFonts w:ascii="宋体"/>
                <w:sz w:val="20"/>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515,942,090.92</w:t>
            </w:r>
            <w:r>
              <w:rPr>
                <w:rFonts w:ascii="宋体"/>
                <w:sz w:val="20"/>
              </w:rPr>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投资活动产生的现金流量净额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-1,199,622,736.83</w:t>
            </w:r>
            <w:r>
              <w:rPr>
                <w:rFonts w:ascii="宋体"/>
                <w:sz w:val="20"/>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-489,712,978.26</w:t>
            </w:r>
            <w:r>
              <w:rPr>
                <w:rFonts w:ascii="宋体"/>
                <w:sz w:val="20"/>
              </w:rPr>
            </w:r>
          </w:p>
        </w:tc>
      </w:tr>
    </w:tbl>
    <w:p>
      <w:pPr>
        <w:spacing w:after="0" w:line="230" w:lineRule="exact"/>
        <w:jc w:val="right"/>
        <w:rPr>
          <w:rFonts w:ascii="宋体" w:hAnsi="宋体" w:cs="宋体" w:eastAsia="宋体" w:hint="default"/>
          <w:sz w:val="20"/>
          <w:szCs w:val="20"/>
        </w:rPr>
        <w:sectPr>
          <w:footerReference w:type="default" r:id="rId32"/>
          <w:pgSz w:w="11910" w:h="16840"/>
          <w:pgMar w:footer="1195" w:header="877" w:top="1100" w:bottom="1380" w:left="1580" w:right="1040"/>
          <w:pgNumType w:start="71"/>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16"/>
        <w:gridCol w:w="2201"/>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661,000,000.00</w:t>
            </w:r>
            <w:r>
              <w:rPr>
                <w:rFonts w:ascii="宋体"/>
                <w:sz w:val="20"/>
              </w:rPr>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其中：子公司吸收少数股东投资收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1,232,410,000.00</w:t>
            </w:r>
            <w:r>
              <w:rPr>
                <w:rFonts w:ascii="宋体"/>
                <w:sz w:val="20"/>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780,350,000.00</w:t>
            </w:r>
            <w:r>
              <w:rPr>
                <w:rFonts w:ascii="宋体"/>
                <w:sz w:val="20"/>
              </w:rPr>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1,098,928,667.64</w:t>
            </w:r>
            <w:r>
              <w:rPr>
                <w:rFonts w:ascii="宋体"/>
                <w:sz w:val="20"/>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230,778,670.60</w:t>
            </w:r>
            <w:r>
              <w:rPr>
                <w:rFonts w:ascii="宋体"/>
                <w:sz w:val="20"/>
              </w:rPr>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99"/>
              <w:jc w:val="right"/>
              <w:rPr>
                <w:rFonts w:ascii="宋体" w:hAnsi="宋体" w:cs="宋体" w:eastAsia="宋体" w:hint="default"/>
                <w:sz w:val="20"/>
                <w:szCs w:val="20"/>
              </w:rPr>
            </w:pPr>
            <w:r>
              <w:rPr>
                <w:rFonts w:ascii="宋体"/>
                <w:w w:val="95"/>
                <w:sz w:val="20"/>
              </w:rPr>
              <w:t>2,331,338,667.64</w:t>
            </w:r>
            <w:r>
              <w:rPr>
                <w:rFonts w:ascii="宋体"/>
                <w:sz w:val="20"/>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99"/>
              <w:jc w:val="right"/>
              <w:rPr>
                <w:rFonts w:ascii="宋体" w:hAnsi="宋体" w:cs="宋体" w:eastAsia="宋体" w:hint="default"/>
                <w:sz w:val="20"/>
                <w:szCs w:val="20"/>
              </w:rPr>
            </w:pPr>
            <w:r>
              <w:rPr>
                <w:rFonts w:ascii="宋体"/>
                <w:w w:val="95"/>
                <w:sz w:val="20"/>
              </w:rPr>
              <w:t>1,672,128,670.60</w:t>
            </w:r>
            <w:r>
              <w:rPr>
                <w:rFonts w:ascii="宋体"/>
                <w:sz w:val="20"/>
              </w:rPr>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924,420,000.00</w:t>
            </w:r>
            <w:r>
              <w:rPr>
                <w:rFonts w:ascii="宋体"/>
                <w:sz w:val="20"/>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958,208,000.00</w:t>
            </w:r>
            <w:r>
              <w:rPr>
                <w:rFonts w:ascii="宋体"/>
                <w:sz w:val="20"/>
              </w:rPr>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54,315,890.24</w:t>
            </w:r>
            <w:r>
              <w:rPr>
                <w:rFonts w:ascii="宋体"/>
                <w:sz w:val="20"/>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41,982,021.69</w:t>
            </w:r>
            <w:r>
              <w:rPr>
                <w:rFonts w:ascii="宋体"/>
                <w:sz w:val="20"/>
              </w:rPr>
            </w:r>
          </w:p>
        </w:tc>
      </w:tr>
      <w:tr>
        <w:trPr>
          <w:trHeight w:val="56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其中：子公司支付给少数股东的股</w:t>
            </w:r>
          </w:p>
          <w:p>
            <w:pPr>
              <w:pStyle w:val="TableParagraph"/>
              <w:spacing w:line="275" w:lineRule="exact"/>
              <w:ind w:left="100" w:right="0"/>
              <w:jc w:val="left"/>
              <w:rPr>
                <w:rFonts w:ascii="宋体" w:hAnsi="宋体" w:cs="宋体" w:eastAsia="宋体" w:hint="default"/>
                <w:sz w:val="21"/>
                <w:szCs w:val="21"/>
              </w:rPr>
            </w:pPr>
            <w:r>
              <w:rPr>
                <w:rFonts w:ascii="宋体" w:hAnsi="宋体" w:cs="宋体" w:eastAsia="宋体" w:hint="default"/>
                <w:sz w:val="21"/>
                <w:szCs w:val="21"/>
              </w:rPr>
              <w:t>利、利润</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1,078,869,472.87</w:t>
            </w:r>
            <w:r>
              <w:rPr>
                <w:rFonts w:ascii="宋体"/>
                <w:sz w:val="20"/>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540,768,255.29</w:t>
            </w:r>
            <w:r>
              <w:rPr>
                <w:rFonts w:ascii="宋体"/>
                <w:sz w:val="20"/>
              </w:rPr>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2,057,605,363.11</w:t>
            </w:r>
            <w:r>
              <w:rPr>
                <w:rFonts w:ascii="宋体"/>
                <w:sz w:val="20"/>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1,540,958,276.98</w:t>
            </w:r>
            <w:r>
              <w:rPr>
                <w:rFonts w:ascii="宋体"/>
                <w:sz w:val="20"/>
              </w:rPr>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273,733,304.53</w:t>
            </w:r>
            <w:r>
              <w:rPr>
                <w:rFonts w:ascii="宋体"/>
                <w:sz w:val="20"/>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131,170,393.62</w:t>
            </w:r>
            <w:r>
              <w:rPr>
                <w:rFonts w:ascii="宋体"/>
                <w:sz w:val="20"/>
              </w:rPr>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影响</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99"/>
              <w:jc w:val="right"/>
              <w:rPr>
                <w:rFonts w:ascii="宋体" w:hAnsi="宋体" w:cs="宋体" w:eastAsia="宋体" w:hint="default"/>
                <w:sz w:val="20"/>
                <w:szCs w:val="20"/>
              </w:rPr>
            </w:pPr>
            <w:r>
              <w:rPr>
                <w:rFonts w:ascii="宋体"/>
                <w:w w:val="95"/>
                <w:sz w:val="20"/>
              </w:rPr>
              <w:t>3,307,575.47</w:t>
            </w:r>
            <w:r>
              <w:rPr>
                <w:rFonts w:ascii="宋体"/>
                <w:sz w:val="20"/>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99"/>
              <w:jc w:val="right"/>
              <w:rPr>
                <w:rFonts w:ascii="宋体" w:hAnsi="宋体" w:cs="宋体" w:eastAsia="宋体" w:hint="default"/>
                <w:sz w:val="20"/>
                <w:szCs w:val="20"/>
              </w:rPr>
            </w:pPr>
            <w:r>
              <w:rPr>
                <w:rFonts w:ascii="宋体"/>
                <w:w w:val="95"/>
                <w:sz w:val="20"/>
              </w:rPr>
              <w:t>-8,119,253.44</w:t>
            </w:r>
            <w:r>
              <w:rPr>
                <w:rFonts w:ascii="宋体"/>
                <w:sz w:val="20"/>
              </w:rPr>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99"/>
              <w:jc w:val="right"/>
              <w:rPr>
                <w:rFonts w:ascii="宋体" w:hAnsi="宋体" w:cs="宋体" w:eastAsia="宋体" w:hint="default"/>
                <w:sz w:val="20"/>
                <w:szCs w:val="20"/>
              </w:rPr>
            </w:pPr>
            <w:r>
              <w:rPr>
                <w:rFonts w:ascii="宋体"/>
                <w:w w:val="95"/>
                <w:sz w:val="20"/>
              </w:rPr>
              <w:t>-70,591,554.81</w:t>
            </w:r>
            <w:r>
              <w:rPr>
                <w:rFonts w:ascii="宋体"/>
                <w:sz w:val="20"/>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99"/>
              <w:jc w:val="right"/>
              <w:rPr>
                <w:rFonts w:ascii="宋体" w:hAnsi="宋体" w:cs="宋体" w:eastAsia="宋体" w:hint="default"/>
                <w:sz w:val="20"/>
                <w:szCs w:val="20"/>
              </w:rPr>
            </w:pPr>
            <w:r>
              <w:rPr>
                <w:rFonts w:ascii="宋体"/>
                <w:w w:val="95"/>
                <w:sz w:val="20"/>
              </w:rPr>
              <w:t>573,031,016.08</w:t>
            </w:r>
            <w:r>
              <w:rPr>
                <w:rFonts w:ascii="宋体"/>
                <w:sz w:val="20"/>
              </w:rPr>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891,874,144.12</w:t>
            </w:r>
            <w:r>
              <w:rPr>
                <w:rFonts w:ascii="宋体"/>
                <w:sz w:val="20"/>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318,843,128.04</w:t>
            </w:r>
            <w:r>
              <w:rPr>
                <w:rFonts w:ascii="宋体"/>
                <w:sz w:val="20"/>
              </w:rPr>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821,282,589.31</w:t>
            </w:r>
            <w:r>
              <w:rPr>
                <w:rFonts w:ascii="宋体"/>
                <w:sz w:val="20"/>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891,874,144.12</w:t>
            </w:r>
            <w:r>
              <w:rPr>
                <w:rFonts w:ascii="宋体"/>
                <w:sz w:val="20"/>
              </w:rPr>
            </w:r>
          </w:p>
        </w:tc>
      </w:tr>
    </w:tbl>
    <w:p>
      <w:pPr>
        <w:spacing w:line="240" w:lineRule="auto" w:before="5"/>
        <w:rPr>
          <w:rFonts w:ascii="宋体" w:hAnsi="宋体" w:cs="宋体" w:eastAsia="宋体" w:hint="default"/>
          <w:sz w:val="15"/>
          <w:szCs w:val="15"/>
        </w:rPr>
      </w:pPr>
    </w:p>
    <w:p>
      <w:pPr>
        <w:pStyle w:val="BodyText"/>
        <w:tabs>
          <w:tab w:pos="2738" w:val="left" w:leader="none"/>
          <w:tab w:pos="5784" w:val="left" w:leader="none"/>
        </w:tabs>
        <w:spacing w:line="240" w:lineRule="auto" w:before="36"/>
        <w:ind w:right="227"/>
        <w:jc w:val="left"/>
      </w:pPr>
      <w:r>
        <w:rPr>
          <w:spacing w:val="-1"/>
        </w:rPr>
        <w:t>法定代表人：郭东圣</w:t>
        <w:tab/>
      </w:r>
      <w:r>
        <w:rPr>
          <w:spacing w:val="-2"/>
        </w:rPr>
        <w:t>主管会计工作负责人：李良海</w:t>
        <w:tab/>
        <w:t>会计机构负责人：郑清勇</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77" w:footer="1195" w:top="1100" w:bottom="1380" w:left="1580" w:right="1040"/>
        </w:sectPr>
      </w:pPr>
    </w:p>
    <w:p>
      <w:pPr>
        <w:spacing w:line="272" w:lineRule="exact" w:before="64"/>
        <w:ind w:left="3873" w:right="-17" w:hanging="84"/>
        <w:jc w:val="left"/>
        <w:rPr>
          <w:rFonts w:ascii="宋体" w:hAnsi="宋体" w:cs="宋体" w:eastAsia="宋体" w:hint="default"/>
          <w:sz w:val="21"/>
          <w:szCs w:val="21"/>
        </w:rPr>
      </w:pPr>
      <w:r>
        <w:rPr>
          <w:rFonts w:ascii="宋体" w:hAnsi="宋体" w:cs="宋体" w:eastAsia="宋体" w:hint="default"/>
          <w:b/>
          <w:bCs/>
          <w:sz w:val="21"/>
          <w:szCs w:val="21"/>
        </w:rPr>
        <w:t>母公司现金流量表</w:t>
      </w:r>
      <w:r>
        <w:rPr>
          <w:rFonts w:ascii="宋体" w:hAnsi="宋体" w:cs="宋体" w:eastAsia="宋体" w:hint="default"/>
          <w:b/>
          <w:bCs/>
          <w:spacing w:val="-103"/>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377" w:val="left" w:leader="none"/>
        </w:tabs>
        <w:spacing w:line="240" w:lineRule="auto"/>
        <w:ind w:left="1431"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5480" w:space="40"/>
            <w:col w:w="3770"/>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51"/>
        <w:gridCol w:w="996"/>
        <w:gridCol w:w="2208"/>
        <w:gridCol w:w="2194"/>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78"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68"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64"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7"/>
              <w:jc w:val="right"/>
              <w:rPr>
                <w:rFonts w:ascii="宋体" w:hAnsi="宋体" w:cs="宋体" w:eastAsia="宋体" w:hint="default"/>
                <w:sz w:val="20"/>
                <w:szCs w:val="20"/>
              </w:rPr>
            </w:pPr>
            <w:r>
              <w:rPr>
                <w:rFonts w:ascii="宋体"/>
                <w:w w:val="95"/>
                <w:sz w:val="20"/>
              </w:rPr>
              <w:t>15,316,039.72</w:t>
            </w:r>
            <w:r>
              <w:rPr>
                <w:rFonts w:ascii="宋体"/>
                <w:sz w:val="20"/>
              </w:rPr>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25,119,000.06</w:t>
            </w:r>
            <w:r>
              <w:rPr>
                <w:rFonts w:ascii="宋体"/>
                <w:sz w:val="20"/>
              </w:rPr>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7"/>
              <w:jc w:val="right"/>
              <w:rPr>
                <w:rFonts w:ascii="宋体" w:hAnsi="宋体" w:cs="宋体" w:eastAsia="宋体" w:hint="default"/>
                <w:sz w:val="20"/>
                <w:szCs w:val="20"/>
              </w:rPr>
            </w:pPr>
            <w:r>
              <w:rPr>
                <w:rFonts w:ascii="宋体"/>
                <w:w w:val="95"/>
                <w:sz w:val="20"/>
              </w:rPr>
              <w:t>115,789,625.11</w:t>
            </w:r>
            <w:r>
              <w:rPr>
                <w:rFonts w:ascii="宋体"/>
                <w:sz w:val="20"/>
              </w:rPr>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25,119,000.06</w:t>
            </w:r>
            <w:r>
              <w:rPr>
                <w:rFonts w:ascii="宋体"/>
                <w:sz w:val="20"/>
              </w:rPr>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7"/>
              <w:jc w:val="right"/>
              <w:rPr>
                <w:rFonts w:ascii="宋体" w:hAnsi="宋体" w:cs="宋体" w:eastAsia="宋体" w:hint="default"/>
                <w:sz w:val="20"/>
                <w:szCs w:val="20"/>
              </w:rPr>
            </w:pPr>
            <w:r>
              <w:rPr>
                <w:rFonts w:ascii="宋体"/>
                <w:w w:val="95"/>
                <w:sz w:val="20"/>
              </w:rPr>
              <w:t>131,105,664.83</w:t>
            </w:r>
            <w:r>
              <w:rPr>
                <w:rFonts w:ascii="宋体"/>
                <w:sz w:val="20"/>
              </w:rPr>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799,540.51</w:t>
            </w:r>
            <w:r>
              <w:rPr>
                <w:rFonts w:ascii="宋体"/>
                <w:sz w:val="20"/>
              </w:rPr>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7"/>
              <w:jc w:val="right"/>
              <w:rPr>
                <w:rFonts w:ascii="宋体" w:hAnsi="宋体" w:cs="宋体" w:eastAsia="宋体" w:hint="default"/>
                <w:sz w:val="20"/>
                <w:szCs w:val="20"/>
              </w:rPr>
            </w:pPr>
            <w:r>
              <w:rPr>
                <w:rFonts w:ascii="宋体"/>
                <w:w w:val="95"/>
                <w:sz w:val="20"/>
              </w:rPr>
              <w:t>106,388,071.70</w:t>
            </w:r>
            <w:r>
              <w:rPr>
                <w:rFonts w:ascii="宋体"/>
                <w:sz w:val="20"/>
              </w:rPr>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99"/>
              <w:jc w:val="right"/>
              <w:rPr>
                <w:rFonts w:ascii="宋体" w:hAnsi="宋体" w:cs="宋体" w:eastAsia="宋体" w:hint="default"/>
                <w:sz w:val="20"/>
                <w:szCs w:val="20"/>
              </w:rPr>
            </w:pPr>
            <w:r>
              <w:rPr>
                <w:rFonts w:ascii="宋体"/>
                <w:w w:val="95"/>
                <w:sz w:val="20"/>
              </w:rPr>
              <w:t>5,295,874.00</w:t>
            </w:r>
            <w:r>
              <w:rPr>
                <w:rFonts w:ascii="宋体"/>
                <w:sz w:val="20"/>
              </w:rPr>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97"/>
              <w:jc w:val="right"/>
              <w:rPr>
                <w:rFonts w:ascii="宋体" w:hAnsi="宋体" w:cs="宋体" w:eastAsia="宋体" w:hint="default"/>
                <w:sz w:val="20"/>
                <w:szCs w:val="20"/>
              </w:rPr>
            </w:pPr>
            <w:r>
              <w:rPr>
                <w:rFonts w:ascii="宋体"/>
                <w:w w:val="95"/>
                <w:sz w:val="20"/>
              </w:rPr>
              <w:t>17,714,042.21</w:t>
            </w:r>
            <w:r>
              <w:rPr>
                <w:rFonts w:ascii="宋体"/>
                <w:sz w:val="20"/>
              </w:rPr>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8"/>
              <w:jc w:val="right"/>
              <w:rPr>
                <w:rFonts w:ascii="宋体" w:hAnsi="宋体" w:cs="宋体" w:eastAsia="宋体" w:hint="default"/>
                <w:sz w:val="20"/>
                <w:szCs w:val="20"/>
              </w:rPr>
            </w:pPr>
            <w:r>
              <w:rPr>
                <w:rFonts w:ascii="宋体"/>
                <w:w w:val="95"/>
                <w:sz w:val="20"/>
              </w:rPr>
              <w:t>9,589.06</w:t>
            </w:r>
            <w:r>
              <w:rPr>
                <w:rFonts w:ascii="宋体"/>
                <w:sz w:val="20"/>
              </w:rPr>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6"/>
              <w:jc w:val="right"/>
              <w:rPr>
                <w:rFonts w:ascii="宋体" w:hAnsi="宋体" w:cs="宋体" w:eastAsia="宋体" w:hint="default"/>
                <w:sz w:val="20"/>
                <w:szCs w:val="20"/>
              </w:rPr>
            </w:pPr>
            <w:r>
              <w:rPr>
                <w:rFonts w:ascii="宋体"/>
                <w:w w:val="95"/>
                <w:sz w:val="20"/>
              </w:rPr>
              <w:t>2,456,155.38</w:t>
            </w:r>
            <w:r>
              <w:rPr>
                <w:rFonts w:ascii="宋体"/>
                <w:sz w:val="20"/>
              </w:rPr>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24,042,400.21</w:t>
            </w:r>
            <w:r>
              <w:rPr>
                <w:rFonts w:ascii="宋体"/>
                <w:sz w:val="20"/>
              </w:rPr>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7"/>
              <w:jc w:val="right"/>
              <w:rPr>
                <w:rFonts w:ascii="宋体" w:hAnsi="宋体" w:cs="宋体" w:eastAsia="宋体" w:hint="default"/>
                <w:sz w:val="20"/>
                <w:szCs w:val="20"/>
              </w:rPr>
            </w:pPr>
            <w:r>
              <w:rPr>
                <w:rFonts w:ascii="宋体"/>
                <w:w w:val="95"/>
                <w:sz w:val="20"/>
              </w:rPr>
              <w:t>26,713,198.22</w:t>
            </w:r>
            <w:r>
              <w:rPr>
                <w:rFonts w:ascii="宋体"/>
                <w:sz w:val="20"/>
              </w:rPr>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30,147,403.78</w:t>
            </w:r>
            <w:r>
              <w:rPr>
                <w:rFonts w:ascii="宋体"/>
                <w:sz w:val="20"/>
              </w:rPr>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7"/>
              <w:jc w:val="right"/>
              <w:rPr>
                <w:rFonts w:ascii="宋体" w:hAnsi="宋体" w:cs="宋体" w:eastAsia="宋体" w:hint="default"/>
                <w:sz w:val="20"/>
                <w:szCs w:val="20"/>
              </w:rPr>
            </w:pPr>
            <w:r>
              <w:rPr>
                <w:rFonts w:ascii="宋体"/>
                <w:w w:val="95"/>
                <w:sz w:val="20"/>
              </w:rPr>
              <w:t>153,271,467.51</w:t>
            </w:r>
            <w:r>
              <w:rPr>
                <w:rFonts w:ascii="宋体"/>
                <w:sz w:val="20"/>
              </w:rPr>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99"/>
              <w:jc w:val="right"/>
              <w:rPr>
                <w:rFonts w:ascii="宋体" w:hAnsi="宋体" w:cs="宋体" w:eastAsia="宋体" w:hint="default"/>
                <w:sz w:val="20"/>
                <w:szCs w:val="20"/>
              </w:rPr>
            </w:pPr>
            <w:r>
              <w:rPr>
                <w:rFonts w:ascii="宋体"/>
                <w:w w:val="95"/>
                <w:sz w:val="20"/>
              </w:rPr>
              <w:t>-5,028,403.72</w:t>
            </w:r>
            <w:r>
              <w:rPr>
                <w:rFonts w:ascii="宋体"/>
                <w:sz w:val="20"/>
              </w:rPr>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96"/>
              <w:jc w:val="right"/>
              <w:rPr>
                <w:rFonts w:ascii="宋体" w:hAnsi="宋体" w:cs="宋体" w:eastAsia="宋体" w:hint="default"/>
                <w:sz w:val="20"/>
                <w:szCs w:val="20"/>
              </w:rPr>
            </w:pPr>
            <w:r>
              <w:rPr>
                <w:rFonts w:ascii="宋体"/>
                <w:w w:val="95"/>
                <w:sz w:val="20"/>
              </w:rPr>
              <w:t>-22,165,802.68</w:t>
            </w:r>
            <w:r>
              <w:rPr>
                <w:rFonts w:ascii="宋体"/>
                <w:sz w:val="20"/>
              </w:rPr>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期资产收回的现金净额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311"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172,737.95</w:t>
            </w:r>
            <w:r>
              <w:rPr>
                <w:rFonts w:ascii="宋体"/>
                <w:sz w:val="20"/>
              </w:rPr>
            </w:r>
          </w:p>
        </w:tc>
        <w:tc>
          <w:tcPr>
            <w:tcW w:w="2194"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651"/>
        <w:gridCol w:w="996"/>
        <w:gridCol w:w="2208"/>
        <w:gridCol w:w="2194"/>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right="99"/>
              <w:jc w:val="right"/>
              <w:rPr>
                <w:rFonts w:ascii="宋体" w:hAnsi="宋体" w:cs="宋体" w:eastAsia="宋体" w:hint="default"/>
                <w:sz w:val="20"/>
                <w:szCs w:val="20"/>
              </w:rPr>
            </w:pPr>
            <w:r>
              <w:rPr>
                <w:rFonts w:ascii="宋体"/>
                <w:w w:val="95"/>
                <w:sz w:val="20"/>
              </w:rPr>
              <w:t>172,737.95</w:t>
            </w:r>
            <w:r>
              <w:rPr>
                <w:rFonts w:ascii="宋体"/>
                <w:sz w:val="20"/>
              </w:rPr>
            </w: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8"/>
              <w:jc w:val="right"/>
              <w:rPr>
                <w:rFonts w:ascii="宋体" w:hAnsi="宋体" w:cs="宋体" w:eastAsia="宋体" w:hint="default"/>
                <w:sz w:val="20"/>
                <w:szCs w:val="20"/>
              </w:rPr>
            </w:pPr>
            <w:r>
              <w:rPr>
                <w:rFonts w:ascii="宋体"/>
                <w:w w:val="95"/>
                <w:sz w:val="20"/>
              </w:rPr>
              <w:t>15,600.00</w:t>
            </w:r>
            <w:r>
              <w:rPr>
                <w:rFonts w:ascii="宋体"/>
                <w:sz w:val="20"/>
              </w:rPr>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6"/>
              <w:jc w:val="right"/>
              <w:rPr>
                <w:rFonts w:ascii="宋体" w:hAnsi="宋体" w:cs="宋体" w:eastAsia="宋体" w:hint="default"/>
                <w:sz w:val="20"/>
                <w:szCs w:val="20"/>
              </w:rPr>
            </w:pPr>
            <w:r>
              <w:rPr>
                <w:rFonts w:ascii="宋体"/>
                <w:w w:val="95"/>
                <w:sz w:val="20"/>
              </w:rPr>
              <w:t>500,584.27</w:t>
            </w:r>
            <w:r>
              <w:rPr>
                <w:rFonts w:ascii="宋体"/>
                <w:sz w:val="20"/>
              </w:rPr>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99"/>
              <w:jc w:val="right"/>
              <w:rPr>
                <w:rFonts w:ascii="宋体" w:hAnsi="宋体" w:cs="宋体" w:eastAsia="宋体" w:hint="default"/>
                <w:sz w:val="20"/>
                <w:szCs w:val="20"/>
              </w:rPr>
            </w:pPr>
            <w:r>
              <w:rPr>
                <w:rFonts w:ascii="宋体"/>
                <w:w w:val="95"/>
                <w:sz w:val="20"/>
              </w:rPr>
              <w:t>161,712,000.00</w:t>
            </w:r>
            <w:r>
              <w:rPr>
                <w:rFonts w:ascii="宋体"/>
                <w:sz w:val="20"/>
              </w:rPr>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97"/>
              <w:jc w:val="right"/>
              <w:rPr>
                <w:rFonts w:ascii="宋体" w:hAnsi="宋体" w:cs="宋体" w:eastAsia="宋体" w:hint="default"/>
                <w:sz w:val="20"/>
                <w:szCs w:val="20"/>
              </w:rPr>
            </w:pPr>
            <w:r>
              <w:rPr>
                <w:rFonts w:ascii="宋体"/>
                <w:w w:val="95"/>
                <w:sz w:val="20"/>
              </w:rPr>
              <w:t>643,647,291.29</w:t>
            </w:r>
            <w:r>
              <w:rPr>
                <w:rFonts w:ascii="宋体"/>
                <w:sz w:val="20"/>
              </w:rPr>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99"/>
              <w:jc w:val="right"/>
              <w:rPr>
                <w:rFonts w:ascii="宋体" w:hAnsi="宋体" w:cs="宋体" w:eastAsia="宋体" w:hint="default"/>
                <w:sz w:val="20"/>
                <w:szCs w:val="20"/>
              </w:rPr>
            </w:pPr>
            <w:r>
              <w:rPr>
                <w:rFonts w:ascii="宋体"/>
                <w:w w:val="95"/>
                <w:sz w:val="20"/>
              </w:rPr>
              <w:t>619,416,606.93</w:t>
            </w:r>
            <w:r>
              <w:rPr>
                <w:rFonts w:ascii="宋体"/>
                <w:sz w:val="20"/>
              </w:rPr>
            </w: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781,144,206.93</w:t>
            </w:r>
            <w:r>
              <w:rPr>
                <w:rFonts w:ascii="宋体"/>
                <w:sz w:val="20"/>
              </w:rPr>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7"/>
              <w:jc w:val="right"/>
              <w:rPr>
                <w:rFonts w:ascii="宋体" w:hAnsi="宋体" w:cs="宋体" w:eastAsia="宋体" w:hint="default"/>
                <w:sz w:val="20"/>
                <w:szCs w:val="20"/>
              </w:rPr>
            </w:pPr>
            <w:r>
              <w:rPr>
                <w:rFonts w:ascii="宋体"/>
                <w:w w:val="95"/>
                <w:sz w:val="20"/>
              </w:rPr>
              <w:t>644,147,875.56</w:t>
            </w:r>
            <w:r>
              <w:rPr>
                <w:rFonts w:ascii="宋体"/>
                <w:sz w:val="20"/>
              </w:rPr>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投资活动产生的现金流量净额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-780,971,468.98</w:t>
            </w:r>
            <w:r>
              <w:rPr>
                <w:rFonts w:ascii="宋体"/>
                <w:sz w:val="20"/>
              </w:rPr>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7"/>
              <w:jc w:val="right"/>
              <w:rPr>
                <w:rFonts w:ascii="宋体" w:hAnsi="宋体" w:cs="宋体" w:eastAsia="宋体" w:hint="default"/>
                <w:sz w:val="20"/>
                <w:szCs w:val="20"/>
              </w:rPr>
            </w:pPr>
            <w:r>
              <w:rPr>
                <w:rFonts w:ascii="宋体"/>
                <w:w w:val="95"/>
                <w:sz w:val="20"/>
              </w:rPr>
              <w:t>-644,147,875.56</w:t>
            </w:r>
            <w:r>
              <w:rPr>
                <w:rFonts w:ascii="宋体"/>
                <w:sz w:val="20"/>
              </w:rPr>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7"/>
              <w:jc w:val="right"/>
              <w:rPr>
                <w:rFonts w:ascii="宋体" w:hAnsi="宋体" w:cs="宋体" w:eastAsia="宋体" w:hint="default"/>
                <w:sz w:val="20"/>
                <w:szCs w:val="20"/>
              </w:rPr>
            </w:pPr>
            <w:r>
              <w:rPr>
                <w:rFonts w:ascii="宋体"/>
                <w:w w:val="95"/>
                <w:sz w:val="20"/>
              </w:rPr>
              <w:t>661,000,000.00</w:t>
            </w:r>
            <w:r>
              <w:rPr>
                <w:rFonts w:ascii="宋体"/>
                <w:sz w:val="20"/>
              </w:rPr>
            </w: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300,000,000.00</w:t>
            </w:r>
            <w:r>
              <w:rPr>
                <w:rFonts w:ascii="宋体"/>
                <w:sz w:val="20"/>
              </w:rPr>
            </w: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498,000,000.00</w:t>
            </w:r>
            <w:r>
              <w:rPr>
                <w:rFonts w:ascii="宋体"/>
                <w:sz w:val="20"/>
              </w:rPr>
            </w: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97"/>
              <w:jc w:val="right"/>
              <w:rPr>
                <w:rFonts w:ascii="宋体" w:hAnsi="宋体" w:cs="宋体" w:eastAsia="宋体" w:hint="default"/>
                <w:sz w:val="20"/>
                <w:szCs w:val="20"/>
              </w:rPr>
            </w:pPr>
            <w:r>
              <w:rPr>
                <w:rFonts w:ascii="宋体"/>
                <w:w w:val="95"/>
                <w:sz w:val="20"/>
              </w:rPr>
              <w:t>21,878,670.60</w:t>
            </w:r>
            <w:r>
              <w:rPr>
                <w:rFonts w:ascii="宋体"/>
                <w:sz w:val="20"/>
              </w:rPr>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798,000,000.00</w:t>
            </w:r>
            <w:r>
              <w:rPr>
                <w:rFonts w:ascii="宋体"/>
                <w:sz w:val="20"/>
              </w:rPr>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7"/>
              <w:jc w:val="right"/>
              <w:rPr>
                <w:rFonts w:ascii="宋体" w:hAnsi="宋体" w:cs="宋体" w:eastAsia="宋体" w:hint="default"/>
                <w:sz w:val="20"/>
                <w:szCs w:val="20"/>
              </w:rPr>
            </w:pPr>
            <w:r>
              <w:rPr>
                <w:rFonts w:ascii="宋体"/>
                <w:w w:val="95"/>
                <w:sz w:val="20"/>
              </w:rPr>
              <w:t>682,878,670.60</w:t>
            </w:r>
            <w:r>
              <w:rPr>
                <w:rFonts w:ascii="宋体"/>
                <w:sz w:val="20"/>
              </w:rPr>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6,476,117.86</w:t>
            </w:r>
            <w:r>
              <w:rPr>
                <w:rFonts w:ascii="宋体"/>
                <w:sz w:val="20"/>
              </w:rPr>
            </w: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7"/>
              <w:jc w:val="right"/>
              <w:rPr>
                <w:rFonts w:ascii="宋体" w:hAnsi="宋体" w:cs="宋体" w:eastAsia="宋体" w:hint="default"/>
                <w:sz w:val="20"/>
                <w:szCs w:val="20"/>
              </w:rPr>
            </w:pPr>
            <w:r>
              <w:rPr>
                <w:rFonts w:ascii="宋体"/>
                <w:w w:val="95"/>
                <w:sz w:val="20"/>
              </w:rPr>
              <w:t>17,580,492.25</w:t>
            </w:r>
            <w:r>
              <w:rPr>
                <w:rFonts w:ascii="宋体"/>
                <w:sz w:val="20"/>
              </w:rPr>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99"/>
              <w:jc w:val="right"/>
              <w:rPr>
                <w:rFonts w:ascii="宋体" w:hAnsi="宋体" w:cs="宋体" w:eastAsia="宋体" w:hint="default"/>
                <w:sz w:val="20"/>
                <w:szCs w:val="20"/>
              </w:rPr>
            </w:pPr>
            <w:r>
              <w:rPr>
                <w:rFonts w:ascii="宋体"/>
                <w:w w:val="95"/>
                <w:sz w:val="20"/>
              </w:rPr>
              <w:t>6,476,117.86</w:t>
            </w:r>
            <w:r>
              <w:rPr>
                <w:rFonts w:ascii="宋体"/>
                <w:sz w:val="20"/>
              </w:rPr>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97"/>
              <w:jc w:val="right"/>
              <w:rPr>
                <w:rFonts w:ascii="宋体" w:hAnsi="宋体" w:cs="宋体" w:eastAsia="宋体" w:hint="default"/>
                <w:sz w:val="20"/>
                <w:szCs w:val="20"/>
              </w:rPr>
            </w:pPr>
            <w:r>
              <w:rPr>
                <w:rFonts w:ascii="宋体"/>
                <w:w w:val="95"/>
                <w:sz w:val="20"/>
              </w:rPr>
              <w:t>17,580,492.25</w:t>
            </w:r>
            <w:r>
              <w:rPr>
                <w:rFonts w:ascii="宋体"/>
                <w:sz w:val="20"/>
              </w:rPr>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筹资活动产生的现金流量净额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791,523,882.14</w:t>
            </w:r>
            <w:r>
              <w:rPr>
                <w:rFonts w:ascii="宋体"/>
                <w:sz w:val="20"/>
              </w:rPr>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7"/>
              <w:jc w:val="right"/>
              <w:rPr>
                <w:rFonts w:ascii="宋体" w:hAnsi="宋体" w:cs="宋体" w:eastAsia="宋体" w:hint="default"/>
                <w:sz w:val="20"/>
                <w:szCs w:val="20"/>
              </w:rPr>
            </w:pPr>
            <w:r>
              <w:rPr>
                <w:rFonts w:ascii="宋体"/>
                <w:w w:val="95"/>
                <w:sz w:val="20"/>
              </w:rPr>
              <w:t>665,298,178.35</w:t>
            </w:r>
            <w:r>
              <w:rPr>
                <w:rFonts w:ascii="宋体"/>
                <w:sz w:val="20"/>
              </w:rPr>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影响</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5,524,009.44</w:t>
            </w:r>
            <w:r>
              <w:rPr>
                <w:rFonts w:ascii="宋体"/>
                <w:sz w:val="20"/>
              </w:rPr>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6"/>
              <w:jc w:val="right"/>
              <w:rPr>
                <w:rFonts w:ascii="宋体" w:hAnsi="宋体" w:cs="宋体" w:eastAsia="宋体" w:hint="default"/>
                <w:sz w:val="20"/>
                <w:szCs w:val="20"/>
              </w:rPr>
            </w:pPr>
            <w:r>
              <w:rPr>
                <w:rFonts w:ascii="宋体"/>
                <w:w w:val="95"/>
                <w:sz w:val="20"/>
              </w:rPr>
              <w:t>-1,015,499.89</w:t>
            </w:r>
            <w:r>
              <w:rPr>
                <w:rFonts w:ascii="宋体"/>
                <w:sz w:val="20"/>
              </w:rPr>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8"/>
              <w:jc w:val="right"/>
              <w:rPr>
                <w:rFonts w:ascii="宋体" w:hAnsi="宋体" w:cs="宋体" w:eastAsia="宋体" w:hint="default"/>
                <w:sz w:val="20"/>
                <w:szCs w:val="20"/>
              </w:rPr>
            </w:pPr>
            <w:r>
              <w:rPr>
                <w:rFonts w:ascii="宋体"/>
                <w:w w:val="95"/>
                <w:sz w:val="20"/>
              </w:rPr>
              <w:t>72,839.94</w:t>
            </w:r>
            <w:r>
              <w:rPr>
                <w:rFonts w:ascii="宋体"/>
                <w:sz w:val="20"/>
              </w:rPr>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6"/>
              <w:jc w:val="right"/>
              <w:rPr>
                <w:rFonts w:ascii="宋体" w:hAnsi="宋体" w:cs="宋体" w:eastAsia="宋体" w:hint="default"/>
                <w:sz w:val="20"/>
                <w:szCs w:val="20"/>
              </w:rPr>
            </w:pPr>
            <w:r>
              <w:rPr>
                <w:rFonts w:ascii="宋体"/>
                <w:w w:val="95"/>
                <w:sz w:val="20"/>
              </w:rPr>
              <w:t>1,088,339.83</w:t>
            </w:r>
            <w:r>
              <w:rPr>
                <w:rFonts w:ascii="宋体"/>
                <w:sz w:val="20"/>
              </w:rPr>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5,596,849.38</w:t>
            </w:r>
            <w:r>
              <w:rPr>
                <w:rFonts w:ascii="宋体"/>
                <w:sz w:val="20"/>
              </w:rPr>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6"/>
              <w:jc w:val="right"/>
              <w:rPr>
                <w:rFonts w:ascii="宋体" w:hAnsi="宋体" w:cs="宋体" w:eastAsia="宋体" w:hint="default"/>
                <w:sz w:val="20"/>
                <w:szCs w:val="20"/>
              </w:rPr>
            </w:pPr>
            <w:r>
              <w:rPr>
                <w:rFonts w:ascii="宋体"/>
                <w:w w:val="95"/>
                <w:sz w:val="20"/>
              </w:rPr>
              <w:t>72,839.94</w:t>
            </w:r>
            <w:r>
              <w:rPr>
                <w:rFonts w:ascii="宋体"/>
                <w:sz w:val="20"/>
              </w:rPr>
            </w:r>
          </w:p>
        </w:tc>
      </w:tr>
    </w:tbl>
    <w:p>
      <w:pPr>
        <w:spacing w:line="240" w:lineRule="auto" w:before="5"/>
        <w:rPr>
          <w:rFonts w:ascii="宋体" w:hAnsi="宋体" w:cs="宋体" w:eastAsia="宋体" w:hint="default"/>
          <w:sz w:val="15"/>
          <w:szCs w:val="15"/>
        </w:rPr>
      </w:pPr>
    </w:p>
    <w:p>
      <w:pPr>
        <w:pStyle w:val="BodyText"/>
        <w:tabs>
          <w:tab w:pos="2738" w:val="left" w:leader="none"/>
          <w:tab w:pos="5784" w:val="left" w:leader="none"/>
        </w:tabs>
        <w:spacing w:line="240" w:lineRule="auto" w:before="36"/>
        <w:ind w:right="227"/>
        <w:jc w:val="left"/>
      </w:pPr>
      <w:r>
        <w:rPr>
          <w:spacing w:val="-1"/>
        </w:rPr>
        <w:t>法定代表人：郭东圣</w:t>
        <w:tab/>
      </w:r>
      <w:r>
        <w:rPr>
          <w:spacing w:val="-2"/>
        </w:rPr>
        <w:t>主管会计工作负责人：李良海</w:t>
        <w:tab/>
        <w:t>会计机构负责人：郑清勇</w:t>
      </w:r>
    </w:p>
    <w:p>
      <w:pPr>
        <w:spacing w:after="0" w:line="240" w:lineRule="auto"/>
        <w:jc w:val="left"/>
        <w:sectPr>
          <w:pgSz w:w="11910" w:h="16840"/>
          <w:pgMar w:header="877" w:footer="1195" w:top="1100" w:bottom="1380" w:left="1580" w:right="1040"/>
        </w:sectPr>
      </w:pPr>
    </w:p>
    <w:p>
      <w:pPr>
        <w:spacing w:line="240" w:lineRule="auto" w:before="12"/>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headerReference w:type="default" r:id="rId33"/>
          <w:footerReference w:type="default" r:id="rId34"/>
          <w:pgSz w:w="16840" w:h="11910" w:orient="landscape"/>
          <w:pgMar w:header="882" w:footer="1195" w:top="1120" w:bottom="1380" w:left="1360" w:right="1220"/>
          <w:pgNumType w:start="74"/>
        </w:sectPr>
      </w:pPr>
    </w:p>
    <w:p>
      <w:pPr>
        <w:spacing w:before="36"/>
        <w:ind w:left="6328" w:right="-9" w:hanging="293"/>
        <w:jc w:val="left"/>
        <w:rPr>
          <w:rFonts w:ascii="宋体" w:hAnsi="宋体" w:cs="宋体" w:eastAsia="宋体" w:hint="default"/>
          <w:sz w:val="21"/>
          <w:szCs w:val="21"/>
        </w:rPr>
      </w:pPr>
      <w:r>
        <w:rPr>
          <w:rFonts w:ascii="宋体" w:hAnsi="宋体" w:cs="宋体" w:eastAsia="宋体" w:hint="default"/>
          <w:b/>
          <w:bCs/>
          <w:spacing w:val="-1"/>
          <w:sz w:val="21"/>
          <w:szCs w:val="21"/>
        </w:rPr>
        <w:t>合并所有者权益变动表</w:t>
      </w:r>
      <w:r>
        <w:rPr>
          <w:rFonts w:ascii="宋体" w:hAnsi="宋体" w:cs="宋体" w:eastAsia="宋体" w:hint="default"/>
          <w:b/>
          <w:bCs/>
          <w:spacing w:val="-96"/>
          <w:sz w:val="21"/>
          <w:szCs w:val="21"/>
        </w:rPr>
        <w:t> </w:t>
      </w:r>
      <w:r>
        <w:rPr>
          <w:rFonts w:ascii="宋体" w:hAnsi="宋体" w:cs="宋体" w:eastAsia="宋体" w:hint="default"/>
          <w:b/>
          <w:bCs/>
          <w:spacing w:val="-96"/>
          <w:sz w:val="21"/>
          <w:szCs w:val="21"/>
        </w:rPr>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4698" w:val="left" w:leader="none"/>
        </w:tabs>
        <w:spacing w:line="240" w:lineRule="auto"/>
        <w:ind w:left="3752"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6840" w:h="11910" w:orient="landscape"/>
          <w:pgMar w:top="1120" w:bottom="1380" w:left="1360" w:right="1220"/>
          <w:cols w:num="2" w:equalWidth="0">
            <w:col w:w="8146" w:space="40"/>
            <w:col w:w="6074"/>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040"/>
        <w:gridCol w:w="991"/>
        <w:gridCol w:w="1136"/>
        <w:gridCol w:w="425"/>
        <w:gridCol w:w="566"/>
        <w:gridCol w:w="994"/>
        <w:gridCol w:w="1416"/>
        <w:gridCol w:w="994"/>
        <w:gridCol w:w="650"/>
        <w:gridCol w:w="1052"/>
        <w:gridCol w:w="694"/>
        <w:gridCol w:w="1147"/>
        <w:gridCol w:w="828"/>
        <w:gridCol w:w="1095"/>
      </w:tblGrid>
      <w:tr>
        <w:trPr>
          <w:trHeight w:val="250" w:hRule="exact"/>
        </w:trPr>
        <w:tc>
          <w:tcPr>
            <w:tcW w:w="20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88" w:type="dxa"/>
            <w:gridSpan w:val="13"/>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593"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550" w:hRule="exact"/>
        </w:trPr>
        <w:tc>
          <w:tcPr>
            <w:tcW w:w="2040" w:type="dxa"/>
            <w:vMerge/>
            <w:tcBorders>
              <w:left w:val="single" w:sz="4" w:space="0" w:color="000000"/>
              <w:right w:val="single" w:sz="4" w:space="0" w:color="000000"/>
            </w:tcBorders>
          </w:tcPr>
          <w:p>
            <w:pPr/>
          </w:p>
        </w:tc>
        <w:tc>
          <w:tcPr>
            <w:tcW w:w="10065"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4834"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32" w:lineRule="exact"/>
              <w:ind w:left="139" w:right="137"/>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10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32" w:lineRule="exact"/>
              <w:ind w:left="271" w:right="180"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362" w:hRule="exact"/>
        </w:trPr>
        <w:tc>
          <w:tcPr>
            <w:tcW w:w="2040" w:type="dxa"/>
            <w:vMerge/>
            <w:tcBorders>
              <w:left w:val="single" w:sz="4" w:space="0" w:color="000000"/>
              <w:right w:val="single" w:sz="4" w:space="0" w:color="000000"/>
            </w:tcBorders>
          </w:tcPr>
          <w:p>
            <w:pP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30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12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52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13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25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4" w:lineRule="auto"/>
              <w:ind w:left="312" w:right="1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650"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4" w:lineRule="auto"/>
              <w:ind w:left="141" w:right="137"/>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0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16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94" w:type="dxa"/>
            <w:vMerge w:val="restart"/>
            <w:tcBorders>
              <w:top w:val="single" w:sz="4" w:space="0" w:color="000000"/>
              <w:left w:val="single" w:sz="4" w:space="0" w:color="000000"/>
              <w:right w:val="single" w:sz="4" w:space="0" w:color="000000"/>
            </w:tcBorders>
          </w:tcPr>
          <w:p>
            <w:pPr>
              <w:pStyle w:val="TableParagraph"/>
              <w:spacing w:line="244" w:lineRule="auto" w:before="157"/>
              <w:ind w:left="160" w:right="161"/>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114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12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828" w:type="dxa"/>
            <w:vMerge/>
            <w:tcBorders>
              <w:left w:val="single" w:sz="4" w:space="0" w:color="000000"/>
              <w:right w:val="single" w:sz="4" w:space="0" w:color="000000"/>
            </w:tcBorders>
          </w:tcPr>
          <w:p>
            <w:pPr/>
          </w:p>
        </w:tc>
        <w:tc>
          <w:tcPr>
            <w:tcW w:w="1095" w:type="dxa"/>
            <w:vMerge/>
            <w:tcBorders>
              <w:left w:val="single" w:sz="4" w:space="0" w:color="000000"/>
              <w:right w:val="single" w:sz="4" w:space="0" w:color="000000"/>
            </w:tcBorders>
          </w:tcPr>
          <w:p>
            <w:pPr/>
          </w:p>
        </w:tc>
      </w:tr>
      <w:tr>
        <w:trPr>
          <w:trHeight w:val="730" w:hRule="exact"/>
        </w:trPr>
        <w:tc>
          <w:tcPr>
            <w:tcW w:w="2040"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17" w:right="0"/>
              <w:jc w:val="left"/>
              <w:rPr>
                <w:rFonts w:ascii="宋体" w:hAnsi="宋体" w:cs="宋体" w:eastAsia="宋体" w:hint="default"/>
                <w:sz w:val="18"/>
                <w:szCs w:val="18"/>
              </w:rPr>
            </w:pPr>
            <w:r>
              <w:rPr>
                <w:rFonts w:ascii="宋体" w:hAnsi="宋体" w:cs="宋体" w:eastAsia="宋体" w:hint="default"/>
                <w:sz w:val="18"/>
                <w:szCs w:val="18"/>
              </w:rPr>
              <w:t>永</w:t>
            </w:r>
          </w:p>
          <w:p>
            <w:pPr>
              <w:pStyle w:val="TableParagraph"/>
              <w:spacing w:line="244" w:lineRule="auto" w:before="5"/>
              <w:ind w:left="117" w:right="115"/>
              <w:jc w:val="left"/>
              <w:rPr>
                <w:rFonts w:ascii="宋体" w:hAnsi="宋体" w:cs="宋体" w:eastAsia="宋体" w:hint="default"/>
                <w:sz w:val="18"/>
                <w:szCs w:val="18"/>
              </w:rPr>
            </w:pPr>
            <w:r>
              <w:rPr>
                <w:rFonts w:ascii="宋体" w:hAnsi="宋体" w:cs="宋体" w:eastAsia="宋体" w:hint="default"/>
                <w:sz w:val="18"/>
                <w:szCs w:val="18"/>
              </w:rPr>
              <w:t>续 债</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97"/>
              <w:ind w:left="187" w:right="187"/>
              <w:jc w:val="center"/>
              <w:rPr>
                <w:rFonts w:ascii="宋体" w:hAnsi="宋体" w:cs="宋体" w:eastAsia="宋体" w:hint="default"/>
                <w:sz w:val="18"/>
                <w:szCs w:val="18"/>
              </w:rPr>
            </w:pPr>
            <w:r>
              <w:rPr>
                <w:rFonts w:ascii="宋体" w:hAnsi="宋体" w:cs="宋体" w:eastAsia="宋体" w:hint="default"/>
                <w:sz w:val="18"/>
                <w:szCs w:val="18"/>
              </w:rPr>
              <w:t>其 他</w:t>
            </w:r>
          </w:p>
        </w:tc>
        <w:tc>
          <w:tcPr>
            <w:tcW w:w="994"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650" w:type="dxa"/>
            <w:vMerge/>
            <w:tcBorders>
              <w:left w:val="single" w:sz="4" w:space="0" w:color="000000"/>
              <w:bottom w:val="single" w:sz="4" w:space="0" w:color="000000"/>
              <w:right w:val="single" w:sz="4" w:space="0" w:color="000000"/>
            </w:tcBorders>
          </w:tcPr>
          <w:p>
            <w:pPr/>
          </w:p>
        </w:tc>
        <w:tc>
          <w:tcPr>
            <w:tcW w:w="1052" w:type="dxa"/>
            <w:vMerge/>
            <w:tcBorders>
              <w:left w:val="single" w:sz="4" w:space="0" w:color="000000"/>
              <w:bottom w:val="single" w:sz="4" w:space="0" w:color="000000"/>
              <w:right w:val="single" w:sz="4" w:space="0" w:color="000000"/>
            </w:tcBorders>
          </w:tcPr>
          <w:p>
            <w:pPr/>
          </w:p>
        </w:tc>
        <w:tc>
          <w:tcPr>
            <w:tcW w:w="694" w:type="dxa"/>
            <w:vMerge/>
            <w:tcBorders>
              <w:left w:val="single" w:sz="4" w:space="0" w:color="000000"/>
              <w:bottom w:val="single" w:sz="4" w:space="0" w:color="000000"/>
              <w:right w:val="single" w:sz="4" w:space="0" w:color="000000"/>
            </w:tcBorders>
          </w:tcPr>
          <w:p>
            <w:pPr/>
          </w:p>
        </w:tc>
        <w:tc>
          <w:tcPr>
            <w:tcW w:w="1147" w:type="dxa"/>
            <w:vMerge/>
            <w:tcBorders>
              <w:left w:val="single" w:sz="4" w:space="0" w:color="000000"/>
              <w:bottom w:val="single" w:sz="4" w:space="0" w:color="000000"/>
              <w:right w:val="single" w:sz="4" w:space="0" w:color="000000"/>
            </w:tcBorders>
          </w:tcPr>
          <w:p>
            <w:pPr/>
          </w:p>
        </w:tc>
        <w:tc>
          <w:tcPr>
            <w:tcW w:w="828" w:type="dxa"/>
            <w:vMerge/>
            <w:tcBorders>
              <w:left w:val="single" w:sz="4" w:space="0" w:color="000000"/>
              <w:bottom w:val="single" w:sz="4" w:space="0" w:color="000000"/>
              <w:right w:val="single" w:sz="4" w:space="0" w:color="000000"/>
            </w:tcBorders>
          </w:tcPr>
          <w:p>
            <w:pPr/>
          </w:p>
        </w:tc>
        <w:tc>
          <w:tcPr>
            <w:tcW w:w="1095" w:type="dxa"/>
            <w:vMerge/>
            <w:tcBorders>
              <w:left w:val="single" w:sz="4" w:space="0" w:color="000000"/>
              <w:bottom w:val="single" w:sz="4" w:space="0" w:color="000000"/>
              <w:right w:val="single" w:sz="4" w:space="0" w:color="000000"/>
            </w:tcBorders>
          </w:tcPr>
          <w:p>
            <w:pPr/>
          </w:p>
        </w:tc>
      </w:tr>
      <w:tr>
        <w:trPr>
          <w:trHeight w:val="478"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8" w:right="0"/>
              <w:jc w:val="left"/>
              <w:rPr>
                <w:rFonts w:ascii="宋体" w:hAnsi="宋体" w:cs="宋体" w:eastAsia="宋体" w:hint="default"/>
                <w:sz w:val="18"/>
                <w:szCs w:val="18"/>
              </w:rPr>
            </w:pPr>
            <w:r>
              <w:rPr>
                <w:rFonts w:ascii="宋体"/>
                <w:sz w:val="18"/>
              </w:rPr>
              <w:t>1,360,71</w:t>
            </w:r>
          </w:p>
          <w:p>
            <w:pPr>
              <w:pStyle w:val="TableParagraph"/>
              <w:spacing w:line="234" w:lineRule="exact"/>
              <w:ind w:left="158" w:right="0"/>
              <w:jc w:val="left"/>
              <w:rPr>
                <w:rFonts w:ascii="宋体" w:hAnsi="宋体" w:cs="宋体" w:eastAsia="宋体" w:hint="default"/>
                <w:sz w:val="18"/>
                <w:szCs w:val="18"/>
              </w:rPr>
            </w:pPr>
            <w:r>
              <w:rPr>
                <w:rFonts w:ascii="宋体"/>
                <w:sz w:val="18"/>
              </w:rPr>
              <w:t>1,170.98</w:t>
            </w:r>
          </w:p>
        </w:tc>
        <w:tc>
          <w:tcPr>
            <w:tcW w:w="113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2" w:right="0"/>
              <w:jc w:val="center"/>
              <w:rPr>
                <w:rFonts w:ascii="宋体" w:hAnsi="宋体" w:cs="宋体" w:eastAsia="宋体" w:hint="default"/>
                <w:sz w:val="18"/>
                <w:szCs w:val="18"/>
              </w:rPr>
            </w:pPr>
            <w:r>
              <w:rPr>
                <w:rFonts w:ascii="宋体"/>
                <w:sz w:val="18"/>
              </w:rPr>
              <w:t>556,367,</w:t>
            </w:r>
          </w:p>
          <w:p>
            <w:pPr>
              <w:pStyle w:val="TableParagraph"/>
              <w:spacing w:line="234" w:lineRule="exact"/>
              <w:ind w:left="243" w:right="0"/>
              <w:jc w:val="center"/>
              <w:rPr>
                <w:rFonts w:ascii="宋体" w:hAnsi="宋体" w:cs="宋体" w:eastAsia="宋体" w:hint="default"/>
                <w:sz w:val="18"/>
                <w:szCs w:val="18"/>
              </w:rPr>
            </w:pPr>
            <w:r>
              <w:rPr>
                <w:rFonts w:ascii="宋体"/>
                <w:sz w:val="18"/>
              </w:rPr>
              <w:t>822.80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1"/>
              <w:jc w:val="right"/>
              <w:rPr>
                <w:rFonts w:ascii="宋体" w:hAnsi="宋体" w:cs="宋体" w:eastAsia="宋体" w:hint="default"/>
                <w:sz w:val="18"/>
                <w:szCs w:val="18"/>
              </w:rPr>
            </w:pPr>
            <w:r>
              <w:rPr>
                <w:rFonts w:ascii="宋体"/>
                <w:spacing w:val="-1"/>
                <w:sz w:val="18"/>
              </w:rPr>
              <w:t>643,647,291.2</w:t>
            </w:r>
          </w:p>
          <w:p>
            <w:pPr>
              <w:pStyle w:val="TableParagraph"/>
              <w:spacing w:line="234" w:lineRule="exact"/>
              <w:ind w:right="102"/>
              <w:jc w:val="right"/>
              <w:rPr>
                <w:rFonts w:ascii="宋体" w:hAnsi="宋体" w:cs="宋体" w:eastAsia="宋体" w:hint="default"/>
                <w:sz w:val="18"/>
                <w:szCs w:val="18"/>
              </w:rPr>
            </w:pPr>
            <w:r>
              <w:rPr>
                <w:rFonts w:ascii="宋体"/>
                <w:sz w:val="18"/>
              </w:rPr>
              <w:t>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0" w:right="0"/>
              <w:jc w:val="left"/>
              <w:rPr>
                <w:rFonts w:ascii="宋体" w:hAnsi="宋体" w:cs="宋体" w:eastAsia="宋体" w:hint="default"/>
                <w:sz w:val="18"/>
                <w:szCs w:val="18"/>
              </w:rPr>
            </w:pPr>
            <w:r>
              <w:rPr>
                <w:rFonts w:ascii="宋体"/>
                <w:sz w:val="18"/>
              </w:rPr>
              <w:t>-153,055</w:t>
            </w:r>
          </w:p>
          <w:p>
            <w:pPr>
              <w:pStyle w:val="TableParagraph"/>
              <w:spacing w:line="234" w:lineRule="exact"/>
              <w:ind w:left="609" w:right="0"/>
              <w:jc w:val="left"/>
              <w:rPr>
                <w:rFonts w:ascii="宋体" w:hAnsi="宋体" w:cs="宋体" w:eastAsia="宋体" w:hint="default"/>
                <w:sz w:val="18"/>
                <w:szCs w:val="18"/>
              </w:rPr>
            </w:pPr>
            <w:r>
              <w:rPr>
                <w:rFonts w:ascii="宋体"/>
                <w:sz w:val="18"/>
              </w:rPr>
              <w:t>.10</w:t>
            </w:r>
          </w:p>
        </w:tc>
        <w:tc>
          <w:tcPr>
            <w:tcW w:w="650"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7" w:right="0"/>
              <w:jc w:val="left"/>
              <w:rPr>
                <w:rFonts w:ascii="宋体" w:hAnsi="宋体" w:cs="宋体" w:eastAsia="宋体" w:hint="default"/>
                <w:sz w:val="18"/>
                <w:szCs w:val="18"/>
              </w:rPr>
            </w:pPr>
            <w:r>
              <w:rPr>
                <w:rFonts w:ascii="宋体"/>
                <w:sz w:val="18"/>
              </w:rPr>
              <w:t>117,813,7</w:t>
            </w:r>
          </w:p>
          <w:p>
            <w:pPr>
              <w:pStyle w:val="TableParagraph"/>
              <w:spacing w:line="234" w:lineRule="exact"/>
              <w:ind w:left="487" w:right="0"/>
              <w:jc w:val="left"/>
              <w:rPr>
                <w:rFonts w:ascii="宋体" w:hAnsi="宋体" w:cs="宋体" w:eastAsia="宋体" w:hint="default"/>
                <w:sz w:val="18"/>
                <w:szCs w:val="18"/>
              </w:rPr>
            </w:pPr>
            <w:r>
              <w:rPr>
                <w:rFonts w:ascii="宋体"/>
                <w:sz w:val="18"/>
              </w:rPr>
              <w:t>04.26</w:t>
            </w:r>
          </w:p>
        </w:tc>
        <w:tc>
          <w:tcPr>
            <w:tcW w:w="694"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36" w:right="0"/>
              <w:jc w:val="left"/>
              <w:rPr>
                <w:rFonts w:ascii="宋体" w:hAnsi="宋体" w:cs="宋体" w:eastAsia="宋体" w:hint="default"/>
                <w:sz w:val="18"/>
                <w:szCs w:val="18"/>
              </w:rPr>
            </w:pPr>
            <w:r>
              <w:rPr>
                <w:rFonts w:ascii="宋体"/>
                <w:sz w:val="18"/>
              </w:rPr>
              <w:t>1,055,412,</w:t>
            </w:r>
          </w:p>
          <w:p>
            <w:pPr>
              <w:pStyle w:val="TableParagraph"/>
              <w:spacing w:line="234" w:lineRule="exact"/>
              <w:ind w:left="496" w:right="0"/>
              <w:jc w:val="left"/>
              <w:rPr>
                <w:rFonts w:ascii="宋体" w:hAnsi="宋体" w:cs="宋体" w:eastAsia="宋体" w:hint="default"/>
                <w:sz w:val="18"/>
                <w:szCs w:val="18"/>
              </w:rPr>
            </w:pPr>
            <w:r>
              <w:rPr>
                <w:rFonts w:ascii="宋体"/>
                <w:sz w:val="18"/>
              </w:rPr>
              <w:t>382.90</w:t>
            </w:r>
          </w:p>
        </w:tc>
        <w:tc>
          <w:tcPr>
            <w:tcW w:w="828"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7" w:right="0"/>
              <w:jc w:val="center"/>
              <w:rPr>
                <w:rFonts w:ascii="宋体" w:hAnsi="宋体" w:cs="宋体" w:eastAsia="宋体" w:hint="default"/>
                <w:sz w:val="18"/>
                <w:szCs w:val="18"/>
              </w:rPr>
            </w:pPr>
            <w:r>
              <w:rPr>
                <w:rFonts w:ascii="宋体"/>
                <w:sz w:val="18"/>
              </w:rPr>
              <w:t>2,446,504</w:t>
            </w:r>
          </w:p>
          <w:p>
            <w:pPr>
              <w:pStyle w:val="TableParagraph"/>
              <w:spacing w:line="234" w:lineRule="exact"/>
              <w:ind w:left="248" w:right="0"/>
              <w:jc w:val="center"/>
              <w:rPr>
                <w:rFonts w:ascii="宋体" w:hAnsi="宋体" w:cs="宋体" w:eastAsia="宋体" w:hint="default"/>
                <w:sz w:val="18"/>
                <w:szCs w:val="18"/>
              </w:rPr>
            </w:pPr>
            <w:r>
              <w:rPr>
                <w:rFonts w:ascii="宋体"/>
                <w:sz w:val="18"/>
              </w:rPr>
              <w:t>,734.55</w:t>
            </w:r>
          </w:p>
        </w:tc>
      </w:tr>
      <w:tr>
        <w:trPr>
          <w:trHeight w:val="242"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523" w:right="0"/>
              <w:jc w:val="left"/>
              <w:rPr>
                <w:rFonts w:ascii="宋体" w:hAnsi="宋体" w:cs="宋体" w:eastAsia="宋体" w:hint="default"/>
                <w:sz w:val="18"/>
                <w:szCs w:val="18"/>
              </w:rPr>
            </w:pPr>
            <w:r>
              <w:rPr>
                <w:rFonts w:ascii="宋体" w:hAnsi="宋体" w:cs="宋体" w:eastAsia="宋体" w:hint="default"/>
                <w:sz w:val="18"/>
                <w:szCs w:val="18"/>
              </w:rPr>
              <w:t>同一控制下企业</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合并</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8" w:right="0"/>
              <w:jc w:val="left"/>
              <w:rPr>
                <w:rFonts w:ascii="宋体" w:hAnsi="宋体" w:cs="宋体" w:eastAsia="宋体" w:hint="default"/>
                <w:sz w:val="18"/>
                <w:szCs w:val="18"/>
              </w:rPr>
            </w:pPr>
            <w:r>
              <w:rPr>
                <w:rFonts w:ascii="宋体"/>
                <w:sz w:val="18"/>
              </w:rPr>
              <w:t>1,360,71</w:t>
            </w:r>
          </w:p>
          <w:p>
            <w:pPr>
              <w:pStyle w:val="TableParagraph"/>
              <w:spacing w:line="234" w:lineRule="exact"/>
              <w:ind w:left="158" w:right="0"/>
              <w:jc w:val="left"/>
              <w:rPr>
                <w:rFonts w:ascii="宋体" w:hAnsi="宋体" w:cs="宋体" w:eastAsia="宋体" w:hint="default"/>
                <w:sz w:val="18"/>
                <w:szCs w:val="18"/>
              </w:rPr>
            </w:pPr>
            <w:r>
              <w:rPr>
                <w:rFonts w:ascii="宋体"/>
                <w:sz w:val="18"/>
              </w:rPr>
              <w:t>1,170.98</w:t>
            </w:r>
          </w:p>
        </w:tc>
        <w:tc>
          <w:tcPr>
            <w:tcW w:w="113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2" w:right="0"/>
              <w:jc w:val="center"/>
              <w:rPr>
                <w:rFonts w:ascii="宋体" w:hAnsi="宋体" w:cs="宋体" w:eastAsia="宋体" w:hint="default"/>
                <w:sz w:val="18"/>
                <w:szCs w:val="18"/>
              </w:rPr>
            </w:pPr>
            <w:r>
              <w:rPr>
                <w:rFonts w:ascii="宋体"/>
                <w:sz w:val="18"/>
              </w:rPr>
              <w:t>556,367,</w:t>
            </w:r>
          </w:p>
          <w:p>
            <w:pPr>
              <w:pStyle w:val="TableParagraph"/>
              <w:spacing w:line="234" w:lineRule="exact"/>
              <w:ind w:left="243" w:right="0"/>
              <w:jc w:val="center"/>
              <w:rPr>
                <w:rFonts w:ascii="宋体" w:hAnsi="宋体" w:cs="宋体" w:eastAsia="宋体" w:hint="default"/>
                <w:sz w:val="18"/>
                <w:szCs w:val="18"/>
              </w:rPr>
            </w:pPr>
            <w:r>
              <w:rPr>
                <w:rFonts w:ascii="宋体"/>
                <w:sz w:val="18"/>
              </w:rPr>
              <w:t>822.80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1"/>
              <w:jc w:val="right"/>
              <w:rPr>
                <w:rFonts w:ascii="宋体" w:hAnsi="宋体" w:cs="宋体" w:eastAsia="宋体" w:hint="default"/>
                <w:sz w:val="18"/>
                <w:szCs w:val="18"/>
              </w:rPr>
            </w:pPr>
            <w:r>
              <w:rPr>
                <w:rFonts w:ascii="宋体"/>
                <w:spacing w:val="-1"/>
                <w:sz w:val="18"/>
              </w:rPr>
              <w:t>643,647,291.2</w:t>
            </w:r>
          </w:p>
          <w:p>
            <w:pPr>
              <w:pStyle w:val="TableParagraph"/>
              <w:spacing w:line="234" w:lineRule="exact"/>
              <w:ind w:right="102"/>
              <w:jc w:val="right"/>
              <w:rPr>
                <w:rFonts w:ascii="宋体" w:hAnsi="宋体" w:cs="宋体" w:eastAsia="宋体" w:hint="default"/>
                <w:sz w:val="18"/>
                <w:szCs w:val="18"/>
              </w:rPr>
            </w:pPr>
            <w:r>
              <w:rPr>
                <w:rFonts w:ascii="宋体"/>
                <w:sz w:val="18"/>
              </w:rPr>
              <w:t>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0" w:right="0"/>
              <w:jc w:val="left"/>
              <w:rPr>
                <w:rFonts w:ascii="宋体" w:hAnsi="宋体" w:cs="宋体" w:eastAsia="宋体" w:hint="default"/>
                <w:sz w:val="18"/>
                <w:szCs w:val="18"/>
              </w:rPr>
            </w:pPr>
            <w:r>
              <w:rPr>
                <w:rFonts w:ascii="宋体"/>
                <w:sz w:val="18"/>
              </w:rPr>
              <w:t>-153,055</w:t>
            </w:r>
          </w:p>
          <w:p>
            <w:pPr>
              <w:pStyle w:val="TableParagraph"/>
              <w:spacing w:line="234" w:lineRule="exact"/>
              <w:ind w:left="609" w:right="0"/>
              <w:jc w:val="left"/>
              <w:rPr>
                <w:rFonts w:ascii="宋体" w:hAnsi="宋体" w:cs="宋体" w:eastAsia="宋体" w:hint="default"/>
                <w:sz w:val="18"/>
                <w:szCs w:val="18"/>
              </w:rPr>
            </w:pPr>
            <w:r>
              <w:rPr>
                <w:rFonts w:ascii="宋体"/>
                <w:sz w:val="18"/>
              </w:rPr>
              <w:t>.10</w:t>
            </w:r>
          </w:p>
        </w:tc>
        <w:tc>
          <w:tcPr>
            <w:tcW w:w="650"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7" w:right="0"/>
              <w:jc w:val="left"/>
              <w:rPr>
                <w:rFonts w:ascii="宋体" w:hAnsi="宋体" w:cs="宋体" w:eastAsia="宋体" w:hint="default"/>
                <w:sz w:val="18"/>
                <w:szCs w:val="18"/>
              </w:rPr>
            </w:pPr>
            <w:r>
              <w:rPr>
                <w:rFonts w:ascii="宋体"/>
                <w:sz w:val="18"/>
              </w:rPr>
              <w:t>117,813,7</w:t>
            </w:r>
          </w:p>
          <w:p>
            <w:pPr>
              <w:pStyle w:val="TableParagraph"/>
              <w:spacing w:line="234" w:lineRule="exact"/>
              <w:ind w:left="487" w:right="0"/>
              <w:jc w:val="left"/>
              <w:rPr>
                <w:rFonts w:ascii="宋体" w:hAnsi="宋体" w:cs="宋体" w:eastAsia="宋体" w:hint="default"/>
                <w:sz w:val="18"/>
                <w:szCs w:val="18"/>
              </w:rPr>
            </w:pPr>
            <w:r>
              <w:rPr>
                <w:rFonts w:ascii="宋体"/>
                <w:sz w:val="18"/>
              </w:rPr>
              <w:t>04.26</w:t>
            </w:r>
          </w:p>
        </w:tc>
        <w:tc>
          <w:tcPr>
            <w:tcW w:w="694"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36" w:right="0"/>
              <w:jc w:val="left"/>
              <w:rPr>
                <w:rFonts w:ascii="宋体" w:hAnsi="宋体" w:cs="宋体" w:eastAsia="宋体" w:hint="default"/>
                <w:sz w:val="18"/>
                <w:szCs w:val="18"/>
              </w:rPr>
            </w:pPr>
            <w:r>
              <w:rPr>
                <w:rFonts w:ascii="宋体"/>
                <w:sz w:val="18"/>
              </w:rPr>
              <w:t>1,055,412,</w:t>
            </w:r>
          </w:p>
          <w:p>
            <w:pPr>
              <w:pStyle w:val="TableParagraph"/>
              <w:spacing w:line="234" w:lineRule="exact"/>
              <w:ind w:left="496" w:right="0"/>
              <w:jc w:val="left"/>
              <w:rPr>
                <w:rFonts w:ascii="宋体" w:hAnsi="宋体" w:cs="宋体" w:eastAsia="宋体" w:hint="default"/>
                <w:sz w:val="18"/>
                <w:szCs w:val="18"/>
              </w:rPr>
            </w:pPr>
            <w:r>
              <w:rPr>
                <w:rFonts w:ascii="宋体"/>
                <w:sz w:val="18"/>
              </w:rPr>
              <w:t>382.90</w:t>
            </w:r>
          </w:p>
        </w:tc>
        <w:tc>
          <w:tcPr>
            <w:tcW w:w="828"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7" w:right="0"/>
              <w:jc w:val="center"/>
              <w:rPr>
                <w:rFonts w:ascii="宋体" w:hAnsi="宋体" w:cs="宋体" w:eastAsia="宋体" w:hint="default"/>
                <w:sz w:val="18"/>
                <w:szCs w:val="18"/>
              </w:rPr>
            </w:pPr>
            <w:r>
              <w:rPr>
                <w:rFonts w:ascii="宋体"/>
                <w:sz w:val="18"/>
              </w:rPr>
              <w:t>2,446,504</w:t>
            </w:r>
          </w:p>
          <w:p>
            <w:pPr>
              <w:pStyle w:val="TableParagraph"/>
              <w:spacing w:line="234" w:lineRule="exact"/>
              <w:ind w:left="248" w:right="0"/>
              <w:jc w:val="center"/>
              <w:rPr>
                <w:rFonts w:ascii="宋体" w:hAnsi="宋体" w:cs="宋体" w:eastAsia="宋体" w:hint="default"/>
                <w:sz w:val="18"/>
                <w:szCs w:val="18"/>
              </w:rPr>
            </w:pPr>
            <w:r>
              <w:rPr>
                <w:rFonts w:ascii="宋体"/>
                <w:sz w:val="18"/>
              </w:rPr>
              <w:t>,734.55</w:t>
            </w:r>
          </w:p>
        </w:tc>
      </w:tr>
      <w:tr>
        <w:trPr>
          <w:trHeight w:val="710"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32" w:lineRule="exact" w:before="24"/>
              <w:ind w:left="103" w:right="305"/>
              <w:jc w:val="left"/>
              <w:rPr>
                <w:rFonts w:ascii="宋体" w:hAnsi="宋体" w:cs="宋体" w:eastAsia="宋体" w:hint="default"/>
                <w:sz w:val="18"/>
                <w:szCs w:val="18"/>
              </w:rPr>
            </w:pPr>
            <w:r>
              <w:rPr>
                <w:rFonts w:ascii="宋体" w:hAnsi="宋体" w:cs="宋体" w:eastAsia="宋体" w:hint="default"/>
                <w:sz w:val="18"/>
                <w:szCs w:val="18"/>
              </w:rPr>
              <w:t>（减少以“－”号填 列）</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-8,232.6</w:t>
            </w:r>
          </w:p>
          <w:p>
            <w:pPr>
              <w:pStyle w:val="TableParagraph"/>
              <w:spacing w:line="240" w:lineRule="auto"/>
              <w:ind w:right="102"/>
              <w:jc w:val="right"/>
              <w:rPr>
                <w:rFonts w:ascii="宋体" w:hAnsi="宋体" w:cs="宋体" w:eastAsia="宋体" w:hint="default"/>
                <w:sz w:val="18"/>
                <w:szCs w:val="18"/>
              </w:rPr>
            </w:pPr>
            <w:r>
              <w:rPr>
                <w:rFonts w:ascii="宋体"/>
                <w:sz w:val="18"/>
              </w:rPr>
              <w:t>3</w:t>
            </w:r>
          </w:p>
        </w:tc>
        <w:tc>
          <w:tcPr>
            <w:tcW w:w="650"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55,310,07</w:t>
            </w:r>
          </w:p>
          <w:p>
            <w:pPr>
              <w:pStyle w:val="TableParagraph"/>
              <w:spacing w:line="240" w:lineRule="auto"/>
              <w:ind w:left="578" w:right="0"/>
              <w:jc w:val="left"/>
              <w:rPr>
                <w:rFonts w:ascii="宋体" w:hAnsi="宋体" w:cs="宋体" w:eastAsia="宋体" w:hint="default"/>
                <w:sz w:val="18"/>
                <w:szCs w:val="18"/>
              </w:rPr>
            </w:pPr>
            <w:r>
              <w:rPr>
                <w:rFonts w:ascii="宋体"/>
                <w:sz w:val="18"/>
              </w:rPr>
              <w:t>7.96</w:t>
            </w:r>
          </w:p>
        </w:tc>
        <w:tc>
          <w:tcPr>
            <w:tcW w:w="694"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6" w:right="0"/>
              <w:jc w:val="left"/>
              <w:rPr>
                <w:rFonts w:ascii="宋体" w:hAnsi="宋体" w:cs="宋体" w:eastAsia="宋体" w:hint="default"/>
                <w:sz w:val="18"/>
                <w:szCs w:val="18"/>
              </w:rPr>
            </w:pPr>
            <w:r>
              <w:rPr>
                <w:rFonts w:ascii="宋体"/>
                <w:sz w:val="18"/>
              </w:rPr>
              <w:t>497,056,02</w:t>
            </w:r>
          </w:p>
          <w:p>
            <w:pPr>
              <w:pStyle w:val="TableParagraph"/>
              <w:spacing w:line="240" w:lineRule="auto"/>
              <w:ind w:left="676" w:right="0"/>
              <w:jc w:val="left"/>
              <w:rPr>
                <w:rFonts w:ascii="宋体" w:hAnsi="宋体" w:cs="宋体" w:eastAsia="宋体" w:hint="default"/>
                <w:sz w:val="18"/>
                <w:szCs w:val="18"/>
              </w:rPr>
            </w:pPr>
            <w:r>
              <w:rPr>
                <w:rFonts w:ascii="宋体"/>
                <w:sz w:val="18"/>
              </w:rPr>
              <w:t>9.66</w:t>
            </w:r>
          </w:p>
        </w:tc>
        <w:tc>
          <w:tcPr>
            <w:tcW w:w="828"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0" w:right="0"/>
              <w:jc w:val="left"/>
              <w:rPr>
                <w:rFonts w:ascii="宋体" w:hAnsi="宋体" w:cs="宋体" w:eastAsia="宋体" w:hint="default"/>
                <w:sz w:val="18"/>
                <w:szCs w:val="18"/>
              </w:rPr>
            </w:pPr>
            <w:r>
              <w:rPr>
                <w:rFonts w:ascii="宋体"/>
                <w:sz w:val="18"/>
              </w:rPr>
              <w:t>552,357,8</w:t>
            </w:r>
          </w:p>
          <w:p>
            <w:pPr>
              <w:pStyle w:val="TableParagraph"/>
              <w:spacing w:line="240" w:lineRule="auto"/>
              <w:ind w:left="530" w:right="0"/>
              <w:jc w:val="left"/>
              <w:rPr>
                <w:rFonts w:ascii="宋体" w:hAnsi="宋体" w:cs="宋体" w:eastAsia="宋体" w:hint="default"/>
                <w:sz w:val="18"/>
                <w:szCs w:val="18"/>
              </w:rPr>
            </w:pPr>
            <w:r>
              <w:rPr>
                <w:rFonts w:ascii="宋体"/>
                <w:sz w:val="18"/>
              </w:rPr>
              <w:t>74.99</w:t>
            </w:r>
          </w:p>
        </w:tc>
      </w:tr>
      <w:tr>
        <w:trPr>
          <w:trHeight w:val="478"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-8,232.6</w:t>
            </w:r>
          </w:p>
          <w:p>
            <w:pPr>
              <w:pStyle w:val="TableParagraph"/>
              <w:spacing w:line="240" w:lineRule="auto"/>
              <w:ind w:right="102"/>
              <w:jc w:val="right"/>
              <w:rPr>
                <w:rFonts w:ascii="宋体" w:hAnsi="宋体" w:cs="宋体" w:eastAsia="宋体" w:hint="default"/>
                <w:sz w:val="18"/>
                <w:szCs w:val="18"/>
              </w:rPr>
            </w:pPr>
            <w:r>
              <w:rPr>
                <w:rFonts w:ascii="宋体"/>
                <w:sz w:val="18"/>
              </w:rPr>
              <w:t>3</w:t>
            </w:r>
          </w:p>
        </w:tc>
        <w:tc>
          <w:tcPr>
            <w:tcW w:w="650"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6" w:right="0"/>
              <w:jc w:val="left"/>
              <w:rPr>
                <w:rFonts w:ascii="宋体" w:hAnsi="宋体" w:cs="宋体" w:eastAsia="宋体" w:hint="default"/>
                <w:sz w:val="18"/>
                <w:szCs w:val="18"/>
              </w:rPr>
            </w:pPr>
            <w:r>
              <w:rPr>
                <w:rFonts w:ascii="宋体"/>
                <w:sz w:val="18"/>
              </w:rPr>
              <w:t>552,366,10</w:t>
            </w:r>
          </w:p>
          <w:p>
            <w:pPr>
              <w:pStyle w:val="TableParagraph"/>
              <w:spacing w:line="240" w:lineRule="auto"/>
              <w:ind w:left="676" w:right="0"/>
              <w:jc w:val="left"/>
              <w:rPr>
                <w:rFonts w:ascii="宋体" w:hAnsi="宋体" w:cs="宋体" w:eastAsia="宋体" w:hint="default"/>
                <w:sz w:val="18"/>
                <w:szCs w:val="18"/>
              </w:rPr>
            </w:pPr>
            <w:r>
              <w:rPr>
                <w:rFonts w:ascii="宋体"/>
                <w:sz w:val="18"/>
              </w:rPr>
              <w:t>7.62</w:t>
            </w:r>
          </w:p>
        </w:tc>
        <w:tc>
          <w:tcPr>
            <w:tcW w:w="828"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0" w:right="0"/>
              <w:jc w:val="left"/>
              <w:rPr>
                <w:rFonts w:ascii="宋体" w:hAnsi="宋体" w:cs="宋体" w:eastAsia="宋体" w:hint="default"/>
                <w:sz w:val="18"/>
                <w:szCs w:val="18"/>
              </w:rPr>
            </w:pPr>
            <w:r>
              <w:rPr>
                <w:rFonts w:ascii="宋体"/>
                <w:sz w:val="18"/>
              </w:rPr>
              <w:t>552,357,8</w:t>
            </w:r>
          </w:p>
          <w:p>
            <w:pPr>
              <w:pStyle w:val="TableParagraph"/>
              <w:spacing w:line="240" w:lineRule="auto"/>
              <w:ind w:left="530" w:right="0"/>
              <w:jc w:val="left"/>
              <w:rPr>
                <w:rFonts w:ascii="宋体" w:hAnsi="宋体" w:cs="宋体" w:eastAsia="宋体" w:hint="default"/>
                <w:sz w:val="18"/>
                <w:szCs w:val="18"/>
              </w:rPr>
            </w:pPr>
            <w:r>
              <w:rPr>
                <w:rFonts w:ascii="宋体"/>
                <w:sz w:val="18"/>
              </w:rPr>
              <w:t>74.99</w:t>
            </w:r>
          </w:p>
        </w:tc>
      </w:tr>
      <w:tr>
        <w:trPr>
          <w:trHeight w:val="478"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（二）所有者投入和减</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少资本</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2</w:t>
            </w:r>
            <w:r>
              <w:rPr>
                <w:rFonts w:ascii="宋体" w:hAnsi="宋体" w:cs="宋体" w:eastAsia="宋体" w:hint="default"/>
                <w:spacing w:val="-6"/>
                <w:sz w:val="18"/>
                <w:szCs w:val="18"/>
              </w:rPr>
              <w:t>．其他权益工具持有者</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投入资本</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3</w:t>
            </w:r>
            <w:r>
              <w:rPr>
                <w:rFonts w:ascii="宋体" w:hAnsi="宋体" w:cs="宋体" w:eastAsia="宋体" w:hint="default"/>
                <w:spacing w:val="-6"/>
                <w:sz w:val="18"/>
                <w:szCs w:val="18"/>
              </w:rPr>
              <w:t>．股份支付计入所有者</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权益的金额</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7" w:right="0"/>
              <w:jc w:val="left"/>
              <w:rPr>
                <w:rFonts w:ascii="宋体" w:hAnsi="宋体" w:cs="宋体" w:eastAsia="宋体" w:hint="default"/>
                <w:sz w:val="18"/>
                <w:szCs w:val="18"/>
              </w:rPr>
            </w:pPr>
            <w:r>
              <w:rPr>
                <w:rFonts w:ascii="宋体"/>
                <w:sz w:val="18"/>
              </w:rPr>
              <w:t>55,310,07</w:t>
            </w:r>
          </w:p>
          <w:p>
            <w:pPr>
              <w:pStyle w:val="TableParagraph"/>
              <w:spacing w:line="234" w:lineRule="exact"/>
              <w:ind w:left="578" w:right="0"/>
              <w:jc w:val="left"/>
              <w:rPr>
                <w:rFonts w:ascii="宋体" w:hAnsi="宋体" w:cs="宋体" w:eastAsia="宋体" w:hint="default"/>
                <w:sz w:val="18"/>
                <w:szCs w:val="18"/>
              </w:rPr>
            </w:pPr>
            <w:r>
              <w:rPr>
                <w:rFonts w:ascii="宋体"/>
                <w:sz w:val="18"/>
              </w:rPr>
              <w:t>7.96</w:t>
            </w:r>
          </w:p>
        </w:tc>
        <w:tc>
          <w:tcPr>
            <w:tcW w:w="694"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36" w:right="0"/>
              <w:jc w:val="left"/>
              <w:rPr>
                <w:rFonts w:ascii="宋体" w:hAnsi="宋体" w:cs="宋体" w:eastAsia="宋体" w:hint="default"/>
                <w:sz w:val="18"/>
                <w:szCs w:val="18"/>
              </w:rPr>
            </w:pPr>
            <w:r>
              <w:rPr>
                <w:rFonts w:ascii="宋体"/>
                <w:sz w:val="18"/>
              </w:rPr>
              <w:t>-55,310,07</w:t>
            </w:r>
          </w:p>
          <w:p>
            <w:pPr>
              <w:pStyle w:val="TableParagraph"/>
              <w:spacing w:line="234" w:lineRule="exact"/>
              <w:ind w:left="676" w:right="0"/>
              <w:jc w:val="left"/>
              <w:rPr>
                <w:rFonts w:ascii="宋体" w:hAnsi="宋体" w:cs="宋体" w:eastAsia="宋体" w:hint="default"/>
                <w:sz w:val="18"/>
                <w:szCs w:val="18"/>
              </w:rPr>
            </w:pPr>
            <w:r>
              <w:rPr>
                <w:rFonts w:ascii="宋体"/>
                <w:sz w:val="18"/>
              </w:rPr>
              <w:t>7.96</w:t>
            </w:r>
          </w:p>
        </w:tc>
        <w:tc>
          <w:tcPr>
            <w:tcW w:w="828"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136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23" w:type="dxa"/>
        <w:tblLayout w:type="fixed"/>
        <w:tblCellMar>
          <w:top w:w="0" w:type="dxa"/>
          <w:left w:w="0" w:type="dxa"/>
          <w:bottom w:w="0" w:type="dxa"/>
          <w:right w:w="0" w:type="dxa"/>
        </w:tblCellMar>
        <w:tblLook w:val="01E0"/>
      </w:tblPr>
      <w:tblGrid>
        <w:gridCol w:w="2040"/>
        <w:gridCol w:w="991"/>
        <w:gridCol w:w="1136"/>
        <w:gridCol w:w="425"/>
        <w:gridCol w:w="566"/>
        <w:gridCol w:w="994"/>
        <w:gridCol w:w="1416"/>
        <w:gridCol w:w="994"/>
        <w:gridCol w:w="650"/>
        <w:gridCol w:w="1052"/>
        <w:gridCol w:w="694"/>
        <w:gridCol w:w="1147"/>
        <w:gridCol w:w="828"/>
        <w:gridCol w:w="1095"/>
      </w:tblGrid>
      <w:tr>
        <w:trPr>
          <w:trHeight w:val="475"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7" w:right="0"/>
              <w:jc w:val="left"/>
              <w:rPr>
                <w:rFonts w:ascii="宋体" w:hAnsi="宋体" w:cs="宋体" w:eastAsia="宋体" w:hint="default"/>
                <w:sz w:val="18"/>
                <w:szCs w:val="18"/>
              </w:rPr>
            </w:pPr>
            <w:r>
              <w:rPr>
                <w:rFonts w:ascii="宋体"/>
                <w:sz w:val="18"/>
              </w:rPr>
              <w:t>55,310,07</w:t>
            </w:r>
          </w:p>
          <w:p>
            <w:pPr>
              <w:pStyle w:val="TableParagraph"/>
              <w:spacing w:line="234" w:lineRule="exact"/>
              <w:ind w:left="578" w:right="0"/>
              <w:jc w:val="left"/>
              <w:rPr>
                <w:rFonts w:ascii="宋体" w:hAnsi="宋体" w:cs="宋体" w:eastAsia="宋体" w:hint="default"/>
                <w:sz w:val="18"/>
                <w:szCs w:val="18"/>
              </w:rPr>
            </w:pPr>
            <w:r>
              <w:rPr>
                <w:rFonts w:ascii="宋体"/>
                <w:sz w:val="18"/>
              </w:rPr>
              <w:t>7.96</w:t>
            </w:r>
          </w:p>
        </w:tc>
        <w:tc>
          <w:tcPr>
            <w:tcW w:w="694"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36" w:right="0"/>
              <w:jc w:val="left"/>
              <w:rPr>
                <w:rFonts w:ascii="宋体" w:hAnsi="宋体" w:cs="宋体" w:eastAsia="宋体" w:hint="default"/>
                <w:sz w:val="18"/>
                <w:szCs w:val="18"/>
              </w:rPr>
            </w:pPr>
            <w:r>
              <w:rPr>
                <w:rFonts w:ascii="宋体"/>
                <w:sz w:val="18"/>
              </w:rPr>
              <w:t>-55,310,07</w:t>
            </w:r>
          </w:p>
          <w:p>
            <w:pPr>
              <w:pStyle w:val="TableParagraph"/>
              <w:spacing w:line="234" w:lineRule="exact"/>
              <w:ind w:left="676" w:right="0"/>
              <w:jc w:val="left"/>
              <w:rPr>
                <w:rFonts w:ascii="宋体" w:hAnsi="宋体" w:cs="宋体" w:eastAsia="宋体" w:hint="default"/>
                <w:sz w:val="18"/>
                <w:szCs w:val="18"/>
              </w:rPr>
            </w:pPr>
            <w:r>
              <w:rPr>
                <w:rFonts w:ascii="宋体"/>
                <w:sz w:val="18"/>
              </w:rPr>
              <w:t>7.96</w:t>
            </w:r>
          </w:p>
        </w:tc>
        <w:tc>
          <w:tcPr>
            <w:tcW w:w="828"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．对所有者（或股东）</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的分配</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（四）所有者权益内部</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结转</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0" w:right="0"/>
              <w:jc w:val="left"/>
              <w:rPr>
                <w:rFonts w:ascii="宋体" w:hAnsi="宋体" w:cs="宋体" w:eastAsia="宋体" w:hint="default"/>
                <w:sz w:val="18"/>
                <w:szCs w:val="18"/>
              </w:rPr>
            </w:pPr>
            <w:r>
              <w:rPr>
                <w:rFonts w:ascii="宋体"/>
                <w:sz w:val="18"/>
              </w:rPr>
              <w:t>8,90</w:t>
            </w:r>
          </w:p>
          <w:p>
            <w:pPr>
              <w:pStyle w:val="TableParagraph"/>
              <w:spacing w:line="234" w:lineRule="exact"/>
              <w:ind w:left="180" w:right="0"/>
              <w:jc w:val="left"/>
              <w:rPr>
                <w:rFonts w:ascii="宋体" w:hAnsi="宋体" w:cs="宋体" w:eastAsia="宋体" w:hint="default"/>
                <w:sz w:val="18"/>
                <w:szCs w:val="18"/>
              </w:rPr>
            </w:pPr>
            <w:r>
              <w:rPr>
                <w:rFonts w:ascii="宋体"/>
                <w:sz w:val="18"/>
              </w:rPr>
              <w:t>7,44</w:t>
            </w:r>
          </w:p>
          <w:p>
            <w:pPr>
              <w:pStyle w:val="TableParagraph"/>
              <w:spacing w:line="234" w:lineRule="exact"/>
              <w:ind w:left="180" w:right="0"/>
              <w:jc w:val="left"/>
              <w:rPr>
                <w:rFonts w:ascii="宋体" w:hAnsi="宋体" w:cs="宋体" w:eastAsia="宋体" w:hint="default"/>
                <w:sz w:val="18"/>
                <w:szCs w:val="18"/>
              </w:rPr>
            </w:pPr>
            <w:r>
              <w:rPr>
                <w:rFonts w:ascii="宋体"/>
                <w:sz w:val="18"/>
              </w:rPr>
              <w:t>9.85</w:t>
            </w:r>
          </w:p>
        </w:tc>
        <w:tc>
          <w:tcPr>
            <w:tcW w:w="1052"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0" w:right="0"/>
              <w:jc w:val="left"/>
              <w:rPr>
                <w:rFonts w:ascii="宋体" w:hAnsi="宋体" w:cs="宋体" w:eastAsia="宋体" w:hint="default"/>
                <w:sz w:val="18"/>
                <w:szCs w:val="18"/>
              </w:rPr>
            </w:pPr>
            <w:r>
              <w:rPr>
                <w:rFonts w:ascii="宋体"/>
                <w:sz w:val="18"/>
              </w:rPr>
              <w:t>8,907,449</w:t>
            </w:r>
          </w:p>
          <w:p>
            <w:pPr>
              <w:pStyle w:val="TableParagraph"/>
              <w:spacing w:line="240" w:lineRule="auto"/>
              <w:ind w:left="710" w:right="0"/>
              <w:jc w:val="left"/>
              <w:rPr>
                <w:rFonts w:ascii="宋体" w:hAnsi="宋体" w:cs="宋体" w:eastAsia="宋体" w:hint="default"/>
                <w:sz w:val="18"/>
                <w:szCs w:val="18"/>
              </w:rPr>
            </w:pPr>
            <w:r>
              <w:rPr>
                <w:rFonts w:ascii="宋体"/>
                <w:sz w:val="18"/>
              </w:rPr>
              <w:t>.85</w:t>
            </w:r>
          </w:p>
        </w:tc>
      </w:tr>
      <w:tr>
        <w:trPr>
          <w:trHeight w:val="710"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0" w:right="0"/>
              <w:jc w:val="left"/>
              <w:rPr>
                <w:rFonts w:ascii="宋体" w:hAnsi="宋体" w:cs="宋体" w:eastAsia="宋体" w:hint="default"/>
                <w:sz w:val="18"/>
                <w:szCs w:val="18"/>
              </w:rPr>
            </w:pPr>
            <w:r>
              <w:rPr>
                <w:rFonts w:ascii="宋体"/>
                <w:sz w:val="18"/>
              </w:rPr>
              <w:t>8,90</w:t>
            </w:r>
          </w:p>
          <w:p>
            <w:pPr>
              <w:pStyle w:val="TableParagraph"/>
              <w:spacing w:line="234" w:lineRule="exact"/>
              <w:ind w:left="180" w:right="0"/>
              <w:jc w:val="left"/>
              <w:rPr>
                <w:rFonts w:ascii="宋体" w:hAnsi="宋体" w:cs="宋体" w:eastAsia="宋体" w:hint="default"/>
                <w:sz w:val="18"/>
                <w:szCs w:val="18"/>
              </w:rPr>
            </w:pPr>
            <w:r>
              <w:rPr>
                <w:rFonts w:ascii="宋体"/>
                <w:sz w:val="18"/>
              </w:rPr>
              <w:t>7,44</w:t>
            </w:r>
          </w:p>
          <w:p>
            <w:pPr>
              <w:pStyle w:val="TableParagraph"/>
              <w:spacing w:line="234" w:lineRule="exact"/>
              <w:ind w:left="180" w:right="0"/>
              <w:jc w:val="left"/>
              <w:rPr>
                <w:rFonts w:ascii="宋体" w:hAnsi="宋体" w:cs="宋体" w:eastAsia="宋体" w:hint="default"/>
                <w:sz w:val="18"/>
                <w:szCs w:val="18"/>
              </w:rPr>
            </w:pPr>
            <w:r>
              <w:rPr>
                <w:rFonts w:ascii="宋体"/>
                <w:sz w:val="18"/>
              </w:rPr>
              <w:t>9.85</w:t>
            </w:r>
          </w:p>
        </w:tc>
        <w:tc>
          <w:tcPr>
            <w:tcW w:w="1052"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0" w:right="0"/>
              <w:jc w:val="left"/>
              <w:rPr>
                <w:rFonts w:ascii="宋体" w:hAnsi="宋体" w:cs="宋体" w:eastAsia="宋体" w:hint="default"/>
                <w:sz w:val="18"/>
                <w:szCs w:val="18"/>
              </w:rPr>
            </w:pPr>
            <w:r>
              <w:rPr>
                <w:rFonts w:ascii="宋体"/>
                <w:sz w:val="18"/>
              </w:rPr>
              <w:t>8,907,449</w:t>
            </w:r>
          </w:p>
          <w:p>
            <w:pPr>
              <w:pStyle w:val="TableParagraph"/>
              <w:spacing w:line="240" w:lineRule="auto"/>
              <w:ind w:left="710" w:right="0"/>
              <w:jc w:val="left"/>
              <w:rPr>
                <w:rFonts w:ascii="宋体" w:hAnsi="宋体" w:cs="宋体" w:eastAsia="宋体" w:hint="default"/>
                <w:sz w:val="18"/>
                <w:szCs w:val="18"/>
              </w:rPr>
            </w:pPr>
            <w:r>
              <w:rPr>
                <w:rFonts w:ascii="宋体"/>
                <w:sz w:val="18"/>
              </w:rPr>
              <w:t>.85</w:t>
            </w:r>
          </w:p>
        </w:tc>
      </w:tr>
      <w:tr>
        <w:trPr>
          <w:trHeight w:val="245"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8" w:right="0"/>
              <w:jc w:val="left"/>
              <w:rPr>
                <w:rFonts w:ascii="宋体" w:hAnsi="宋体" w:cs="宋体" w:eastAsia="宋体" w:hint="default"/>
                <w:sz w:val="18"/>
                <w:szCs w:val="18"/>
              </w:rPr>
            </w:pPr>
            <w:r>
              <w:rPr>
                <w:rFonts w:ascii="宋体"/>
                <w:sz w:val="18"/>
              </w:rPr>
              <w:t>1,360,71</w:t>
            </w:r>
          </w:p>
          <w:p>
            <w:pPr>
              <w:pStyle w:val="TableParagraph"/>
              <w:spacing w:line="234" w:lineRule="exact"/>
              <w:ind w:left="158" w:right="0"/>
              <w:jc w:val="left"/>
              <w:rPr>
                <w:rFonts w:ascii="宋体" w:hAnsi="宋体" w:cs="宋体" w:eastAsia="宋体" w:hint="default"/>
                <w:sz w:val="18"/>
                <w:szCs w:val="18"/>
              </w:rPr>
            </w:pPr>
            <w:r>
              <w:rPr>
                <w:rFonts w:ascii="宋体"/>
                <w:sz w:val="18"/>
              </w:rPr>
              <w:t>1,170.98</w:t>
            </w:r>
          </w:p>
        </w:tc>
        <w:tc>
          <w:tcPr>
            <w:tcW w:w="113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2" w:right="0"/>
              <w:jc w:val="center"/>
              <w:rPr>
                <w:rFonts w:ascii="宋体" w:hAnsi="宋体" w:cs="宋体" w:eastAsia="宋体" w:hint="default"/>
                <w:sz w:val="18"/>
                <w:szCs w:val="18"/>
              </w:rPr>
            </w:pPr>
            <w:r>
              <w:rPr>
                <w:rFonts w:ascii="宋体"/>
                <w:sz w:val="18"/>
              </w:rPr>
              <w:t>556,367,</w:t>
            </w:r>
          </w:p>
          <w:p>
            <w:pPr>
              <w:pStyle w:val="TableParagraph"/>
              <w:spacing w:line="234" w:lineRule="exact"/>
              <w:ind w:left="243" w:right="0"/>
              <w:jc w:val="center"/>
              <w:rPr>
                <w:rFonts w:ascii="宋体" w:hAnsi="宋体" w:cs="宋体" w:eastAsia="宋体" w:hint="default"/>
                <w:sz w:val="18"/>
                <w:szCs w:val="18"/>
              </w:rPr>
            </w:pPr>
            <w:r>
              <w:rPr>
                <w:rFonts w:ascii="宋体"/>
                <w:sz w:val="18"/>
              </w:rPr>
              <w:t>822.80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1"/>
              <w:jc w:val="right"/>
              <w:rPr>
                <w:rFonts w:ascii="宋体" w:hAnsi="宋体" w:cs="宋体" w:eastAsia="宋体" w:hint="default"/>
                <w:sz w:val="18"/>
                <w:szCs w:val="18"/>
              </w:rPr>
            </w:pPr>
            <w:r>
              <w:rPr>
                <w:rFonts w:ascii="宋体"/>
                <w:spacing w:val="-1"/>
                <w:sz w:val="18"/>
              </w:rPr>
              <w:t>643,647,291.2</w:t>
            </w:r>
          </w:p>
          <w:p>
            <w:pPr>
              <w:pStyle w:val="TableParagraph"/>
              <w:spacing w:line="234" w:lineRule="exact"/>
              <w:ind w:right="102"/>
              <w:jc w:val="right"/>
              <w:rPr>
                <w:rFonts w:ascii="宋体" w:hAnsi="宋体" w:cs="宋体" w:eastAsia="宋体" w:hint="default"/>
                <w:sz w:val="18"/>
                <w:szCs w:val="18"/>
              </w:rPr>
            </w:pPr>
            <w:r>
              <w:rPr>
                <w:rFonts w:ascii="宋体"/>
                <w:sz w:val="18"/>
              </w:rPr>
              <w:t>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0" w:right="0"/>
              <w:jc w:val="left"/>
              <w:rPr>
                <w:rFonts w:ascii="宋体" w:hAnsi="宋体" w:cs="宋体" w:eastAsia="宋体" w:hint="default"/>
                <w:sz w:val="18"/>
                <w:szCs w:val="18"/>
              </w:rPr>
            </w:pPr>
            <w:r>
              <w:rPr>
                <w:rFonts w:ascii="宋体"/>
                <w:sz w:val="18"/>
              </w:rPr>
              <w:t>-161,287</w:t>
            </w:r>
          </w:p>
          <w:p>
            <w:pPr>
              <w:pStyle w:val="TableParagraph"/>
              <w:spacing w:line="234" w:lineRule="exact"/>
              <w:ind w:left="609" w:right="0"/>
              <w:jc w:val="left"/>
              <w:rPr>
                <w:rFonts w:ascii="宋体" w:hAnsi="宋体" w:cs="宋体" w:eastAsia="宋体" w:hint="default"/>
                <w:sz w:val="18"/>
                <w:szCs w:val="18"/>
              </w:rPr>
            </w:pPr>
            <w:r>
              <w:rPr>
                <w:rFonts w:ascii="宋体"/>
                <w:sz w:val="18"/>
              </w:rPr>
              <w:t>.73</w:t>
            </w:r>
          </w:p>
        </w:tc>
        <w:tc>
          <w:tcPr>
            <w:tcW w:w="650"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7" w:right="0"/>
              <w:jc w:val="left"/>
              <w:rPr>
                <w:rFonts w:ascii="宋体" w:hAnsi="宋体" w:cs="宋体" w:eastAsia="宋体" w:hint="default"/>
                <w:sz w:val="18"/>
                <w:szCs w:val="18"/>
              </w:rPr>
            </w:pPr>
            <w:r>
              <w:rPr>
                <w:rFonts w:ascii="宋体"/>
                <w:sz w:val="18"/>
              </w:rPr>
              <w:t>173,123,7</w:t>
            </w:r>
          </w:p>
          <w:p>
            <w:pPr>
              <w:pStyle w:val="TableParagraph"/>
              <w:spacing w:line="234" w:lineRule="exact"/>
              <w:ind w:left="487" w:right="0"/>
              <w:jc w:val="left"/>
              <w:rPr>
                <w:rFonts w:ascii="宋体" w:hAnsi="宋体" w:cs="宋体" w:eastAsia="宋体" w:hint="default"/>
                <w:sz w:val="18"/>
                <w:szCs w:val="18"/>
              </w:rPr>
            </w:pPr>
            <w:r>
              <w:rPr>
                <w:rFonts w:ascii="宋体"/>
                <w:sz w:val="18"/>
              </w:rPr>
              <w:t>82.22</w:t>
            </w:r>
          </w:p>
        </w:tc>
        <w:tc>
          <w:tcPr>
            <w:tcW w:w="694"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36" w:right="0"/>
              <w:jc w:val="left"/>
              <w:rPr>
                <w:rFonts w:ascii="宋体" w:hAnsi="宋体" w:cs="宋体" w:eastAsia="宋体" w:hint="default"/>
                <w:sz w:val="18"/>
                <w:szCs w:val="18"/>
              </w:rPr>
            </w:pPr>
            <w:r>
              <w:rPr>
                <w:rFonts w:ascii="宋体"/>
                <w:sz w:val="18"/>
              </w:rPr>
              <w:t>1,552,468,</w:t>
            </w:r>
          </w:p>
          <w:p>
            <w:pPr>
              <w:pStyle w:val="TableParagraph"/>
              <w:spacing w:line="234" w:lineRule="exact"/>
              <w:ind w:left="496" w:right="0"/>
              <w:jc w:val="left"/>
              <w:rPr>
                <w:rFonts w:ascii="宋体" w:hAnsi="宋体" w:cs="宋体" w:eastAsia="宋体" w:hint="default"/>
                <w:sz w:val="18"/>
                <w:szCs w:val="18"/>
              </w:rPr>
            </w:pPr>
            <w:r>
              <w:rPr>
                <w:rFonts w:ascii="宋体"/>
                <w:sz w:val="18"/>
              </w:rPr>
              <w:t>412.56</w:t>
            </w:r>
          </w:p>
        </w:tc>
        <w:tc>
          <w:tcPr>
            <w:tcW w:w="828"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7" w:right="0"/>
              <w:jc w:val="center"/>
              <w:rPr>
                <w:rFonts w:ascii="宋体" w:hAnsi="宋体" w:cs="宋体" w:eastAsia="宋体" w:hint="default"/>
                <w:sz w:val="18"/>
                <w:szCs w:val="18"/>
              </w:rPr>
            </w:pPr>
            <w:r>
              <w:rPr>
                <w:rFonts w:ascii="宋体"/>
                <w:sz w:val="18"/>
              </w:rPr>
              <w:t>2,998,862</w:t>
            </w:r>
          </w:p>
          <w:p>
            <w:pPr>
              <w:pStyle w:val="TableParagraph"/>
              <w:spacing w:line="234" w:lineRule="exact"/>
              <w:ind w:left="248" w:right="0"/>
              <w:jc w:val="center"/>
              <w:rPr>
                <w:rFonts w:ascii="宋体" w:hAnsi="宋体" w:cs="宋体" w:eastAsia="宋体" w:hint="default"/>
                <w:sz w:val="18"/>
                <w:szCs w:val="18"/>
              </w:rPr>
            </w:pPr>
            <w:r>
              <w:rPr>
                <w:rFonts w:ascii="宋体"/>
                <w:sz w:val="18"/>
              </w:rPr>
              <w:t>,609.54</w:t>
            </w:r>
          </w:p>
        </w:tc>
      </w:tr>
    </w:tbl>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2196"/>
        <w:gridCol w:w="1135"/>
        <w:gridCol w:w="682"/>
        <w:gridCol w:w="857"/>
        <w:gridCol w:w="730"/>
        <w:gridCol w:w="1025"/>
        <w:gridCol w:w="857"/>
        <w:gridCol w:w="886"/>
        <w:gridCol w:w="917"/>
        <w:gridCol w:w="994"/>
        <w:gridCol w:w="701"/>
        <w:gridCol w:w="998"/>
        <w:gridCol w:w="955"/>
        <w:gridCol w:w="1109"/>
      </w:tblGrid>
      <w:tr>
        <w:trPr>
          <w:trHeight w:val="252" w:hRule="exact"/>
        </w:trPr>
        <w:tc>
          <w:tcPr>
            <w:tcW w:w="21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846" w:type="dxa"/>
            <w:gridSpan w:val="13"/>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596"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80" w:hRule="exact"/>
        </w:trPr>
        <w:tc>
          <w:tcPr>
            <w:tcW w:w="2196" w:type="dxa"/>
            <w:vMerge/>
            <w:tcBorders>
              <w:left w:val="single" w:sz="4" w:space="0" w:color="000000"/>
              <w:right w:val="single" w:sz="4" w:space="0" w:color="000000"/>
            </w:tcBorders>
          </w:tcPr>
          <w:p>
            <w:pPr/>
          </w:p>
        </w:tc>
        <w:tc>
          <w:tcPr>
            <w:tcW w:w="9782"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695"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95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32" w:lineRule="exact"/>
              <w:ind w:left="292" w:right="110"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110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32" w:lineRule="exact"/>
              <w:ind w:left="278" w:right="189"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394" w:hRule="exact"/>
        </w:trPr>
        <w:tc>
          <w:tcPr>
            <w:tcW w:w="2196" w:type="dxa"/>
            <w:vMerge/>
            <w:tcBorders>
              <w:left w:val="single" w:sz="4" w:space="0" w:color="000000"/>
              <w:right w:val="single" w:sz="4" w:space="0" w:color="000000"/>
            </w:tcBorders>
          </w:tcPr>
          <w:p>
            <w:pP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26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8"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025"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146"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85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4" w:lineRule="auto"/>
              <w:ind w:left="333" w:right="101" w:hanging="231"/>
              <w:jc w:val="left"/>
              <w:rPr>
                <w:rFonts w:ascii="宋体" w:hAnsi="宋体" w:cs="宋体" w:eastAsia="宋体" w:hint="default"/>
                <w:sz w:val="18"/>
                <w:szCs w:val="18"/>
              </w:rPr>
            </w:pPr>
            <w:r>
              <w:rPr>
                <w:rFonts w:ascii="宋体" w:hAnsi="宋体" w:cs="宋体" w:eastAsia="宋体" w:hint="default"/>
                <w:spacing w:val="-20"/>
                <w:sz w:val="18"/>
                <w:szCs w:val="18"/>
              </w:rPr>
              <w:t>减：库存</w:t>
            </w:r>
            <w:r>
              <w:rPr>
                <w:rFonts w:ascii="宋体" w:hAnsi="宋体" w:cs="宋体" w:eastAsia="宋体" w:hint="default"/>
                <w:sz w:val="18"/>
                <w:szCs w:val="18"/>
              </w:rPr>
              <w:t> 股</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4" w:lineRule="auto"/>
              <w:ind w:left="168" w:right="16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91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4" w:lineRule="auto"/>
              <w:ind w:left="364" w:right="180"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01" w:type="dxa"/>
            <w:vMerge w:val="restart"/>
            <w:tcBorders>
              <w:top w:val="single" w:sz="4" w:space="0" w:color="000000"/>
              <w:left w:val="single" w:sz="4" w:space="0" w:color="000000"/>
              <w:right w:val="single" w:sz="4" w:space="0" w:color="000000"/>
            </w:tcBorders>
          </w:tcPr>
          <w:p>
            <w:pPr>
              <w:pStyle w:val="TableParagraph"/>
              <w:spacing w:line="244" w:lineRule="auto" w:before="46"/>
              <w:ind w:left="165" w:right="163"/>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99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4" w:lineRule="auto"/>
              <w:ind w:left="405" w:right="131" w:hanging="269"/>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955"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478" w:hRule="exact"/>
        </w:trPr>
        <w:tc>
          <w:tcPr>
            <w:tcW w:w="2196"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优先</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股</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5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7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25" w:type="dxa"/>
            <w:vMerge/>
            <w:tcBorders>
              <w:left w:val="single" w:sz="4" w:space="0" w:color="000000"/>
              <w:bottom w:val="single" w:sz="4" w:space="0" w:color="000000"/>
              <w:right w:val="single" w:sz="4" w:space="0" w:color="000000"/>
            </w:tcBorders>
          </w:tcPr>
          <w:p>
            <w:pPr/>
          </w:p>
        </w:tc>
        <w:tc>
          <w:tcPr>
            <w:tcW w:w="857"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917"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701" w:type="dxa"/>
            <w:vMerge/>
            <w:tcBorders>
              <w:left w:val="single" w:sz="4" w:space="0" w:color="000000"/>
              <w:bottom w:val="single" w:sz="4" w:space="0" w:color="000000"/>
              <w:right w:val="single" w:sz="4" w:space="0" w:color="000000"/>
            </w:tcBorders>
          </w:tcPr>
          <w:p>
            <w:pPr/>
          </w:p>
        </w:tc>
        <w:tc>
          <w:tcPr>
            <w:tcW w:w="998" w:type="dxa"/>
            <w:vMerge/>
            <w:tcBorders>
              <w:left w:val="single" w:sz="4" w:space="0" w:color="000000"/>
              <w:bottom w:val="single" w:sz="4" w:space="0" w:color="000000"/>
              <w:right w:val="single" w:sz="4" w:space="0" w:color="000000"/>
            </w:tcBorders>
          </w:tcPr>
          <w:p>
            <w:pPr/>
          </w:p>
        </w:tc>
        <w:tc>
          <w:tcPr>
            <w:tcW w:w="955" w:type="dxa"/>
            <w:vMerge/>
            <w:tcBorders>
              <w:left w:val="single" w:sz="4" w:space="0" w:color="000000"/>
              <w:bottom w:val="single" w:sz="4" w:space="0" w:color="000000"/>
              <w:right w:val="single" w:sz="4" w:space="0" w:color="000000"/>
            </w:tcBorders>
          </w:tcPr>
          <w:p>
            <w:pPr/>
          </w:p>
        </w:tc>
        <w:tc>
          <w:tcPr>
            <w:tcW w:w="1109" w:type="dxa"/>
            <w:vMerge/>
            <w:tcBorders>
              <w:left w:val="single" w:sz="4" w:space="0" w:color="000000"/>
              <w:bottom w:val="single" w:sz="4" w:space="0" w:color="000000"/>
              <w:right w:val="single" w:sz="4" w:space="0" w:color="000000"/>
            </w:tcBorders>
          </w:tcPr>
          <w:p>
            <w:pPr/>
          </w:p>
        </w:tc>
      </w:tr>
      <w:tr>
        <w:trPr>
          <w:trHeight w:val="475"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sz w:val="18"/>
              </w:rPr>
              <w:t>532,474,22</w:t>
            </w:r>
          </w:p>
          <w:p>
            <w:pPr>
              <w:pStyle w:val="TableParagraph"/>
              <w:spacing w:line="234" w:lineRule="exact"/>
              <w:ind w:left="662" w:right="0"/>
              <w:jc w:val="left"/>
              <w:rPr>
                <w:rFonts w:ascii="宋体" w:hAnsi="宋体" w:cs="宋体" w:eastAsia="宋体" w:hint="default"/>
                <w:sz w:val="18"/>
                <w:szCs w:val="18"/>
              </w:rPr>
            </w:pPr>
            <w:r>
              <w:rPr>
                <w:rFonts w:ascii="宋体"/>
                <w:sz w:val="18"/>
              </w:rPr>
              <w:t>7.00</w:t>
            </w:r>
          </w:p>
        </w:tc>
        <w:tc>
          <w:tcPr>
            <w:tcW w:w="682"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91" w:right="0"/>
              <w:jc w:val="left"/>
              <w:rPr>
                <w:rFonts w:ascii="宋体" w:hAnsi="宋体" w:cs="宋体" w:eastAsia="宋体" w:hint="default"/>
                <w:sz w:val="18"/>
                <w:szCs w:val="18"/>
              </w:rPr>
            </w:pPr>
            <w:r>
              <w:rPr>
                <w:rFonts w:ascii="宋体"/>
                <w:sz w:val="18"/>
              </w:rPr>
              <w:t>77,065,1</w:t>
            </w:r>
          </w:p>
          <w:p>
            <w:pPr>
              <w:pStyle w:val="TableParagraph"/>
              <w:spacing w:line="234" w:lineRule="exact"/>
              <w:ind w:left="460" w:right="0"/>
              <w:jc w:val="left"/>
              <w:rPr>
                <w:rFonts w:ascii="宋体" w:hAnsi="宋体" w:cs="宋体" w:eastAsia="宋体" w:hint="default"/>
                <w:sz w:val="18"/>
                <w:szCs w:val="18"/>
              </w:rPr>
            </w:pPr>
            <w:r>
              <w:rPr>
                <w:rFonts w:ascii="宋体"/>
                <w:sz w:val="18"/>
              </w:rPr>
              <w:t>58.74</w:t>
            </w: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1" w:right="0"/>
              <w:jc w:val="left"/>
              <w:rPr>
                <w:rFonts w:ascii="宋体" w:hAnsi="宋体" w:cs="宋体" w:eastAsia="宋体" w:hint="default"/>
                <w:sz w:val="18"/>
                <w:szCs w:val="18"/>
              </w:rPr>
            </w:pPr>
            <w:r>
              <w:rPr>
                <w:rFonts w:ascii="宋体"/>
                <w:sz w:val="18"/>
              </w:rPr>
              <w:t>-200,68</w:t>
            </w:r>
          </w:p>
          <w:p>
            <w:pPr>
              <w:pStyle w:val="TableParagraph"/>
              <w:spacing w:line="234" w:lineRule="exact"/>
              <w:ind w:left="412" w:right="0"/>
              <w:jc w:val="left"/>
              <w:rPr>
                <w:rFonts w:ascii="宋体" w:hAnsi="宋体" w:cs="宋体" w:eastAsia="宋体" w:hint="default"/>
                <w:sz w:val="18"/>
                <w:szCs w:val="18"/>
              </w:rPr>
            </w:pPr>
            <w:r>
              <w:rPr>
                <w:rFonts w:ascii="宋体"/>
                <w:sz w:val="18"/>
              </w:rPr>
              <w:t>7.03</w:t>
            </w:r>
          </w:p>
        </w:tc>
        <w:tc>
          <w:tcPr>
            <w:tcW w:w="91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0" w:right="0"/>
              <w:jc w:val="left"/>
              <w:rPr>
                <w:rFonts w:ascii="宋体" w:hAnsi="宋体" w:cs="宋体" w:eastAsia="宋体" w:hint="default"/>
                <w:sz w:val="18"/>
                <w:szCs w:val="18"/>
              </w:rPr>
            </w:pPr>
            <w:r>
              <w:rPr>
                <w:rFonts w:ascii="宋体"/>
                <w:sz w:val="18"/>
              </w:rPr>
              <w:t>77,049,4</w:t>
            </w:r>
          </w:p>
          <w:p>
            <w:pPr>
              <w:pStyle w:val="TableParagraph"/>
              <w:spacing w:line="234" w:lineRule="exact"/>
              <w:ind w:left="429" w:right="0"/>
              <w:jc w:val="left"/>
              <w:rPr>
                <w:rFonts w:ascii="宋体" w:hAnsi="宋体" w:cs="宋体" w:eastAsia="宋体" w:hint="default"/>
                <w:sz w:val="18"/>
                <w:szCs w:val="18"/>
              </w:rPr>
            </w:pPr>
            <w:r>
              <w:rPr>
                <w:rFonts w:ascii="宋体"/>
                <w:sz w:val="18"/>
              </w:rPr>
              <w:t>17.78</w:t>
            </w:r>
          </w:p>
        </w:tc>
        <w:tc>
          <w:tcPr>
            <w:tcW w:w="701"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7" w:right="0"/>
              <w:jc w:val="center"/>
              <w:rPr>
                <w:rFonts w:ascii="宋体" w:hAnsi="宋体" w:cs="宋体" w:eastAsia="宋体" w:hint="default"/>
                <w:sz w:val="18"/>
                <w:szCs w:val="18"/>
              </w:rPr>
            </w:pPr>
            <w:r>
              <w:rPr>
                <w:rFonts w:ascii="宋体"/>
                <w:sz w:val="18"/>
              </w:rPr>
              <w:t>694,883,</w:t>
            </w:r>
          </w:p>
          <w:p>
            <w:pPr>
              <w:pStyle w:val="TableParagraph"/>
              <w:spacing w:line="234" w:lineRule="exact"/>
              <w:ind w:left="247" w:right="0"/>
              <w:jc w:val="center"/>
              <w:rPr>
                <w:rFonts w:ascii="宋体" w:hAnsi="宋体" w:cs="宋体" w:eastAsia="宋体" w:hint="default"/>
                <w:sz w:val="18"/>
                <w:szCs w:val="18"/>
              </w:rPr>
            </w:pPr>
            <w:r>
              <w:rPr>
                <w:rFonts w:ascii="宋体"/>
                <w:sz w:val="18"/>
              </w:rPr>
              <w:t>863.93</w:t>
            </w:r>
          </w:p>
        </w:tc>
        <w:tc>
          <w:tcPr>
            <w:tcW w:w="955"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81" w:right="0"/>
              <w:jc w:val="center"/>
              <w:rPr>
                <w:rFonts w:ascii="宋体" w:hAnsi="宋体" w:cs="宋体" w:eastAsia="宋体" w:hint="default"/>
                <w:sz w:val="18"/>
                <w:szCs w:val="18"/>
              </w:rPr>
            </w:pPr>
            <w:r>
              <w:rPr>
                <w:rFonts w:ascii="宋体"/>
                <w:sz w:val="18"/>
              </w:rPr>
              <w:t>1,381,271</w:t>
            </w:r>
          </w:p>
          <w:p>
            <w:pPr>
              <w:pStyle w:val="TableParagraph"/>
              <w:spacing w:line="234" w:lineRule="exact"/>
              <w:ind w:left="262" w:right="0"/>
              <w:jc w:val="center"/>
              <w:rPr>
                <w:rFonts w:ascii="宋体" w:hAnsi="宋体" w:cs="宋体" w:eastAsia="宋体" w:hint="default"/>
                <w:sz w:val="18"/>
                <w:szCs w:val="18"/>
              </w:rPr>
            </w:pPr>
            <w:r>
              <w:rPr>
                <w:rFonts w:ascii="宋体"/>
                <w:sz w:val="18"/>
              </w:rPr>
              <w:t>,980.42</w:t>
            </w:r>
          </w:p>
        </w:tc>
      </w:tr>
      <w:tr>
        <w:trPr>
          <w:trHeight w:val="245"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13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5" w:top="1120" w:bottom="1380" w:left="134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2196"/>
        <w:gridCol w:w="1135"/>
        <w:gridCol w:w="682"/>
        <w:gridCol w:w="857"/>
        <w:gridCol w:w="730"/>
        <w:gridCol w:w="1025"/>
        <w:gridCol w:w="857"/>
        <w:gridCol w:w="886"/>
        <w:gridCol w:w="917"/>
        <w:gridCol w:w="994"/>
        <w:gridCol w:w="701"/>
        <w:gridCol w:w="998"/>
        <w:gridCol w:w="955"/>
        <w:gridCol w:w="1109"/>
      </w:tblGrid>
      <w:tr>
        <w:trPr>
          <w:trHeight w:val="24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13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3" w:right="0"/>
              <w:jc w:val="left"/>
              <w:rPr>
                <w:rFonts w:ascii="宋体" w:hAnsi="宋体" w:cs="宋体" w:eastAsia="宋体" w:hint="default"/>
                <w:sz w:val="18"/>
                <w:szCs w:val="18"/>
              </w:rPr>
            </w:pPr>
            <w:r>
              <w:rPr>
                <w:rFonts w:ascii="宋体" w:hAnsi="宋体" w:cs="宋体" w:eastAsia="宋体" w:hint="default"/>
                <w:sz w:val="18"/>
                <w:szCs w:val="18"/>
              </w:rPr>
              <w:t>同一控制下企业合</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并</w:t>
            </w:r>
          </w:p>
        </w:tc>
        <w:tc>
          <w:tcPr>
            <w:tcW w:w="113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3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sz w:val="18"/>
              </w:rPr>
              <w:t>532,474,22</w:t>
            </w:r>
          </w:p>
          <w:p>
            <w:pPr>
              <w:pStyle w:val="TableParagraph"/>
              <w:spacing w:line="240" w:lineRule="auto"/>
              <w:ind w:left="662" w:right="0"/>
              <w:jc w:val="left"/>
              <w:rPr>
                <w:rFonts w:ascii="宋体" w:hAnsi="宋体" w:cs="宋体" w:eastAsia="宋体" w:hint="default"/>
                <w:sz w:val="18"/>
                <w:szCs w:val="18"/>
              </w:rPr>
            </w:pPr>
            <w:r>
              <w:rPr>
                <w:rFonts w:ascii="宋体"/>
                <w:sz w:val="18"/>
              </w:rPr>
              <w:t>7.00</w:t>
            </w:r>
          </w:p>
        </w:tc>
        <w:tc>
          <w:tcPr>
            <w:tcW w:w="682"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1" w:right="0"/>
              <w:jc w:val="left"/>
              <w:rPr>
                <w:rFonts w:ascii="宋体" w:hAnsi="宋体" w:cs="宋体" w:eastAsia="宋体" w:hint="default"/>
                <w:sz w:val="18"/>
                <w:szCs w:val="18"/>
              </w:rPr>
            </w:pPr>
            <w:r>
              <w:rPr>
                <w:rFonts w:ascii="宋体"/>
                <w:sz w:val="18"/>
              </w:rPr>
              <w:t>77,065,1</w:t>
            </w:r>
          </w:p>
          <w:p>
            <w:pPr>
              <w:pStyle w:val="TableParagraph"/>
              <w:spacing w:line="240" w:lineRule="auto"/>
              <w:ind w:left="460" w:right="0"/>
              <w:jc w:val="left"/>
              <w:rPr>
                <w:rFonts w:ascii="宋体" w:hAnsi="宋体" w:cs="宋体" w:eastAsia="宋体" w:hint="default"/>
                <w:sz w:val="18"/>
                <w:szCs w:val="18"/>
              </w:rPr>
            </w:pPr>
            <w:r>
              <w:rPr>
                <w:rFonts w:ascii="宋体"/>
                <w:sz w:val="18"/>
              </w:rPr>
              <w:t>58.74</w:t>
            </w: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1" w:right="0"/>
              <w:jc w:val="left"/>
              <w:rPr>
                <w:rFonts w:ascii="宋体" w:hAnsi="宋体" w:cs="宋体" w:eastAsia="宋体" w:hint="default"/>
                <w:sz w:val="18"/>
                <w:szCs w:val="18"/>
              </w:rPr>
            </w:pPr>
            <w:r>
              <w:rPr>
                <w:rFonts w:ascii="宋体"/>
                <w:sz w:val="18"/>
              </w:rPr>
              <w:t>-200,68</w:t>
            </w:r>
          </w:p>
          <w:p>
            <w:pPr>
              <w:pStyle w:val="TableParagraph"/>
              <w:spacing w:line="240" w:lineRule="auto"/>
              <w:ind w:left="412" w:right="0"/>
              <w:jc w:val="left"/>
              <w:rPr>
                <w:rFonts w:ascii="宋体" w:hAnsi="宋体" w:cs="宋体" w:eastAsia="宋体" w:hint="default"/>
                <w:sz w:val="18"/>
                <w:szCs w:val="18"/>
              </w:rPr>
            </w:pPr>
            <w:r>
              <w:rPr>
                <w:rFonts w:ascii="宋体"/>
                <w:sz w:val="18"/>
              </w:rPr>
              <w:t>7.03</w:t>
            </w:r>
          </w:p>
        </w:tc>
        <w:tc>
          <w:tcPr>
            <w:tcW w:w="91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0" w:right="0"/>
              <w:jc w:val="left"/>
              <w:rPr>
                <w:rFonts w:ascii="宋体" w:hAnsi="宋体" w:cs="宋体" w:eastAsia="宋体" w:hint="default"/>
                <w:sz w:val="18"/>
                <w:szCs w:val="18"/>
              </w:rPr>
            </w:pPr>
            <w:r>
              <w:rPr>
                <w:rFonts w:ascii="宋体"/>
                <w:sz w:val="18"/>
              </w:rPr>
              <w:t>77,049,4</w:t>
            </w:r>
          </w:p>
          <w:p>
            <w:pPr>
              <w:pStyle w:val="TableParagraph"/>
              <w:spacing w:line="240" w:lineRule="auto"/>
              <w:ind w:left="429" w:right="0"/>
              <w:jc w:val="left"/>
              <w:rPr>
                <w:rFonts w:ascii="宋体" w:hAnsi="宋体" w:cs="宋体" w:eastAsia="宋体" w:hint="default"/>
                <w:sz w:val="18"/>
                <w:szCs w:val="18"/>
              </w:rPr>
            </w:pPr>
            <w:r>
              <w:rPr>
                <w:rFonts w:ascii="宋体"/>
                <w:sz w:val="18"/>
              </w:rPr>
              <w:t>17.78</w:t>
            </w:r>
          </w:p>
        </w:tc>
        <w:tc>
          <w:tcPr>
            <w:tcW w:w="701"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7" w:right="0"/>
              <w:jc w:val="center"/>
              <w:rPr>
                <w:rFonts w:ascii="宋体" w:hAnsi="宋体" w:cs="宋体" w:eastAsia="宋体" w:hint="default"/>
                <w:sz w:val="18"/>
                <w:szCs w:val="18"/>
              </w:rPr>
            </w:pPr>
            <w:r>
              <w:rPr>
                <w:rFonts w:ascii="宋体"/>
                <w:sz w:val="18"/>
              </w:rPr>
              <w:t>694,883,</w:t>
            </w:r>
          </w:p>
          <w:p>
            <w:pPr>
              <w:pStyle w:val="TableParagraph"/>
              <w:spacing w:line="240" w:lineRule="auto"/>
              <w:ind w:left="247" w:right="0"/>
              <w:jc w:val="center"/>
              <w:rPr>
                <w:rFonts w:ascii="宋体" w:hAnsi="宋体" w:cs="宋体" w:eastAsia="宋体" w:hint="default"/>
                <w:sz w:val="18"/>
                <w:szCs w:val="18"/>
              </w:rPr>
            </w:pPr>
            <w:r>
              <w:rPr>
                <w:rFonts w:ascii="宋体"/>
                <w:sz w:val="18"/>
              </w:rPr>
              <w:t>863.93</w:t>
            </w:r>
          </w:p>
        </w:tc>
        <w:tc>
          <w:tcPr>
            <w:tcW w:w="955"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1" w:right="0"/>
              <w:jc w:val="center"/>
              <w:rPr>
                <w:rFonts w:ascii="宋体" w:hAnsi="宋体" w:cs="宋体" w:eastAsia="宋体" w:hint="default"/>
                <w:sz w:val="18"/>
                <w:szCs w:val="18"/>
              </w:rPr>
            </w:pPr>
            <w:r>
              <w:rPr>
                <w:rFonts w:ascii="宋体"/>
                <w:sz w:val="18"/>
              </w:rPr>
              <w:t>1,381,271</w:t>
            </w:r>
          </w:p>
          <w:p>
            <w:pPr>
              <w:pStyle w:val="TableParagraph"/>
              <w:spacing w:line="240" w:lineRule="auto"/>
              <w:ind w:left="262" w:right="0"/>
              <w:jc w:val="center"/>
              <w:rPr>
                <w:rFonts w:ascii="宋体" w:hAnsi="宋体" w:cs="宋体" w:eastAsia="宋体" w:hint="default"/>
                <w:sz w:val="18"/>
                <w:szCs w:val="18"/>
              </w:rPr>
            </w:pPr>
            <w:r>
              <w:rPr>
                <w:rFonts w:ascii="宋体"/>
                <w:sz w:val="18"/>
              </w:rPr>
              <w:t>,980.42</w:t>
            </w:r>
          </w:p>
        </w:tc>
      </w:tr>
      <w:tr>
        <w:trPr>
          <w:trHeight w:val="478"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9"/>
                <w:sz w:val="18"/>
                <w:szCs w:val="18"/>
              </w:rPr>
              <w:t>、</w:t>
            </w:r>
            <w:r>
              <w:rPr>
                <w:rFonts w:ascii="宋体" w:hAnsi="宋体" w:cs="宋体" w:eastAsia="宋体" w:hint="default"/>
                <w:sz w:val="18"/>
                <w:szCs w:val="18"/>
              </w:rPr>
              <w:t>本期增减变动金</w:t>
            </w:r>
            <w:r>
              <w:rPr>
                <w:rFonts w:ascii="宋体" w:hAnsi="宋体" w:cs="宋体" w:eastAsia="宋体" w:hint="default"/>
                <w:spacing w:val="-89"/>
                <w:sz w:val="18"/>
                <w:szCs w:val="18"/>
              </w:rPr>
              <w:t>额</w:t>
            </w:r>
            <w:r>
              <w:rPr>
                <w:rFonts w:ascii="宋体" w:hAnsi="宋体" w:cs="宋体" w:eastAsia="宋体" w:hint="default"/>
                <w:sz w:val="18"/>
                <w:szCs w:val="18"/>
              </w:rPr>
              <w:t>（减</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少以“－”号填列）</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sz w:val="18"/>
              </w:rPr>
              <w:t>828,236,94</w:t>
            </w:r>
          </w:p>
          <w:p>
            <w:pPr>
              <w:pStyle w:val="TableParagraph"/>
              <w:spacing w:line="234" w:lineRule="exact"/>
              <w:ind w:left="662" w:right="0"/>
              <w:jc w:val="left"/>
              <w:rPr>
                <w:rFonts w:ascii="宋体" w:hAnsi="宋体" w:cs="宋体" w:eastAsia="宋体" w:hint="default"/>
                <w:sz w:val="18"/>
                <w:szCs w:val="18"/>
              </w:rPr>
            </w:pPr>
            <w:r>
              <w:rPr>
                <w:rFonts w:ascii="宋体"/>
                <w:sz w:val="18"/>
              </w:rPr>
              <w:t>3.98</w:t>
            </w:r>
          </w:p>
        </w:tc>
        <w:tc>
          <w:tcPr>
            <w:tcW w:w="682"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89" w:right="0"/>
              <w:jc w:val="center"/>
              <w:rPr>
                <w:rFonts w:ascii="宋体" w:hAnsi="宋体" w:cs="宋体" w:eastAsia="宋体" w:hint="default"/>
                <w:sz w:val="18"/>
                <w:szCs w:val="18"/>
              </w:rPr>
            </w:pPr>
            <w:r>
              <w:rPr>
                <w:rFonts w:ascii="宋体"/>
                <w:sz w:val="18"/>
              </w:rPr>
              <w:t>479,302,</w:t>
            </w:r>
          </w:p>
          <w:p>
            <w:pPr>
              <w:pStyle w:val="TableParagraph"/>
              <w:spacing w:line="234" w:lineRule="exact"/>
              <w:ind w:left="269" w:right="0"/>
              <w:jc w:val="center"/>
              <w:rPr>
                <w:rFonts w:ascii="宋体" w:hAnsi="宋体" w:cs="宋体" w:eastAsia="宋体" w:hint="default"/>
                <w:sz w:val="18"/>
                <w:szCs w:val="18"/>
              </w:rPr>
            </w:pPr>
            <w:r>
              <w:rPr>
                <w:rFonts w:ascii="宋体"/>
                <w:sz w:val="18"/>
              </w:rPr>
              <w:t>664.06</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3" w:right="0"/>
              <w:jc w:val="left"/>
              <w:rPr>
                <w:rFonts w:ascii="宋体" w:hAnsi="宋体" w:cs="宋体" w:eastAsia="宋体" w:hint="default"/>
                <w:sz w:val="18"/>
                <w:szCs w:val="18"/>
              </w:rPr>
            </w:pPr>
            <w:r>
              <w:rPr>
                <w:rFonts w:ascii="宋体"/>
                <w:sz w:val="18"/>
              </w:rPr>
              <w:t>643,647</w:t>
            </w:r>
          </w:p>
          <w:p>
            <w:pPr>
              <w:pStyle w:val="TableParagraph"/>
              <w:spacing w:line="234" w:lineRule="exact"/>
              <w:ind w:left="113" w:right="0"/>
              <w:jc w:val="left"/>
              <w:rPr>
                <w:rFonts w:ascii="宋体" w:hAnsi="宋体" w:cs="宋体" w:eastAsia="宋体" w:hint="default"/>
                <w:sz w:val="18"/>
                <w:szCs w:val="18"/>
              </w:rPr>
            </w:pPr>
            <w:r>
              <w:rPr>
                <w:rFonts w:ascii="宋体"/>
                <w:sz w:val="18"/>
              </w:rPr>
              <w:t>,291.29</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z w:val="18"/>
              </w:rPr>
              <w:t>47,631.</w:t>
            </w:r>
          </w:p>
          <w:p>
            <w:pPr>
              <w:pStyle w:val="TableParagraph"/>
              <w:spacing w:line="234" w:lineRule="exact"/>
              <w:ind w:right="98"/>
              <w:jc w:val="right"/>
              <w:rPr>
                <w:rFonts w:ascii="宋体" w:hAnsi="宋体" w:cs="宋体" w:eastAsia="宋体" w:hint="default"/>
                <w:sz w:val="18"/>
                <w:szCs w:val="18"/>
              </w:rPr>
            </w:pPr>
            <w:r>
              <w:rPr>
                <w:rFonts w:ascii="宋体"/>
                <w:sz w:val="18"/>
              </w:rPr>
              <w:t>93</w:t>
            </w:r>
          </w:p>
        </w:tc>
        <w:tc>
          <w:tcPr>
            <w:tcW w:w="91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0" w:right="0"/>
              <w:jc w:val="left"/>
              <w:rPr>
                <w:rFonts w:ascii="宋体" w:hAnsi="宋体" w:cs="宋体" w:eastAsia="宋体" w:hint="default"/>
                <w:sz w:val="18"/>
                <w:szCs w:val="18"/>
              </w:rPr>
            </w:pPr>
            <w:r>
              <w:rPr>
                <w:rFonts w:ascii="宋体"/>
                <w:sz w:val="18"/>
              </w:rPr>
              <w:t>40,764,2</w:t>
            </w:r>
          </w:p>
          <w:p>
            <w:pPr>
              <w:pStyle w:val="TableParagraph"/>
              <w:spacing w:line="234" w:lineRule="exact"/>
              <w:ind w:left="429" w:right="0"/>
              <w:jc w:val="left"/>
              <w:rPr>
                <w:rFonts w:ascii="宋体" w:hAnsi="宋体" w:cs="宋体" w:eastAsia="宋体" w:hint="default"/>
                <w:sz w:val="18"/>
                <w:szCs w:val="18"/>
              </w:rPr>
            </w:pPr>
            <w:r>
              <w:rPr>
                <w:rFonts w:ascii="宋体"/>
                <w:sz w:val="18"/>
              </w:rPr>
              <w:t>86.48</w:t>
            </w:r>
          </w:p>
        </w:tc>
        <w:tc>
          <w:tcPr>
            <w:tcW w:w="701"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7" w:right="0"/>
              <w:jc w:val="center"/>
              <w:rPr>
                <w:rFonts w:ascii="宋体" w:hAnsi="宋体" w:cs="宋体" w:eastAsia="宋体" w:hint="default"/>
                <w:sz w:val="18"/>
                <w:szCs w:val="18"/>
              </w:rPr>
            </w:pPr>
            <w:r>
              <w:rPr>
                <w:rFonts w:ascii="宋体"/>
                <w:sz w:val="18"/>
              </w:rPr>
              <w:t>360,528,</w:t>
            </w:r>
          </w:p>
          <w:p>
            <w:pPr>
              <w:pStyle w:val="TableParagraph"/>
              <w:spacing w:line="234" w:lineRule="exact"/>
              <w:ind w:left="247" w:right="0"/>
              <w:jc w:val="center"/>
              <w:rPr>
                <w:rFonts w:ascii="宋体" w:hAnsi="宋体" w:cs="宋体" w:eastAsia="宋体" w:hint="default"/>
                <w:sz w:val="18"/>
                <w:szCs w:val="18"/>
              </w:rPr>
            </w:pPr>
            <w:r>
              <w:rPr>
                <w:rFonts w:ascii="宋体"/>
                <w:sz w:val="18"/>
              </w:rPr>
              <w:t>518.97</w:t>
            </w:r>
          </w:p>
        </w:tc>
        <w:tc>
          <w:tcPr>
            <w:tcW w:w="955"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81" w:right="0"/>
              <w:jc w:val="center"/>
              <w:rPr>
                <w:rFonts w:ascii="宋体" w:hAnsi="宋体" w:cs="宋体" w:eastAsia="宋体" w:hint="default"/>
                <w:sz w:val="18"/>
                <w:szCs w:val="18"/>
              </w:rPr>
            </w:pPr>
            <w:r>
              <w:rPr>
                <w:rFonts w:ascii="宋体"/>
                <w:sz w:val="18"/>
              </w:rPr>
              <w:t>1,065,232</w:t>
            </w:r>
          </w:p>
          <w:p>
            <w:pPr>
              <w:pStyle w:val="TableParagraph"/>
              <w:spacing w:line="234" w:lineRule="exact"/>
              <w:ind w:left="262" w:right="0"/>
              <w:jc w:val="center"/>
              <w:rPr>
                <w:rFonts w:ascii="宋体" w:hAnsi="宋体" w:cs="宋体" w:eastAsia="宋体" w:hint="default"/>
                <w:sz w:val="18"/>
                <w:szCs w:val="18"/>
              </w:rPr>
            </w:pPr>
            <w:r>
              <w:rPr>
                <w:rFonts w:ascii="宋体"/>
                <w:sz w:val="18"/>
              </w:rPr>
              <w:t>,754.13</w:t>
            </w:r>
          </w:p>
        </w:tc>
      </w:tr>
      <w:tr>
        <w:trPr>
          <w:trHeight w:val="475"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3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z w:val="18"/>
              </w:rPr>
              <w:t>47,631.</w:t>
            </w:r>
          </w:p>
          <w:p>
            <w:pPr>
              <w:pStyle w:val="TableParagraph"/>
              <w:spacing w:line="234" w:lineRule="exact"/>
              <w:ind w:right="98"/>
              <w:jc w:val="right"/>
              <w:rPr>
                <w:rFonts w:ascii="宋体" w:hAnsi="宋体" w:cs="宋体" w:eastAsia="宋体" w:hint="default"/>
                <w:sz w:val="18"/>
                <w:szCs w:val="18"/>
              </w:rPr>
            </w:pPr>
            <w:r>
              <w:rPr>
                <w:rFonts w:ascii="宋体"/>
                <w:sz w:val="18"/>
              </w:rPr>
              <w:t>93</w:t>
            </w:r>
          </w:p>
        </w:tc>
        <w:tc>
          <w:tcPr>
            <w:tcW w:w="91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7" w:right="0"/>
              <w:jc w:val="center"/>
              <w:rPr>
                <w:rFonts w:ascii="宋体" w:hAnsi="宋体" w:cs="宋体" w:eastAsia="宋体" w:hint="default"/>
                <w:sz w:val="18"/>
                <w:szCs w:val="18"/>
              </w:rPr>
            </w:pPr>
            <w:r>
              <w:rPr>
                <w:rFonts w:ascii="宋体"/>
                <w:sz w:val="18"/>
              </w:rPr>
              <w:t>401,292,</w:t>
            </w:r>
          </w:p>
          <w:p>
            <w:pPr>
              <w:pStyle w:val="TableParagraph"/>
              <w:spacing w:line="234" w:lineRule="exact"/>
              <w:ind w:left="247" w:right="0"/>
              <w:jc w:val="center"/>
              <w:rPr>
                <w:rFonts w:ascii="宋体" w:hAnsi="宋体" w:cs="宋体" w:eastAsia="宋体" w:hint="default"/>
                <w:sz w:val="18"/>
                <w:szCs w:val="18"/>
              </w:rPr>
            </w:pPr>
            <w:r>
              <w:rPr>
                <w:rFonts w:ascii="宋体"/>
                <w:sz w:val="18"/>
              </w:rPr>
              <w:t>805.45</w:t>
            </w:r>
          </w:p>
        </w:tc>
        <w:tc>
          <w:tcPr>
            <w:tcW w:w="955"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4" w:right="0"/>
              <w:jc w:val="left"/>
              <w:rPr>
                <w:rFonts w:ascii="宋体" w:hAnsi="宋体" w:cs="宋体" w:eastAsia="宋体" w:hint="default"/>
                <w:sz w:val="18"/>
                <w:szCs w:val="18"/>
              </w:rPr>
            </w:pPr>
            <w:r>
              <w:rPr>
                <w:rFonts w:ascii="宋体"/>
                <w:sz w:val="18"/>
              </w:rPr>
              <w:t>401,340,4</w:t>
            </w:r>
          </w:p>
          <w:p>
            <w:pPr>
              <w:pStyle w:val="TableParagraph"/>
              <w:spacing w:line="234" w:lineRule="exact"/>
              <w:ind w:left="545" w:right="0"/>
              <w:jc w:val="left"/>
              <w:rPr>
                <w:rFonts w:ascii="宋体" w:hAnsi="宋体" w:cs="宋体" w:eastAsia="宋体" w:hint="default"/>
                <w:sz w:val="18"/>
                <w:szCs w:val="18"/>
              </w:rPr>
            </w:pPr>
            <w:r>
              <w:rPr>
                <w:rFonts w:ascii="宋体"/>
                <w:sz w:val="18"/>
              </w:rPr>
              <w:t>37.38</w:t>
            </w:r>
          </w:p>
        </w:tc>
      </w:tr>
      <w:tr>
        <w:trPr>
          <w:trHeight w:val="478"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（二）所有者投入和减少</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sz w:val="18"/>
              </w:rPr>
              <w:t>828,236,94</w:t>
            </w:r>
          </w:p>
          <w:p>
            <w:pPr>
              <w:pStyle w:val="TableParagraph"/>
              <w:spacing w:line="240" w:lineRule="auto"/>
              <w:ind w:left="662" w:right="0"/>
              <w:jc w:val="left"/>
              <w:rPr>
                <w:rFonts w:ascii="宋体" w:hAnsi="宋体" w:cs="宋体" w:eastAsia="宋体" w:hint="default"/>
                <w:sz w:val="18"/>
                <w:szCs w:val="18"/>
              </w:rPr>
            </w:pPr>
            <w:r>
              <w:rPr>
                <w:rFonts w:ascii="宋体"/>
                <w:sz w:val="18"/>
              </w:rPr>
              <w:t>3.98</w:t>
            </w:r>
          </w:p>
        </w:tc>
        <w:tc>
          <w:tcPr>
            <w:tcW w:w="682"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89" w:right="0"/>
              <w:jc w:val="center"/>
              <w:rPr>
                <w:rFonts w:ascii="宋体" w:hAnsi="宋体" w:cs="宋体" w:eastAsia="宋体" w:hint="default"/>
                <w:sz w:val="18"/>
                <w:szCs w:val="18"/>
              </w:rPr>
            </w:pPr>
            <w:r>
              <w:rPr>
                <w:rFonts w:ascii="宋体"/>
                <w:sz w:val="18"/>
              </w:rPr>
              <w:t>479,302,</w:t>
            </w:r>
          </w:p>
          <w:p>
            <w:pPr>
              <w:pStyle w:val="TableParagraph"/>
              <w:spacing w:line="240" w:lineRule="auto"/>
              <w:ind w:left="269" w:right="0"/>
              <w:jc w:val="center"/>
              <w:rPr>
                <w:rFonts w:ascii="宋体" w:hAnsi="宋体" w:cs="宋体" w:eastAsia="宋体" w:hint="default"/>
                <w:sz w:val="18"/>
                <w:szCs w:val="18"/>
              </w:rPr>
            </w:pPr>
            <w:r>
              <w:rPr>
                <w:rFonts w:ascii="宋体"/>
                <w:sz w:val="18"/>
              </w:rPr>
              <w:t>664.06</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13" w:right="0"/>
              <w:jc w:val="left"/>
              <w:rPr>
                <w:rFonts w:ascii="宋体" w:hAnsi="宋体" w:cs="宋体" w:eastAsia="宋体" w:hint="default"/>
                <w:sz w:val="18"/>
                <w:szCs w:val="18"/>
              </w:rPr>
            </w:pPr>
            <w:r>
              <w:rPr>
                <w:rFonts w:ascii="宋体"/>
                <w:sz w:val="18"/>
              </w:rPr>
              <w:t>643,647</w:t>
            </w:r>
          </w:p>
          <w:p>
            <w:pPr>
              <w:pStyle w:val="TableParagraph"/>
              <w:spacing w:line="240" w:lineRule="auto"/>
              <w:ind w:left="113" w:right="0"/>
              <w:jc w:val="left"/>
              <w:rPr>
                <w:rFonts w:ascii="宋体" w:hAnsi="宋体" w:cs="宋体" w:eastAsia="宋体" w:hint="default"/>
                <w:sz w:val="18"/>
                <w:szCs w:val="18"/>
              </w:rPr>
            </w:pPr>
            <w:r>
              <w:rPr>
                <w:rFonts w:ascii="宋体"/>
                <w:sz w:val="18"/>
              </w:rPr>
              <w:t>,291.29</w:t>
            </w:r>
          </w:p>
        </w:tc>
        <w:tc>
          <w:tcPr>
            <w:tcW w:w="886"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84" w:right="0"/>
              <w:jc w:val="left"/>
              <w:rPr>
                <w:rFonts w:ascii="宋体" w:hAnsi="宋体" w:cs="宋体" w:eastAsia="宋体" w:hint="default"/>
                <w:sz w:val="18"/>
                <w:szCs w:val="18"/>
              </w:rPr>
            </w:pPr>
            <w:r>
              <w:rPr>
                <w:rFonts w:ascii="宋体"/>
                <w:sz w:val="18"/>
              </w:rPr>
              <w:t>663,892,3</w:t>
            </w:r>
          </w:p>
          <w:p>
            <w:pPr>
              <w:pStyle w:val="TableParagraph"/>
              <w:spacing w:line="240" w:lineRule="auto"/>
              <w:ind w:left="545" w:right="0"/>
              <w:jc w:val="left"/>
              <w:rPr>
                <w:rFonts w:ascii="宋体" w:hAnsi="宋体" w:cs="宋体" w:eastAsia="宋体" w:hint="default"/>
                <w:sz w:val="18"/>
                <w:szCs w:val="18"/>
              </w:rPr>
            </w:pPr>
            <w:r>
              <w:rPr>
                <w:rFonts w:ascii="宋体"/>
                <w:sz w:val="18"/>
              </w:rPr>
              <w:t>16.75</w:t>
            </w:r>
          </w:p>
        </w:tc>
      </w:tr>
      <w:tr>
        <w:trPr>
          <w:trHeight w:val="478"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sz w:val="18"/>
              </w:rPr>
              <w:t>828,236,94</w:t>
            </w:r>
          </w:p>
          <w:p>
            <w:pPr>
              <w:pStyle w:val="TableParagraph"/>
              <w:spacing w:line="234" w:lineRule="exact"/>
              <w:ind w:left="662" w:right="0"/>
              <w:jc w:val="left"/>
              <w:rPr>
                <w:rFonts w:ascii="宋体" w:hAnsi="宋体" w:cs="宋体" w:eastAsia="宋体" w:hint="default"/>
                <w:sz w:val="18"/>
                <w:szCs w:val="18"/>
              </w:rPr>
            </w:pPr>
            <w:r>
              <w:rPr>
                <w:rFonts w:ascii="宋体"/>
                <w:sz w:val="18"/>
              </w:rPr>
              <w:t>3.98</w:t>
            </w:r>
          </w:p>
        </w:tc>
        <w:tc>
          <w:tcPr>
            <w:tcW w:w="682"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89" w:right="0"/>
              <w:jc w:val="center"/>
              <w:rPr>
                <w:rFonts w:ascii="宋体" w:hAnsi="宋体" w:cs="宋体" w:eastAsia="宋体" w:hint="default"/>
                <w:sz w:val="18"/>
                <w:szCs w:val="18"/>
              </w:rPr>
            </w:pPr>
            <w:r>
              <w:rPr>
                <w:rFonts w:ascii="宋体"/>
                <w:sz w:val="18"/>
              </w:rPr>
              <w:t>479,302,</w:t>
            </w:r>
          </w:p>
          <w:p>
            <w:pPr>
              <w:pStyle w:val="TableParagraph"/>
              <w:spacing w:line="234" w:lineRule="exact"/>
              <w:ind w:left="269" w:right="0"/>
              <w:jc w:val="center"/>
              <w:rPr>
                <w:rFonts w:ascii="宋体" w:hAnsi="宋体" w:cs="宋体" w:eastAsia="宋体" w:hint="default"/>
                <w:sz w:val="18"/>
                <w:szCs w:val="18"/>
              </w:rPr>
            </w:pPr>
            <w:r>
              <w:rPr>
                <w:rFonts w:ascii="宋体"/>
                <w:sz w:val="18"/>
              </w:rPr>
              <w:t>664.06</w:t>
            </w: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81" w:right="0"/>
              <w:jc w:val="center"/>
              <w:rPr>
                <w:rFonts w:ascii="宋体" w:hAnsi="宋体" w:cs="宋体" w:eastAsia="宋体" w:hint="default"/>
                <w:sz w:val="18"/>
                <w:szCs w:val="18"/>
              </w:rPr>
            </w:pPr>
            <w:r>
              <w:rPr>
                <w:rFonts w:ascii="宋体"/>
                <w:sz w:val="18"/>
              </w:rPr>
              <w:t>1,307,539</w:t>
            </w:r>
          </w:p>
          <w:p>
            <w:pPr>
              <w:pStyle w:val="TableParagraph"/>
              <w:spacing w:line="234" w:lineRule="exact"/>
              <w:ind w:left="262" w:right="0"/>
              <w:jc w:val="center"/>
              <w:rPr>
                <w:rFonts w:ascii="宋体" w:hAnsi="宋体" w:cs="宋体" w:eastAsia="宋体" w:hint="default"/>
                <w:sz w:val="18"/>
                <w:szCs w:val="18"/>
              </w:rPr>
            </w:pPr>
            <w:r>
              <w:rPr>
                <w:rFonts w:ascii="宋体"/>
                <w:sz w:val="18"/>
              </w:rPr>
              <w:t>,608.04</w:t>
            </w:r>
          </w:p>
        </w:tc>
      </w:tr>
      <w:tr>
        <w:trPr>
          <w:trHeight w:val="475"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
                <w:sz w:val="18"/>
                <w:szCs w:val="18"/>
              </w:rPr>
              <w:t>2</w:t>
            </w:r>
            <w:r>
              <w:rPr>
                <w:rFonts w:ascii="宋体" w:hAnsi="宋体" w:cs="宋体" w:eastAsia="宋体" w:hint="default"/>
                <w:spacing w:val="-89"/>
                <w:sz w:val="18"/>
                <w:szCs w:val="18"/>
              </w:rPr>
              <w:t>．</w:t>
            </w:r>
            <w:r>
              <w:rPr>
                <w:rFonts w:ascii="宋体" w:hAnsi="宋体" w:cs="宋体" w:eastAsia="宋体" w:hint="default"/>
                <w:sz w:val="18"/>
                <w:szCs w:val="18"/>
              </w:rPr>
              <w:t>其他权益工具持有者投</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入资本</w:t>
            </w:r>
          </w:p>
        </w:tc>
        <w:tc>
          <w:tcPr>
            <w:tcW w:w="113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1"/>
                <w:sz w:val="18"/>
                <w:szCs w:val="18"/>
              </w:rPr>
              <w:t>3</w:t>
            </w:r>
            <w:r>
              <w:rPr>
                <w:rFonts w:ascii="宋体" w:hAnsi="宋体" w:cs="宋体" w:eastAsia="宋体" w:hint="default"/>
                <w:spacing w:val="-89"/>
                <w:sz w:val="18"/>
                <w:szCs w:val="18"/>
              </w:rPr>
              <w:t>．</w:t>
            </w:r>
            <w:r>
              <w:rPr>
                <w:rFonts w:ascii="宋体" w:hAnsi="宋体" w:cs="宋体" w:eastAsia="宋体" w:hint="default"/>
                <w:sz w:val="18"/>
                <w:szCs w:val="18"/>
              </w:rPr>
              <w:t>股份支付计入所有者权</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益的金额</w:t>
            </w:r>
          </w:p>
        </w:tc>
        <w:tc>
          <w:tcPr>
            <w:tcW w:w="113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13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3" w:right="0"/>
              <w:jc w:val="left"/>
              <w:rPr>
                <w:rFonts w:ascii="宋体" w:hAnsi="宋体" w:cs="宋体" w:eastAsia="宋体" w:hint="default"/>
                <w:sz w:val="18"/>
                <w:szCs w:val="18"/>
              </w:rPr>
            </w:pPr>
            <w:r>
              <w:rPr>
                <w:rFonts w:ascii="宋体"/>
                <w:sz w:val="18"/>
              </w:rPr>
              <w:t>643,647</w:t>
            </w:r>
          </w:p>
          <w:p>
            <w:pPr>
              <w:pStyle w:val="TableParagraph"/>
              <w:spacing w:line="240" w:lineRule="auto"/>
              <w:ind w:left="113" w:right="0"/>
              <w:jc w:val="left"/>
              <w:rPr>
                <w:rFonts w:ascii="宋体" w:hAnsi="宋体" w:cs="宋体" w:eastAsia="宋体" w:hint="default"/>
                <w:sz w:val="18"/>
                <w:szCs w:val="18"/>
              </w:rPr>
            </w:pPr>
            <w:r>
              <w:rPr>
                <w:rFonts w:ascii="宋体"/>
                <w:sz w:val="18"/>
              </w:rPr>
              <w:t>,291.29</w:t>
            </w:r>
          </w:p>
        </w:tc>
        <w:tc>
          <w:tcPr>
            <w:tcW w:w="886"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4" w:right="0"/>
              <w:jc w:val="left"/>
              <w:rPr>
                <w:rFonts w:ascii="宋体" w:hAnsi="宋体" w:cs="宋体" w:eastAsia="宋体" w:hint="default"/>
                <w:sz w:val="18"/>
                <w:szCs w:val="18"/>
              </w:rPr>
            </w:pPr>
            <w:r>
              <w:rPr>
                <w:rFonts w:ascii="宋体"/>
                <w:sz w:val="18"/>
              </w:rPr>
              <w:t>-643,647,</w:t>
            </w:r>
          </w:p>
          <w:p>
            <w:pPr>
              <w:pStyle w:val="TableParagraph"/>
              <w:spacing w:line="240" w:lineRule="auto"/>
              <w:ind w:left="456" w:right="0"/>
              <w:jc w:val="left"/>
              <w:rPr>
                <w:rFonts w:ascii="宋体" w:hAnsi="宋体" w:cs="宋体" w:eastAsia="宋体" w:hint="default"/>
                <w:sz w:val="18"/>
                <w:szCs w:val="18"/>
              </w:rPr>
            </w:pPr>
            <w:r>
              <w:rPr>
                <w:rFonts w:ascii="宋体"/>
                <w:sz w:val="18"/>
              </w:rPr>
              <w:t>291.29</w:t>
            </w:r>
          </w:p>
        </w:tc>
      </w:tr>
      <w:tr>
        <w:trPr>
          <w:trHeight w:val="478"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3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0" w:right="0"/>
              <w:jc w:val="left"/>
              <w:rPr>
                <w:rFonts w:ascii="宋体" w:hAnsi="宋体" w:cs="宋体" w:eastAsia="宋体" w:hint="default"/>
                <w:sz w:val="18"/>
                <w:szCs w:val="18"/>
              </w:rPr>
            </w:pPr>
            <w:r>
              <w:rPr>
                <w:rFonts w:ascii="宋体"/>
                <w:sz w:val="18"/>
              </w:rPr>
              <w:t>40,764,2</w:t>
            </w:r>
          </w:p>
          <w:p>
            <w:pPr>
              <w:pStyle w:val="TableParagraph"/>
              <w:spacing w:line="234" w:lineRule="exact"/>
              <w:ind w:left="429" w:right="0"/>
              <w:jc w:val="left"/>
              <w:rPr>
                <w:rFonts w:ascii="宋体" w:hAnsi="宋体" w:cs="宋体" w:eastAsia="宋体" w:hint="default"/>
                <w:sz w:val="18"/>
                <w:szCs w:val="18"/>
              </w:rPr>
            </w:pPr>
            <w:r>
              <w:rPr>
                <w:rFonts w:ascii="宋体"/>
                <w:sz w:val="18"/>
              </w:rPr>
              <w:t>86.48</w:t>
            </w:r>
          </w:p>
        </w:tc>
        <w:tc>
          <w:tcPr>
            <w:tcW w:w="701"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7" w:right="0"/>
              <w:jc w:val="center"/>
              <w:rPr>
                <w:rFonts w:ascii="宋体" w:hAnsi="宋体" w:cs="宋体" w:eastAsia="宋体" w:hint="default"/>
                <w:sz w:val="18"/>
                <w:szCs w:val="18"/>
              </w:rPr>
            </w:pPr>
            <w:r>
              <w:rPr>
                <w:rFonts w:ascii="宋体"/>
                <w:sz w:val="18"/>
              </w:rPr>
              <w:t>-40,764,</w:t>
            </w:r>
          </w:p>
          <w:p>
            <w:pPr>
              <w:pStyle w:val="TableParagraph"/>
              <w:spacing w:line="234" w:lineRule="exact"/>
              <w:ind w:left="247" w:right="0"/>
              <w:jc w:val="center"/>
              <w:rPr>
                <w:rFonts w:ascii="宋体" w:hAnsi="宋体" w:cs="宋体" w:eastAsia="宋体" w:hint="default"/>
                <w:sz w:val="18"/>
                <w:szCs w:val="18"/>
              </w:rPr>
            </w:pPr>
            <w:r>
              <w:rPr>
                <w:rFonts w:ascii="宋体"/>
                <w:sz w:val="18"/>
              </w:rPr>
              <w:t>286.48</w:t>
            </w:r>
          </w:p>
        </w:tc>
        <w:tc>
          <w:tcPr>
            <w:tcW w:w="955"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13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0" w:right="0"/>
              <w:jc w:val="left"/>
              <w:rPr>
                <w:rFonts w:ascii="宋体" w:hAnsi="宋体" w:cs="宋体" w:eastAsia="宋体" w:hint="default"/>
                <w:sz w:val="18"/>
                <w:szCs w:val="18"/>
              </w:rPr>
            </w:pPr>
            <w:r>
              <w:rPr>
                <w:rFonts w:ascii="宋体"/>
                <w:sz w:val="18"/>
              </w:rPr>
              <w:t>40,764,2</w:t>
            </w:r>
          </w:p>
          <w:p>
            <w:pPr>
              <w:pStyle w:val="TableParagraph"/>
              <w:spacing w:line="234" w:lineRule="exact"/>
              <w:ind w:left="429" w:right="0"/>
              <w:jc w:val="left"/>
              <w:rPr>
                <w:rFonts w:ascii="宋体" w:hAnsi="宋体" w:cs="宋体" w:eastAsia="宋体" w:hint="default"/>
                <w:sz w:val="18"/>
                <w:szCs w:val="18"/>
              </w:rPr>
            </w:pPr>
            <w:r>
              <w:rPr>
                <w:rFonts w:ascii="宋体"/>
                <w:sz w:val="18"/>
              </w:rPr>
              <w:t>86.48</w:t>
            </w:r>
          </w:p>
        </w:tc>
        <w:tc>
          <w:tcPr>
            <w:tcW w:w="701"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7" w:right="0"/>
              <w:jc w:val="center"/>
              <w:rPr>
                <w:rFonts w:ascii="宋体" w:hAnsi="宋体" w:cs="宋体" w:eastAsia="宋体" w:hint="default"/>
                <w:sz w:val="18"/>
                <w:szCs w:val="18"/>
              </w:rPr>
            </w:pPr>
            <w:r>
              <w:rPr>
                <w:rFonts w:ascii="宋体"/>
                <w:sz w:val="18"/>
              </w:rPr>
              <w:t>-40,764,</w:t>
            </w:r>
          </w:p>
          <w:p>
            <w:pPr>
              <w:pStyle w:val="TableParagraph"/>
              <w:spacing w:line="234" w:lineRule="exact"/>
              <w:ind w:left="247" w:right="0"/>
              <w:jc w:val="center"/>
              <w:rPr>
                <w:rFonts w:ascii="宋体" w:hAnsi="宋体" w:cs="宋体" w:eastAsia="宋体" w:hint="default"/>
                <w:sz w:val="18"/>
                <w:szCs w:val="18"/>
              </w:rPr>
            </w:pPr>
            <w:r>
              <w:rPr>
                <w:rFonts w:ascii="宋体"/>
                <w:sz w:val="18"/>
              </w:rPr>
              <w:t>286.48</w:t>
            </w:r>
          </w:p>
        </w:tc>
        <w:tc>
          <w:tcPr>
            <w:tcW w:w="955"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p>
        </w:tc>
        <w:tc>
          <w:tcPr>
            <w:tcW w:w="113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8"/>
                <w:sz w:val="18"/>
                <w:szCs w:val="18"/>
              </w:rPr>
              <w:t>3</w:t>
            </w:r>
            <w:r>
              <w:rPr>
                <w:rFonts w:ascii="宋体" w:hAnsi="宋体" w:cs="宋体" w:eastAsia="宋体" w:hint="default"/>
                <w:spacing w:val="-8"/>
                <w:sz w:val="18"/>
                <w:szCs w:val="18"/>
              </w:rPr>
              <w:t>．对所有者（或股东）的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分配</w:t>
            </w:r>
          </w:p>
        </w:tc>
        <w:tc>
          <w:tcPr>
            <w:tcW w:w="113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13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（四）所有者权益内部结</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转</w:t>
            </w:r>
          </w:p>
        </w:tc>
        <w:tc>
          <w:tcPr>
            <w:tcW w:w="113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8"/>
                <w:sz w:val="18"/>
                <w:szCs w:val="18"/>
              </w:rPr>
              <w:t>1</w:t>
            </w:r>
            <w:r>
              <w:rPr>
                <w:rFonts w:ascii="宋体" w:hAnsi="宋体" w:cs="宋体" w:eastAsia="宋体" w:hint="default"/>
                <w:spacing w:val="-8"/>
                <w:sz w:val="18"/>
                <w:szCs w:val="18"/>
              </w:rPr>
              <w:t>．资本公积转增资本（或</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13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8"/>
                <w:sz w:val="18"/>
                <w:szCs w:val="18"/>
              </w:rPr>
              <w:t>2</w:t>
            </w:r>
            <w:r>
              <w:rPr>
                <w:rFonts w:ascii="宋体" w:hAnsi="宋体" w:cs="宋体" w:eastAsia="宋体" w:hint="default"/>
                <w:spacing w:val="-8"/>
                <w:sz w:val="18"/>
                <w:szCs w:val="18"/>
              </w:rPr>
              <w:t>．盈余公积转增资本（或</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13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13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13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5" w:top="1120" w:bottom="1380" w:left="134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2196"/>
        <w:gridCol w:w="1135"/>
        <w:gridCol w:w="682"/>
        <w:gridCol w:w="857"/>
        <w:gridCol w:w="730"/>
        <w:gridCol w:w="1025"/>
        <w:gridCol w:w="857"/>
        <w:gridCol w:w="886"/>
        <w:gridCol w:w="917"/>
        <w:gridCol w:w="994"/>
        <w:gridCol w:w="701"/>
        <w:gridCol w:w="998"/>
        <w:gridCol w:w="955"/>
        <w:gridCol w:w="1109"/>
      </w:tblGrid>
      <w:tr>
        <w:trPr>
          <w:trHeight w:val="24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3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13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5" w:right="0"/>
              <w:jc w:val="center"/>
              <w:rPr>
                <w:rFonts w:ascii="宋体" w:hAnsi="宋体" w:cs="宋体" w:eastAsia="宋体" w:hint="default"/>
                <w:sz w:val="18"/>
                <w:szCs w:val="18"/>
              </w:rPr>
            </w:pPr>
            <w:r>
              <w:rPr>
                <w:rFonts w:ascii="宋体"/>
                <w:sz w:val="18"/>
              </w:rPr>
              <w:t>9,009,7</w:t>
            </w:r>
          </w:p>
          <w:p>
            <w:pPr>
              <w:pStyle w:val="TableParagraph"/>
              <w:spacing w:line="240" w:lineRule="auto"/>
              <w:ind w:left="255" w:right="0"/>
              <w:jc w:val="center"/>
              <w:rPr>
                <w:rFonts w:ascii="宋体" w:hAnsi="宋体" w:cs="宋体" w:eastAsia="宋体" w:hint="default"/>
                <w:sz w:val="18"/>
                <w:szCs w:val="18"/>
              </w:rPr>
            </w:pPr>
            <w:r>
              <w:rPr>
                <w:rFonts w:ascii="宋体"/>
                <w:sz w:val="18"/>
              </w:rPr>
              <w:t>20.87</w:t>
            </w:r>
          </w:p>
        </w:tc>
        <w:tc>
          <w:tcPr>
            <w:tcW w:w="994"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4" w:right="0"/>
              <w:jc w:val="left"/>
              <w:rPr>
                <w:rFonts w:ascii="宋体" w:hAnsi="宋体" w:cs="宋体" w:eastAsia="宋体" w:hint="default"/>
                <w:sz w:val="18"/>
                <w:szCs w:val="18"/>
              </w:rPr>
            </w:pPr>
            <w:r>
              <w:rPr>
                <w:rFonts w:ascii="宋体"/>
                <w:sz w:val="18"/>
              </w:rPr>
              <w:t>9,009,720</w:t>
            </w:r>
          </w:p>
          <w:p>
            <w:pPr>
              <w:pStyle w:val="TableParagraph"/>
              <w:spacing w:line="240" w:lineRule="auto"/>
              <w:ind w:left="725" w:right="0"/>
              <w:jc w:val="left"/>
              <w:rPr>
                <w:rFonts w:ascii="宋体" w:hAnsi="宋体" w:cs="宋体" w:eastAsia="宋体" w:hint="default"/>
                <w:sz w:val="18"/>
                <w:szCs w:val="18"/>
              </w:rPr>
            </w:pPr>
            <w:r>
              <w:rPr>
                <w:rFonts w:ascii="宋体"/>
                <w:sz w:val="18"/>
              </w:rPr>
              <w:t>.87</w:t>
            </w:r>
          </w:p>
        </w:tc>
      </w:tr>
      <w:tr>
        <w:trPr>
          <w:trHeight w:val="475"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13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75" w:right="0"/>
              <w:jc w:val="center"/>
              <w:rPr>
                <w:rFonts w:ascii="宋体" w:hAnsi="宋体" w:cs="宋体" w:eastAsia="宋体" w:hint="default"/>
                <w:sz w:val="18"/>
                <w:szCs w:val="18"/>
              </w:rPr>
            </w:pPr>
            <w:r>
              <w:rPr>
                <w:rFonts w:ascii="宋体"/>
                <w:sz w:val="18"/>
              </w:rPr>
              <w:t>9,009,7</w:t>
            </w:r>
          </w:p>
          <w:p>
            <w:pPr>
              <w:pStyle w:val="TableParagraph"/>
              <w:spacing w:line="234" w:lineRule="exact"/>
              <w:ind w:left="255" w:right="0"/>
              <w:jc w:val="center"/>
              <w:rPr>
                <w:rFonts w:ascii="宋体" w:hAnsi="宋体" w:cs="宋体" w:eastAsia="宋体" w:hint="default"/>
                <w:sz w:val="18"/>
                <w:szCs w:val="18"/>
              </w:rPr>
            </w:pPr>
            <w:r>
              <w:rPr>
                <w:rFonts w:ascii="宋体"/>
                <w:sz w:val="18"/>
              </w:rPr>
              <w:t>20.87</w:t>
            </w:r>
          </w:p>
        </w:tc>
        <w:tc>
          <w:tcPr>
            <w:tcW w:w="994"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4" w:right="0"/>
              <w:jc w:val="left"/>
              <w:rPr>
                <w:rFonts w:ascii="宋体" w:hAnsi="宋体" w:cs="宋体" w:eastAsia="宋体" w:hint="default"/>
                <w:sz w:val="18"/>
                <w:szCs w:val="18"/>
              </w:rPr>
            </w:pPr>
            <w:r>
              <w:rPr>
                <w:rFonts w:ascii="宋体"/>
                <w:sz w:val="18"/>
              </w:rPr>
              <w:t>9,009,720</w:t>
            </w:r>
          </w:p>
          <w:p>
            <w:pPr>
              <w:pStyle w:val="TableParagraph"/>
              <w:spacing w:line="234" w:lineRule="exact"/>
              <w:ind w:left="725" w:right="0"/>
              <w:jc w:val="left"/>
              <w:rPr>
                <w:rFonts w:ascii="宋体" w:hAnsi="宋体" w:cs="宋体" w:eastAsia="宋体" w:hint="default"/>
                <w:sz w:val="18"/>
                <w:szCs w:val="18"/>
              </w:rPr>
            </w:pPr>
            <w:r>
              <w:rPr>
                <w:rFonts w:ascii="宋体"/>
                <w:sz w:val="18"/>
              </w:rPr>
              <w:t>.87</w:t>
            </w:r>
          </w:p>
        </w:tc>
      </w:tr>
      <w:tr>
        <w:trPr>
          <w:trHeight w:val="245"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3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sz w:val="18"/>
              </w:rPr>
              <w:t>1,360,711,</w:t>
            </w:r>
          </w:p>
          <w:p>
            <w:pPr>
              <w:pStyle w:val="TableParagraph"/>
              <w:spacing w:line="234" w:lineRule="exact"/>
              <w:ind w:left="482" w:right="0"/>
              <w:jc w:val="left"/>
              <w:rPr>
                <w:rFonts w:ascii="宋体" w:hAnsi="宋体" w:cs="宋体" w:eastAsia="宋体" w:hint="default"/>
                <w:sz w:val="18"/>
                <w:szCs w:val="18"/>
              </w:rPr>
            </w:pPr>
            <w:r>
              <w:rPr>
                <w:rFonts w:ascii="宋体"/>
                <w:sz w:val="18"/>
              </w:rPr>
              <w:t>170.98</w:t>
            </w:r>
          </w:p>
        </w:tc>
        <w:tc>
          <w:tcPr>
            <w:tcW w:w="682"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89" w:right="0"/>
              <w:jc w:val="center"/>
              <w:rPr>
                <w:rFonts w:ascii="宋体" w:hAnsi="宋体" w:cs="宋体" w:eastAsia="宋体" w:hint="default"/>
                <w:sz w:val="18"/>
                <w:szCs w:val="18"/>
              </w:rPr>
            </w:pPr>
            <w:r>
              <w:rPr>
                <w:rFonts w:ascii="宋体"/>
                <w:sz w:val="18"/>
              </w:rPr>
              <w:t>556,367,</w:t>
            </w:r>
          </w:p>
          <w:p>
            <w:pPr>
              <w:pStyle w:val="TableParagraph"/>
              <w:spacing w:line="234" w:lineRule="exact"/>
              <w:ind w:left="269" w:right="0"/>
              <w:jc w:val="center"/>
              <w:rPr>
                <w:rFonts w:ascii="宋体" w:hAnsi="宋体" w:cs="宋体" w:eastAsia="宋体" w:hint="default"/>
                <w:sz w:val="18"/>
                <w:szCs w:val="18"/>
              </w:rPr>
            </w:pPr>
            <w:r>
              <w:rPr>
                <w:rFonts w:ascii="宋体"/>
                <w:sz w:val="18"/>
              </w:rPr>
              <w:t>822.80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3" w:right="0"/>
              <w:jc w:val="left"/>
              <w:rPr>
                <w:rFonts w:ascii="宋体" w:hAnsi="宋体" w:cs="宋体" w:eastAsia="宋体" w:hint="default"/>
                <w:sz w:val="18"/>
                <w:szCs w:val="18"/>
              </w:rPr>
            </w:pPr>
            <w:r>
              <w:rPr>
                <w:rFonts w:ascii="宋体"/>
                <w:sz w:val="18"/>
              </w:rPr>
              <w:t>643,647</w:t>
            </w:r>
          </w:p>
          <w:p>
            <w:pPr>
              <w:pStyle w:val="TableParagraph"/>
              <w:spacing w:line="234" w:lineRule="exact"/>
              <w:ind w:left="113" w:right="0"/>
              <w:jc w:val="left"/>
              <w:rPr>
                <w:rFonts w:ascii="宋体" w:hAnsi="宋体" w:cs="宋体" w:eastAsia="宋体" w:hint="default"/>
                <w:sz w:val="18"/>
                <w:szCs w:val="18"/>
              </w:rPr>
            </w:pPr>
            <w:r>
              <w:rPr>
                <w:rFonts w:ascii="宋体"/>
                <w:sz w:val="18"/>
              </w:rPr>
              <w:t>,291.29</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1" w:right="0"/>
              <w:jc w:val="left"/>
              <w:rPr>
                <w:rFonts w:ascii="宋体" w:hAnsi="宋体" w:cs="宋体" w:eastAsia="宋体" w:hint="default"/>
                <w:sz w:val="18"/>
                <w:szCs w:val="18"/>
              </w:rPr>
            </w:pPr>
            <w:r>
              <w:rPr>
                <w:rFonts w:ascii="宋体"/>
                <w:sz w:val="18"/>
              </w:rPr>
              <w:t>-153,05</w:t>
            </w:r>
          </w:p>
          <w:p>
            <w:pPr>
              <w:pStyle w:val="TableParagraph"/>
              <w:spacing w:line="234" w:lineRule="exact"/>
              <w:ind w:left="412" w:right="0"/>
              <w:jc w:val="left"/>
              <w:rPr>
                <w:rFonts w:ascii="宋体" w:hAnsi="宋体" w:cs="宋体" w:eastAsia="宋体" w:hint="default"/>
                <w:sz w:val="18"/>
                <w:szCs w:val="18"/>
              </w:rPr>
            </w:pPr>
            <w:r>
              <w:rPr>
                <w:rFonts w:ascii="宋体"/>
                <w:sz w:val="18"/>
              </w:rPr>
              <w:t>5.10</w:t>
            </w:r>
          </w:p>
        </w:tc>
        <w:tc>
          <w:tcPr>
            <w:tcW w:w="91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7" w:right="0"/>
              <w:jc w:val="center"/>
              <w:rPr>
                <w:rFonts w:ascii="宋体" w:hAnsi="宋体" w:cs="宋体" w:eastAsia="宋体" w:hint="default"/>
                <w:sz w:val="18"/>
                <w:szCs w:val="18"/>
              </w:rPr>
            </w:pPr>
            <w:r>
              <w:rPr>
                <w:rFonts w:ascii="宋体"/>
                <w:sz w:val="18"/>
              </w:rPr>
              <w:t>117,813,</w:t>
            </w:r>
          </w:p>
          <w:p>
            <w:pPr>
              <w:pStyle w:val="TableParagraph"/>
              <w:spacing w:line="234" w:lineRule="exact"/>
              <w:ind w:left="237" w:right="0"/>
              <w:jc w:val="center"/>
              <w:rPr>
                <w:rFonts w:ascii="宋体" w:hAnsi="宋体" w:cs="宋体" w:eastAsia="宋体" w:hint="default"/>
                <w:sz w:val="18"/>
                <w:szCs w:val="18"/>
              </w:rPr>
            </w:pPr>
            <w:r>
              <w:rPr>
                <w:rFonts w:ascii="宋体"/>
                <w:sz w:val="18"/>
              </w:rPr>
              <w:t>704.26</w:t>
            </w:r>
          </w:p>
        </w:tc>
        <w:tc>
          <w:tcPr>
            <w:tcW w:w="701"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7" w:right="0"/>
              <w:jc w:val="left"/>
              <w:rPr>
                <w:rFonts w:ascii="宋体" w:hAnsi="宋体" w:cs="宋体" w:eastAsia="宋体" w:hint="default"/>
                <w:sz w:val="18"/>
                <w:szCs w:val="18"/>
              </w:rPr>
            </w:pPr>
            <w:r>
              <w:rPr>
                <w:rFonts w:ascii="宋体"/>
                <w:sz w:val="18"/>
              </w:rPr>
              <w:t>1,055,41</w:t>
            </w:r>
          </w:p>
          <w:p>
            <w:pPr>
              <w:pStyle w:val="TableParagraph"/>
              <w:spacing w:line="234" w:lineRule="exact"/>
              <w:ind w:left="167" w:right="0"/>
              <w:jc w:val="left"/>
              <w:rPr>
                <w:rFonts w:ascii="宋体" w:hAnsi="宋体" w:cs="宋体" w:eastAsia="宋体" w:hint="default"/>
                <w:sz w:val="18"/>
                <w:szCs w:val="18"/>
              </w:rPr>
            </w:pPr>
            <w:r>
              <w:rPr>
                <w:rFonts w:ascii="宋体"/>
                <w:sz w:val="18"/>
              </w:rPr>
              <w:t>2,382.90</w:t>
            </w:r>
          </w:p>
        </w:tc>
        <w:tc>
          <w:tcPr>
            <w:tcW w:w="955"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81" w:right="0"/>
              <w:jc w:val="center"/>
              <w:rPr>
                <w:rFonts w:ascii="宋体" w:hAnsi="宋体" w:cs="宋体" w:eastAsia="宋体" w:hint="default"/>
                <w:sz w:val="18"/>
                <w:szCs w:val="18"/>
              </w:rPr>
            </w:pPr>
            <w:r>
              <w:rPr>
                <w:rFonts w:ascii="宋体"/>
                <w:sz w:val="18"/>
              </w:rPr>
              <w:t>2,446,504</w:t>
            </w:r>
          </w:p>
          <w:p>
            <w:pPr>
              <w:pStyle w:val="TableParagraph"/>
              <w:spacing w:line="234" w:lineRule="exact"/>
              <w:ind w:left="262" w:right="0"/>
              <w:jc w:val="center"/>
              <w:rPr>
                <w:rFonts w:ascii="宋体" w:hAnsi="宋体" w:cs="宋体" w:eastAsia="宋体" w:hint="default"/>
                <w:sz w:val="18"/>
                <w:szCs w:val="18"/>
              </w:rPr>
            </w:pPr>
            <w:r>
              <w:rPr>
                <w:rFonts w:ascii="宋体"/>
                <w:sz w:val="18"/>
              </w:rPr>
              <w:t>,734.55</w:t>
            </w:r>
          </w:p>
        </w:tc>
      </w:tr>
    </w:tbl>
    <w:p>
      <w:pPr>
        <w:spacing w:line="240" w:lineRule="auto" w:before="5"/>
        <w:rPr>
          <w:rFonts w:ascii="Times New Roman" w:hAnsi="Times New Roman" w:cs="Times New Roman" w:eastAsia="Times New Roman" w:hint="default"/>
          <w:sz w:val="17"/>
          <w:szCs w:val="17"/>
        </w:rPr>
      </w:pPr>
    </w:p>
    <w:p>
      <w:pPr>
        <w:pStyle w:val="BodyText"/>
        <w:tabs>
          <w:tab w:pos="2704" w:val="left" w:leader="none"/>
          <w:tab w:pos="5750" w:val="left" w:leader="none"/>
        </w:tabs>
        <w:spacing w:line="240" w:lineRule="auto" w:before="36"/>
        <w:ind w:left="184" w:right="0"/>
        <w:jc w:val="left"/>
      </w:pPr>
      <w:r>
        <w:rPr>
          <w:spacing w:val="-1"/>
        </w:rPr>
        <w:t>法定代表人：郭东圣</w:t>
        <w:tab/>
      </w:r>
      <w:r>
        <w:rPr>
          <w:spacing w:val="-2"/>
        </w:rPr>
        <w:t>主管会计工作负责人：李良海</w:t>
        <w:tab/>
        <w:t>会计机构负责人：郑清勇</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6840" w:h="11910" w:orient="landscape"/>
          <w:pgMar w:header="882" w:footer="1195" w:top="1120" w:bottom="1380" w:left="1340" w:right="1220"/>
        </w:sectPr>
      </w:pPr>
    </w:p>
    <w:p>
      <w:pPr>
        <w:spacing w:line="272" w:lineRule="exact" w:before="64"/>
        <w:ind w:left="6348" w:right="-7" w:hanging="399"/>
        <w:jc w:val="left"/>
        <w:rPr>
          <w:rFonts w:ascii="宋体" w:hAnsi="宋体" w:cs="宋体" w:eastAsia="宋体" w:hint="default"/>
          <w:sz w:val="21"/>
          <w:szCs w:val="21"/>
        </w:rPr>
      </w:pPr>
      <w:r>
        <w:rPr>
          <w:rFonts w:ascii="宋体" w:hAnsi="宋体" w:cs="宋体" w:eastAsia="宋体" w:hint="default"/>
          <w:b/>
          <w:bCs/>
          <w:spacing w:val="-1"/>
          <w:sz w:val="21"/>
          <w:szCs w:val="21"/>
        </w:rPr>
        <w:t>母公司所有者权益变动表</w:t>
      </w:r>
      <w:r>
        <w:rPr>
          <w:rFonts w:ascii="宋体" w:hAnsi="宋体" w:cs="宋体" w:eastAsia="宋体" w:hint="default"/>
          <w:b/>
          <w:bCs/>
          <w:spacing w:val="-94"/>
          <w:sz w:val="21"/>
          <w:szCs w:val="21"/>
        </w:rPr>
        <w:t> </w:t>
      </w:r>
      <w:r>
        <w:rPr>
          <w:rFonts w:ascii="宋体" w:hAnsi="宋体" w:cs="宋体" w:eastAsia="宋体" w:hint="default"/>
          <w:b/>
          <w:bCs/>
          <w:spacing w:val="-94"/>
          <w:sz w:val="21"/>
          <w:szCs w:val="21"/>
        </w:rPr>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4592" w:val="left" w:leader="none"/>
        </w:tabs>
        <w:spacing w:line="240" w:lineRule="auto"/>
        <w:ind w:left="3647"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6840" w:h="11910" w:orient="landscape"/>
          <w:pgMar w:top="1120" w:bottom="1380" w:left="1340" w:right="1220"/>
          <w:cols w:num="2" w:equalWidth="0">
            <w:col w:w="8271" w:space="40"/>
            <w:col w:w="5969"/>
          </w:cols>
        </w:sectPr>
      </w:pPr>
    </w:p>
    <w:p>
      <w:pPr>
        <w:spacing w:line="240" w:lineRule="auto" w:before="4"/>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451"/>
        <w:gridCol w:w="1078"/>
        <w:gridCol w:w="1049"/>
        <w:gridCol w:w="1078"/>
        <w:gridCol w:w="922"/>
        <w:gridCol w:w="1208"/>
        <w:gridCol w:w="1063"/>
        <w:gridCol w:w="708"/>
        <w:gridCol w:w="992"/>
        <w:gridCol w:w="991"/>
        <w:gridCol w:w="1277"/>
        <w:gridCol w:w="1145"/>
      </w:tblGrid>
      <w:tr>
        <w:trPr>
          <w:trHeight w:val="250" w:hRule="exact"/>
        </w:trPr>
        <w:tc>
          <w:tcPr>
            <w:tcW w:w="2451" w:type="dxa"/>
            <w:vMerge w:val="restart"/>
            <w:tcBorders>
              <w:top w:val="single" w:sz="6" w:space="0" w:color="000000"/>
              <w:left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510" w:type="dxa"/>
            <w:gridSpan w:val="11"/>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326" w:hRule="exact"/>
        </w:trPr>
        <w:tc>
          <w:tcPr>
            <w:tcW w:w="2451" w:type="dxa"/>
            <w:vMerge/>
            <w:tcBorders>
              <w:left w:val="single" w:sz="6" w:space="0" w:color="000000"/>
              <w:right w:val="single" w:sz="6" w:space="0" w:color="000000"/>
            </w:tcBorders>
          </w:tcPr>
          <w:p>
            <w:pPr/>
          </w:p>
        </w:tc>
        <w:tc>
          <w:tcPr>
            <w:tcW w:w="1078" w:type="dxa"/>
            <w:vMerge w:val="restart"/>
            <w:tcBorders>
              <w:top w:val="single" w:sz="6" w:space="0" w:color="000000"/>
              <w:left w:val="single" w:sz="6"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5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048"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10"/>
              <w:ind w:left="979"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208"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63"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11"/>
                <w:sz w:val="18"/>
                <w:szCs w:val="18"/>
              </w:rPr>
              <w:t>减：库存股</w:t>
            </w:r>
          </w:p>
        </w:tc>
        <w:tc>
          <w:tcPr>
            <w:tcW w:w="708" w:type="dxa"/>
            <w:vMerge w:val="restart"/>
            <w:tcBorders>
              <w:top w:val="single" w:sz="6" w:space="0" w:color="000000"/>
              <w:left w:val="single" w:sz="6" w:space="0" w:color="000000"/>
              <w:right w:val="single" w:sz="6" w:space="0" w:color="000000"/>
            </w:tcBorders>
          </w:tcPr>
          <w:p>
            <w:pPr>
              <w:pStyle w:val="TableParagraph"/>
              <w:spacing w:line="204" w:lineRule="exact"/>
              <w:ind w:left="165" w:right="0"/>
              <w:jc w:val="left"/>
              <w:rPr>
                <w:rFonts w:ascii="宋体" w:hAnsi="宋体" w:cs="宋体" w:eastAsia="宋体" w:hint="default"/>
                <w:sz w:val="18"/>
                <w:szCs w:val="18"/>
              </w:rPr>
            </w:pPr>
            <w:r>
              <w:rPr>
                <w:rFonts w:ascii="宋体" w:hAnsi="宋体" w:cs="宋体" w:eastAsia="宋体" w:hint="default"/>
                <w:sz w:val="18"/>
                <w:szCs w:val="18"/>
              </w:rPr>
              <w:t>其他</w:t>
            </w:r>
          </w:p>
          <w:p>
            <w:pPr>
              <w:pStyle w:val="TableParagraph"/>
              <w:spacing w:line="232" w:lineRule="exact" w:before="23"/>
              <w:ind w:left="165" w:right="167"/>
              <w:jc w:val="left"/>
              <w:rPr>
                <w:rFonts w:ascii="宋体" w:hAnsi="宋体" w:cs="宋体" w:eastAsia="宋体" w:hint="default"/>
                <w:sz w:val="18"/>
                <w:szCs w:val="18"/>
              </w:rPr>
            </w:pPr>
            <w:r>
              <w:rPr>
                <w:rFonts w:ascii="宋体" w:hAnsi="宋体" w:cs="宋体" w:eastAsia="宋体" w:hint="default"/>
                <w:sz w:val="18"/>
                <w:szCs w:val="18"/>
              </w:rPr>
              <w:t>综合 收益</w:t>
            </w:r>
          </w:p>
        </w:tc>
        <w:tc>
          <w:tcPr>
            <w:tcW w:w="992"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991"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77"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45" w:type="dxa"/>
            <w:vMerge w:val="restart"/>
            <w:tcBorders>
              <w:top w:val="single" w:sz="6" w:space="0" w:color="000000"/>
              <w:left w:val="single" w:sz="6" w:space="0" w:color="000000"/>
              <w:right w:val="single" w:sz="6" w:space="0" w:color="000000"/>
            </w:tcBorders>
          </w:tcPr>
          <w:p>
            <w:pPr>
              <w:pStyle w:val="TableParagraph"/>
              <w:spacing w:line="232" w:lineRule="exact" w:before="112"/>
              <w:ind w:left="386" w:right="113" w:hanging="272"/>
              <w:jc w:val="left"/>
              <w:rPr>
                <w:rFonts w:ascii="宋体" w:hAnsi="宋体" w:cs="宋体" w:eastAsia="宋体" w:hint="default"/>
                <w:sz w:val="18"/>
                <w:szCs w:val="18"/>
              </w:rPr>
            </w:pPr>
            <w:r>
              <w:rPr>
                <w:rFonts w:ascii="宋体" w:hAnsi="宋体" w:cs="宋体" w:eastAsia="宋体" w:hint="default"/>
                <w:sz w:val="18"/>
                <w:szCs w:val="18"/>
              </w:rPr>
              <w:t>所有者权益 合计</w:t>
            </w:r>
          </w:p>
        </w:tc>
      </w:tr>
      <w:tr>
        <w:trPr>
          <w:trHeight w:val="389" w:hRule="exact"/>
        </w:trPr>
        <w:tc>
          <w:tcPr>
            <w:tcW w:w="2451" w:type="dxa"/>
            <w:vMerge/>
            <w:tcBorders>
              <w:left w:val="single" w:sz="6" w:space="0" w:color="000000"/>
              <w:bottom w:val="single" w:sz="6" w:space="0" w:color="000000"/>
              <w:right w:val="single" w:sz="6" w:space="0" w:color="000000"/>
            </w:tcBorders>
          </w:tcPr>
          <w:p>
            <w:pPr/>
          </w:p>
        </w:tc>
        <w:tc>
          <w:tcPr>
            <w:tcW w:w="1078" w:type="dxa"/>
            <w:vMerge/>
            <w:tcBorders>
              <w:left w:val="single" w:sz="6" w:space="0" w:color="000000"/>
              <w:bottom w:val="single" w:sz="6" w:space="0" w:color="000000"/>
              <w:right w:val="single" w:sz="4" w:space="0" w:color="000000"/>
            </w:tcBorders>
          </w:tcPr>
          <w:p>
            <w:pPr/>
          </w:p>
        </w:tc>
        <w:tc>
          <w:tcPr>
            <w:tcW w:w="1049"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44"/>
              <w:ind w:left="249"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1078"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44"/>
              <w:ind w:left="26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922"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44"/>
              <w:ind w:left="27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08" w:type="dxa"/>
            <w:vMerge/>
            <w:tcBorders>
              <w:left w:val="single" w:sz="6" w:space="0" w:color="000000"/>
              <w:bottom w:val="single" w:sz="6" w:space="0" w:color="000000"/>
              <w:right w:val="single" w:sz="6" w:space="0" w:color="000000"/>
            </w:tcBorders>
          </w:tcPr>
          <w:p>
            <w:pPr/>
          </w:p>
        </w:tc>
        <w:tc>
          <w:tcPr>
            <w:tcW w:w="1063" w:type="dxa"/>
            <w:vMerge/>
            <w:tcBorders>
              <w:left w:val="single" w:sz="6" w:space="0" w:color="000000"/>
              <w:bottom w:val="single" w:sz="6" w:space="0" w:color="000000"/>
              <w:right w:val="single" w:sz="6" w:space="0" w:color="000000"/>
            </w:tcBorders>
          </w:tcPr>
          <w:p>
            <w:pPr/>
          </w:p>
        </w:tc>
        <w:tc>
          <w:tcPr>
            <w:tcW w:w="708" w:type="dxa"/>
            <w:vMerge/>
            <w:tcBorders>
              <w:left w:val="single" w:sz="6" w:space="0" w:color="000000"/>
              <w:bottom w:val="single" w:sz="6" w:space="0" w:color="000000"/>
              <w:right w:val="single" w:sz="6" w:space="0" w:color="000000"/>
            </w:tcBorders>
          </w:tcPr>
          <w:p>
            <w:pPr/>
          </w:p>
        </w:tc>
        <w:tc>
          <w:tcPr>
            <w:tcW w:w="992" w:type="dxa"/>
            <w:vMerge/>
            <w:tcBorders>
              <w:left w:val="single" w:sz="6" w:space="0" w:color="000000"/>
              <w:bottom w:val="single" w:sz="6" w:space="0" w:color="000000"/>
              <w:right w:val="single" w:sz="6" w:space="0" w:color="000000"/>
            </w:tcBorders>
          </w:tcPr>
          <w:p>
            <w:pPr/>
          </w:p>
        </w:tc>
        <w:tc>
          <w:tcPr>
            <w:tcW w:w="991" w:type="dxa"/>
            <w:vMerge/>
            <w:tcBorders>
              <w:left w:val="single" w:sz="6" w:space="0" w:color="000000"/>
              <w:bottom w:val="single" w:sz="6" w:space="0" w:color="000000"/>
              <w:right w:val="single" w:sz="6" w:space="0" w:color="000000"/>
            </w:tcBorders>
          </w:tcPr>
          <w:p>
            <w:pPr/>
          </w:p>
        </w:tc>
        <w:tc>
          <w:tcPr>
            <w:tcW w:w="1277" w:type="dxa"/>
            <w:vMerge/>
            <w:tcBorders>
              <w:left w:val="single" w:sz="6" w:space="0" w:color="000000"/>
              <w:bottom w:val="single" w:sz="6" w:space="0" w:color="000000"/>
              <w:right w:val="single" w:sz="6" w:space="0" w:color="000000"/>
            </w:tcBorders>
          </w:tcPr>
          <w:p>
            <w:pPr/>
          </w:p>
        </w:tc>
        <w:tc>
          <w:tcPr>
            <w:tcW w:w="1145" w:type="dxa"/>
            <w:vMerge/>
            <w:tcBorders>
              <w:left w:val="single" w:sz="6" w:space="0" w:color="000000"/>
              <w:bottom w:val="single" w:sz="6" w:space="0" w:color="000000"/>
              <w:right w:val="single" w:sz="6" w:space="0" w:color="000000"/>
            </w:tcBorders>
          </w:tcPr>
          <w:p>
            <w:pPr/>
          </w:p>
        </w:tc>
      </w:tr>
      <w:tr>
        <w:trPr>
          <w:trHeight w:val="48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4" w:lineRule="exact"/>
              <w:ind w:left="47" w:right="0"/>
              <w:jc w:val="center"/>
              <w:rPr>
                <w:rFonts w:ascii="宋体" w:hAnsi="宋体" w:cs="宋体" w:eastAsia="宋体" w:hint="default"/>
                <w:sz w:val="18"/>
                <w:szCs w:val="18"/>
              </w:rPr>
            </w:pPr>
            <w:r>
              <w:rPr>
                <w:rFonts w:ascii="宋体"/>
                <w:sz w:val="18"/>
              </w:rPr>
              <w:t>1,062,128</w:t>
            </w:r>
          </w:p>
          <w:p>
            <w:pPr>
              <w:pStyle w:val="TableParagraph"/>
              <w:spacing w:line="234" w:lineRule="exact"/>
              <w:ind w:left="228" w:right="0"/>
              <w:jc w:val="center"/>
              <w:rPr>
                <w:rFonts w:ascii="宋体" w:hAnsi="宋体" w:cs="宋体" w:eastAsia="宋体" w:hint="default"/>
                <w:sz w:val="18"/>
                <w:szCs w:val="18"/>
              </w:rPr>
            </w:pPr>
            <w:r>
              <w:rPr>
                <w:rFonts w:ascii="宋体"/>
                <w:sz w:val="18"/>
              </w:rPr>
              <w:t>,511.00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922" w:type="dxa"/>
            <w:tcBorders>
              <w:top w:val="single" w:sz="6" w:space="0" w:color="000000"/>
              <w:left w:val="single" w:sz="4" w:space="0" w:color="000000"/>
              <w:bottom w:val="single" w:sz="6" w:space="0" w:color="000000"/>
              <w:right w:val="single" w:sz="4" w:space="0" w:color="000000"/>
            </w:tcBorders>
          </w:tcPr>
          <w:p>
            <w:pPr/>
          </w:p>
        </w:tc>
        <w:tc>
          <w:tcPr>
            <w:tcW w:w="1208" w:type="dxa"/>
            <w:tcBorders>
              <w:top w:val="single" w:sz="6" w:space="0" w:color="000000"/>
              <w:left w:val="single" w:sz="4"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sz w:val="18"/>
              </w:rPr>
              <w:t>3,947,156,1</w:t>
            </w:r>
          </w:p>
          <w:p>
            <w:pPr>
              <w:pStyle w:val="TableParagraph"/>
              <w:spacing w:line="234" w:lineRule="exact"/>
              <w:ind w:left="643" w:right="0"/>
              <w:jc w:val="left"/>
              <w:rPr>
                <w:rFonts w:ascii="宋体" w:hAnsi="宋体" w:cs="宋体" w:eastAsia="宋体" w:hint="default"/>
                <w:sz w:val="18"/>
                <w:szCs w:val="18"/>
              </w:rPr>
            </w:pPr>
            <w:r>
              <w:rPr>
                <w:rFonts w:ascii="宋体"/>
                <w:sz w:val="18"/>
              </w:rPr>
              <w:t>19.85</w:t>
            </w:r>
          </w:p>
        </w:tc>
        <w:tc>
          <w:tcPr>
            <w:tcW w:w="1063"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55" w:right="0"/>
              <w:jc w:val="left"/>
              <w:rPr>
                <w:rFonts w:ascii="宋体" w:hAnsi="宋体" w:cs="宋体" w:eastAsia="宋体" w:hint="default"/>
                <w:sz w:val="18"/>
                <w:szCs w:val="18"/>
              </w:rPr>
            </w:pPr>
            <w:r>
              <w:rPr>
                <w:rFonts w:ascii="宋体"/>
                <w:sz w:val="18"/>
              </w:rPr>
              <w:t>28,067,4</w:t>
            </w:r>
          </w:p>
          <w:p>
            <w:pPr>
              <w:pStyle w:val="TableParagraph"/>
              <w:spacing w:line="234" w:lineRule="exact"/>
              <w:ind w:left="424" w:right="0"/>
              <w:jc w:val="left"/>
              <w:rPr>
                <w:rFonts w:ascii="宋体" w:hAnsi="宋体" w:cs="宋体" w:eastAsia="宋体" w:hint="default"/>
                <w:sz w:val="18"/>
                <w:szCs w:val="18"/>
              </w:rPr>
            </w:pPr>
            <w:r>
              <w:rPr>
                <w:rFonts w:ascii="宋体"/>
                <w:sz w:val="18"/>
              </w:rPr>
              <w:t>60.06</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72" w:right="0"/>
              <w:jc w:val="left"/>
              <w:rPr>
                <w:rFonts w:ascii="宋体" w:hAnsi="宋体" w:cs="宋体" w:eastAsia="宋体" w:hint="default"/>
                <w:sz w:val="18"/>
                <w:szCs w:val="18"/>
              </w:rPr>
            </w:pPr>
            <w:r>
              <w:rPr>
                <w:rFonts w:ascii="宋体"/>
                <w:sz w:val="18"/>
              </w:rPr>
              <w:t>-728,187,44</w:t>
            </w:r>
          </w:p>
          <w:p>
            <w:pPr>
              <w:pStyle w:val="TableParagraph"/>
              <w:spacing w:line="234" w:lineRule="exact"/>
              <w:ind w:left="803" w:right="0"/>
              <w:jc w:val="left"/>
              <w:rPr>
                <w:rFonts w:ascii="宋体" w:hAnsi="宋体" w:cs="宋体" w:eastAsia="宋体" w:hint="default"/>
                <w:sz w:val="18"/>
                <w:szCs w:val="18"/>
              </w:rPr>
            </w:pPr>
            <w:r>
              <w:rPr>
                <w:rFonts w:ascii="宋体"/>
                <w:sz w:val="18"/>
              </w:rPr>
              <w:t>8.95</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32" w:right="0"/>
              <w:jc w:val="left"/>
              <w:rPr>
                <w:rFonts w:ascii="宋体" w:hAnsi="宋体" w:cs="宋体" w:eastAsia="宋体" w:hint="default"/>
                <w:sz w:val="18"/>
                <w:szCs w:val="18"/>
              </w:rPr>
            </w:pPr>
            <w:r>
              <w:rPr>
                <w:rFonts w:ascii="宋体"/>
                <w:sz w:val="18"/>
              </w:rPr>
              <w:t>4,309,164,</w:t>
            </w:r>
          </w:p>
          <w:p>
            <w:pPr>
              <w:pStyle w:val="TableParagraph"/>
              <w:spacing w:line="234" w:lineRule="exact"/>
              <w:ind w:left="492" w:right="0"/>
              <w:jc w:val="left"/>
              <w:rPr>
                <w:rFonts w:ascii="宋体" w:hAnsi="宋体" w:cs="宋体" w:eastAsia="宋体" w:hint="default"/>
                <w:sz w:val="18"/>
                <w:szCs w:val="18"/>
              </w:rPr>
            </w:pPr>
            <w:r>
              <w:rPr>
                <w:rFonts w:ascii="宋体"/>
                <w:sz w:val="18"/>
              </w:rPr>
              <w:t>641.96</w:t>
            </w:r>
          </w:p>
        </w:tc>
      </w:tr>
      <w:tr>
        <w:trPr>
          <w:trHeight w:val="25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922" w:type="dxa"/>
            <w:tcBorders>
              <w:top w:val="single" w:sz="6" w:space="0" w:color="000000"/>
              <w:left w:val="single" w:sz="4" w:space="0" w:color="000000"/>
              <w:bottom w:val="single" w:sz="6" w:space="0" w:color="000000"/>
              <w:right w:val="single" w:sz="4" w:space="0" w:color="000000"/>
            </w:tcBorders>
          </w:tcPr>
          <w:p>
            <w:pPr/>
          </w:p>
        </w:tc>
        <w:tc>
          <w:tcPr>
            <w:tcW w:w="1208" w:type="dxa"/>
            <w:tcBorders>
              <w:top w:val="single" w:sz="6" w:space="0" w:color="000000"/>
              <w:left w:val="single" w:sz="4"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4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2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922" w:type="dxa"/>
            <w:tcBorders>
              <w:top w:val="single" w:sz="6" w:space="0" w:color="000000"/>
              <w:left w:val="single" w:sz="4" w:space="0" w:color="000000"/>
              <w:bottom w:val="single" w:sz="6" w:space="0" w:color="000000"/>
              <w:right w:val="single" w:sz="4" w:space="0" w:color="000000"/>
            </w:tcBorders>
          </w:tcPr>
          <w:p>
            <w:pPr/>
          </w:p>
        </w:tc>
        <w:tc>
          <w:tcPr>
            <w:tcW w:w="1208" w:type="dxa"/>
            <w:tcBorders>
              <w:top w:val="single" w:sz="6" w:space="0" w:color="000000"/>
              <w:left w:val="single" w:sz="4"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4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2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922" w:type="dxa"/>
            <w:tcBorders>
              <w:top w:val="single" w:sz="6" w:space="0" w:color="000000"/>
              <w:left w:val="single" w:sz="4" w:space="0" w:color="000000"/>
              <w:bottom w:val="single" w:sz="6" w:space="0" w:color="000000"/>
              <w:right w:val="single" w:sz="4" w:space="0" w:color="000000"/>
            </w:tcBorders>
          </w:tcPr>
          <w:p>
            <w:pPr/>
          </w:p>
        </w:tc>
        <w:tc>
          <w:tcPr>
            <w:tcW w:w="1208" w:type="dxa"/>
            <w:tcBorders>
              <w:top w:val="single" w:sz="6" w:space="0" w:color="000000"/>
              <w:left w:val="single" w:sz="4"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4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47" w:right="0"/>
              <w:jc w:val="center"/>
              <w:rPr>
                <w:rFonts w:ascii="宋体" w:hAnsi="宋体" w:cs="宋体" w:eastAsia="宋体" w:hint="default"/>
                <w:sz w:val="18"/>
                <w:szCs w:val="18"/>
              </w:rPr>
            </w:pPr>
            <w:r>
              <w:rPr>
                <w:rFonts w:ascii="宋体"/>
                <w:sz w:val="18"/>
              </w:rPr>
              <w:t>1,062,128</w:t>
            </w:r>
          </w:p>
          <w:p>
            <w:pPr>
              <w:pStyle w:val="TableParagraph"/>
              <w:spacing w:line="240" w:lineRule="auto"/>
              <w:ind w:left="228" w:right="0"/>
              <w:jc w:val="center"/>
              <w:rPr>
                <w:rFonts w:ascii="宋体" w:hAnsi="宋体" w:cs="宋体" w:eastAsia="宋体" w:hint="default"/>
                <w:sz w:val="18"/>
                <w:szCs w:val="18"/>
              </w:rPr>
            </w:pPr>
            <w:r>
              <w:rPr>
                <w:rFonts w:ascii="宋体"/>
                <w:sz w:val="18"/>
              </w:rPr>
              <w:t>,511.00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922" w:type="dxa"/>
            <w:tcBorders>
              <w:top w:val="single" w:sz="6" w:space="0" w:color="000000"/>
              <w:left w:val="single" w:sz="4" w:space="0" w:color="000000"/>
              <w:bottom w:val="single" w:sz="6" w:space="0" w:color="000000"/>
              <w:right w:val="single" w:sz="4" w:space="0" w:color="000000"/>
            </w:tcBorders>
          </w:tcPr>
          <w:p>
            <w:pPr/>
          </w:p>
        </w:tc>
        <w:tc>
          <w:tcPr>
            <w:tcW w:w="1208"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3,947,156,1</w:t>
            </w:r>
          </w:p>
          <w:p>
            <w:pPr>
              <w:pStyle w:val="TableParagraph"/>
              <w:spacing w:line="240" w:lineRule="auto"/>
              <w:ind w:left="643" w:right="0"/>
              <w:jc w:val="left"/>
              <w:rPr>
                <w:rFonts w:ascii="宋体" w:hAnsi="宋体" w:cs="宋体" w:eastAsia="宋体" w:hint="default"/>
                <w:sz w:val="18"/>
                <w:szCs w:val="18"/>
              </w:rPr>
            </w:pPr>
            <w:r>
              <w:rPr>
                <w:rFonts w:ascii="宋体"/>
                <w:sz w:val="18"/>
              </w:rPr>
              <w:t>19.85</w:t>
            </w:r>
          </w:p>
        </w:tc>
        <w:tc>
          <w:tcPr>
            <w:tcW w:w="1063"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55" w:right="0"/>
              <w:jc w:val="left"/>
              <w:rPr>
                <w:rFonts w:ascii="宋体" w:hAnsi="宋体" w:cs="宋体" w:eastAsia="宋体" w:hint="default"/>
                <w:sz w:val="18"/>
                <w:szCs w:val="18"/>
              </w:rPr>
            </w:pPr>
            <w:r>
              <w:rPr>
                <w:rFonts w:ascii="宋体"/>
                <w:sz w:val="18"/>
              </w:rPr>
              <w:t>28,067,4</w:t>
            </w:r>
          </w:p>
          <w:p>
            <w:pPr>
              <w:pStyle w:val="TableParagraph"/>
              <w:spacing w:line="240" w:lineRule="auto"/>
              <w:ind w:left="424" w:right="0"/>
              <w:jc w:val="left"/>
              <w:rPr>
                <w:rFonts w:ascii="宋体" w:hAnsi="宋体" w:cs="宋体" w:eastAsia="宋体" w:hint="default"/>
                <w:sz w:val="18"/>
                <w:szCs w:val="18"/>
              </w:rPr>
            </w:pPr>
            <w:r>
              <w:rPr>
                <w:rFonts w:ascii="宋体"/>
                <w:sz w:val="18"/>
              </w:rPr>
              <w:t>60.06</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72" w:right="0"/>
              <w:jc w:val="left"/>
              <w:rPr>
                <w:rFonts w:ascii="宋体" w:hAnsi="宋体" w:cs="宋体" w:eastAsia="宋体" w:hint="default"/>
                <w:sz w:val="18"/>
                <w:szCs w:val="18"/>
              </w:rPr>
            </w:pPr>
            <w:r>
              <w:rPr>
                <w:rFonts w:ascii="宋体"/>
                <w:sz w:val="18"/>
              </w:rPr>
              <w:t>-728,187,44</w:t>
            </w:r>
          </w:p>
          <w:p>
            <w:pPr>
              <w:pStyle w:val="TableParagraph"/>
              <w:spacing w:line="240" w:lineRule="auto"/>
              <w:ind w:left="803" w:right="0"/>
              <w:jc w:val="left"/>
              <w:rPr>
                <w:rFonts w:ascii="宋体" w:hAnsi="宋体" w:cs="宋体" w:eastAsia="宋体" w:hint="default"/>
                <w:sz w:val="18"/>
                <w:szCs w:val="18"/>
              </w:rPr>
            </w:pPr>
            <w:r>
              <w:rPr>
                <w:rFonts w:ascii="宋体"/>
                <w:sz w:val="18"/>
              </w:rPr>
              <w:t>8.95</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32" w:right="0"/>
              <w:jc w:val="left"/>
              <w:rPr>
                <w:rFonts w:ascii="宋体" w:hAnsi="宋体" w:cs="宋体" w:eastAsia="宋体" w:hint="default"/>
                <w:sz w:val="18"/>
                <w:szCs w:val="18"/>
              </w:rPr>
            </w:pPr>
            <w:r>
              <w:rPr>
                <w:rFonts w:ascii="宋体"/>
                <w:sz w:val="18"/>
              </w:rPr>
              <w:t>4,309,164,</w:t>
            </w:r>
          </w:p>
          <w:p>
            <w:pPr>
              <w:pStyle w:val="TableParagraph"/>
              <w:spacing w:line="240" w:lineRule="auto"/>
              <w:ind w:left="492" w:right="0"/>
              <w:jc w:val="left"/>
              <w:rPr>
                <w:rFonts w:ascii="宋体" w:hAnsi="宋体" w:cs="宋体" w:eastAsia="宋体" w:hint="default"/>
                <w:sz w:val="18"/>
                <w:szCs w:val="18"/>
              </w:rPr>
            </w:pPr>
            <w:r>
              <w:rPr>
                <w:rFonts w:ascii="宋体"/>
                <w:sz w:val="18"/>
              </w:rPr>
              <w:t>641.96</w:t>
            </w: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三、本期增减变动金额（减</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少以“－”号填列）</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922" w:type="dxa"/>
            <w:tcBorders>
              <w:top w:val="single" w:sz="6" w:space="0" w:color="000000"/>
              <w:left w:val="single" w:sz="4" w:space="0" w:color="000000"/>
              <w:bottom w:val="single" w:sz="6" w:space="0" w:color="000000"/>
              <w:right w:val="single" w:sz="6" w:space="0" w:color="000000"/>
            </w:tcBorders>
          </w:tcPr>
          <w:p>
            <w:pPr/>
          </w:p>
        </w:tc>
        <w:tc>
          <w:tcPr>
            <w:tcW w:w="1208"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747,842.54</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3" w:right="0"/>
              <w:jc w:val="center"/>
              <w:rPr>
                <w:rFonts w:ascii="宋体" w:hAnsi="宋体" w:cs="宋体" w:eastAsia="宋体" w:hint="default"/>
                <w:sz w:val="18"/>
                <w:szCs w:val="18"/>
              </w:rPr>
            </w:pPr>
            <w:r>
              <w:rPr>
                <w:rFonts w:ascii="宋体"/>
                <w:sz w:val="18"/>
              </w:rPr>
              <w:t>747,842.54</w:t>
            </w:r>
          </w:p>
        </w:tc>
      </w:tr>
      <w:tr>
        <w:trPr>
          <w:trHeight w:val="247"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922" w:type="dxa"/>
            <w:tcBorders>
              <w:top w:val="single" w:sz="6" w:space="0" w:color="000000"/>
              <w:left w:val="single" w:sz="4" w:space="0" w:color="000000"/>
              <w:bottom w:val="single" w:sz="6" w:space="0" w:color="000000"/>
              <w:right w:val="single" w:sz="6" w:space="0" w:color="000000"/>
            </w:tcBorders>
          </w:tcPr>
          <w:p>
            <w:pPr/>
          </w:p>
        </w:tc>
        <w:tc>
          <w:tcPr>
            <w:tcW w:w="1208"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747,842.54</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3" w:right="0"/>
              <w:jc w:val="center"/>
              <w:rPr>
                <w:rFonts w:ascii="宋体" w:hAnsi="宋体" w:cs="宋体" w:eastAsia="宋体" w:hint="default"/>
                <w:sz w:val="18"/>
                <w:szCs w:val="18"/>
              </w:rPr>
            </w:pPr>
            <w:r>
              <w:rPr>
                <w:rFonts w:ascii="宋体"/>
                <w:sz w:val="18"/>
              </w:rPr>
              <w:t>747,842.54</w:t>
            </w:r>
          </w:p>
        </w:tc>
      </w:tr>
      <w:tr>
        <w:trPr>
          <w:trHeight w:val="483"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（二）所有者投入和减少资</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922" w:type="dxa"/>
            <w:tcBorders>
              <w:top w:val="single" w:sz="6" w:space="0" w:color="000000"/>
              <w:left w:val="single" w:sz="4" w:space="0" w:color="000000"/>
              <w:bottom w:val="single" w:sz="6" w:space="0" w:color="000000"/>
              <w:right w:val="single" w:sz="6" w:space="0" w:color="000000"/>
            </w:tcBorders>
          </w:tcPr>
          <w:p>
            <w:pPr/>
          </w:p>
        </w:tc>
        <w:tc>
          <w:tcPr>
            <w:tcW w:w="1208"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4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922" w:type="dxa"/>
            <w:tcBorders>
              <w:top w:val="single" w:sz="6" w:space="0" w:color="000000"/>
              <w:left w:val="single" w:sz="4" w:space="0" w:color="000000"/>
              <w:bottom w:val="single" w:sz="6" w:space="0" w:color="000000"/>
              <w:right w:val="single" w:sz="6" w:space="0" w:color="000000"/>
            </w:tcBorders>
          </w:tcPr>
          <w:p>
            <w:pPr/>
          </w:p>
        </w:tc>
        <w:tc>
          <w:tcPr>
            <w:tcW w:w="1208"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4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．其他权益工具持有者投入</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922" w:type="dxa"/>
            <w:tcBorders>
              <w:top w:val="single" w:sz="6" w:space="0" w:color="000000"/>
              <w:left w:val="single" w:sz="4" w:space="0" w:color="000000"/>
              <w:bottom w:val="single" w:sz="6" w:space="0" w:color="000000"/>
              <w:right w:val="single" w:sz="6" w:space="0" w:color="000000"/>
            </w:tcBorders>
          </w:tcPr>
          <w:p>
            <w:pPr/>
          </w:p>
        </w:tc>
        <w:tc>
          <w:tcPr>
            <w:tcW w:w="1208"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4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．股份支付计入所有者权益</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922" w:type="dxa"/>
            <w:tcBorders>
              <w:top w:val="single" w:sz="6" w:space="0" w:color="000000"/>
              <w:left w:val="single" w:sz="4" w:space="0" w:color="000000"/>
              <w:bottom w:val="single" w:sz="6" w:space="0" w:color="000000"/>
              <w:right w:val="single" w:sz="6" w:space="0" w:color="000000"/>
            </w:tcBorders>
          </w:tcPr>
          <w:p>
            <w:pPr/>
          </w:p>
        </w:tc>
        <w:tc>
          <w:tcPr>
            <w:tcW w:w="1208"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45"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6840" w:h="11910" w:orient="landscape"/>
          <w:pgMar w:top="1120" w:bottom="1380" w:left="134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2451"/>
        <w:gridCol w:w="1078"/>
        <w:gridCol w:w="1049"/>
        <w:gridCol w:w="1078"/>
        <w:gridCol w:w="922"/>
        <w:gridCol w:w="1208"/>
        <w:gridCol w:w="1063"/>
        <w:gridCol w:w="708"/>
        <w:gridCol w:w="992"/>
        <w:gridCol w:w="991"/>
        <w:gridCol w:w="1277"/>
        <w:gridCol w:w="1145"/>
      </w:tblGrid>
      <w:tr>
        <w:trPr>
          <w:trHeight w:val="247"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的金额</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922" w:type="dxa"/>
            <w:tcBorders>
              <w:top w:val="single" w:sz="6" w:space="0" w:color="000000"/>
              <w:left w:val="single" w:sz="4" w:space="0" w:color="000000"/>
              <w:bottom w:val="single" w:sz="6" w:space="0" w:color="000000"/>
              <w:right w:val="single" w:sz="6" w:space="0" w:color="000000"/>
            </w:tcBorders>
          </w:tcPr>
          <w:p>
            <w:pPr/>
          </w:p>
        </w:tc>
        <w:tc>
          <w:tcPr>
            <w:tcW w:w="1208"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4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922" w:type="dxa"/>
            <w:tcBorders>
              <w:top w:val="single" w:sz="6" w:space="0" w:color="000000"/>
              <w:left w:val="single" w:sz="4" w:space="0" w:color="000000"/>
              <w:bottom w:val="single" w:sz="6" w:space="0" w:color="000000"/>
              <w:right w:val="single" w:sz="6" w:space="0" w:color="000000"/>
            </w:tcBorders>
          </w:tcPr>
          <w:p>
            <w:pPr/>
          </w:p>
        </w:tc>
        <w:tc>
          <w:tcPr>
            <w:tcW w:w="1208"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4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922" w:type="dxa"/>
            <w:tcBorders>
              <w:top w:val="single" w:sz="6" w:space="0" w:color="000000"/>
              <w:left w:val="single" w:sz="4" w:space="0" w:color="000000"/>
              <w:bottom w:val="single" w:sz="6" w:space="0" w:color="000000"/>
              <w:right w:val="single" w:sz="6" w:space="0" w:color="000000"/>
            </w:tcBorders>
          </w:tcPr>
          <w:p>
            <w:pPr/>
          </w:p>
        </w:tc>
        <w:tc>
          <w:tcPr>
            <w:tcW w:w="1208"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4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922" w:type="dxa"/>
            <w:tcBorders>
              <w:top w:val="single" w:sz="6" w:space="0" w:color="000000"/>
              <w:left w:val="single" w:sz="4" w:space="0" w:color="000000"/>
              <w:bottom w:val="single" w:sz="6" w:space="0" w:color="000000"/>
              <w:right w:val="single" w:sz="6" w:space="0" w:color="000000"/>
            </w:tcBorders>
          </w:tcPr>
          <w:p>
            <w:pPr/>
          </w:p>
        </w:tc>
        <w:tc>
          <w:tcPr>
            <w:tcW w:w="1208"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4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．对所有者（或股东）的分</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配</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922" w:type="dxa"/>
            <w:tcBorders>
              <w:top w:val="single" w:sz="6" w:space="0" w:color="000000"/>
              <w:left w:val="single" w:sz="4" w:space="0" w:color="000000"/>
              <w:bottom w:val="single" w:sz="6" w:space="0" w:color="000000"/>
              <w:right w:val="single" w:sz="6" w:space="0" w:color="000000"/>
            </w:tcBorders>
          </w:tcPr>
          <w:p>
            <w:pPr/>
          </w:p>
        </w:tc>
        <w:tc>
          <w:tcPr>
            <w:tcW w:w="1208"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4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922" w:type="dxa"/>
            <w:tcBorders>
              <w:top w:val="single" w:sz="6" w:space="0" w:color="000000"/>
              <w:left w:val="single" w:sz="4" w:space="0" w:color="000000"/>
              <w:bottom w:val="single" w:sz="6" w:space="0" w:color="000000"/>
              <w:right w:val="single" w:sz="6" w:space="0" w:color="000000"/>
            </w:tcBorders>
          </w:tcPr>
          <w:p>
            <w:pPr/>
          </w:p>
        </w:tc>
        <w:tc>
          <w:tcPr>
            <w:tcW w:w="1208"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4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922" w:type="dxa"/>
            <w:tcBorders>
              <w:top w:val="single" w:sz="6" w:space="0" w:color="000000"/>
              <w:left w:val="single" w:sz="4" w:space="0" w:color="000000"/>
              <w:bottom w:val="single" w:sz="6" w:space="0" w:color="000000"/>
              <w:right w:val="single" w:sz="6" w:space="0" w:color="000000"/>
            </w:tcBorders>
          </w:tcPr>
          <w:p>
            <w:pPr/>
          </w:p>
        </w:tc>
        <w:tc>
          <w:tcPr>
            <w:tcW w:w="1208"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45" w:type="dxa"/>
            <w:tcBorders>
              <w:top w:val="single" w:sz="6" w:space="0" w:color="000000"/>
              <w:left w:val="single" w:sz="6" w:space="0" w:color="000000"/>
              <w:bottom w:val="single" w:sz="6" w:space="0" w:color="000000"/>
              <w:right w:val="single" w:sz="6" w:space="0" w:color="000000"/>
            </w:tcBorders>
          </w:tcPr>
          <w:p>
            <w:pPr/>
          </w:p>
        </w:tc>
      </w:tr>
      <w:tr>
        <w:trPr>
          <w:trHeight w:val="48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．资本公积转增资本（或股</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922" w:type="dxa"/>
            <w:tcBorders>
              <w:top w:val="single" w:sz="6" w:space="0" w:color="000000"/>
              <w:left w:val="single" w:sz="4" w:space="0" w:color="000000"/>
              <w:bottom w:val="single" w:sz="6" w:space="0" w:color="000000"/>
              <w:right w:val="single" w:sz="6" w:space="0" w:color="000000"/>
            </w:tcBorders>
          </w:tcPr>
          <w:p>
            <w:pPr/>
          </w:p>
        </w:tc>
        <w:tc>
          <w:tcPr>
            <w:tcW w:w="1208"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45" w:type="dxa"/>
            <w:tcBorders>
              <w:top w:val="single" w:sz="6" w:space="0" w:color="000000"/>
              <w:left w:val="single" w:sz="6" w:space="0" w:color="000000"/>
              <w:bottom w:val="single" w:sz="6" w:space="0" w:color="000000"/>
              <w:right w:val="single" w:sz="6" w:space="0" w:color="000000"/>
            </w:tcBorders>
          </w:tcPr>
          <w:p>
            <w:pPr/>
          </w:p>
        </w:tc>
      </w:tr>
      <w:tr>
        <w:trPr>
          <w:trHeight w:val="483"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．盈余公积转增资本（或股</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922" w:type="dxa"/>
            <w:tcBorders>
              <w:top w:val="single" w:sz="6" w:space="0" w:color="000000"/>
              <w:left w:val="single" w:sz="4" w:space="0" w:color="000000"/>
              <w:bottom w:val="single" w:sz="6" w:space="0" w:color="000000"/>
              <w:right w:val="single" w:sz="6" w:space="0" w:color="000000"/>
            </w:tcBorders>
          </w:tcPr>
          <w:p>
            <w:pPr/>
          </w:p>
        </w:tc>
        <w:tc>
          <w:tcPr>
            <w:tcW w:w="1208"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4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922" w:type="dxa"/>
            <w:tcBorders>
              <w:top w:val="single" w:sz="6" w:space="0" w:color="000000"/>
              <w:left w:val="single" w:sz="4" w:space="0" w:color="000000"/>
              <w:bottom w:val="single" w:sz="6" w:space="0" w:color="000000"/>
              <w:right w:val="single" w:sz="6" w:space="0" w:color="000000"/>
            </w:tcBorders>
          </w:tcPr>
          <w:p>
            <w:pPr/>
          </w:p>
        </w:tc>
        <w:tc>
          <w:tcPr>
            <w:tcW w:w="1208"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4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922" w:type="dxa"/>
            <w:tcBorders>
              <w:top w:val="single" w:sz="6" w:space="0" w:color="000000"/>
              <w:left w:val="single" w:sz="4" w:space="0" w:color="000000"/>
              <w:bottom w:val="single" w:sz="6" w:space="0" w:color="000000"/>
              <w:right w:val="single" w:sz="6" w:space="0" w:color="000000"/>
            </w:tcBorders>
          </w:tcPr>
          <w:p>
            <w:pPr/>
          </w:p>
        </w:tc>
        <w:tc>
          <w:tcPr>
            <w:tcW w:w="1208"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4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9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922" w:type="dxa"/>
            <w:tcBorders>
              <w:top w:val="single" w:sz="6" w:space="0" w:color="000000"/>
              <w:left w:val="single" w:sz="4" w:space="0" w:color="000000"/>
              <w:bottom w:val="single" w:sz="6" w:space="0" w:color="000000"/>
              <w:right w:val="single" w:sz="6" w:space="0" w:color="000000"/>
            </w:tcBorders>
          </w:tcPr>
          <w:p>
            <w:pPr/>
          </w:p>
        </w:tc>
        <w:tc>
          <w:tcPr>
            <w:tcW w:w="1208"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4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922" w:type="dxa"/>
            <w:tcBorders>
              <w:top w:val="single" w:sz="6" w:space="0" w:color="000000"/>
              <w:left w:val="single" w:sz="4" w:space="0" w:color="000000"/>
              <w:bottom w:val="single" w:sz="6" w:space="0" w:color="000000"/>
              <w:right w:val="single" w:sz="6" w:space="0" w:color="000000"/>
            </w:tcBorders>
          </w:tcPr>
          <w:p>
            <w:pPr/>
          </w:p>
        </w:tc>
        <w:tc>
          <w:tcPr>
            <w:tcW w:w="1208"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4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922" w:type="dxa"/>
            <w:tcBorders>
              <w:top w:val="single" w:sz="6" w:space="0" w:color="000000"/>
              <w:left w:val="single" w:sz="4" w:space="0" w:color="000000"/>
              <w:bottom w:val="single" w:sz="6" w:space="0" w:color="000000"/>
              <w:right w:val="single" w:sz="6" w:space="0" w:color="000000"/>
            </w:tcBorders>
          </w:tcPr>
          <w:p>
            <w:pPr/>
          </w:p>
        </w:tc>
        <w:tc>
          <w:tcPr>
            <w:tcW w:w="1208"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4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922" w:type="dxa"/>
            <w:tcBorders>
              <w:top w:val="single" w:sz="6" w:space="0" w:color="000000"/>
              <w:left w:val="single" w:sz="4" w:space="0" w:color="000000"/>
              <w:bottom w:val="single" w:sz="6" w:space="0" w:color="000000"/>
              <w:right w:val="single" w:sz="6" w:space="0" w:color="000000"/>
            </w:tcBorders>
          </w:tcPr>
          <w:p>
            <w:pPr/>
          </w:p>
        </w:tc>
        <w:tc>
          <w:tcPr>
            <w:tcW w:w="1208"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4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47" w:right="0"/>
              <w:jc w:val="center"/>
              <w:rPr>
                <w:rFonts w:ascii="宋体" w:hAnsi="宋体" w:cs="宋体" w:eastAsia="宋体" w:hint="default"/>
                <w:sz w:val="18"/>
                <w:szCs w:val="18"/>
              </w:rPr>
            </w:pPr>
            <w:r>
              <w:rPr>
                <w:rFonts w:ascii="宋体"/>
                <w:sz w:val="18"/>
              </w:rPr>
              <w:t>1,062,128</w:t>
            </w:r>
          </w:p>
          <w:p>
            <w:pPr>
              <w:pStyle w:val="TableParagraph"/>
              <w:spacing w:line="240" w:lineRule="auto"/>
              <w:ind w:left="228" w:right="0"/>
              <w:jc w:val="center"/>
              <w:rPr>
                <w:rFonts w:ascii="宋体" w:hAnsi="宋体" w:cs="宋体" w:eastAsia="宋体" w:hint="default"/>
                <w:sz w:val="18"/>
                <w:szCs w:val="18"/>
              </w:rPr>
            </w:pPr>
            <w:r>
              <w:rPr>
                <w:rFonts w:ascii="宋体"/>
                <w:sz w:val="18"/>
              </w:rPr>
              <w:t>,511.00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922" w:type="dxa"/>
            <w:tcBorders>
              <w:top w:val="single" w:sz="6" w:space="0" w:color="000000"/>
              <w:left w:val="single" w:sz="4" w:space="0" w:color="000000"/>
              <w:bottom w:val="single" w:sz="6" w:space="0" w:color="000000"/>
              <w:right w:val="single" w:sz="6" w:space="0" w:color="000000"/>
            </w:tcBorders>
          </w:tcPr>
          <w:p>
            <w:pPr/>
          </w:p>
        </w:tc>
        <w:tc>
          <w:tcPr>
            <w:tcW w:w="12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3,947,156,1</w:t>
            </w:r>
          </w:p>
          <w:p>
            <w:pPr>
              <w:pStyle w:val="TableParagraph"/>
              <w:spacing w:line="240" w:lineRule="auto"/>
              <w:ind w:left="643" w:right="0"/>
              <w:jc w:val="left"/>
              <w:rPr>
                <w:rFonts w:ascii="宋体" w:hAnsi="宋体" w:cs="宋体" w:eastAsia="宋体" w:hint="default"/>
                <w:sz w:val="18"/>
                <w:szCs w:val="18"/>
              </w:rPr>
            </w:pPr>
            <w:r>
              <w:rPr>
                <w:rFonts w:ascii="宋体"/>
                <w:sz w:val="18"/>
              </w:rPr>
              <w:t>19.85</w:t>
            </w:r>
          </w:p>
        </w:tc>
        <w:tc>
          <w:tcPr>
            <w:tcW w:w="1063"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55" w:right="0"/>
              <w:jc w:val="left"/>
              <w:rPr>
                <w:rFonts w:ascii="宋体" w:hAnsi="宋体" w:cs="宋体" w:eastAsia="宋体" w:hint="default"/>
                <w:sz w:val="18"/>
                <w:szCs w:val="18"/>
              </w:rPr>
            </w:pPr>
            <w:r>
              <w:rPr>
                <w:rFonts w:ascii="宋体"/>
                <w:sz w:val="18"/>
              </w:rPr>
              <w:t>28,067,4</w:t>
            </w:r>
          </w:p>
          <w:p>
            <w:pPr>
              <w:pStyle w:val="TableParagraph"/>
              <w:spacing w:line="240" w:lineRule="auto"/>
              <w:ind w:left="424" w:right="0"/>
              <w:jc w:val="left"/>
              <w:rPr>
                <w:rFonts w:ascii="宋体" w:hAnsi="宋体" w:cs="宋体" w:eastAsia="宋体" w:hint="default"/>
                <w:sz w:val="18"/>
                <w:szCs w:val="18"/>
              </w:rPr>
            </w:pPr>
            <w:r>
              <w:rPr>
                <w:rFonts w:ascii="宋体"/>
                <w:sz w:val="18"/>
              </w:rPr>
              <w:t>60.06</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72" w:right="0"/>
              <w:jc w:val="left"/>
              <w:rPr>
                <w:rFonts w:ascii="宋体" w:hAnsi="宋体" w:cs="宋体" w:eastAsia="宋体" w:hint="default"/>
                <w:sz w:val="18"/>
                <w:szCs w:val="18"/>
              </w:rPr>
            </w:pPr>
            <w:r>
              <w:rPr>
                <w:rFonts w:ascii="宋体"/>
                <w:sz w:val="18"/>
              </w:rPr>
              <w:t>-727,439,60</w:t>
            </w:r>
          </w:p>
          <w:p>
            <w:pPr>
              <w:pStyle w:val="TableParagraph"/>
              <w:spacing w:line="240" w:lineRule="auto"/>
              <w:ind w:left="803" w:right="0"/>
              <w:jc w:val="left"/>
              <w:rPr>
                <w:rFonts w:ascii="宋体" w:hAnsi="宋体" w:cs="宋体" w:eastAsia="宋体" w:hint="default"/>
                <w:sz w:val="18"/>
                <w:szCs w:val="18"/>
              </w:rPr>
            </w:pPr>
            <w:r>
              <w:rPr>
                <w:rFonts w:ascii="宋体"/>
                <w:sz w:val="18"/>
              </w:rPr>
              <w:t>6.41</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32" w:right="0"/>
              <w:jc w:val="left"/>
              <w:rPr>
                <w:rFonts w:ascii="宋体" w:hAnsi="宋体" w:cs="宋体" w:eastAsia="宋体" w:hint="default"/>
                <w:sz w:val="18"/>
                <w:szCs w:val="18"/>
              </w:rPr>
            </w:pPr>
            <w:r>
              <w:rPr>
                <w:rFonts w:ascii="宋体"/>
                <w:sz w:val="18"/>
              </w:rPr>
              <w:t>4,309,912,</w:t>
            </w:r>
          </w:p>
          <w:p>
            <w:pPr>
              <w:pStyle w:val="TableParagraph"/>
              <w:spacing w:line="240" w:lineRule="auto"/>
              <w:ind w:left="492" w:right="0"/>
              <w:jc w:val="left"/>
              <w:rPr>
                <w:rFonts w:ascii="宋体" w:hAnsi="宋体" w:cs="宋体" w:eastAsia="宋体" w:hint="default"/>
                <w:sz w:val="18"/>
                <w:szCs w:val="18"/>
              </w:rPr>
            </w:pPr>
            <w:r>
              <w:rPr>
                <w:rFonts w:ascii="宋体"/>
                <w:sz w:val="18"/>
              </w:rPr>
              <w:t>484.50</w:t>
            </w:r>
          </w:p>
        </w:tc>
      </w:tr>
    </w:tbl>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7"/>
          <w:szCs w:val="27"/>
        </w:rPr>
      </w:pPr>
    </w:p>
    <w:tbl>
      <w:tblPr>
        <w:tblW w:w="0" w:type="auto"/>
        <w:jc w:val="left"/>
        <w:tblInd w:w="156" w:type="dxa"/>
        <w:tblLayout w:type="fixed"/>
        <w:tblCellMar>
          <w:top w:w="0" w:type="dxa"/>
          <w:left w:w="0" w:type="dxa"/>
          <w:bottom w:w="0" w:type="dxa"/>
          <w:right w:w="0" w:type="dxa"/>
        </w:tblCellMar>
        <w:tblLook w:val="01E0"/>
      </w:tblPr>
      <w:tblGrid>
        <w:gridCol w:w="2396"/>
        <w:gridCol w:w="1078"/>
        <w:gridCol w:w="1049"/>
        <w:gridCol w:w="866"/>
        <w:gridCol w:w="850"/>
        <w:gridCol w:w="1275"/>
        <w:gridCol w:w="852"/>
        <w:gridCol w:w="708"/>
        <w:gridCol w:w="1136"/>
        <w:gridCol w:w="991"/>
        <w:gridCol w:w="1277"/>
        <w:gridCol w:w="1428"/>
      </w:tblGrid>
      <w:tr>
        <w:trPr>
          <w:trHeight w:val="250" w:hRule="exact"/>
        </w:trPr>
        <w:tc>
          <w:tcPr>
            <w:tcW w:w="239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1510" w:type="dxa"/>
            <w:gridSpan w:val="11"/>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326" w:hRule="exact"/>
        </w:trPr>
        <w:tc>
          <w:tcPr>
            <w:tcW w:w="2396" w:type="dxa"/>
            <w:vMerge/>
            <w:tcBorders>
              <w:left w:val="single" w:sz="6" w:space="0" w:color="000000"/>
              <w:right w:val="single" w:sz="6" w:space="0" w:color="000000"/>
            </w:tcBorders>
          </w:tcPr>
          <w:p>
            <w:pPr/>
          </w:p>
        </w:tc>
        <w:tc>
          <w:tcPr>
            <w:tcW w:w="1078" w:type="dxa"/>
            <w:vMerge w:val="restart"/>
            <w:tcBorders>
              <w:top w:val="single" w:sz="6" w:space="0" w:color="000000"/>
              <w:left w:val="single" w:sz="6"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35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765"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10"/>
              <w:ind w:left="83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275"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852" w:type="dxa"/>
            <w:vMerge w:val="restart"/>
            <w:tcBorders>
              <w:top w:val="single" w:sz="6" w:space="0" w:color="000000"/>
              <w:left w:val="single" w:sz="6" w:space="0" w:color="000000"/>
              <w:right w:val="single" w:sz="6" w:space="0" w:color="000000"/>
            </w:tcBorders>
          </w:tcPr>
          <w:p>
            <w:pPr>
              <w:pStyle w:val="TableParagraph"/>
              <w:spacing w:line="232" w:lineRule="exact" w:before="112"/>
              <w:ind w:left="331" w:right="96" w:hanging="228"/>
              <w:jc w:val="left"/>
              <w:rPr>
                <w:rFonts w:ascii="宋体" w:hAnsi="宋体" w:cs="宋体" w:eastAsia="宋体" w:hint="default"/>
                <w:sz w:val="18"/>
                <w:szCs w:val="18"/>
              </w:rPr>
            </w:pPr>
            <w:r>
              <w:rPr>
                <w:rFonts w:ascii="宋体" w:hAnsi="宋体" w:cs="宋体" w:eastAsia="宋体" w:hint="default"/>
                <w:spacing w:val="-22"/>
                <w:sz w:val="18"/>
                <w:szCs w:val="18"/>
              </w:rPr>
              <w:t>减：库存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w:t>
            </w:r>
          </w:p>
        </w:tc>
        <w:tc>
          <w:tcPr>
            <w:tcW w:w="708" w:type="dxa"/>
            <w:vMerge w:val="restart"/>
            <w:tcBorders>
              <w:top w:val="single" w:sz="6" w:space="0" w:color="000000"/>
              <w:left w:val="single" w:sz="6" w:space="0" w:color="000000"/>
              <w:right w:val="single" w:sz="6" w:space="0" w:color="000000"/>
            </w:tcBorders>
          </w:tcPr>
          <w:p>
            <w:pPr>
              <w:pStyle w:val="TableParagraph"/>
              <w:spacing w:line="204" w:lineRule="exact"/>
              <w:ind w:left="165" w:right="0"/>
              <w:jc w:val="left"/>
              <w:rPr>
                <w:rFonts w:ascii="宋体" w:hAnsi="宋体" w:cs="宋体" w:eastAsia="宋体" w:hint="default"/>
                <w:sz w:val="18"/>
                <w:szCs w:val="18"/>
              </w:rPr>
            </w:pPr>
            <w:r>
              <w:rPr>
                <w:rFonts w:ascii="宋体" w:hAnsi="宋体" w:cs="宋体" w:eastAsia="宋体" w:hint="default"/>
                <w:sz w:val="18"/>
                <w:szCs w:val="18"/>
              </w:rPr>
              <w:t>其他</w:t>
            </w:r>
          </w:p>
          <w:p>
            <w:pPr>
              <w:pStyle w:val="TableParagraph"/>
              <w:spacing w:line="232" w:lineRule="exact" w:before="23"/>
              <w:ind w:left="165" w:right="167"/>
              <w:jc w:val="left"/>
              <w:rPr>
                <w:rFonts w:ascii="宋体" w:hAnsi="宋体" w:cs="宋体" w:eastAsia="宋体" w:hint="default"/>
                <w:sz w:val="18"/>
                <w:szCs w:val="18"/>
              </w:rPr>
            </w:pPr>
            <w:r>
              <w:rPr>
                <w:rFonts w:ascii="宋体" w:hAnsi="宋体" w:cs="宋体" w:eastAsia="宋体" w:hint="default"/>
                <w:sz w:val="18"/>
                <w:szCs w:val="18"/>
              </w:rPr>
              <w:t>综合 收益</w:t>
            </w:r>
          </w:p>
        </w:tc>
        <w:tc>
          <w:tcPr>
            <w:tcW w:w="1136"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991"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77"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28" w:type="dxa"/>
            <w:vMerge w:val="restart"/>
            <w:tcBorders>
              <w:top w:val="single" w:sz="6" w:space="0" w:color="000000"/>
              <w:left w:val="single" w:sz="6" w:space="0" w:color="000000"/>
              <w:right w:val="single" w:sz="6" w:space="0" w:color="000000"/>
            </w:tcBorders>
          </w:tcPr>
          <w:p>
            <w:pPr>
              <w:pStyle w:val="TableParagraph"/>
              <w:spacing w:line="232" w:lineRule="exact" w:before="112"/>
              <w:ind w:left="616" w:right="165" w:hanging="449"/>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389" w:hRule="exact"/>
        </w:trPr>
        <w:tc>
          <w:tcPr>
            <w:tcW w:w="2396" w:type="dxa"/>
            <w:vMerge/>
            <w:tcBorders>
              <w:left w:val="single" w:sz="6" w:space="0" w:color="000000"/>
              <w:bottom w:val="single" w:sz="6" w:space="0" w:color="000000"/>
              <w:right w:val="single" w:sz="6" w:space="0" w:color="000000"/>
            </w:tcBorders>
          </w:tcPr>
          <w:p>
            <w:pPr/>
          </w:p>
        </w:tc>
        <w:tc>
          <w:tcPr>
            <w:tcW w:w="1078" w:type="dxa"/>
            <w:vMerge/>
            <w:tcBorders>
              <w:left w:val="single" w:sz="6" w:space="0" w:color="000000"/>
              <w:bottom w:val="single" w:sz="6" w:space="0" w:color="000000"/>
              <w:right w:val="single" w:sz="4" w:space="0" w:color="000000"/>
            </w:tcBorders>
          </w:tcPr>
          <w:p>
            <w:pPr/>
          </w:p>
        </w:tc>
        <w:tc>
          <w:tcPr>
            <w:tcW w:w="1049"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44"/>
              <w:ind w:left="249"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866"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44"/>
              <w:ind w:left="158"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850"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44"/>
              <w:ind w:left="23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5" w:type="dxa"/>
            <w:vMerge/>
            <w:tcBorders>
              <w:left w:val="single" w:sz="6" w:space="0" w:color="000000"/>
              <w:bottom w:val="single" w:sz="6" w:space="0" w:color="000000"/>
              <w:right w:val="single" w:sz="6" w:space="0" w:color="000000"/>
            </w:tcBorders>
          </w:tcPr>
          <w:p>
            <w:pPr/>
          </w:p>
        </w:tc>
        <w:tc>
          <w:tcPr>
            <w:tcW w:w="852" w:type="dxa"/>
            <w:vMerge/>
            <w:tcBorders>
              <w:left w:val="single" w:sz="6" w:space="0" w:color="000000"/>
              <w:bottom w:val="single" w:sz="6" w:space="0" w:color="000000"/>
              <w:right w:val="single" w:sz="6" w:space="0" w:color="000000"/>
            </w:tcBorders>
          </w:tcPr>
          <w:p>
            <w:pPr/>
          </w:p>
        </w:tc>
        <w:tc>
          <w:tcPr>
            <w:tcW w:w="708" w:type="dxa"/>
            <w:vMerge/>
            <w:tcBorders>
              <w:left w:val="single" w:sz="6" w:space="0" w:color="000000"/>
              <w:bottom w:val="single" w:sz="6" w:space="0" w:color="000000"/>
              <w:right w:val="single" w:sz="6" w:space="0" w:color="000000"/>
            </w:tcBorders>
          </w:tcPr>
          <w:p>
            <w:pPr/>
          </w:p>
        </w:tc>
        <w:tc>
          <w:tcPr>
            <w:tcW w:w="1136" w:type="dxa"/>
            <w:vMerge/>
            <w:tcBorders>
              <w:left w:val="single" w:sz="6" w:space="0" w:color="000000"/>
              <w:bottom w:val="single" w:sz="6" w:space="0" w:color="000000"/>
              <w:right w:val="single" w:sz="6" w:space="0" w:color="000000"/>
            </w:tcBorders>
          </w:tcPr>
          <w:p>
            <w:pPr/>
          </w:p>
        </w:tc>
        <w:tc>
          <w:tcPr>
            <w:tcW w:w="991" w:type="dxa"/>
            <w:vMerge/>
            <w:tcBorders>
              <w:left w:val="single" w:sz="6" w:space="0" w:color="000000"/>
              <w:bottom w:val="single" w:sz="6" w:space="0" w:color="000000"/>
              <w:right w:val="single" w:sz="6" w:space="0" w:color="000000"/>
            </w:tcBorders>
          </w:tcPr>
          <w:p>
            <w:pPr/>
          </w:p>
        </w:tc>
        <w:tc>
          <w:tcPr>
            <w:tcW w:w="1277" w:type="dxa"/>
            <w:vMerge/>
            <w:tcBorders>
              <w:left w:val="single" w:sz="6" w:space="0" w:color="000000"/>
              <w:bottom w:val="single" w:sz="6" w:space="0" w:color="000000"/>
              <w:right w:val="single" w:sz="6" w:space="0" w:color="000000"/>
            </w:tcBorders>
          </w:tcPr>
          <w:p>
            <w:pPr/>
          </w:p>
        </w:tc>
        <w:tc>
          <w:tcPr>
            <w:tcW w:w="1428" w:type="dxa"/>
            <w:vMerge/>
            <w:tcBorders>
              <w:left w:val="single" w:sz="6" w:space="0" w:color="000000"/>
              <w:bottom w:val="single" w:sz="6" w:space="0" w:color="000000"/>
              <w:right w:val="single" w:sz="6" w:space="0" w:color="000000"/>
            </w:tcBorders>
          </w:tcPr>
          <w:p>
            <w:pP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4" w:lineRule="exact"/>
              <w:ind w:left="151" w:right="0"/>
              <w:jc w:val="left"/>
              <w:rPr>
                <w:rFonts w:ascii="宋体" w:hAnsi="宋体" w:cs="宋体" w:eastAsia="宋体" w:hint="default"/>
                <w:sz w:val="18"/>
                <w:szCs w:val="18"/>
              </w:rPr>
            </w:pPr>
            <w:r>
              <w:rPr>
                <w:rFonts w:ascii="宋体"/>
                <w:sz w:val="18"/>
              </w:rPr>
              <w:t>390,000,0</w:t>
            </w:r>
          </w:p>
          <w:p>
            <w:pPr>
              <w:pStyle w:val="TableParagraph"/>
              <w:spacing w:line="234" w:lineRule="exact"/>
              <w:ind w:left="511" w:right="0"/>
              <w:jc w:val="left"/>
              <w:rPr>
                <w:rFonts w:ascii="宋体" w:hAnsi="宋体" w:cs="宋体" w:eastAsia="宋体" w:hint="default"/>
                <w:sz w:val="18"/>
                <w:szCs w:val="18"/>
              </w:rPr>
            </w:pPr>
            <w:r>
              <w:rPr>
                <w:rFonts w:ascii="宋体"/>
                <w:sz w:val="18"/>
              </w:rPr>
              <w:t>00.00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866"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1275" w:type="dxa"/>
            <w:tcBorders>
              <w:top w:val="single" w:sz="6" w:space="0" w:color="000000"/>
              <w:left w:val="single" w:sz="4" w:space="0" w:color="000000"/>
              <w:bottom w:val="single" w:sz="6" w:space="0" w:color="000000"/>
              <w:right w:val="single" w:sz="6" w:space="0" w:color="000000"/>
            </w:tcBorders>
          </w:tcPr>
          <w:p>
            <w:pPr>
              <w:pStyle w:val="TableParagraph"/>
              <w:spacing w:line="204" w:lineRule="exact"/>
              <w:ind w:right="96"/>
              <w:jc w:val="right"/>
              <w:rPr>
                <w:rFonts w:ascii="宋体" w:hAnsi="宋体" w:cs="宋体" w:eastAsia="宋体" w:hint="default"/>
                <w:sz w:val="18"/>
                <w:szCs w:val="18"/>
              </w:rPr>
            </w:pPr>
            <w:r>
              <w:rPr>
                <w:rFonts w:ascii="宋体"/>
                <w:spacing w:val="-1"/>
                <w:sz w:val="18"/>
              </w:rPr>
              <w:t>325,637,339</w:t>
            </w:r>
          </w:p>
          <w:p>
            <w:pPr>
              <w:pStyle w:val="TableParagraph"/>
              <w:spacing w:line="234" w:lineRule="exact"/>
              <w:ind w:right="95"/>
              <w:jc w:val="right"/>
              <w:rPr>
                <w:rFonts w:ascii="宋体" w:hAnsi="宋体" w:cs="宋体" w:eastAsia="宋体" w:hint="default"/>
                <w:sz w:val="18"/>
                <w:szCs w:val="18"/>
              </w:rPr>
            </w:pPr>
            <w:r>
              <w:rPr>
                <w:rFonts w:ascii="宋体"/>
                <w:sz w:val="18"/>
              </w:rPr>
              <w:t>.56</w:t>
            </w:r>
          </w:p>
        </w:tc>
        <w:tc>
          <w:tcPr>
            <w:tcW w:w="85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101"/>
              <w:jc w:val="right"/>
              <w:rPr>
                <w:rFonts w:ascii="宋体" w:hAnsi="宋体" w:cs="宋体" w:eastAsia="宋体" w:hint="default"/>
                <w:sz w:val="18"/>
                <w:szCs w:val="18"/>
              </w:rPr>
            </w:pPr>
            <w:r>
              <w:rPr>
                <w:rFonts w:ascii="宋体"/>
                <w:spacing w:val="-1"/>
                <w:sz w:val="18"/>
              </w:rPr>
              <w:t>9,969,578.</w:t>
            </w:r>
          </w:p>
          <w:p>
            <w:pPr>
              <w:pStyle w:val="TableParagraph"/>
              <w:spacing w:line="234" w:lineRule="exact"/>
              <w:ind w:right="98"/>
              <w:jc w:val="right"/>
              <w:rPr>
                <w:rFonts w:ascii="宋体" w:hAnsi="宋体" w:cs="宋体" w:eastAsia="宋体" w:hint="default"/>
                <w:sz w:val="18"/>
                <w:szCs w:val="18"/>
              </w:rPr>
            </w:pPr>
            <w:r>
              <w:rPr>
                <w:rFonts w:ascii="宋体"/>
                <w:sz w:val="18"/>
              </w:rPr>
              <w:t>70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58" w:right="0"/>
              <w:jc w:val="left"/>
              <w:rPr>
                <w:rFonts w:ascii="宋体" w:hAnsi="宋体" w:cs="宋体" w:eastAsia="宋体" w:hint="default"/>
                <w:sz w:val="18"/>
                <w:szCs w:val="18"/>
              </w:rPr>
            </w:pPr>
            <w:r>
              <w:rPr>
                <w:rFonts w:ascii="宋体"/>
                <w:sz w:val="18"/>
              </w:rPr>
              <w:t>28,067,4</w:t>
            </w:r>
          </w:p>
          <w:p>
            <w:pPr>
              <w:pStyle w:val="TableParagraph"/>
              <w:spacing w:line="234" w:lineRule="exact"/>
              <w:ind w:left="427" w:right="0"/>
              <w:jc w:val="left"/>
              <w:rPr>
                <w:rFonts w:ascii="宋体" w:hAnsi="宋体" w:cs="宋体" w:eastAsia="宋体" w:hint="default"/>
                <w:sz w:val="18"/>
                <w:szCs w:val="18"/>
              </w:rPr>
            </w:pPr>
            <w:r>
              <w:rPr>
                <w:rFonts w:ascii="宋体"/>
                <w:sz w:val="18"/>
              </w:rPr>
              <w:t>60.06</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70" w:right="0"/>
              <w:jc w:val="left"/>
              <w:rPr>
                <w:rFonts w:ascii="宋体" w:hAnsi="宋体" w:cs="宋体" w:eastAsia="宋体" w:hint="default"/>
                <w:sz w:val="18"/>
                <w:szCs w:val="18"/>
              </w:rPr>
            </w:pPr>
            <w:r>
              <w:rPr>
                <w:rFonts w:ascii="宋体"/>
                <w:sz w:val="18"/>
              </w:rPr>
              <w:t>-1,031,200,</w:t>
            </w:r>
          </w:p>
          <w:p>
            <w:pPr>
              <w:pStyle w:val="TableParagraph"/>
              <w:spacing w:line="234" w:lineRule="exact"/>
              <w:ind w:left="621" w:right="0"/>
              <w:jc w:val="left"/>
              <w:rPr>
                <w:rFonts w:ascii="宋体" w:hAnsi="宋体" w:cs="宋体" w:eastAsia="宋体" w:hint="default"/>
                <w:sz w:val="18"/>
                <w:szCs w:val="18"/>
              </w:rPr>
            </w:pPr>
            <w:r>
              <w:rPr>
                <w:rFonts w:ascii="宋体"/>
                <w:sz w:val="18"/>
              </w:rPr>
              <w:t>129.72</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96"/>
              <w:jc w:val="right"/>
              <w:rPr>
                <w:rFonts w:ascii="宋体" w:hAnsi="宋体" w:cs="宋体" w:eastAsia="宋体" w:hint="default"/>
                <w:sz w:val="18"/>
                <w:szCs w:val="18"/>
              </w:rPr>
            </w:pPr>
            <w:r>
              <w:rPr>
                <w:rFonts w:ascii="宋体"/>
                <w:spacing w:val="-1"/>
                <w:sz w:val="18"/>
              </w:rPr>
              <w:t>-277,525,751.</w:t>
            </w:r>
          </w:p>
          <w:p>
            <w:pPr>
              <w:pStyle w:val="TableParagraph"/>
              <w:spacing w:line="234" w:lineRule="exact"/>
              <w:ind w:right="95"/>
              <w:jc w:val="right"/>
              <w:rPr>
                <w:rFonts w:ascii="宋体" w:hAnsi="宋体" w:cs="宋体" w:eastAsia="宋体" w:hint="default"/>
                <w:sz w:val="18"/>
                <w:szCs w:val="18"/>
              </w:rPr>
            </w:pPr>
            <w:r>
              <w:rPr>
                <w:rFonts w:ascii="宋体"/>
                <w:sz w:val="18"/>
              </w:rPr>
              <w:t>40</w:t>
            </w: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866"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1275" w:type="dxa"/>
            <w:tcBorders>
              <w:top w:val="single" w:sz="6" w:space="0" w:color="000000"/>
              <w:left w:val="single" w:sz="4"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2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866"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1275" w:type="dxa"/>
            <w:tcBorders>
              <w:top w:val="single" w:sz="6" w:space="0" w:color="000000"/>
              <w:left w:val="single" w:sz="4"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52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866"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1275" w:type="dxa"/>
            <w:tcBorders>
              <w:top w:val="single" w:sz="6" w:space="0" w:color="000000"/>
              <w:left w:val="single" w:sz="4"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51" w:right="0"/>
              <w:jc w:val="left"/>
              <w:rPr>
                <w:rFonts w:ascii="宋体" w:hAnsi="宋体" w:cs="宋体" w:eastAsia="宋体" w:hint="default"/>
                <w:sz w:val="18"/>
                <w:szCs w:val="18"/>
              </w:rPr>
            </w:pPr>
            <w:r>
              <w:rPr>
                <w:rFonts w:ascii="宋体"/>
                <w:sz w:val="18"/>
              </w:rPr>
              <w:t>390,000,0</w:t>
            </w:r>
          </w:p>
          <w:p>
            <w:pPr>
              <w:pStyle w:val="TableParagraph"/>
              <w:spacing w:line="240" w:lineRule="auto"/>
              <w:ind w:left="511" w:right="0"/>
              <w:jc w:val="left"/>
              <w:rPr>
                <w:rFonts w:ascii="宋体" w:hAnsi="宋体" w:cs="宋体" w:eastAsia="宋体" w:hint="default"/>
                <w:sz w:val="18"/>
                <w:szCs w:val="18"/>
              </w:rPr>
            </w:pPr>
            <w:r>
              <w:rPr>
                <w:rFonts w:ascii="宋体"/>
                <w:sz w:val="18"/>
              </w:rPr>
              <w:t>00.00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866"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1275"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325,637,339</w:t>
            </w:r>
          </w:p>
          <w:p>
            <w:pPr>
              <w:pStyle w:val="TableParagraph"/>
              <w:spacing w:line="240" w:lineRule="auto"/>
              <w:ind w:right="95"/>
              <w:jc w:val="right"/>
              <w:rPr>
                <w:rFonts w:ascii="宋体" w:hAnsi="宋体" w:cs="宋体" w:eastAsia="宋体" w:hint="default"/>
                <w:sz w:val="18"/>
                <w:szCs w:val="18"/>
              </w:rPr>
            </w:pPr>
            <w:r>
              <w:rPr>
                <w:rFonts w:ascii="宋体"/>
                <w:sz w:val="18"/>
              </w:rPr>
              <w:t>.56</w:t>
            </w:r>
          </w:p>
        </w:tc>
        <w:tc>
          <w:tcPr>
            <w:tcW w:w="85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9,969,578.</w:t>
            </w:r>
          </w:p>
          <w:p>
            <w:pPr>
              <w:pStyle w:val="TableParagraph"/>
              <w:spacing w:line="240" w:lineRule="auto"/>
              <w:ind w:right="98"/>
              <w:jc w:val="right"/>
              <w:rPr>
                <w:rFonts w:ascii="宋体" w:hAnsi="宋体" w:cs="宋体" w:eastAsia="宋体" w:hint="default"/>
                <w:sz w:val="18"/>
                <w:szCs w:val="18"/>
              </w:rPr>
            </w:pPr>
            <w:r>
              <w:rPr>
                <w:rFonts w:ascii="宋体"/>
                <w:sz w:val="18"/>
              </w:rPr>
              <w:t>70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58" w:right="0"/>
              <w:jc w:val="left"/>
              <w:rPr>
                <w:rFonts w:ascii="宋体" w:hAnsi="宋体" w:cs="宋体" w:eastAsia="宋体" w:hint="default"/>
                <w:sz w:val="18"/>
                <w:szCs w:val="18"/>
              </w:rPr>
            </w:pPr>
            <w:r>
              <w:rPr>
                <w:rFonts w:ascii="宋体"/>
                <w:sz w:val="18"/>
              </w:rPr>
              <w:t>28,067,4</w:t>
            </w:r>
          </w:p>
          <w:p>
            <w:pPr>
              <w:pStyle w:val="TableParagraph"/>
              <w:spacing w:line="240" w:lineRule="auto"/>
              <w:ind w:left="427" w:right="0"/>
              <w:jc w:val="left"/>
              <w:rPr>
                <w:rFonts w:ascii="宋体" w:hAnsi="宋体" w:cs="宋体" w:eastAsia="宋体" w:hint="default"/>
                <w:sz w:val="18"/>
                <w:szCs w:val="18"/>
              </w:rPr>
            </w:pPr>
            <w:r>
              <w:rPr>
                <w:rFonts w:ascii="宋体"/>
                <w:sz w:val="18"/>
              </w:rPr>
              <w:t>60.06</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70" w:right="0"/>
              <w:jc w:val="left"/>
              <w:rPr>
                <w:rFonts w:ascii="宋体" w:hAnsi="宋体" w:cs="宋体" w:eastAsia="宋体" w:hint="default"/>
                <w:sz w:val="18"/>
                <w:szCs w:val="18"/>
              </w:rPr>
            </w:pPr>
            <w:r>
              <w:rPr>
                <w:rFonts w:ascii="宋体"/>
                <w:sz w:val="18"/>
              </w:rPr>
              <w:t>-1,031,200,</w:t>
            </w:r>
          </w:p>
          <w:p>
            <w:pPr>
              <w:pStyle w:val="TableParagraph"/>
              <w:spacing w:line="240" w:lineRule="auto"/>
              <w:ind w:left="621" w:right="0"/>
              <w:jc w:val="left"/>
              <w:rPr>
                <w:rFonts w:ascii="宋体" w:hAnsi="宋体" w:cs="宋体" w:eastAsia="宋体" w:hint="default"/>
                <w:sz w:val="18"/>
                <w:szCs w:val="18"/>
              </w:rPr>
            </w:pPr>
            <w:r>
              <w:rPr>
                <w:rFonts w:ascii="宋体"/>
                <w:sz w:val="18"/>
              </w:rPr>
              <w:t>129.72</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-277,525,751.</w:t>
            </w:r>
          </w:p>
          <w:p>
            <w:pPr>
              <w:pStyle w:val="TableParagraph"/>
              <w:spacing w:line="240" w:lineRule="auto"/>
              <w:ind w:right="95"/>
              <w:jc w:val="right"/>
              <w:rPr>
                <w:rFonts w:ascii="宋体" w:hAnsi="宋体" w:cs="宋体" w:eastAsia="宋体" w:hint="default"/>
                <w:sz w:val="18"/>
                <w:szCs w:val="18"/>
              </w:rPr>
            </w:pPr>
            <w:r>
              <w:rPr>
                <w:rFonts w:ascii="宋体"/>
                <w:sz w:val="18"/>
              </w:rPr>
              <w:t>40</w:t>
            </w: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1" w:right="0"/>
              <w:jc w:val="left"/>
              <w:rPr>
                <w:rFonts w:ascii="宋体" w:hAnsi="宋体" w:cs="宋体" w:eastAsia="宋体" w:hint="default"/>
                <w:sz w:val="18"/>
                <w:szCs w:val="18"/>
              </w:rPr>
            </w:pPr>
            <w:r>
              <w:rPr>
                <w:rFonts w:ascii="宋体" w:hAnsi="宋体" w:cs="宋体" w:eastAsia="宋体" w:hint="default"/>
                <w:sz w:val="18"/>
                <w:szCs w:val="18"/>
              </w:rPr>
              <w:t>三、本期增减变动金额（减</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少以“－”号填列）</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4" w:lineRule="exact"/>
              <w:ind w:left="151" w:right="0"/>
              <w:jc w:val="left"/>
              <w:rPr>
                <w:rFonts w:ascii="宋体" w:hAnsi="宋体" w:cs="宋体" w:eastAsia="宋体" w:hint="default"/>
                <w:sz w:val="18"/>
                <w:szCs w:val="18"/>
              </w:rPr>
            </w:pPr>
            <w:r>
              <w:rPr>
                <w:rFonts w:ascii="宋体"/>
                <w:sz w:val="18"/>
              </w:rPr>
              <w:t>672,128,5</w:t>
            </w:r>
          </w:p>
          <w:p>
            <w:pPr>
              <w:pStyle w:val="TableParagraph"/>
              <w:spacing w:line="234" w:lineRule="exact"/>
              <w:ind w:left="511" w:right="0"/>
              <w:jc w:val="left"/>
              <w:rPr>
                <w:rFonts w:ascii="宋体" w:hAnsi="宋体" w:cs="宋体" w:eastAsia="宋体" w:hint="default"/>
                <w:sz w:val="18"/>
                <w:szCs w:val="18"/>
              </w:rPr>
            </w:pPr>
            <w:r>
              <w:rPr>
                <w:rFonts w:ascii="宋体"/>
                <w:sz w:val="18"/>
              </w:rPr>
              <w:t>11.00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866"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70" w:right="0"/>
              <w:jc w:val="left"/>
              <w:rPr>
                <w:rFonts w:ascii="宋体" w:hAnsi="宋体" w:cs="宋体" w:eastAsia="宋体" w:hint="default"/>
                <w:sz w:val="18"/>
                <w:szCs w:val="18"/>
              </w:rPr>
            </w:pPr>
            <w:r>
              <w:rPr>
                <w:rFonts w:ascii="宋体"/>
                <w:sz w:val="18"/>
              </w:rPr>
              <w:t>3,621,518,7</w:t>
            </w:r>
          </w:p>
          <w:p>
            <w:pPr>
              <w:pStyle w:val="TableParagraph"/>
              <w:spacing w:line="234" w:lineRule="exact"/>
              <w:ind w:left="710" w:right="0"/>
              <w:jc w:val="left"/>
              <w:rPr>
                <w:rFonts w:ascii="宋体" w:hAnsi="宋体" w:cs="宋体" w:eastAsia="宋体" w:hint="default"/>
                <w:sz w:val="18"/>
                <w:szCs w:val="18"/>
              </w:rPr>
            </w:pPr>
            <w:r>
              <w:rPr>
                <w:rFonts w:ascii="宋体"/>
                <w:sz w:val="18"/>
              </w:rPr>
              <w:t>80.29</w:t>
            </w:r>
          </w:p>
        </w:tc>
        <w:tc>
          <w:tcPr>
            <w:tcW w:w="85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17" w:right="0"/>
              <w:jc w:val="left"/>
              <w:rPr>
                <w:rFonts w:ascii="宋体" w:hAnsi="宋体" w:cs="宋体" w:eastAsia="宋体" w:hint="default"/>
                <w:sz w:val="18"/>
                <w:szCs w:val="18"/>
              </w:rPr>
            </w:pPr>
            <w:r>
              <w:rPr>
                <w:rFonts w:ascii="宋体"/>
                <w:sz w:val="18"/>
              </w:rPr>
              <w:t>-9,969,578</w:t>
            </w:r>
          </w:p>
          <w:p>
            <w:pPr>
              <w:pStyle w:val="TableParagraph"/>
              <w:spacing w:line="234" w:lineRule="exact"/>
              <w:ind w:left="746" w:right="0"/>
              <w:jc w:val="left"/>
              <w:rPr>
                <w:rFonts w:ascii="宋体" w:hAnsi="宋体" w:cs="宋体" w:eastAsia="宋体" w:hint="default"/>
                <w:sz w:val="18"/>
                <w:szCs w:val="18"/>
              </w:rPr>
            </w:pPr>
            <w:r>
              <w:rPr>
                <w:rFonts w:ascii="宋体"/>
                <w:sz w:val="18"/>
              </w:rPr>
              <w:t>.70</w:t>
            </w:r>
          </w:p>
        </w:tc>
        <w:tc>
          <w:tcPr>
            <w:tcW w:w="99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98"/>
              <w:jc w:val="right"/>
              <w:rPr>
                <w:rFonts w:ascii="宋体" w:hAnsi="宋体" w:cs="宋体" w:eastAsia="宋体" w:hint="default"/>
                <w:sz w:val="18"/>
                <w:szCs w:val="18"/>
              </w:rPr>
            </w:pPr>
            <w:r>
              <w:rPr>
                <w:rFonts w:ascii="宋体"/>
                <w:spacing w:val="-1"/>
                <w:sz w:val="18"/>
              </w:rPr>
              <w:t>303,012,680</w:t>
            </w:r>
          </w:p>
          <w:p>
            <w:pPr>
              <w:pStyle w:val="TableParagraph"/>
              <w:spacing w:line="234" w:lineRule="exact"/>
              <w:ind w:right="96"/>
              <w:jc w:val="right"/>
              <w:rPr>
                <w:rFonts w:ascii="宋体" w:hAnsi="宋体" w:cs="宋体" w:eastAsia="宋体" w:hint="default"/>
                <w:sz w:val="18"/>
                <w:szCs w:val="18"/>
              </w:rPr>
            </w:pPr>
            <w:r>
              <w:rPr>
                <w:rFonts w:ascii="宋体"/>
                <w:sz w:val="18"/>
              </w:rPr>
              <w:t>.77</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96"/>
              <w:jc w:val="right"/>
              <w:rPr>
                <w:rFonts w:ascii="宋体" w:hAnsi="宋体" w:cs="宋体" w:eastAsia="宋体" w:hint="default"/>
                <w:sz w:val="18"/>
                <w:szCs w:val="18"/>
              </w:rPr>
            </w:pPr>
            <w:r>
              <w:rPr>
                <w:rFonts w:ascii="宋体"/>
                <w:spacing w:val="-1"/>
                <w:sz w:val="18"/>
              </w:rPr>
              <w:t>4,586,690,393</w:t>
            </w:r>
          </w:p>
          <w:p>
            <w:pPr>
              <w:pStyle w:val="TableParagraph"/>
              <w:spacing w:line="234" w:lineRule="exact"/>
              <w:ind w:right="95"/>
              <w:jc w:val="right"/>
              <w:rPr>
                <w:rFonts w:ascii="宋体" w:hAnsi="宋体" w:cs="宋体" w:eastAsia="宋体" w:hint="default"/>
                <w:sz w:val="18"/>
                <w:szCs w:val="18"/>
              </w:rPr>
            </w:pPr>
            <w:r>
              <w:rPr>
                <w:rFonts w:ascii="宋体"/>
                <w:sz w:val="18"/>
              </w:rPr>
              <w:t>.36</w:t>
            </w:r>
          </w:p>
        </w:tc>
      </w:tr>
    </w:tbl>
    <w:p>
      <w:pPr>
        <w:spacing w:after="0" w:line="234" w:lineRule="exact"/>
        <w:jc w:val="right"/>
        <w:rPr>
          <w:rFonts w:ascii="宋体" w:hAnsi="宋体" w:cs="宋体" w:eastAsia="宋体" w:hint="default"/>
          <w:sz w:val="18"/>
          <w:szCs w:val="18"/>
        </w:rPr>
        <w:sectPr>
          <w:pgSz w:w="16840" w:h="11910" w:orient="landscape"/>
          <w:pgMar w:header="882" w:footer="1195" w:top="1120" w:bottom="1380" w:left="1360" w:right="1280"/>
        </w:sectPr>
      </w:pPr>
    </w:p>
    <w:p>
      <w:pPr>
        <w:spacing w:line="240" w:lineRule="auto" w:before="2"/>
        <w:rPr>
          <w:rFonts w:ascii="Times New Roman" w:hAnsi="Times New Roman" w:cs="Times New Roman" w:eastAsia="Times New Roman" w:hint="default"/>
          <w:sz w:val="13"/>
          <w:szCs w:val="13"/>
        </w:rPr>
      </w:pPr>
    </w:p>
    <w:tbl>
      <w:tblPr>
        <w:tblW w:w="0" w:type="auto"/>
        <w:jc w:val="left"/>
        <w:tblInd w:w="136" w:type="dxa"/>
        <w:tblLayout w:type="fixed"/>
        <w:tblCellMar>
          <w:top w:w="0" w:type="dxa"/>
          <w:left w:w="0" w:type="dxa"/>
          <w:bottom w:w="0" w:type="dxa"/>
          <w:right w:w="0" w:type="dxa"/>
        </w:tblCellMar>
        <w:tblLook w:val="01E0"/>
      </w:tblPr>
      <w:tblGrid>
        <w:gridCol w:w="2396"/>
        <w:gridCol w:w="1078"/>
        <w:gridCol w:w="1049"/>
        <w:gridCol w:w="866"/>
        <w:gridCol w:w="850"/>
        <w:gridCol w:w="1275"/>
        <w:gridCol w:w="852"/>
        <w:gridCol w:w="708"/>
        <w:gridCol w:w="1136"/>
        <w:gridCol w:w="991"/>
        <w:gridCol w:w="1277"/>
        <w:gridCol w:w="1428"/>
      </w:tblGrid>
      <w:tr>
        <w:trPr>
          <w:trHeight w:val="48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866"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98"/>
              <w:jc w:val="right"/>
              <w:rPr>
                <w:rFonts w:ascii="宋体" w:hAnsi="宋体" w:cs="宋体" w:eastAsia="宋体" w:hint="default"/>
                <w:sz w:val="18"/>
                <w:szCs w:val="18"/>
              </w:rPr>
            </w:pPr>
            <w:r>
              <w:rPr>
                <w:rFonts w:ascii="宋体"/>
                <w:spacing w:val="-1"/>
                <w:sz w:val="18"/>
              </w:rPr>
              <w:t>293,043,102</w:t>
            </w:r>
          </w:p>
          <w:p>
            <w:pPr>
              <w:pStyle w:val="TableParagraph"/>
              <w:spacing w:line="234" w:lineRule="exact"/>
              <w:ind w:right="96"/>
              <w:jc w:val="right"/>
              <w:rPr>
                <w:rFonts w:ascii="宋体" w:hAnsi="宋体" w:cs="宋体" w:eastAsia="宋体" w:hint="default"/>
                <w:sz w:val="18"/>
                <w:szCs w:val="18"/>
              </w:rPr>
            </w:pPr>
            <w:r>
              <w:rPr>
                <w:rFonts w:ascii="宋体"/>
                <w:sz w:val="18"/>
              </w:rPr>
              <w:t>.07</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96"/>
              <w:jc w:val="right"/>
              <w:rPr>
                <w:rFonts w:ascii="宋体" w:hAnsi="宋体" w:cs="宋体" w:eastAsia="宋体" w:hint="default"/>
                <w:sz w:val="18"/>
                <w:szCs w:val="18"/>
              </w:rPr>
            </w:pPr>
            <w:r>
              <w:rPr>
                <w:rFonts w:ascii="宋体"/>
                <w:spacing w:val="-1"/>
                <w:sz w:val="18"/>
              </w:rPr>
              <w:t>293,043,102.0</w:t>
            </w:r>
          </w:p>
          <w:p>
            <w:pPr>
              <w:pStyle w:val="TableParagraph"/>
              <w:spacing w:line="234" w:lineRule="exact"/>
              <w:ind w:right="97"/>
              <w:jc w:val="right"/>
              <w:rPr>
                <w:rFonts w:ascii="宋体" w:hAnsi="宋体" w:cs="宋体" w:eastAsia="宋体" w:hint="default"/>
                <w:sz w:val="18"/>
                <w:szCs w:val="18"/>
              </w:rPr>
            </w:pPr>
            <w:r>
              <w:rPr>
                <w:rFonts w:ascii="宋体"/>
                <w:sz w:val="18"/>
              </w:rPr>
              <w:t>7</w:t>
            </w: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1" w:right="0"/>
              <w:jc w:val="left"/>
              <w:rPr>
                <w:rFonts w:ascii="宋体" w:hAnsi="宋体" w:cs="宋体" w:eastAsia="宋体" w:hint="default"/>
                <w:sz w:val="18"/>
                <w:szCs w:val="18"/>
              </w:rPr>
            </w:pPr>
            <w:r>
              <w:rPr>
                <w:rFonts w:ascii="宋体" w:hAnsi="宋体" w:cs="宋体" w:eastAsia="宋体" w:hint="default"/>
                <w:sz w:val="18"/>
                <w:szCs w:val="18"/>
              </w:rPr>
              <w:t>（二）所有者投入和减少资</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6" w:lineRule="exact"/>
              <w:ind w:left="151" w:right="0"/>
              <w:jc w:val="left"/>
              <w:rPr>
                <w:rFonts w:ascii="宋体" w:hAnsi="宋体" w:cs="宋体" w:eastAsia="宋体" w:hint="default"/>
                <w:sz w:val="18"/>
                <w:szCs w:val="18"/>
              </w:rPr>
            </w:pPr>
            <w:r>
              <w:rPr>
                <w:rFonts w:ascii="宋体"/>
                <w:sz w:val="18"/>
              </w:rPr>
              <w:t>672,128,5</w:t>
            </w:r>
          </w:p>
          <w:p>
            <w:pPr>
              <w:pStyle w:val="TableParagraph"/>
              <w:spacing w:line="234" w:lineRule="exact"/>
              <w:ind w:left="511" w:right="0"/>
              <w:jc w:val="left"/>
              <w:rPr>
                <w:rFonts w:ascii="宋体" w:hAnsi="宋体" w:cs="宋体" w:eastAsia="宋体" w:hint="default"/>
                <w:sz w:val="18"/>
                <w:szCs w:val="18"/>
              </w:rPr>
            </w:pPr>
            <w:r>
              <w:rPr>
                <w:rFonts w:ascii="宋体"/>
                <w:sz w:val="18"/>
              </w:rPr>
              <w:t>11.00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866"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70" w:right="0"/>
              <w:jc w:val="left"/>
              <w:rPr>
                <w:rFonts w:ascii="宋体" w:hAnsi="宋体" w:cs="宋体" w:eastAsia="宋体" w:hint="default"/>
                <w:sz w:val="18"/>
                <w:szCs w:val="18"/>
              </w:rPr>
            </w:pPr>
            <w:r>
              <w:rPr>
                <w:rFonts w:ascii="宋体"/>
                <w:sz w:val="18"/>
              </w:rPr>
              <w:t>3,621,518,7</w:t>
            </w:r>
          </w:p>
          <w:p>
            <w:pPr>
              <w:pStyle w:val="TableParagraph"/>
              <w:spacing w:line="234" w:lineRule="exact"/>
              <w:ind w:left="710" w:right="0"/>
              <w:jc w:val="left"/>
              <w:rPr>
                <w:rFonts w:ascii="宋体" w:hAnsi="宋体" w:cs="宋体" w:eastAsia="宋体" w:hint="default"/>
                <w:sz w:val="18"/>
                <w:szCs w:val="18"/>
              </w:rPr>
            </w:pPr>
            <w:r>
              <w:rPr>
                <w:rFonts w:ascii="宋体"/>
                <w:sz w:val="18"/>
              </w:rPr>
              <w:t>80.29</w:t>
            </w:r>
          </w:p>
        </w:tc>
        <w:tc>
          <w:tcPr>
            <w:tcW w:w="85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6"/>
              <w:jc w:val="right"/>
              <w:rPr>
                <w:rFonts w:ascii="宋体" w:hAnsi="宋体" w:cs="宋体" w:eastAsia="宋体" w:hint="default"/>
                <w:sz w:val="18"/>
                <w:szCs w:val="18"/>
              </w:rPr>
            </w:pPr>
            <w:r>
              <w:rPr>
                <w:rFonts w:ascii="宋体"/>
                <w:spacing w:val="-1"/>
                <w:sz w:val="18"/>
              </w:rPr>
              <w:t>4,293,647,291</w:t>
            </w:r>
          </w:p>
          <w:p>
            <w:pPr>
              <w:pStyle w:val="TableParagraph"/>
              <w:spacing w:line="234" w:lineRule="exact"/>
              <w:ind w:right="95"/>
              <w:jc w:val="right"/>
              <w:rPr>
                <w:rFonts w:ascii="宋体" w:hAnsi="宋体" w:cs="宋体" w:eastAsia="宋体" w:hint="default"/>
                <w:sz w:val="18"/>
                <w:szCs w:val="18"/>
              </w:rPr>
            </w:pPr>
            <w:r>
              <w:rPr>
                <w:rFonts w:ascii="宋体"/>
                <w:sz w:val="18"/>
              </w:rPr>
              <w:t>.29</w:t>
            </w: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51" w:right="0"/>
              <w:jc w:val="left"/>
              <w:rPr>
                <w:rFonts w:ascii="宋体" w:hAnsi="宋体" w:cs="宋体" w:eastAsia="宋体" w:hint="default"/>
                <w:sz w:val="18"/>
                <w:szCs w:val="18"/>
              </w:rPr>
            </w:pPr>
            <w:r>
              <w:rPr>
                <w:rFonts w:ascii="宋体"/>
                <w:sz w:val="18"/>
              </w:rPr>
              <w:t>672,128,5</w:t>
            </w:r>
          </w:p>
          <w:p>
            <w:pPr>
              <w:pStyle w:val="TableParagraph"/>
              <w:spacing w:line="240" w:lineRule="auto"/>
              <w:ind w:left="511" w:right="0"/>
              <w:jc w:val="left"/>
              <w:rPr>
                <w:rFonts w:ascii="宋体" w:hAnsi="宋体" w:cs="宋体" w:eastAsia="宋体" w:hint="default"/>
                <w:sz w:val="18"/>
                <w:szCs w:val="18"/>
              </w:rPr>
            </w:pPr>
            <w:r>
              <w:rPr>
                <w:rFonts w:ascii="宋体"/>
                <w:sz w:val="18"/>
              </w:rPr>
              <w:t>11.00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866"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70" w:right="0"/>
              <w:jc w:val="left"/>
              <w:rPr>
                <w:rFonts w:ascii="宋体" w:hAnsi="宋体" w:cs="宋体" w:eastAsia="宋体" w:hint="default"/>
                <w:sz w:val="18"/>
                <w:szCs w:val="18"/>
              </w:rPr>
            </w:pPr>
            <w:r>
              <w:rPr>
                <w:rFonts w:ascii="宋体"/>
                <w:sz w:val="18"/>
              </w:rPr>
              <w:t>3,621,518,7</w:t>
            </w:r>
          </w:p>
          <w:p>
            <w:pPr>
              <w:pStyle w:val="TableParagraph"/>
              <w:spacing w:line="240" w:lineRule="auto"/>
              <w:ind w:left="710" w:right="0"/>
              <w:jc w:val="left"/>
              <w:rPr>
                <w:rFonts w:ascii="宋体" w:hAnsi="宋体" w:cs="宋体" w:eastAsia="宋体" w:hint="default"/>
                <w:sz w:val="18"/>
                <w:szCs w:val="18"/>
              </w:rPr>
            </w:pPr>
            <w:r>
              <w:rPr>
                <w:rFonts w:ascii="宋体"/>
                <w:sz w:val="18"/>
              </w:rPr>
              <w:t>80.29</w:t>
            </w:r>
          </w:p>
        </w:tc>
        <w:tc>
          <w:tcPr>
            <w:tcW w:w="85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4,293,647,291</w:t>
            </w:r>
          </w:p>
          <w:p>
            <w:pPr>
              <w:pStyle w:val="TableParagraph"/>
              <w:spacing w:line="240" w:lineRule="auto"/>
              <w:ind w:right="95"/>
              <w:jc w:val="right"/>
              <w:rPr>
                <w:rFonts w:ascii="宋体" w:hAnsi="宋体" w:cs="宋体" w:eastAsia="宋体" w:hint="default"/>
                <w:sz w:val="18"/>
                <w:szCs w:val="18"/>
              </w:rPr>
            </w:pPr>
            <w:r>
              <w:rPr>
                <w:rFonts w:ascii="宋体"/>
                <w:sz w:val="18"/>
              </w:rPr>
              <w:t>.29</w:t>
            </w: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1"/>
                <w:sz w:val="18"/>
                <w:szCs w:val="18"/>
              </w:rPr>
              <w:t>2</w:t>
            </w:r>
            <w:r>
              <w:rPr>
                <w:rFonts w:ascii="宋体" w:hAnsi="宋体" w:cs="宋体" w:eastAsia="宋体" w:hint="default"/>
                <w:spacing w:val="-72"/>
                <w:sz w:val="18"/>
                <w:szCs w:val="18"/>
              </w:rPr>
              <w:t>．</w:t>
            </w:r>
            <w:r>
              <w:rPr>
                <w:rFonts w:ascii="宋体" w:hAnsi="宋体" w:cs="宋体" w:eastAsia="宋体" w:hint="default"/>
                <w:sz w:val="18"/>
                <w:szCs w:val="18"/>
              </w:rPr>
              <w:t>其他权益工具持有者投入</w:t>
            </w: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866"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1" w:right="0"/>
              <w:jc w:val="left"/>
              <w:rPr>
                <w:rFonts w:ascii="宋体" w:hAnsi="宋体" w:cs="宋体" w:eastAsia="宋体" w:hint="default"/>
                <w:sz w:val="18"/>
                <w:szCs w:val="18"/>
              </w:rPr>
            </w:pPr>
            <w:r>
              <w:rPr>
                <w:rFonts w:ascii="宋体" w:hAnsi="宋体" w:cs="宋体" w:eastAsia="宋体" w:hint="default"/>
                <w:spacing w:val="1"/>
                <w:sz w:val="18"/>
                <w:szCs w:val="18"/>
              </w:rPr>
              <w:t>3</w:t>
            </w:r>
            <w:r>
              <w:rPr>
                <w:rFonts w:ascii="宋体" w:hAnsi="宋体" w:cs="宋体" w:eastAsia="宋体" w:hint="default"/>
                <w:spacing w:val="-72"/>
                <w:sz w:val="18"/>
                <w:szCs w:val="18"/>
              </w:rPr>
              <w:t>．</w:t>
            </w:r>
            <w:r>
              <w:rPr>
                <w:rFonts w:ascii="宋体" w:hAnsi="宋体" w:cs="宋体" w:eastAsia="宋体" w:hint="default"/>
                <w:sz w:val="18"/>
                <w:szCs w:val="18"/>
              </w:rPr>
              <w:t>股份支付计入所有者权益</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的金额</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866"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866"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866"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866"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6"/>
                <w:sz w:val="18"/>
                <w:szCs w:val="18"/>
              </w:rPr>
              <w:t>2</w:t>
            </w:r>
            <w:r>
              <w:rPr>
                <w:rFonts w:ascii="宋体" w:hAnsi="宋体" w:cs="宋体" w:eastAsia="宋体" w:hint="default"/>
                <w:spacing w:val="-6"/>
                <w:sz w:val="18"/>
                <w:szCs w:val="18"/>
              </w:rPr>
              <w:t>．对所有者（或股东）的分</w:t>
            </w: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配</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866"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866"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1"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866"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1" w:right="0"/>
              <w:jc w:val="left"/>
              <w:rPr>
                <w:rFonts w:ascii="宋体" w:hAnsi="宋体" w:cs="宋体" w:eastAsia="宋体" w:hint="default"/>
                <w:sz w:val="18"/>
                <w:szCs w:val="18"/>
              </w:rPr>
            </w:pPr>
            <w:r>
              <w:rPr>
                <w:rFonts w:ascii="宋体" w:hAnsi="宋体" w:cs="宋体" w:eastAsia="宋体" w:hint="default"/>
                <w:spacing w:val="-6"/>
                <w:sz w:val="18"/>
                <w:szCs w:val="18"/>
              </w:rPr>
              <w:t>1</w:t>
            </w:r>
            <w:r>
              <w:rPr>
                <w:rFonts w:ascii="宋体" w:hAnsi="宋体" w:cs="宋体" w:eastAsia="宋体" w:hint="default"/>
                <w:spacing w:val="-6"/>
                <w:sz w:val="18"/>
                <w:szCs w:val="18"/>
              </w:rPr>
              <w:t>．资本公积转增资本（或股</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866"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r>
      <w:tr>
        <w:trPr>
          <w:trHeight w:val="48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1" w:right="0"/>
              <w:jc w:val="left"/>
              <w:rPr>
                <w:rFonts w:ascii="宋体" w:hAnsi="宋体" w:cs="宋体" w:eastAsia="宋体" w:hint="default"/>
                <w:sz w:val="18"/>
                <w:szCs w:val="18"/>
              </w:rPr>
            </w:pPr>
            <w:r>
              <w:rPr>
                <w:rFonts w:ascii="宋体" w:hAnsi="宋体" w:cs="宋体" w:eastAsia="宋体" w:hint="default"/>
                <w:spacing w:val="-6"/>
                <w:sz w:val="18"/>
                <w:szCs w:val="18"/>
              </w:rPr>
              <w:t>2</w:t>
            </w:r>
            <w:r>
              <w:rPr>
                <w:rFonts w:ascii="宋体" w:hAnsi="宋体" w:cs="宋体" w:eastAsia="宋体" w:hint="default"/>
                <w:spacing w:val="-6"/>
                <w:sz w:val="18"/>
                <w:szCs w:val="18"/>
              </w:rPr>
              <w:t>．盈余公积转增资本（或股</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866"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866"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866"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9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866"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866"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866"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866"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7" w:right="0"/>
              <w:jc w:val="left"/>
              <w:rPr>
                <w:rFonts w:ascii="宋体" w:hAnsi="宋体" w:cs="宋体" w:eastAsia="宋体" w:hint="default"/>
                <w:sz w:val="18"/>
                <w:szCs w:val="18"/>
              </w:rPr>
            </w:pPr>
            <w:r>
              <w:rPr>
                <w:rFonts w:ascii="宋体"/>
                <w:sz w:val="18"/>
              </w:rPr>
              <w:t>-9,969,578</w:t>
            </w:r>
          </w:p>
          <w:p>
            <w:pPr>
              <w:pStyle w:val="TableParagraph"/>
              <w:spacing w:line="240" w:lineRule="auto"/>
              <w:ind w:left="746" w:right="0"/>
              <w:jc w:val="left"/>
              <w:rPr>
                <w:rFonts w:ascii="宋体" w:hAnsi="宋体" w:cs="宋体" w:eastAsia="宋体" w:hint="default"/>
                <w:sz w:val="18"/>
                <w:szCs w:val="18"/>
              </w:rPr>
            </w:pPr>
            <w:r>
              <w:rPr>
                <w:rFonts w:ascii="宋体"/>
                <w:sz w:val="18"/>
              </w:rPr>
              <w:t>.70</w:t>
            </w:r>
          </w:p>
        </w:tc>
        <w:tc>
          <w:tcPr>
            <w:tcW w:w="99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9,969,578.7</w:t>
            </w: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1428"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4" w:lineRule="exact"/>
              <w:ind w:left="47" w:right="0"/>
              <w:jc w:val="center"/>
              <w:rPr>
                <w:rFonts w:ascii="宋体" w:hAnsi="宋体" w:cs="宋体" w:eastAsia="宋体" w:hint="default"/>
                <w:sz w:val="18"/>
                <w:szCs w:val="18"/>
              </w:rPr>
            </w:pPr>
            <w:r>
              <w:rPr>
                <w:rFonts w:ascii="宋体"/>
                <w:sz w:val="18"/>
              </w:rPr>
              <w:t>1,062,128</w:t>
            </w:r>
          </w:p>
          <w:p>
            <w:pPr>
              <w:pStyle w:val="TableParagraph"/>
              <w:spacing w:line="234" w:lineRule="exact"/>
              <w:ind w:left="228" w:right="0"/>
              <w:jc w:val="center"/>
              <w:rPr>
                <w:rFonts w:ascii="宋体" w:hAnsi="宋体" w:cs="宋体" w:eastAsia="宋体" w:hint="default"/>
                <w:sz w:val="18"/>
                <w:szCs w:val="18"/>
              </w:rPr>
            </w:pPr>
            <w:r>
              <w:rPr>
                <w:rFonts w:ascii="宋体"/>
                <w:sz w:val="18"/>
              </w:rPr>
              <w:t>,511.00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866"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70" w:right="0"/>
              <w:jc w:val="left"/>
              <w:rPr>
                <w:rFonts w:ascii="宋体" w:hAnsi="宋体" w:cs="宋体" w:eastAsia="宋体" w:hint="default"/>
                <w:sz w:val="18"/>
                <w:szCs w:val="18"/>
              </w:rPr>
            </w:pPr>
            <w:r>
              <w:rPr>
                <w:rFonts w:ascii="宋体"/>
                <w:sz w:val="18"/>
              </w:rPr>
              <w:t>3,947,156,1</w:t>
            </w:r>
          </w:p>
          <w:p>
            <w:pPr>
              <w:pStyle w:val="TableParagraph"/>
              <w:spacing w:line="234" w:lineRule="exact"/>
              <w:ind w:left="710" w:right="0"/>
              <w:jc w:val="left"/>
              <w:rPr>
                <w:rFonts w:ascii="宋体" w:hAnsi="宋体" w:cs="宋体" w:eastAsia="宋体" w:hint="default"/>
                <w:sz w:val="18"/>
                <w:szCs w:val="18"/>
              </w:rPr>
            </w:pPr>
            <w:r>
              <w:rPr>
                <w:rFonts w:ascii="宋体"/>
                <w:sz w:val="18"/>
              </w:rPr>
              <w:t>19.85</w:t>
            </w:r>
          </w:p>
        </w:tc>
        <w:tc>
          <w:tcPr>
            <w:tcW w:w="85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58" w:right="0"/>
              <w:jc w:val="left"/>
              <w:rPr>
                <w:rFonts w:ascii="宋体" w:hAnsi="宋体" w:cs="宋体" w:eastAsia="宋体" w:hint="default"/>
                <w:sz w:val="18"/>
                <w:szCs w:val="18"/>
              </w:rPr>
            </w:pPr>
            <w:r>
              <w:rPr>
                <w:rFonts w:ascii="宋体"/>
                <w:sz w:val="18"/>
              </w:rPr>
              <w:t>28,067,4</w:t>
            </w:r>
          </w:p>
          <w:p>
            <w:pPr>
              <w:pStyle w:val="TableParagraph"/>
              <w:spacing w:line="234" w:lineRule="exact"/>
              <w:ind w:left="427" w:right="0"/>
              <w:jc w:val="left"/>
              <w:rPr>
                <w:rFonts w:ascii="宋体" w:hAnsi="宋体" w:cs="宋体" w:eastAsia="宋体" w:hint="default"/>
                <w:sz w:val="18"/>
                <w:szCs w:val="18"/>
              </w:rPr>
            </w:pPr>
            <w:r>
              <w:rPr>
                <w:rFonts w:ascii="宋体"/>
                <w:sz w:val="18"/>
              </w:rPr>
              <w:t>60.06</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70" w:right="0"/>
              <w:jc w:val="left"/>
              <w:rPr>
                <w:rFonts w:ascii="宋体" w:hAnsi="宋体" w:cs="宋体" w:eastAsia="宋体" w:hint="default"/>
                <w:sz w:val="18"/>
                <w:szCs w:val="18"/>
              </w:rPr>
            </w:pPr>
            <w:r>
              <w:rPr>
                <w:rFonts w:ascii="宋体"/>
                <w:sz w:val="18"/>
              </w:rPr>
              <w:t>-728,187,44</w:t>
            </w:r>
          </w:p>
          <w:p>
            <w:pPr>
              <w:pStyle w:val="TableParagraph"/>
              <w:spacing w:line="234" w:lineRule="exact"/>
              <w:ind w:left="801" w:right="0"/>
              <w:jc w:val="left"/>
              <w:rPr>
                <w:rFonts w:ascii="宋体" w:hAnsi="宋体" w:cs="宋体" w:eastAsia="宋体" w:hint="default"/>
                <w:sz w:val="18"/>
                <w:szCs w:val="18"/>
              </w:rPr>
            </w:pPr>
            <w:r>
              <w:rPr>
                <w:rFonts w:ascii="宋体"/>
                <w:sz w:val="18"/>
              </w:rPr>
              <w:t>8.95</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96"/>
              <w:jc w:val="right"/>
              <w:rPr>
                <w:rFonts w:ascii="宋体" w:hAnsi="宋体" w:cs="宋体" w:eastAsia="宋体" w:hint="default"/>
                <w:sz w:val="18"/>
                <w:szCs w:val="18"/>
              </w:rPr>
            </w:pPr>
            <w:r>
              <w:rPr>
                <w:rFonts w:ascii="宋体"/>
                <w:spacing w:val="-1"/>
                <w:sz w:val="18"/>
              </w:rPr>
              <w:t>4,309,164,641</w:t>
            </w:r>
          </w:p>
          <w:p>
            <w:pPr>
              <w:pStyle w:val="TableParagraph"/>
              <w:spacing w:line="234" w:lineRule="exact"/>
              <w:ind w:right="95"/>
              <w:jc w:val="right"/>
              <w:rPr>
                <w:rFonts w:ascii="宋体" w:hAnsi="宋体" w:cs="宋体" w:eastAsia="宋体" w:hint="default"/>
                <w:sz w:val="18"/>
                <w:szCs w:val="18"/>
              </w:rPr>
            </w:pPr>
            <w:r>
              <w:rPr>
                <w:rFonts w:ascii="宋体"/>
                <w:sz w:val="18"/>
              </w:rPr>
              <w:t>.96</w:t>
            </w:r>
          </w:p>
        </w:tc>
      </w:tr>
    </w:tbl>
    <w:p>
      <w:pPr>
        <w:spacing w:line="240" w:lineRule="auto" w:before="6"/>
        <w:rPr>
          <w:rFonts w:ascii="Times New Roman" w:hAnsi="Times New Roman" w:cs="Times New Roman" w:eastAsia="Times New Roman" w:hint="default"/>
          <w:sz w:val="17"/>
          <w:szCs w:val="17"/>
        </w:rPr>
      </w:pPr>
    </w:p>
    <w:p>
      <w:pPr>
        <w:pStyle w:val="BodyText"/>
        <w:tabs>
          <w:tab w:pos="2664" w:val="left" w:leader="none"/>
          <w:tab w:pos="5710" w:val="left" w:leader="none"/>
        </w:tabs>
        <w:spacing w:line="240" w:lineRule="auto" w:before="36"/>
        <w:ind w:left="144" w:right="0"/>
        <w:jc w:val="left"/>
      </w:pPr>
      <w:r>
        <w:rPr>
          <w:spacing w:val="-1"/>
        </w:rPr>
        <w:t>法定代表人：郭东圣</w:t>
        <w:tab/>
      </w:r>
      <w:r>
        <w:rPr>
          <w:spacing w:val="-2"/>
        </w:rPr>
        <w:t>主管会计工作负责人：李良海</w:t>
        <w:tab/>
        <w:t>会计机构负责人：郑清勇</w:t>
      </w:r>
    </w:p>
    <w:p>
      <w:pPr>
        <w:spacing w:after="0" w:line="240" w:lineRule="auto"/>
        <w:jc w:val="left"/>
        <w:sectPr>
          <w:pgSz w:w="16840" w:h="11910" w:orient="landscape"/>
          <w:pgMar w:header="882" w:footer="1195" w:top="1120" w:bottom="1380" w:left="1380" w:right="1280"/>
        </w:sectPr>
      </w:pPr>
    </w:p>
    <w:p>
      <w:pPr>
        <w:spacing w:line="240" w:lineRule="auto" w:before="9"/>
        <w:rPr>
          <w:rFonts w:ascii="宋体" w:hAnsi="宋体" w:cs="宋体" w:eastAsia="宋体" w:hint="default"/>
          <w:sz w:val="29"/>
          <w:szCs w:val="29"/>
        </w:rPr>
      </w:pPr>
    </w:p>
    <w:p>
      <w:pPr>
        <w:pStyle w:val="Heading2"/>
        <w:tabs>
          <w:tab w:pos="557" w:val="left" w:leader="none"/>
        </w:tabs>
        <w:spacing w:line="290" w:lineRule="auto" w:before="36"/>
        <w:ind w:left="138" w:right="7274"/>
        <w:jc w:val="left"/>
        <w:rPr>
          <w:b w:val="0"/>
          <w:bCs w:val="0"/>
        </w:rPr>
      </w:pPr>
      <w:r>
        <w:rPr/>
        <w:t>三、公司基本情况</w:t>
      </w:r>
      <w:r>
        <w:rPr>
          <w:spacing w:val="-101"/>
        </w:rPr>
        <w:t> </w:t>
      </w:r>
      <w:r>
        <w:rPr>
          <w:spacing w:val="-101"/>
        </w:rPr>
      </w:r>
      <w:r>
        <w:rPr>
          <w:rFonts w:ascii="宋体" w:hAnsi="宋体" w:cs="宋体" w:eastAsia="宋体" w:hint="default"/>
          <w:w w:val="95"/>
        </w:rPr>
        <w:t>1.</w:t>
        <w:tab/>
      </w:r>
      <w:r>
        <w:rPr/>
        <w:t>公司概况</w:t>
      </w:r>
      <w:r>
        <w:rPr>
          <w:b w:val="0"/>
          <w:bCs w:val="0"/>
        </w:rPr>
      </w:r>
    </w:p>
    <w:p>
      <w:pPr>
        <w:pStyle w:val="BodyText"/>
        <w:spacing w:line="240" w:lineRule="auto" w:before="12"/>
        <w:ind w:left="558" w:right="120" w:hanging="420"/>
        <w:jc w:val="left"/>
      </w:pPr>
      <w:r>
        <w:rPr/>
        <w:t>√适用</w:t>
      </w:r>
      <w:r>
        <w:rPr>
          <w:spacing w:val="-2"/>
        </w:rPr>
        <w:t> </w:t>
      </w:r>
      <w:r>
        <w:rPr/>
        <w:t>□不适用</w:t>
      </w:r>
      <w:r>
        <w:rPr>
          <w:w w:val="100"/>
        </w:rPr>
        <w:t> </w:t>
      </w:r>
      <w:r>
        <w:rPr>
          <w:spacing w:val="-11"/>
          <w:w w:val="100"/>
        </w:rPr>
        <w:t>安通控股股份有限公司（原名“黑龙江黑化股份有限公司”，以下简称“本公司”、“公司”）</w:t>
      </w:r>
    </w:p>
    <w:p>
      <w:pPr>
        <w:pStyle w:val="BodyText"/>
        <w:spacing w:line="355" w:lineRule="auto" w:before="133"/>
        <w:ind w:left="138" w:right="125"/>
        <w:jc w:val="left"/>
      </w:pPr>
      <w:r>
        <w:rPr/>
        <w:t>系于</w:t>
      </w:r>
      <w:r>
        <w:rPr>
          <w:spacing w:val="14"/>
        </w:rPr>
        <w:t> </w:t>
      </w:r>
      <w:r>
        <w:rPr>
          <w:rFonts w:ascii="宋体" w:hAnsi="宋体" w:cs="宋体" w:eastAsia="宋体" w:hint="default"/>
        </w:rPr>
        <w:t>1998</w:t>
      </w:r>
      <w:r>
        <w:rPr>
          <w:rFonts w:ascii="宋体" w:hAnsi="宋体" w:cs="宋体" w:eastAsia="宋体" w:hint="default"/>
          <w:spacing w:val="11"/>
        </w:rPr>
        <w:t> </w:t>
      </w:r>
      <w:r>
        <w:rPr/>
        <w:t>年</w:t>
      </w:r>
      <w:r>
        <w:rPr>
          <w:spacing w:val="14"/>
        </w:rPr>
        <w:t> </w:t>
      </w:r>
      <w:r>
        <w:rPr>
          <w:rFonts w:ascii="宋体" w:hAnsi="宋体" w:cs="宋体" w:eastAsia="宋体" w:hint="default"/>
        </w:rPr>
        <w:t>10</w:t>
      </w:r>
      <w:r>
        <w:rPr>
          <w:rFonts w:ascii="宋体" w:hAnsi="宋体" w:cs="宋体" w:eastAsia="宋体" w:hint="default"/>
          <w:spacing w:val="-46"/>
        </w:rPr>
        <w:t> </w:t>
      </w:r>
      <w:r>
        <w:rPr>
          <w:spacing w:val="-3"/>
        </w:rPr>
        <w:t>月经黑龙江省人民政府黑政函（</w:t>
      </w:r>
      <w:r>
        <w:rPr>
          <w:rFonts w:ascii="宋体" w:hAnsi="宋体" w:cs="宋体" w:eastAsia="宋体" w:hint="default"/>
          <w:spacing w:val="-3"/>
        </w:rPr>
        <w:t>1998</w:t>
      </w:r>
      <w:r>
        <w:rPr>
          <w:spacing w:val="-3"/>
        </w:rPr>
        <w:t>）</w:t>
      </w:r>
      <w:r>
        <w:rPr>
          <w:rFonts w:ascii="宋体" w:hAnsi="宋体" w:cs="宋体" w:eastAsia="宋体" w:hint="default"/>
          <w:spacing w:val="-3"/>
        </w:rPr>
        <w:t>57</w:t>
      </w:r>
      <w:r>
        <w:rPr>
          <w:rFonts w:ascii="宋体" w:hAnsi="宋体" w:cs="宋体" w:eastAsia="宋体" w:hint="default"/>
          <w:spacing w:val="11"/>
        </w:rPr>
        <w:t> </w:t>
      </w:r>
      <w:r>
        <w:rPr>
          <w:spacing w:val="-3"/>
        </w:rPr>
        <w:t>号文批准，由黑龙江黑化集团有限公</w:t>
      </w:r>
      <w:r>
        <w:rPr>
          <w:spacing w:val="-103"/>
        </w:rPr>
        <w:t> </w:t>
      </w:r>
      <w:r>
        <w:rPr>
          <w:spacing w:val="-103"/>
        </w:rPr>
      </w:r>
      <w:r>
        <w:rPr/>
        <w:t>司作为独家发起人，以募集方式设立的股份有限公司。</w:t>
      </w:r>
    </w:p>
    <w:p>
      <w:pPr>
        <w:pStyle w:val="BodyText"/>
        <w:spacing w:line="357" w:lineRule="auto" w:before="32"/>
        <w:ind w:left="138" w:right="127" w:firstLine="419"/>
        <w:jc w:val="both"/>
      </w:pPr>
      <w:r>
        <w:rPr>
          <w:spacing w:val="-1"/>
          <w:w w:val="100"/>
        </w:rPr>
        <w:t>经中国证券监督管理委员会证监发字</w:t>
      </w:r>
      <w:r>
        <w:rPr>
          <w:rFonts w:ascii="宋体" w:hAnsi="宋体" w:cs="宋体" w:eastAsia="宋体" w:hint="default"/>
          <w:spacing w:val="-1"/>
          <w:w w:val="100"/>
        </w:rPr>
        <w:t>(1998)241</w:t>
      </w:r>
      <w:r>
        <w:rPr>
          <w:rFonts w:ascii="宋体" w:hAnsi="宋体" w:cs="宋体" w:eastAsia="宋体" w:hint="default"/>
          <w:spacing w:val="-69"/>
          <w:w w:val="100"/>
        </w:rPr>
        <w:t> </w:t>
      </w:r>
      <w:r>
        <w:rPr>
          <w:spacing w:val="-1"/>
          <w:w w:val="100"/>
        </w:rPr>
        <w:t>号和证监发字</w:t>
      </w:r>
      <w:r>
        <w:rPr>
          <w:rFonts w:ascii="宋体" w:hAnsi="宋体" w:cs="宋体" w:eastAsia="宋体" w:hint="default"/>
          <w:spacing w:val="-1"/>
          <w:w w:val="100"/>
        </w:rPr>
        <w:t>(1998)242</w:t>
      </w:r>
      <w:r>
        <w:rPr>
          <w:rFonts w:ascii="宋体" w:hAnsi="宋体" w:cs="宋体" w:eastAsia="宋体" w:hint="default"/>
          <w:spacing w:val="-67"/>
          <w:w w:val="100"/>
        </w:rPr>
        <w:t> </w:t>
      </w:r>
      <w:r>
        <w:rPr>
          <w:spacing w:val="-16"/>
          <w:w w:val="100"/>
        </w:rPr>
        <w:t>号批准，公司于</w:t>
      </w:r>
      <w:r>
        <w:rPr>
          <w:spacing w:val="-69"/>
          <w:w w:val="100"/>
        </w:rPr>
        <w:t> </w:t>
      </w:r>
      <w:r>
        <w:rPr>
          <w:rFonts w:ascii="宋体" w:hAnsi="宋体" w:cs="宋体" w:eastAsia="宋体" w:hint="default"/>
          <w:spacing w:val="-1"/>
          <w:w w:val="100"/>
        </w:rPr>
        <w:t>1998</w:t>
      </w:r>
      <w:r>
        <w:rPr>
          <w:rFonts w:ascii="宋体" w:hAnsi="宋体" w:cs="宋体" w:eastAsia="宋体" w:hint="default"/>
          <w:w w:val="100"/>
        </w:rPr>
        <w:t> </w:t>
      </w:r>
      <w:r>
        <w:rPr/>
        <w:t>年</w:t>
      </w:r>
      <w:r>
        <w:rPr>
          <w:spacing w:val="-50"/>
        </w:rPr>
        <w:t> </w:t>
      </w:r>
      <w:r>
        <w:rPr>
          <w:rFonts w:ascii="宋体" w:hAnsi="宋体" w:cs="宋体" w:eastAsia="宋体" w:hint="default"/>
        </w:rPr>
        <w:t>9</w:t>
      </w:r>
      <w:r>
        <w:rPr>
          <w:rFonts w:ascii="宋体" w:hAnsi="宋体" w:cs="宋体" w:eastAsia="宋体" w:hint="default"/>
          <w:spacing w:val="-52"/>
        </w:rPr>
        <w:t> </w:t>
      </w:r>
      <w:r>
        <w:rPr/>
        <w:t>月</w:t>
      </w:r>
      <w:r>
        <w:rPr>
          <w:spacing w:val="-50"/>
        </w:rPr>
        <w:t> </w:t>
      </w:r>
      <w:r>
        <w:rPr>
          <w:rFonts w:ascii="宋体" w:hAnsi="宋体" w:cs="宋体" w:eastAsia="宋体" w:hint="default"/>
        </w:rPr>
        <w:t>22</w:t>
      </w:r>
      <w:r>
        <w:rPr>
          <w:rFonts w:ascii="宋体" w:hAnsi="宋体" w:cs="宋体" w:eastAsia="宋体" w:hint="default"/>
          <w:spacing w:val="-52"/>
        </w:rPr>
        <w:t> </w:t>
      </w:r>
      <w:r>
        <w:rPr/>
        <w:t>日向社会公开发行人民币普通股</w:t>
      </w:r>
      <w:r>
        <w:rPr>
          <w:spacing w:val="-50"/>
        </w:rPr>
        <w:t> </w:t>
      </w:r>
      <w:r>
        <w:rPr>
          <w:rFonts w:ascii="宋体" w:hAnsi="宋体" w:cs="宋体" w:eastAsia="宋体" w:hint="default"/>
        </w:rPr>
        <w:t>10,000</w:t>
      </w:r>
      <w:r>
        <w:rPr>
          <w:rFonts w:ascii="宋体" w:hAnsi="宋体" w:cs="宋体" w:eastAsia="宋体" w:hint="default"/>
          <w:spacing w:val="-52"/>
        </w:rPr>
        <w:t> </w:t>
      </w:r>
      <w:r>
        <w:rPr>
          <w:spacing w:val="-6"/>
        </w:rPr>
        <w:t>万股。发行后公司总股本为</w:t>
      </w:r>
      <w:r>
        <w:rPr>
          <w:spacing w:val="-50"/>
        </w:rPr>
        <w:t> </w:t>
      </w:r>
      <w:r>
        <w:rPr>
          <w:rFonts w:ascii="宋体" w:hAnsi="宋体" w:cs="宋体" w:eastAsia="宋体" w:hint="default"/>
        </w:rPr>
        <w:t>33,000</w:t>
      </w:r>
      <w:r>
        <w:rPr>
          <w:rFonts w:ascii="宋体" w:hAnsi="宋体" w:cs="宋体" w:eastAsia="宋体" w:hint="default"/>
          <w:spacing w:val="-52"/>
        </w:rPr>
        <w:t> </w:t>
      </w:r>
      <w:r>
        <w:rPr>
          <w:spacing w:val="-11"/>
        </w:rPr>
        <w:t>万股，其中</w:t>
      </w:r>
      <w:r>
        <w:rPr>
          <w:spacing w:val="-3"/>
          <w:w w:val="100"/>
        </w:rPr>
        <w:t> </w:t>
      </w:r>
      <w:r>
        <w:rPr/>
        <w:t>法人股</w:t>
      </w:r>
      <w:r>
        <w:rPr>
          <w:spacing w:val="-5"/>
        </w:rPr>
        <w:t> </w:t>
      </w:r>
      <w:r>
        <w:rPr>
          <w:rFonts w:ascii="宋体" w:hAnsi="宋体" w:cs="宋体" w:eastAsia="宋体" w:hint="default"/>
        </w:rPr>
        <w:t>23,000</w:t>
      </w:r>
      <w:r>
        <w:rPr>
          <w:rFonts w:ascii="宋体" w:hAnsi="宋体" w:cs="宋体" w:eastAsia="宋体" w:hint="default"/>
          <w:spacing w:val="-56"/>
        </w:rPr>
        <w:t> </w:t>
      </w:r>
      <w:r>
        <w:rPr/>
        <w:t>万股，占总股本的</w:t>
      </w:r>
      <w:r>
        <w:rPr>
          <w:spacing w:val="-54"/>
        </w:rPr>
        <w:t> </w:t>
      </w:r>
      <w:r>
        <w:rPr>
          <w:rFonts w:ascii="宋体" w:hAnsi="宋体" w:cs="宋体" w:eastAsia="宋体" w:hint="default"/>
        </w:rPr>
        <w:t>69.70%</w:t>
      </w:r>
      <w:r>
        <w:rPr/>
        <w:t>；社会公众股</w:t>
      </w:r>
      <w:r>
        <w:rPr>
          <w:spacing w:val="-55"/>
        </w:rPr>
        <w:t> </w:t>
      </w:r>
      <w:r>
        <w:rPr>
          <w:rFonts w:ascii="宋体" w:hAnsi="宋体" w:cs="宋体" w:eastAsia="宋体" w:hint="default"/>
        </w:rPr>
        <w:t>10,000</w:t>
      </w:r>
      <w:r>
        <w:rPr>
          <w:rFonts w:ascii="宋体" w:hAnsi="宋体" w:cs="宋体" w:eastAsia="宋体" w:hint="default"/>
          <w:spacing w:val="-55"/>
        </w:rPr>
        <w:t> </w:t>
      </w:r>
      <w:r>
        <w:rPr/>
        <w:t>万股，占总股本的</w:t>
      </w:r>
      <w:r>
        <w:rPr>
          <w:spacing w:val="-54"/>
        </w:rPr>
        <w:t> </w:t>
      </w:r>
      <w:r>
        <w:rPr>
          <w:rFonts w:ascii="宋体" w:hAnsi="宋体" w:cs="宋体" w:eastAsia="宋体" w:hint="default"/>
        </w:rPr>
        <w:t>30.30%</w:t>
      </w:r>
      <w:r>
        <w:rPr/>
        <w:t>。</w:t>
      </w:r>
    </w:p>
    <w:p>
      <w:pPr>
        <w:pStyle w:val="BodyText"/>
        <w:spacing w:line="240" w:lineRule="auto" w:before="31"/>
        <w:ind w:left="558" w:right="125"/>
        <w:jc w:val="left"/>
        <w:rPr>
          <w:rFonts w:ascii="宋体" w:hAnsi="宋体" w:cs="宋体" w:eastAsia="宋体" w:hint="default"/>
        </w:rPr>
      </w:pPr>
      <w:r>
        <w:rPr/>
        <w:t>根据公司</w:t>
      </w:r>
      <w:r>
        <w:rPr>
          <w:spacing w:val="-55"/>
        </w:rPr>
        <w:t> </w:t>
      </w:r>
      <w:r>
        <w:rPr>
          <w:rFonts w:ascii="宋体" w:hAnsi="宋体" w:cs="宋体" w:eastAsia="宋体" w:hint="default"/>
        </w:rPr>
        <w:t>2006</w:t>
      </w:r>
      <w:r>
        <w:rPr>
          <w:rFonts w:ascii="宋体" w:hAnsi="宋体" w:cs="宋体" w:eastAsia="宋体" w:hint="default"/>
          <w:spacing w:val="-57"/>
        </w:rPr>
        <w:t> </w:t>
      </w:r>
      <w:r>
        <w:rPr/>
        <w:t>年第一次临时股东大会通过的股权分置改革方案，公司流通股股东每持有</w:t>
      </w:r>
      <w:r>
        <w:rPr>
          <w:spacing w:val="-54"/>
        </w:rPr>
        <w:t> </w:t>
      </w:r>
      <w:r>
        <w:rPr>
          <w:rFonts w:ascii="宋体" w:hAnsi="宋体" w:cs="宋体" w:eastAsia="宋体" w:hint="default"/>
        </w:rPr>
        <w:t>10</w:t>
      </w:r>
    </w:p>
    <w:p>
      <w:pPr>
        <w:pStyle w:val="BodyText"/>
        <w:spacing w:line="240" w:lineRule="auto" w:before="133"/>
        <w:ind w:left="138" w:right="0"/>
        <w:jc w:val="both"/>
      </w:pPr>
      <w:r>
        <w:rPr/>
        <w:t>股流通股股份将获得由资本公积定向转增</w:t>
      </w:r>
      <w:r>
        <w:rPr>
          <w:spacing w:val="-55"/>
        </w:rPr>
        <w:t> </w:t>
      </w:r>
      <w:r>
        <w:rPr>
          <w:rFonts w:ascii="宋体" w:hAnsi="宋体" w:cs="宋体" w:eastAsia="宋体" w:hint="default"/>
        </w:rPr>
        <w:t>6</w:t>
      </w:r>
      <w:r>
        <w:rPr>
          <w:rFonts w:ascii="宋体" w:hAnsi="宋体" w:cs="宋体" w:eastAsia="宋体" w:hint="default"/>
          <w:spacing w:val="-55"/>
        </w:rPr>
        <w:t> </w:t>
      </w:r>
      <w:r>
        <w:rPr/>
        <w:t>股股份，共计转增</w:t>
      </w:r>
      <w:r>
        <w:rPr>
          <w:spacing w:val="-55"/>
        </w:rPr>
        <w:t> </w:t>
      </w:r>
      <w:r>
        <w:rPr>
          <w:rFonts w:ascii="宋体" w:hAnsi="宋体" w:cs="宋体" w:eastAsia="宋体" w:hint="default"/>
        </w:rPr>
        <w:t>6,000</w:t>
      </w:r>
      <w:r>
        <w:rPr>
          <w:rFonts w:ascii="宋体" w:hAnsi="宋体" w:cs="宋体" w:eastAsia="宋体" w:hint="default"/>
          <w:spacing w:val="-55"/>
        </w:rPr>
        <w:t> </w:t>
      </w:r>
      <w:r>
        <w:rPr/>
        <w:t>万股，作为非流通股获取流</w:t>
      </w:r>
    </w:p>
    <w:p>
      <w:pPr>
        <w:pStyle w:val="BodyText"/>
        <w:spacing w:line="240" w:lineRule="auto" w:before="135"/>
        <w:ind w:left="138" w:right="0"/>
        <w:jc w:val="both"/>
      </w:pPr>
      <w:r>
        <w:rPr/>
        <w:t>通权的对价，转增后公司总股本变更为</w:t>
      </w:r>
      <w:r>
        <w:rPr>
          <w:spacing w:val="-53"/>
        </w:rPr>
        <w:t> </w:t>
      </w:r>
      <w:r>
        <w:rPr>
          <w:rFonts w:ascii="宋体" w:hAnsi="宋体" w:cs="宋体" w:eastAsia="宋体" w:hint="default"/>
        </w:rPr>
        <w:t>39,000</w:t>
      </w:r>
      <w:r>
        <w:rPr>
          <w:rFonts w:ascii="宋体" w:hAnsi="宋体" w:cs="宋体" w:eastAsia="宋体" w:hint="default"/>
          <w:spacing w:val="-53"/>
        </w:rPr>
        <w:t> </w:t>
      </w:r>
      <w:r>
        <w:rPr>
          <w:spacing w:val="-3"/>
        </w:rPr>
        <w:t>万股。</w:t>
      </w:r>
      <w:r>
        <w:rPr/>
      </w:r>
    </w:p>
    <w:p>
      <w:pPr>
        <w:pStyle w:val="BodyText"/>
        <w:spacing w:line="355" w:lineRule="auto" w:before="133"/>
        <w:ind w:left="138" w:right="125" w:firstLine="419"/>
        <w:jc w:val="left"/>
        <w:rPr>
          <w:rFonts w:ascii="宋体" w:hAnsi="宋体" w:cs="宋体" w:eastAsia="宋体" w:hint="default"/>
        </w:rPr>
      </w:pPr>
      <w:r>
        <w:rPr>
          <w:spacing w:val="-1"/>
          <w:w w:val="100"/>
        </w:rPr>
        <w:t>根据公司</w:t>
      </w:r>
      <w:r>
        <w:rPr>
          <w:w w:val="100"/>
        </w:rPr>
        <w:t> </w:t>
      </w:r>
      <w:r>
        <w:rPr>
          <w:rFonts w:ascii="宋体" w:hAnsi="宋体" w:cs="宋体" w:eastAsia="宋体" w:hint="default"/>
          <w:spacing w:val="-1"/>
          <w:w w:val="100"/>
        </w:rPr>
        <w:t>2015</w:t>
      </w:r>
      <w:r>
        <w:rPr>
          <w:rFonts w:ascii="宋体" w:hAnsi="宋体" w:cs="宋体" w:eastAsia="宋体" w:hint="default"/>
          <w:spacing w:val="-82"/>
          <w:w w:val="100"/>
        </w:rPr>
        <w:t> </w:t>
      </w:r>
      <w:r>
        <w:rPr>
          <w:spacing w:val="-5"/>
          <w:w w:val="100"/>
        </w:rPr>
        <w:t>年第一次临时股东大会决议和修改后的章程规定，并经中国证券监督管理委员</w:t>
      </w:r>
      <w:r>
        <w:rPr>
          <w:w w:val="100"/>
        </w:rPr>
        <w:t> </w:t>
      </w:r>
      <w:r>
        <w:rPr>
          <w:spacing w:val="-2"/>
        </w:rPr>
        <w:t>会《关于核准黑龙江黑化股份有限公司重大资产重组及向郭东泽等发行股份购买资产并募集配套</w:t>
      </w:r>
      <w:r>
        <w:rPr>
          <w:spacing w:val="-25"/>
        </w:rPr>
        <w:t> </w:t>
      </w:r>
      <w:r>
        <w:rPr>
          <w:spacing w:val="-25"/>
        </w:rPr>
      </w:r>
      <w:r>
        <w:rPr/>
        <w:t>资金的批复》（证监许可</w:t>
      </w:r>
      <w:r>
        <w:rPr>
          <w:rFonts w:ascii="宋体" w:hAnsi="宋体" w:cs="宋体" w:eastAsia="宋体" w:hint="default"/>
        </w:rPr>
        <w:t>[2016]892</w:t>
      </w:r>
      <w:r>
        <w:rPr>
          <w:rFonts w:ascii="宋体" w:hAnsi="宋体" w:cs="宋体" w:eastAsia="宋体" w:hint="default"/>
          <w:spacing w:val="-57"/>
        </w:rPr>
        <w:t> </w:t>
      </w:r>
      <w:r>
        <w:rPr/>
        <w:t>号文）的核准，由公司向郭东泽发行</w:t>
      </w:r>
      <w:r>
        <w:rPr>
          <w:spacing w:val="-56"/>
        </w:rPr>
        <w:t> </w:t>
      </w:r>
      <w:r>
        <w:rPr>
          <w:rFonts w:ascii="宋体" w:hAnsi="宋体" w:cs="宋体" w:eastAsia="宋体" w:hint="default"/>
        </w:rPr>
        <w:t>287,379,792</w:t>
      </w:r>
      <w:r>
        <w:rPr>
          <w:rFonts w:ascii="宋体" w:hAnsi="宋体" w:cs="宋体" w:eastAsia="宋体" w:hint="default"/>
          <w:spacing w:val="-55"/>
        </w:rPr>
        <w:t> </w:t>
      </w:r>
      <w:r>
        <w:rPr/>
        <w:t>股股份、</w:t>
      </w:r>
      <w:r>
        <w:rPr>
          <w:w w:val="100"/>
        </w:rPr>
        <w:t> </w:t>
      </w:r>
      <w:r>
        <w:rPr/>
        <w:t>向郭东圣发行</w:t>
      </w:r>
      <w:r>
        <w:rPr>
          <w:spacing w:val="-56"/>
        </w:rPr>
        <w:t> </w:t>
      </w:r>
      <w:r>
        <w:rPr>
          <w:rFonts w:ascii="宋体" w:hAnsi="宋体" w:cs="宋体" w:eastAsia="宋体" w:hint="default"/>
        </w:rPr>
        <w:t>197,158,965</w:t>
      </w:r>
      <w:r>
        <w:rPr>
          <w:rFonts w:ascii="宋体" w:hAnsi="宋体" w:cs="宋体" w:eastAsia="宋体" w:hint="default"/>
          <w:spacing w:val="-55"/>
        </w:rPr>
        <w:t> </w:t>
      </w:r>
      <w:r>
        <w:rPr/>
        <w:t>股股份、向王强发行</w:t>
      </w:r>
      <w:r>
        <w:rPr>
          <w:spacing w:val="-56"/>
        </w:rPr>
        <w:t> </w:t>
      </w:r>
      <w:r>
        <w:rPr>
          <w:rFonts w:ascii="宋体" w:hAnsi="宋体" w:cs="宋体" w:eastAsia="宋体" w:hint="default"/>
        </w:rPr>
        <w:t>69,085,139</w:t>
      </w:r>
      <w:r>
        <w:rPr>
          <w:rFonts w:ascii="宋体" w:hAnsi="宋体" w:cs="宋体" w:eastAsia="宋体" w:hint="default"/>
          <w:spacing w:val="-56"/>
        </w:rPr>
        <w:t> </w:t>
      </w:r>
      <w:r>
        <w:rPr/>
        <w:t>股股份、向纪世贤发行</w:t>
      </w:r>
      <w:r>
        <w:rPr>
          <w:spacing w:val="-55"/>
        </w:rPr>
        <w:t> </w:t>
      </w:r>
      <w:r>
        <w:rPr>
          <w:rFonts w:ascii="宋体" w:hAnsi="宋体" w:cs="宋体" w:eastAsia="宋体" w:hint="default"/>
        </w:rPr>
        <w:t>18,754,653</w:t>
      </w:r>
    </w:p>
    <w:p>
      <w:pPr>
        <w:pStyle w:val="BodyText"/>
        <w:spacing w:line="240" w:lineRule="auto" w:before="34"/>
        <w:ind w:left="138" w:right="0"/>
        <w:jc w:val="both"/>
      </w:pPr>
      <w:r>
        <w:rPr/>
        <w:t>股股份、向卢天赠发行</w:t>
      </w:r>
      <w:r>
        <w:rPr>
          <w:spacing w:val="-54"/>
        </w:rPr>
        <w:t> </w:t>
      </w:r>
      <w:r>
        <w:rPr>
          <w:rFonts w:ascii="宋体" w:hAnsi="宋体" w:cs="宋体" w:eastAsia="宋体" w:hint="default"/>
        </w:rPr>
        <w:t>3,331,230</w:t>
      </w:r>
      <w:r>
        <w:rPr>
          <w:rFonts w:ascii="宋体" w:hAnsi="宋体" w:cs="宋体" w:eastAsia="宋体" w:hint="default"/>
          <w:spacing w:val="-55"/>
        </w:rPr>
        <w:t> </w:t>
      </w:r>
      <w:r>
        <w:rPr/>
        <w:t>股股份购买相关资产，每股面值为人民币</w:t>
      </w:r>
      <w:r>
        <w:rPr>
          <w:spacing w:val="-57"/>
        </w:rPr>
        <w:t> </w:t>
      </w:r>
      <w:r>
        <w:rPr>
          <w:rFonts w:ascii="宋体" w:hAnsi="宋体" w:cs="宋体" w:eastAsia="宋体" w:hint="default"/>
        </w:rPr>
        <w:t>1</w:t>
      </w:r>
      <w:r>
        <w:rPr>
          <w:rFonts w:ascii="宋体" w:hAnsi="宋体" w:cs="宋体" w:eastAsia="宋体" w:hint="default"/>
          <w:spacing w:val="-54"/>
        </w:rPr>
        <w:t> </w:t>
      </w:r>
      <w:r>
        <w:rPr/>
        <w:t>元，每股发行价为</w:t>
      </w:r>
    </w:p>
    <w:p>
      <w:pPr>
        <w:pStyle w:val="BodyText"/>
        <w:spacing w:line="240" w:lineRule="auto" w:before="133"/>
        <w:ind w:left="138" w:right="0"/>
        <w:jc w:val="both"/>
      </w:pPr>
      <w:r>
        <w:rPr/>
        <w:t>人民币</w:t>
      </w:r>
      <w:r>
        <w:rPr>
          <w:spacing w:val="-57"/>
        </w:rPr>
        <w:t> </w:t>
      </w:r>
      <w:r>
        <w:rPr>
          <w:rFonts w:ascii="宋体" w:hAnsi="宋体" w:cs="宋体" w:eastAsia="宋体" w:hint="default"/>
        </w:rPr>
        <w:t>6.34</w:t>
      </w:r>
      <w:r>
        <w:rPr>
          <w:rFonts w:ascii="宋体" w:hAnsi="宋体" w:cs="宋体" w:eastAsia="宋体" w:hint="default"/>
          <w:spacing w:val="-57"/>
        </w:rPr>
        <w:t> </w:t>
      </w:r>
      <w:r>
        <w:rPr/>
        <w:t>元。公司增加注册资本人民币</w:t>
      </w:r>
      <w:r>
        <w:rPr>
          <w:spacing w:val="-57"/>
        </w:rPr>
        <w:t> </w:t>
      </w:r>
      <w:r>
        <w:rPr>
          <w:rFonts w:ascii="宋体" w:hAnsi="宋体" w:cs="宋体" w:eastAsia="宋体" w:hint="default"/>
        </w:rPr>
        <w:t>575,709,779.00</w:t>
      </w:r>
      <w:r>
        <w:rPr>
          <w:rFonts w:ascii="宋体" w:hAnsi="宋体" w:cs="宋体" w:eastAsia="宋体" w:hint="default"/>
          <w:spacing w:val="-57"/>
        </w:rPr>
        <w:t> </w:t>
      </w:r>
      <w:r>
        <w:rPr/>
        <w:t>元，变更后的注册资本为人民币</w:t>
      </w:r>
    </w:p>
    <w:p>
      <w:pPr>
        <w:pStyle w:val="BodyText"/>
        <w:spacing w:line="240" w:lineRule="auto" w:before="133"/>
        <w:ind w:left="138" w:right="0"/>
        <w:jc w:val="both"/>
      </w:pPr>
      <w:r>
        <w:rPr>
          <w:rFonts w:ascii="宋体" w:hAnsi="宋体" w:cs="宋体" w:eastAsia="宋体" w:hint="default"/>
        </w:rPr>
        <w:t>965,709,779.00</w:t>
      </w:r>
      <w:r>
        <w:rPr>
          <w:rFonts w:ascii="宋体" w:hAnsi="宋体" w:cs="宋体" w:eastAsia="宋体" w:hint="default"/>
          <w:spacing w:val="-52"/>
        </w:rPr>
        <w:t> </w:t>
      </w:r>
      <w:r>
        <w:rPr>
          <w:spacing w:val="-3"/>
        </w:rPr>
        <w:t>元。</w:t>
      </w:r>
      <w:r>
        <w:rPr/>
      </w:r>
    </w:p>
    <w:p>
      <w:pPr>
        <w:pStyle w:val="BodyText"/>
        <w:spacing w:line="357" w:lineRule="auto" w:before="133"/>
        <w:ind w:left="138" w:right="128" w:firstLine="419"/>
        <w:jc w:val="both"/>
      </w:pPr>
      <w:r>
        <w:rPr>
          <w:spacing w:val="-1"/>
          <w:w w:val="100"/>
        </w:rPr>
        <w:t>根据公司</w:t>
      </w:r>
      <w:r>
        <w:rPr>
          <w:w w:val="100"/>
        </w:rPr>
        <w:t> </w:t>
      </w:r>
      <w:r>
        <w:rPr>
          <w:rFonts w:ascii="宋体" w:hAnsi="宋体" w:cs="宋体" w:eastAsia="宋体" w:hint="default"/>
          <w:spacing w:val="-1"/>
          <w:w w:val="100"/>
        </w:rPr>
        <w:t>2015</w:t>
      </w:r>
      <w:r>
        <w:rPr>
          <w:rFonts w:ascii="宋体" w:hAnsi="宋体" w:cs="宋体" w:eastAsia="宋体" w:hint="default"/>
          <w:spacing w:val="-82"/>
          <w:w w:val="100"/>
        </w:rPr>
        <w:t> </w:t>
      </w:r>
      <w:r>
        <w:rPr>
          <w:spacing w:val="-5"/>
          <w:w w:val="100"/>
        </w:rPr>
        <w:t>年第一次临时股东大会决议和修改后的章程规定，并经中国证券监督管理委员</w:t>
      </w:r>
      <w:r>
        <w:rPr>
          <w:w w:val="100"/>
        </w:rPr>
        <w:t> </w:t>
      </w:r>
      <w:r>
        <w:rPr>
          <w:spacing w:val="-2"/>
        </w:rPr>
        <w:t>会《关于核准黑龙江黑化股份有限公司重大资产重组及向郭东泽等发行股份购买资产并募集配套</w:t>
      </w:r>
      <w:r>
        <w:rPr>
          <w:spacing w:val="-26"/>
        </w:rPr>
        <w:t> </w:t>
      </w:r>
      <w:r>
        <w:rPr>
          <w:spacing w:val="-26"/>
        </w:rPr>
      </w:r>
      <w:r>
        <w:rPr/>
        <w:t>资金的批复》（证监许可</w:t>
      </w:r>
      <w:r>
        <w:rPr>
          <w:rFonts w:ascii="宋体" w:hAnsi="宋体" w:cs="宋体" w:eastAsia="宋体" w:hint="default"/>
        </w:rPr>
        <w:t>[2016]892</w:t>
      </w:r>
      <w:r>
        <w:rPr>
          <w:rFonts w:ascii="宋体" w:hAnsi="宋体" w:cs="宋体" w:eastAsia="宋体" w:hint="default"/>
          <w:spacing w:val="-58"/>
        </w:rPr>
        <w:t> </w:t>
      </w:r>
      <w:r>
        <w:rPr/>
        <w:t>号文）的核准，公司向特定投资者郭东泽和长城国融投资管</w:t>
      </w:r>
      <w:r>
        <w:rPr>
          <w:w w:val="100"/>
        </w:rPr>
        <w:t> </w:t>
      </w:r>
      <w:r>
        <w:rPr/>
        <w:t>理有限公司发行人民币普通股</w:t>
      </w:r>
      <w:r>
        <w:rPr>
          <w:spacing w:val="-54"/>
        </w:rPr>
        <w:t> </w:t>
      </w:r>
      <w:r>
        <w:rPr>
          <w:rFonts w:ascii="宋体" w:hAnsi="宋体" w:cs="宋体" w:eastAsia="宋体" w:hint="default"/>
        </w:rPr>
        <w:t>96,418,732</w:t>
      </w:r>
      <w:r>
        <w:rPr>
          <w:rFonts w:ascii="宋体" w:hAnsi="宋体" w:cs="宋体" w:eastAsia="宋体" w:hint="default"/>
          <w:spacing w:val="-54"/>
        </w:rPr>
        <w:t> </w:t>
      </w:r>
      <w:r>
        <w:rPr/>
        <w:t>股股份，每股面值</w:t>
      </w:r>
      <w:r>
        <w:rPr>
          <w:spacing w:val="-54"/>
        </w:rPr>
        <w:t> </w:t>
      </w:r>
      <w:r>
        <w:rPr>
          <w:rFonts w:ascii="宋体" w:hAnsi="宋体" w:cs="宋体" w:eastAsia="宋体" w:hint="default"/>
        </w:rPr>
        <w:t>1</w:t>
      </w:r>
      <w:r>
        <w:rPr>
          <w:rFonts w:ascii="宋体" w:hAnsi="宋体" w:cs="宋体" w:eastAsia="宋体" w:hint="default"/>
          <w:spacing w:val="-56"/>
        </w:rPr>
        <w:t> </w:t>
      </w:r>
      <w:r>
        <w:rPr/>
        <w:t>元，申请增加注册资本人民币</w:t>
      </w:r>
    </w:p>
    <w:p>
      <w:pPr>
        <w:pStyle w:val="BodyText"/>
        <w:spacing w:line="240" w:lineRule="auto" w:before="30"/>
        <w:ind w:left="138" w:right="0"/>
        <w:jc w:val="both"/>
      </w:pPr>
      <w:r>
        <w:rPr>
          <w:rFonts w:ascii="宋体" w:hAnsi="宋体" w:cs="宋体" w:eastAsia="宋体" w:hint="default"/>
        </w:rPr>
        <w:t>96,418,732.00</w:t>
      </w:r>
      <w:r>
        <w:rPr>
          <w:rFonts w:ascii="宋体" w:hAnsi="宋体" w:cs="宋体" w:eastAsia="宋体" w:hint="default"/>
          <w:spacing w:val="-56"/>
        </w:rPr>
        <w:t> </w:t>
      </w:r>
      <w:r>
        <w:rPr/>
        <w:t>元，变更后注册资本为人民币</w:t>
      </w:r>
      <w:r>
        <w:rPr>
          <w:spacing w:val="-54"/>
        </w:rPr>
        <w:t> </w:t>
      </w:r>
      <w:r>
        <w:rPr>
          <w:rFonts w:ascii="宋体" w:hAnsi="宋体" w:cs="宋体" w:eastAsia="宋体" w:hint="default"/>
        </w:rPr>
        <w:t>1,062,128,511.00</w:t>
      </w:r>
      <w:r>
        <w:rPr>
          <w:rFonts w:ascii="宋体" w:hAnsi="宋体" w:cs="宋体" w:eastAsia="宋体" w:hint="default"/>
          <w:spacing w:val="-56"/>
        </w:rPr>
        <w:t> </w:t>
      </w:r>
      <w:r>
        <w:rPr/>
        <w:t>元。</w:t>
      </w:r>
    </w:p>
    <w:p>
      <w:pPr>
        <w:pStyle w:val="BodyText"/>
        <w:spacing w:line="240" w:lineRule="auto" w:before="133"/>
        <w:ind w:left="558" w:right="0"/>
        <w:jc w:val="left"/>
      </w:pPr>
      <w:r>
        <w:rPr/>
        <w:t>根据公司 </w:t>
      </w:r>
      <w:r>
        <w:rPr>
          <w:rFonts w:ascii="宋体" w:hAnsi="宋体" w:cs="宋体" w:eastAsia="宋体" w:hint="default"/>
        </w:rPr>
        <w:t>2016</w:t>
      </w:r>
      <w:r>
        <w:rPr>
          <w:rFonts w:ascii="宋体" w:hAnsi="宋体" w:cs="宋体" w:eastAsia="宋体" w:hint="default"/>
          <w:spacing w:val="-37"/>
        </w:rPr>
        <w:t> </w:t>
      </w:r>
      <w:r>
        <w:rPr>
          <w:spacing w:val="-5"/>
        </w:rPr>
        <w:t>年第三次临时股东大会决议，公司名称由“黑龙江黑化股份有限公司”变更为</w:t>
      </w:r>
    </w:p>
    <w:p>
      <w:pPr>
        <w:pStyle w:val="BodyText"/>
        <w:spacing w:line="355" w:lineRule="auto" w:before="136"/>
        <w:ind w:left="138" w:right="125"/>
        <w:jc w:val="left"/>
      </w:pPr>
      <w:r>
        <w:rPr>
          <w:spacing w:val="-3"/>
        </w:rPr>
        <w:t>“安通控股股份有限公司”。</w:t>
      </w:r>
      <w:r>
        <w:rPr>
          <w:rFonts w:ascii="宋体" w:hAnsi="宋体" w:cs="宋体" w:eastAsia="宋体" w:hint="default"/>
          <w:spacing w:val="-3"/>
        </w:rPr>
        <w:t>2016</w:t>
      </w:r>
      <w:r>
        <w:rPr>
          <w:rFonts w:ascii="宋体" w:hAnsi="宋体" w:cs="宋体" w:eastAsia="宋体" w:hint="default"/>
          <w:spacing w:val="-42"/>
        </w:rPr>
        <w:t> </w:t>
      </w:r>
      <w:r>
        <w:rPr/>
        <w:t>年</w:t>
      </w:r>
      <w:r>
        <w:rPr>
          <w:spacing w:val="-40"/>
        </w:rPr>
        <w:t> </w:t>
      </w:r>
      <w:r>
        <w:rPr>
          <w:rFonts w:ascii="宋体" w:hAnsi="宋体" w:cs="宋体" w:eastAsia="宋体" w:hint="default"/>
        </w:rPr>
        <w:t>11</w:t>
      </w:r>
      <w:r>
        <w:rPr>
          <w:rFonts w:ascii="宋体" w:hAnsi="宋体" w:cs="宋体" w:eastAsia="宋体" w:hint="default"/>
          <w:spacing w:val="-42"/>
        </w:rPr>
        <w:t> </w:t>
      </w:r>
      <w:r>
        <w:rPr/>
        <w:t>月</w:t>
      </w:r>
      <w:r>
        <w:rPr>
          <w:spacing w:val="-40"/>
        </w:rPr>
        <w:t> </w:t>
      </w:r>
      <w:r>
        <w:rPr>
          <w:rFonts w:ascii="宋体" w:hAnsi="宋体" w:cs="宋体" w:eastAsia="宋体" w:hint="default"/>
        </w:rPr>
        <w:t>10</w:t>
      </w:r>
      <w:r>
        <w:rPr>
          <w:rFonts w:ascii="宋体" w:hAnsi="宋体" w:cs="宋体" w:eastAsia="宋体" w:hint="default"/>
          <w:spacing w:val="-40"/>
        </w:rPr>
        <w:t> </w:t>
      </w:r>
      <w:r>
        <w:rPr>
          <w:spacing w:val="-3"/>
        </w:rPr>
        <w:t>日，公司完成工商变更登记手续并领取了新的营业</w:t>
      </w:r>
      <w:r>
        <w:rPr>
          <w:spacing w:val="-100"/>
        </w:rPr>
        <w:t> </w:t>
      </w:r>
      <w:r>
        <w:rPr>
          <w:spacing w:val="-100"/>
        </w:rPr>
      </w:r>
      <w:r>
        <w:rPr/>
        <w:t>执照。</w:t>
      </w:r>
    </w:p>
    <w:p>
      <w:pPr>
        <w:pStyle w:val="BodyText"/>
        <w:spacing w:line="355" w:lineRule="auto" w:before="32"/>
        <w:ind w:left="558" w:right="125" w:firstLine="2"/>
        <w:jc w:val="left"/>
      </w:pPr>
      <w:r>
        <w:rPr/>
        <w:t>公司注册地址：黑龙江省齐齐哈尔市富拉尔基区向阳大街</w:t>
      </w:r>
      <w:r>
        <w:rPr>
          <w:spacing w:val="-54"/>
        </w:rPr>
        <w:t> </w:t>
      </w:r>
      <w:r>
        <w:rPr>
          <w:rFonts w:ascii="宋体" w:hAnsi="宋体" w:cs="宋体" w:eastAsia="宋体" w:hint="default"/>
        </w:rPr>
        <w:t>2</w:t>
      </w:r>
      <w:r>
        <w:rPr>
          <w:rFonts w:ascii="宋体" w:hAnsi="宋体" w:cs="宋体" w:eastAsia="宋体" w:hint="default"/>
          <w:spacing w:val="-54"/>
        </w:rPr>
        <w:t> </w:t>
      </w:r>
      <w:r>
        <w:rPr/>
        <w:t>号。法定代表人：郭东圣。</w:t>
      </w:r>
      <w:r>
        <w:rPr>
          <w:w w:val="100"/>
        </w:rPr>
        <w:t> </w:t>
      </w:r>
      <w:r>
        <w:rPr>
          <w:spacing w:val="-14"/>
          <w:w w:val="100"/>
        </w:rPr>
        <w:t>公司经营范围：实业投资、投资咨询服务</w:t>
      </w:r>
      <w:r>
        <w:rPr>
          <w:rFonts w:ascii="宋体" w:hAnsi="宋体" w:cs="宋体" w:eastAsia="宋体" w:hint="default"/>
          <w:spacing w:val="-14"/>
          <w:w w:val="100"/>
        </w:rPr>
        <w:t>,</w:t>
      </w:r>
      <w:r>
        <w:rPr>
          <w:spacing w:val="-14"/>
          <w:w w:val="100"/>
        </w:rPr>
        <w:t>货物运输，货物运输代理、仓储服务（危险品除外），</w:t>
      </w:r>
    </w:p>
    <w:p>
      <w:pPr>
        <w:pStyle w:val="BodyText"/>
        <w:spacing w:line="357" w:lineRule="auto" w:before="32"/>
        <w:ind w:left="138" w:right="137"/>
        <w:jc w:val="both"/>
      </w:pPr>
      <w:r>
        <w:rPr>
          <w:spacing w:val="-2"/>
        </w:rPr>
        <w:t>船舶管理服务，物流配送、包装服务、咨询，代理各类商品和技术的进出口（但涉及前置许可、</w:t>
      </w:r>
      <w:r>
        <w:rPr>
          <w:spacing w:val="-25"/>
        </w:rPr>
        <w:t> </w:t>
      </w:r>
      <w:r>
        <w:rPr>
          <w:spacing w:val="-25"/>
        </w:rPr>
      </w:r>
      <w:r>
        <w:rPr>
          <w:spacing w:val="-2"/>
        </w:rPr>
        <w:t>国家限定公司经营或禁止进出口的商品和技术除外）。（依法须经批准的项目，经相关部门批准</w:t>
      </w:r>
      <w:r>
        <w:rPr>
          <w:spacing w:val="-25"/>
        </w:rPr>
        <w:t> </w:t>
      </w:r>
      <w:r>
        <w:rPr>
          <w:spacing w:val="-25"/>
        </w:rPr>
      </w:r>
      <w:r>
        <w:rPr/>
        <w:t>后方可开展经营活动）</w:t>
      </w:r>
    </w:p>
    <w:p>
      <w:pPr>
        <w:pStyle w:val="BodyText"/>
        <w:spacing w:line="240" w:lineRule="auto" w:before="30"/>
        <w:ind w:left="558" w:right="125"/>
        <w:jc w:val="left"/>
      </w:pPr>
      <w:r>
        <w:rPr/>
        <w:t>财务报告批准报出日：本财务报表业经本公司董事会于</w:t>
      </w:r>
      <w:r>
        <w:rPr>
          <w:spacing w:val="-53"/>
        </w:rPr>
        <w:t> </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3</w:t>
      </w:r>
      <w:r>
        <w:rPr>
          <w:rFonts w:ascii="宋体" w:hAnsi="宋体" w:cs="宋体" w:eastAsia="宋体" w:hint="default"/>
          <w:spacing w:val="-55"/>
        </w:rPr>
        <w:t> </w:t>
      </w:r>
      <w:r>
        <w:rPr/>
        <w:t>月</w:t>
      </w:r>
      <w:r>
        <w:rPr>
          <w:spacing w:val="-53"/>
        </w:rPr>
        <w:t> </w:t>
      </w:r>
      <w:r>
        <w:rPr>
          <w:rFonts w:ascii="宋体" w:hAnsi="宋体" w:cs="宋体" w:eastAsia="宋体" w:hint="default"/>
        </w:rPr>
        <w:t>11</w:t>
      </w:r>
      <w:r>
        <w:rPr>
          <w:rFonts w:ascii="宋体" w:hAnsi="宋体" w:cs="宋体" w:eastAsia="宋体" w:hint="default"/>
          <w:spacing w:val="-55"/>
        </w:rPr>
        <w:t> </w:t>
      </w:r>
      <w:r>
        <w:rPr/>
        <w:t>日决议批准报出。</w:t>
      </w:r>
    </w:p>
    <w:p>
      <w:pPr>
        <w:spacing w:after="0" w:line="240" w:lineRule="auto"/>
        <w:jc w:val="left"/>
        <w:sectPr>
          <w:headerReference w:type="default" r:id="rId35"/>
          <w:footerReference w:type="default" r:id="rId36"/>
          <w:pgSz w:w="11910" w:h="16840"/>
          <w:pgMar w:header="882" w:footer="1195" w:top="1120" w:bottom="1380" w:left="1660" w:right="1140"/>
          <w:pgNumType w:start="80"/>
        </w:sectPr>
      </w:pPr>
    </w:p>
    <w:p>
      <w:pPr>
        <w:spacing w:line="240" w:lineRule="auto" w:before="1"/>
        <w:rPr>
          <w:rFonts w:ascii="宋体" w:hAnsi="宋体" w:cs="宋体" w:eastAsia="宋体" w:hint="default"/>
          <w:sz w:val="25"/>
          <w:szCs w:val="25"/>
        </w:rPr>
      </w:pPr>
    </w:p>
    <w:p>
      <w:pPr>
        <w:pStyle w:val="Heading2"/>
        <w:tabs>
          <w:tab w:pos="657" w:val="left" w:leader="none"/>
        </w:tabs>
        <w:spacing w:line="240" w:lineRule="auto" w:before="36"/>
        <w:ind w:left="238" w:right="930"/>
        <w:jc w:val="left"/>
        <w:rPr>
          <w:b w:val="0"/>
          <w:bCs w:val="0"/>
        </w:rPr>
      </w:pPr>
      <w:r>
        <w:rPr>
          <w:rFonts w:ascii="宋体" w:hAnsi="宋体" w:cs="宋体" w:eastAsia="宋体" w:hint="default"/>
          <w:w w:val="95"/>
        </w:rPr>
        <w:t>2.</w:t>
        <w:tab/>
      </w:r>
      <w:r>
        <w:rPr/>
        <w:t>合并财务报表范围</w:t>
      </w:r>
      <w:r>
        <w:rPr>
          <w:b w:val="0"/>
          <w:bCs w:val="0"/>
        </w:rPr>
      </w:r>
    </w:p>
    <w:p>
      <w:pPr>
        <w:pStyle w:val="BodyText"/>
        <w:spacing w:line="273" w:lineRule="exact" w:before="58"/>
        <w:ind w:left="238" w:right="930"/>
        <w:jc w:val="left"/>
      </w:pPr>
      <w:r>
        <w:rPr/>
        <w:t>√适用</w:t>
      </w:r>
      <w:r>
        <w:rPr>
          <w:spacing w:val="-1"/>
        </w:rPr>
        <w:t> </w:t>
      </w:r>
      <w:r>
        <w:rPr/>
        <w:t>□不适用</w:t>
      </w:r>
    </w:p>
    <w:p>
      <w:pPr>
        <w:pStyle w:val="BodyText"/>
        <w:spacing w:line="273" w:lineRule="exact"/>
        <w:ind w:left="658" w:right="930"/>
        <w:jc w:val="left"/>
      </w:pPr>
      <w:r>
        <w:rPr/>
        <w:t>（</w:t>
      </w:r>
      <w:r>
        <w:rPr>
          <w:rFonts w:ascii="宋体" w:hAnsi="宋体" w:cs="宋体" w:eastAsia="宋体" w:hint="default"/>
        </w:rPr>
        <w:t>1</w:t>
      </w:r>
      <w:r>
        <w:rPr/>
        <w:t>）本公司报告期末纳入合并范围的子公司</w:t>
      </w:r>
    </w:p>
    <w:p>
      <w:pPr>
        <w:spacing w:line="240" w:lineRule="auto" w:before="13"/>
        <w:rPr>
          <w:rFonts w:ascii="宋体" w:hAnsi="宋体" w:cs="宋体" w:eastAsia="宋体"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794"/>
        <w:gridCol w:w="4343"/>
        <w:gridCol w:w="1622"/>
        <w:gridCol w:w="1174"/>
        <w:gridCol w:w="1130"/>
      </w:tblGrid>
      <w:tr>
        <w:trPr>
          <w:trHeight w:val="415" w:hRule="exact"/>
        </w:trPr>
        <w:tc>
          <w:tcPr>
            <w:tcW w:w="794" w:type="dxa"/>
            <w:vMerge w:val="restart"/>
            <w:tcBorders>
              <w:top w:val="single" w:sz="12" w:space="0" w:color="000000"/>
              <w:left w:val="nil" w:sz="6" w:space="0" w:color="auto"/>
              <w:right w:val="single" w:sz="2"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203" w:right="0"/>
              <w:jc w:val="left"/>
              <w:rPr>
                <w:rFonts w:ascii="宋体" w:hAnsi="宋体" w:cs="宋体" w:eastAsia="宋体" w:hint="default"/>
                <w:sz w:val="20"/>
                <w:szCs w:val="20"/>
              </w:rPr>
            </w:pPr>
            <w:r>
              <w:rPr>
                <w:rFonts w:ascii="宋体" w:hAnsi="宋体" w:cs="宋体" w:eastAsia="宋体" w:hint="default"/>
                <w:sz w:val="20"/>
                <w:szCs w:val="20"/>
              </w:rPr>
              <w:t>序号</w:t>
            </w:r>
          </w:p>
        </w:tc>
        <w:tc>
          <w:tcPr>
            <w:tcW w:w="4343" w:type="dxa"/>
            <w:vMerge w:val="restart"/>
            <w:tcBorders>
              <w:top w:val="single" w:sz="12" w:space="0" w:color="000000"/>
              <w:left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子公司全称</w:t>
            </w:r>
          </w:p>
        </w:tc>
        <w:tc>
          <w:tcPr>
            <w:tcW w:w="1622" w:type="dxa"/>
            <w:vMerge w:val="restart"/>
            <w:tcBorders>
              <w:top w:val="single" w:sz="12" w:space="0" w:color="000000"/>
              <w:left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307" w:right="0"/>
              <w:jc w:val="left"/>
              <w:rPr>
                <w:rFonts w:ascii="宋体" w:hAnsi="宋体" w:cs="宋体" w:eastAsia="宋体" w:hint="default"/>
                <w:sz w:val="20"/>
                <w:szCs w:val="20"/>
              </w:rPr>
            </w:pPr>
            <w:r>
              <w:rPr>
                <w:rFonts w:ascii="宋体" w:hAnsi="宋体" w:cs="宋体" w:eastAsia="宋体" w:hint="default"/>
                <w:sz w:val="20"/>
                <w:szCs w:val="20"/>
              </w:rPr>
              <w:t>子公司简称</w:t>
            </w:r>
          </w:p>
        </w:tc>
        <w:tc>
          <w:tcPr>
            <w:tcW w:w="2305"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97"/>
              <w:ind w:left="698" w:right="0"/>
              <w:jc w:val="left"/>
              <w:rPr>
                <w:rFonts w:ascii="宋体" w:hAnsi="宋体" w:cs="宋体" w:eastAsia="宋体" w:hint="default"/>
                <w:sz w:val="20"/>
                <w:szCs w:val="20"/>
              </w:rPr>
            </w:pPr>
            <w:r>
              <w:rPr>
                <w:rFonts w:ascii="宋体" w:hAnsi="宋体" w:cs="宋体" w:eastAsia="宋体" w:hint="default"/>
                <w:sz w:val="20"/>
                <w:szCs w:val="20"/>
              </w:rPr>
              <w:t>持股比例</w:t>
            </w:r>
            <w:r>
              <w:rPr>
                <w:rFonts w:ascii="宋体" w:hAnsi="宋体" w:cs="宋体" w:eastAsia="宋体" w:hint="default"/>
                <w:sz w:val="20"/>
                <w:szCs w:val="20"/>
              </w:rPr>
              <w:t>%</w:t>
            </w:r>
          </w:p>
        </w:tc>
      </w:tr>
      <w:tr>
        <w:trPr>
          <w:trHeight w:val="401" w:hRule="exact"/>
        </w:trPr>
        <w:tc>
          <w:tcPr>
            <w:tcW w:w="794" w:type="dxa"/>
            <w:vMerge/>
            <w:tcBorders>
              <w:left w:val="nil" w:sz="6" w:space="0" w:color="auto"/>
              <w:bottom w:val="single" w:sz="2" w:space="0" w:color="000000"/>
              <w:right w:val="single" w:sz="2" w:space="0" w:color="000000"/>
            </w:tcBorders>
          </w:tcPr>
          <w:p>
            <w:pPr/>
          </w:p>
        </w:tc>
        <w:tc>
          <w:tcPr>
            <w:tcW w:w="4343" w:type="dxa"/>
            <w:vMerge/>
            <w:tcBorders>
              <w:left w:val="single" w:sz="2" w:space="0" w:color="000000"/>
              <w:bottom w:val="single" w:sz="2" w:space="0" w:color="000000"/>
              <w:right w:val="single" w:sz="2" w:space="0" w:color="000000"/>
            </w:tcBorders>
          </w:tcPr>
          <w:p>
            <w:pPr/>
          </w:p>
        </w:tc>
        <w:tc>
          <w:tcPr>
            <w:tcW w:w="1622" w:type="dxa"/>
            <w:vMerge/>
            <w:tcBorders>
              <w:left w:val="single" w:sz="2" w:space="0" w:color="000000"/>
              <w:bottom w:val="single" w:sz="2" w:space="0" w:color="000000"/>
              <w:right w:val="single" w:sz="2" w:space="0" w:color="000000"/>
            </w:tcBorders>
          </w:tcPr>
          <w:p>
            <w:pPr/>
          </w:p>
        </w:tc>
        <w:tc>
          <w:tcPr>
            <w:tcW w:w="11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5"/>
              <w:ind w:left="383" w:right="0"/>
              <w:jc w:val="left"/>
              <w:rPr>
                <w:rFonts w:ascii="宋体" w:hAnsi="宋体" w:cs="宋体" w:eastAsia="宋体" w:hint="default"/>
                <w:sz w:val="20"/>
                <w:szCs w:val="20"/>
              </w:rPr>
            </w:pPr>
            <w:r>
              <w:rPr>
                <w:rFonts w:ascii="宋体" w:hAnsi="宋体" w:cs="宋体" w:eastAsia="宋体" w:hint="default"/>
                <w:sz w:val="20"/>
                <w:szCs w:val="20"/>
              </w:rPr>
              <w:t>直接</w:t>
            </w:r>
          </w:p>
        </w:tc>
        <w:tc>
          <w:tcPr>
            <w:tcW w:w="113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5"/>
              <w:ind w:left="362" w:right="0"/>
              <w:jc w:val="left"/>
              <w:rPr>
                <w:rFonts w:ascii="宋体" w:hAnsi="宋体" w:cs="宋体" w:eastAsia="宋体" w:hint="default"/>
                <w:sz w:val="20"/>
                <w:szCs w:val="20"/>
              </w:rPr>
            </w:pPr>
            <w:r>
              <w:rPr>
                <w:rFonts w:ascii="宋体" w:hAnsi="宋体" w:cs="宋体" w:eastAsia="宋体" w:hint="default"/>
                <w:sz w:val="20"/>
                <w:szCs w:val="20"/>
              </w:rPr>
              <w:t>间接</w:t>
            </w:r>
          </w:p>
        </w:tc>
      </w:tr>
      <w:tr>
        <w:trPr>
          <w:trHeight w:val="403" w:hRule="exact"/>
        </w:trPr>
        <w:tc>
          <w:tcPr>
            <w:tcW w:w="7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3" w:right="0"/>
              <w:jc w:val="center"/>
              <w:rPr>
                <w:rFonts w:ascii="宋体" w:hAnsi="宋体" w:cs="宋体" w:eastAsia="宋体" w:hint="default"/>
                <w:sz w:val="20"/>
                <w:szCs w:val="20"/>
              </w:rPr>
            </w:pPr>
            <w:r>
              <w:rPr>
                <w:rFonts w:ascii="宋体"/>
                <w:w w:val="99"/>
                <w:sz w:val="20"/>
              </w:rPr>
              <w:t>1</w:t>
            </w:r>
            <w:r>
              <w:rPr>
                <w:rFonts w:ascii="宋体"/>
                <w:sz w:val="20"/>
              </w:rPr>
            </w:r>
          </w:p>
        </w:tc>
        <w:tc>
          <w:tcPr>
            <w:tcW w:w="43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105" w:right="0"/>
              <w:jc w:val="left"/>
              <w:rPr>
                <w:rFonts w:ascii="宋体" w:hAnsi="宋体" w:cs="宋体" w:eastAsia="宋体" w:hint="default"/>
                <w:sz w:val="20"/>
                <w:szCs w:val="20"/>
              </w:rPr>
            </w:pPr>
            <w:r>
              <w:rPr>
                <w:rFonts w:ascii="宋体" w:hAnsi="宋体" w:cs="宋体" w:eastAsia="宋体" w:hint="default"/>
                <w:sz w:val="20"/>
                <w:szCs w:val="20"/>
              </w:rPr>
              <w:t>泉州安通物流有限公司</w:t>
            </w:r>
          </w:p>
        </w:tc>
        <w:tc>
          <w:tcPr>
            <w:tcW w:w="16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2"/>
              <w:jc w:val="center"/>
              <w:rPr>
                <w:rFonts w:ascii="宋体" w:hAnsi="宋体" w:cs="宋体" w:eastAsia="宋体" w:hint="default"/>
                <w:sz w:val="20"/>
                <w:szCs w:val="20"/>
              </w:rPr>
            </w:pPr>
            <w:r>
              <w:rPr>
                <w:rFonts w:ascii="宋体" w:hAnsi="宋体" w:cs="宋体" w:eastAsia="宋体" w:hint="default"/>
                <w:sz w:val="20"/>
                <w:szCs w:val="20"/>
              </w:rPr>
              <w:t>安通物流</w:t>
            </w:r>
          </w:p>
        </w:tc>
        <w:tc>
          <w:tcPr>
            <w:tcW w:w="11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20"/>
                <w:szCs w:val="20"/>
              </w:rPr>
            </w:pPr>
            <w:r>
              <w:rPr>
                <w:rFonts w:ascii="宋体"/>
                <w:w w:val="95"/>
                <w:sz w:val="20"/>
              </w:rPr>
              <w:t>100.00</w:t>
            </w:r>
            <w:r>
              <w:rPr>
                <w:rFonts w:ascii="宋体"/>
                <w:sz w:val="20"/>
              </w:rPr>
            </w:r>
          </w:p>
        </w:tc>
        <w:tc>
          <w:tcPr>
            <w:tcW w:w="113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107"/>
              <w:jc w:val="right"/>
              <w:rPr>
                <w:rFonts w:ascii="宋体" w:hAnsi="宋体" w:cs="宋体" w:eastAsia="宋体" w:hint="default"/>
                <w:sz w:val="20"/>
                <w:szCs w:val="20"/>
              </w:rPr>
            </w:pPr>
            <w:r>
              <w:rPr>
                <w:rFonts w:ascii="宋体" w:hAnsi="宋体" w:cs="宋体" w:eastAsia="宋体" w:hint="default"/>
                <w:w w:val="99"/>
                <w:sz w:val="20"/>
                <w:szCs w:val="20"/>
              </w:rPr>
              <w:t>—</w:t>
            </w:r>
            <w:r>
              <w:rPr>
                <w:rFonts w:ascii="宋体" w:hAnsi="宋体" w:cs="宋体" w:eastAsia="宋体" w:hint="default"/>
                <w:sz w:val="20"/>
                <w:szCs w:val="20"/>
              </w:rPr>
            </w:r>
          </w:p>
        </w:tc>
      </w:tr>
      <w:tr>
        <w:trPr>
          <w:trHeight w:val="401" w:hRule="exact"/>
        </w:trPr>
        <w:tc>
          <w:tcPr>
            <w:tcW w:w="7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5"/>
              <w:ind w:left="13" w:right="0"/>
              <w:jc w:val="center"/>
              <w:rPr>
                <w:rFonts w:ascii="宋体" w:hAnsi="宋体" w:cs="宋体" w:eastAsia="宋体" w:hint="default"/>
                <w:sz w:val="20"/>
                <w:szCs w:val="20"/>
              </w:rPr>
            </w:pPr>
            <w:r>
              <w:rPr>
                <w:rFonts w:ascii="宋体"/>
                <w:w w:val="99"/>
                <w:sz w:val="20"/>
              </w:rPr>
              <w:t>2</w:t>
            </w:r>
            <w:r>
              <w:rPr>
                <w:rFonts w:ascii="宋体"/>
                <w:sz w:val="20"/>
              </w:rPr>
            </w:r>
          </w:p>
        </w:tc>
        <w:tc>
          <w:tcPr>
            <w:tcW w:w="43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5"/>
              <w:ind w:left="105" w:right="0"/>
              <w:jc w:val="left"/>
              <w:rPr>
                <w:rFonts w:ascii="宋体" w:hAnsi="宋体" w:cs="宋体" w:eastAsia="宋体" w:hint="default"/>
                <w:sz w:val="20"/>
                <w:szCs w:val="20"/>
              </w:rPr>
            </w:pPr>
            <w:r>
              <w:rPr>
                <w:rFonts w:ascii="宋体" w:hAnsi="宋体" w:cs="宋体" w:eastAsia="宋体" w:hint="default"/>
                <w:sz w:val="20"/>
                <w:szCs w:val="20"/>
              </w:rPr>
              <w:t>泉州安盛船务有限公司</w:t>
            </w:r>
          </w:p>
        </w:tc>
        <w:tc>
          <w:tcPr>
            <w:tcW w:w="16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5"/>
              <w:ind w:right="2"/>
              <w:jc w:val="center"/>
              <w:rPr>
                <w:rFonts w:ascii="宋体" w:hAnsi="宋体" w:cs="宋体" w:eastAsia="宋体" w:hint="default"/>
                <w:sz w:val="20"/>
                <w:szCs w:val="20"/>
              </w:rPr>
            </w:pPr>
            <w:r>
              <w:rPr>
                <w:rFonts w:ascii="宋体" w:hAnsi="宋体" w:cs="宋体" w:eastAsia="宋体" w:hint="default"/>
                <w:sz w:val="20"/>
                <w:szCs w:val="20"/>
              </w:rPr>
              <w:t>安盛船务</w:t>
            </w:r>
          </w:p>
        </w:tc>
        <w:tc>
          <w:tcPr>
            <w:tcW w:w="11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5"/>
              <w:ind w:right="103"/>
              <w:jc w:val="right"/>
              <w:rPr>
                <w:rFonts w:ascii="宋体" w:hAnsi="宋体" w:cs="宋体" w:eastAsia="宋体" w:hint="default"/>
                <w:sz w:val="20"/>
                <w:szCs w:val="20"/>
              </w:rPr>
            </w:pPr>
            <w:r>
              <w:rPr>
                <w:rFonts w:ascii="宋体"/>
                <w:w w:val="95"/>
                <w:sz w:val="20"/>
              </w:rPr>
              <w:t>100.00</w:t>
            </w:r>
            <w:r>
              <w:rPr>
                <w:rFonts w:ascii="宋体"/>
                <w:sz w:val="20"/>
              </w:rPr>
            </w:r>
          </w:p>
        </w:tc>
        <w:tc>
          <w:tcPr>
            <w:tcW w:w="113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5"/>
              <w:ind w:right="107"/>
              <w:jc w:val="right"/>
              <w:rPr>
                <w:rFonts w:ascii="宋体" w:hAnsi="宋体" w:cs="宋体" w:eastAsia="宋体" w:hint="default"/>
                <w:sz w:val="20"/>
                <w:szCs w:val="20"/>
              </w:rPr>
            </w:pPr>
            <w:r>
              <w:rPr>
                <w:rFonts w:ascii="宋体" w:hAnsi="宋体" w:cs="宋体" w:eastAsia="宋体" w:hint="default"/>
                <w:w w:val="99"/>
                <w:sz w:val="20"/>
                <w:szCs w:val="20"/>
              </w:rPr>
              <w:t>—</w:t>
            </w:r>
            <w:r>
              <w:rPr>
                <w:rFonts w:ascii="宋体" w:hAnsi="宋体" w:cs="宋体" w:eastAsia="宋体" w:hint="default"/>
                <w:sz w:val="20"/>
                <w:szCs w:val="20"/>
              </w:rPr>
            </w:r>
          </w:p>
        </w:tc>
      </w:tr>
      <w:tr>
        <w:trPr>
          <w:trHeight w:val="403" w:hRule="exact"/>
        </w:trPr>
        <w:tc>
          <w:tcPr>
            <w:tcW w:w="7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3" w:right="0"/>
              <w:jc w:val="center"/>
              <w:rPr>
                <w:rFonts w:ascii="宋体" w:hAnsi="宋体" w:cs="宋体" w:eastAsia="宋体" w:hint="default"/>
                <w:sz w:val="20"/>
                <w:szCs w:val="20"/>
              </w:rPr>
            </w:pPr>
            <w:r>
              <w:rPr>
                <w:rFonts w:ascii="宋体"/>
                <w:w w:val="99"/>
                <w:sz w:val="20"/>
              </w:rPr>
              <w:t>3</w:t>
            </w:r>
            <w:r>
              <w:rPr>
                <w:rFonts w:ascii="宋体"/>
                <w:sz w:val="20"/>
              </w:rPr>
            </w:r>
          </w:p>
        </w:tc>
        <w:tc>
          <w:tcPr>
            <w:tcW w:w="43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105" w:right="0"/>
              <w:jc w:val="left"/>
              <w:rPr>
                <w:rFonts w:ascii="宋体" w:hAnsi="宋体" w:cs="宋体" w:eastAsia="宋体" w:hint="default"/>
                <w:sz w:val="20"/>
                <w:szCs w:val="20"/>
              </w:rPr>
            </w:pPr>
            <w:r>
              <w:rPr>
                <w:rFonts w:ascii="宋体" w:hAnsi="宋体" w:cs="宋体" w:eastAsia="宋体" w:hint="default"/>
                <w:sz w:val="20"/>
                <w:szCs w:val="20"/>
              </w:rPr>
              <w:t>泉州安通物流（上海）有限公司</w:t>
            </w:r>
          </w:p>
        </w:tc>
        <w:tc>
          <w:tcPr>
            <w:tcW w:w="16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2"/>
              <w:jc w:val="center"/>
              <w:rPr>
                <w:rFonts w:ascii="宋体" w:hAnsi="宋体" w:cs="宋体" w:eastAsia="宋体" w:hint="default"/>
                <w:sz w:val="20"/>
                <w:szCs w:val="20"/>
              </w:rPr>
            </w:pPr>
            <w:r>
              <w:rPr>
                <w:rFonts w:ascii="宋体" w:hAnsi="宋体" w:cs="宋体" w:eastAsia="宋体" w:hint="default"/>
                <w:sz w:val="20"/>
                <w:szCs w:val="20"/>
              </w:rPr>
              <w:t>上海安通</w:t>
            </w:r>
          </w:p>
        </w:tc>
        <w:tc>
          <w:tcPr>
            <w:tcW w:w="11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20"/>
                <w:szCs w:val="20"/>
              </w:rPr>
            </w:pPr>
            <w:r>
              <w:rPr>
                <w:rFonts w:ascii="宋体" w:hAnsi="宋体" w:cs="宋体" w:eastAsia="宋体" w:hint="default"/>
                <w:w w:val="99"/>
                <w:sz w:val="20"/>
                <w:szCs w:val="20"/>
              </w:rPr>
              <w:t>—</w:t>
            </w:r>
            <w:r>
              <w:rPr>
                <w:rFonts w:ascii="宋体" w:hAnsi="宋体" w:cs="宋体" w:eastAsia="宋体" w:hint="default"/>
                <w:sz w:val="20"/>
                <w:szCs w:val="20"/>
              </w:rPr>
            </w:r>
          </w:p>
        </w:tc>
        <w:tc>
          <w:tcPr>
            <w:tcW w:w="113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105"/>
              <w:jc w:val="right"/>
              <w:rPr>
                <w:rFonts w:ascii="宋体" w:hAnsi="宋体" w:cs="宋体" w:eastAsia="宋体" w:hint="default"/>
                <w:sz w:val="20"/>
                <w:szCs w:val="20"/>
              </w:rPr>
            </w:pPr>
            <w:r>
              <w:rPr>
                <w:rFonts w:ascii="宋体"/>
                <w:w w:val="95"/>
                <w:sz w:val="20"/>
              </w:rPr>
              <w:t>100.00</w:t>
            </w:r>
            <w:r>
              <w:rPr>
                <w:rFonts w:ascii="宋体"/>
                <w:sz w:val="20"/>
              </w:rPr>
            </w:r>
          </w:p>
        </w:tc>
      </w:tr>
      <w:tr>
        <w:trPr>
          <w:trHeight w:val="401" w:hRule="exact"/>
        </w:trPr>
        <w:tc>
          <w:tcPr>
            <w:tcW w:w="7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6"/>
              <w:ind w:left="13" w:right="0"/>
              <w:jc w:val="center"/>
              <w:rPr>
                <w:rFonts w:ascii="宋体" w:hAnsi="宋体" w:cs="宋体" w:eastAsia="宋体" w:hint="default"/>
                <w:sz w:val="20"/>
                <w:szCs w:val="20"/>
              </w:rPr>
            </w:pPr>
            <w:r>
              <w:rPr>
                <w:rFonts w:ascii="宋体"/>
                <w:w w:val="99"/>
                <w:sz w:val="20"/>
              </w:rPr>
              <w:t>4</w:t>
            </w:r>
            <w:r>
              <w:rPr>
                <w:rFonts w:ascii="宋体"/>
                <w:sz w:val="20"/>
              </w:rPr>
            </w:r>
          </w:p>
        </w:tc>
        <w:tc>
          <w:tcPr>
            <w:tcW w:w="43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6"/>
              <w:ind w:left="105" w:right="0"/>
              <w:jc w:val="left"/>
              <w:rPr>
                <w:rFonts w:ascii="宋体" w:hAnsi="宋体" w:cs="宋体" w:eastAsia="宋体" w:hint="default"/>
                <w:sz w:val="20"/>
                <w:szCs w:val="20"/>
              </w:rPr>
            </w:pPr>
            <w:r>
              <w:rPr>
                <w:rFonts w:ascii="宋体" w:hAnsi="宋体" w:cs="宋体" w:eastAsia="宋体" w:hint="default"/>
                <w:sz w:val="20"/>
                <w:szCs w:val="20"/>
              </w:rPr>
              <w:t>厦门安通物流有限公司</w:t>
            </w:r>
          </w:p>
        </w:tc>
        <w:tc>
          <w:tcPr>
            <w:tcW w:w="16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6"/>
              <w:ind w:right="2"/>
              <w:jc w:val="center"/>
              <w:rPr>
                <w:rFonts w:ascii="宋体" w:hAnsi="宋体" w:cs="宋体" w:eastAsia="宋体" w:hint="default"/>
                <w:sz w:val="20"/>
                <w:szCs w:val="20"/>
              </w:rPr>
            </w:pPr>
            <w:r>
              <w:rPr>
                <w:rFonts w:ascii="宋体" w:hAnsi="宋体" w:cs="宋体" w:eastAsia="宋体" w:hint="default"/>
                <w:sz w:val="20"/>
                <w:szCs w:val="20"/>
              </w:rPr>
              <w:t>厦门安通</w:t>
            </w:r>
          </w:p>
        </w:tc>
        <w:tc>
          <w:tcPr>
            <w:tcW w:w="11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6"/>
              <w:ind w:right="103"/>
              <w:jc w:val="right"/>
              <w:rPr>
                <w:rFonts w:ascii="宋体" w:hAnsi="宋体" w:cs="宋体" w:eastAsia="宋体" w:hint="default"/>
                <w:sz w:val="20"/>
                <w:szCs w:val="20"/>
              </w:rPr>
            </w:pPr>
            <w:r>
              <w:rPr>
                <w:rFonts w:ascii="宋体" w:hAnsi="宋体" w:cs="宋体" w:eastAsia="宋体" w:hint="default"/>
                <w:w w:val="99"/>
                <w:sz w:val="20"/>
                <w:szCs w:val="20"/>
              </w:rPr>
              <w:t>—</w:t>
            </w:r>
            <w:r>
              <w:rPr>
                <w:rFonts w:ascii="宋体" w:hAnsi="宋体" w:cs="宋体" w:eastAsia="宋体" w:hint="default"/>
                <w:sz w:val="20"/>
                <w:szCs w:val="20"/>
              </w:rPr>
            </w:r>
          </w:p>
        </w:tc>
        <w:tc>
          <w:tcPr>
            <w:tcW w:w="113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6"/>
              <w:ind w:right="105"/>
              <w:jc w:val="right"/>
              <w:rPr>
                <w:rFonts w:ascii="宋体" w:hAnsi="宋体" w:cs="宋体" w:eastAsia="宋体" w:hint="default"/>
                <w:sz w:val="20"/>
                <w:szCs w:val="20"/>
              </w:rPr>
            </w:pPr>
            <w:r>
              <w:rPr>
                <w:rFonts w:ascii="宋体"/>
                <w:w w:val="95"/>
                <w:sz w:val="20"/>
              </w:rPr>
              <w:t>100.00</w:t>
            </w:r>
            <w:r>
              <w:rPr>
                <w:rFonts w:ascii="宋体"/>
                <w:sz w:val="20"/>
              </w:rPr>
            </w:r>
          </w:p>
        </w:tc>
      </w:tr>
      <w:tr>
        <w:trPr>
          <w:trHeight w:val="403" w:hRule="exact"/>
        </w:trPr>
        <w:tc>
          <w:tcPr>
            <w:tcW w:w="7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3" w:right="0"/>
              <w:jc w:val="center"/>
              <w:rPr>
                <w:rFonts w:ascii="宋体" w:hAnsi="宋体" w:cs="宋体" w:eastAsia="宋体" w:hint="default"/>
                <w:sz w:val="20"/>
                <w:szCs w:val="20"/>
              </w:rPr>
            </w:pPr>
            <w:r>
              <w:rPr>
                <w:rFonts w:ascii="宋体"/>
                <w:w w:val="99"/>
                <w:sz w:val="20"/>
              </w:rPr>
              <w:t>5</w:t>
            </w:r>
            <w:r>
              <w:rPr>
                <w:rFonts w:ascii="宋体"/>
                <w:sz w:val="20"/>
              </w:rPr>
            </w:r>
          </w:p>
        </w:tc>
        <w:tc>
          <w:tcPr>
            <w:tcW w:w="43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105" w:right="0"/>
              <w:jc w:val="left"/>
              <w:rPr>
                <w:rFonts w:ascii="宋体" w:hAnsi="宋体" w:cs="宋体" w:eastAsia="宋体" w:hint="default"/>
                <w:sz w:val="20"/>
                <w:szCs w:val="20"/>
              </w:rPr>
            </w:pPr>
            <w:r>
              <w:rPr>
                <w:rFonts w:ascii="宋体" w:hAnsi="宋体" w:cs="宋体" w:eastAsia="宋体" w:hint="default"/>
                <w:sz w:val="20"/>
                <w:szCs w:val="20"/>
              </w:rPr>
              <w:t>海南安盛船务有限公司</w:t>
            </w:r>
          </w:p>
        </w:tc>
        <w:tc>
          <w:tcPr>
            <w:tcW w:w="16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2"/>
              <w:jc w:val="center"/>
              <w:rPr>
                <w:rFonts w:ascii="宋体" w:hAnsi="宋体" w:cs="宋体" w:eastAsia="宋体" w:hint="default"/>
                <w:sz w:val="20"/>
                <w:szCs w:val="20"/>
              </w:rPr>
            </w:pPr>
            <w:r>
              <w:rPr>
                <w:rFonts w:ascii="宋体" w:hAnsi="宋体" w:cs="宋体" w:eastAsia="宋体" w:hint="default"/>
                <w:sz w:val="20"/>
                <w:szCs w:val="20"/>
              </w:rPr>
              <w:t>海南安盛</w:t>
            </w:r>
          </w:p>
        </w:tc>
        <w:tc>
          <w:tcPr>
            <w:tcW w:w="11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20"/>
                <w:szCs w:val="20"/>
              </w:rPr>
            </w:pPr>
            <w:r>
              <w:rPr>
                <w:rFonts w:ascii="宋体" w:hAnsi="宋体" w:cs="宋体" w:eastAsia="宋体" w:hint="default"/>
                <w:w w:val="99"/>
                <w:sz w:val="20"/>
                <w:szCs w:val="20"/>
              </w:rPr>
              <w:t>—</w:t>
            </w:r>
            <w:r>
              <w:rPr>
                <w:rFonts w:ascii="宋体" w:hAnsi="宋体" w:cs="宋体" w:eastAsia="宋体" w:hint="default"/>
                <w:sz w:val="20"/>
                <w:szCs w:val="20"/>
              </w:rPr>
            </w:r>
          </w:p>
        </w:tc>
        <w:tc>
          <w:tcPr>
            <w:tcW w:w="113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105"/>
              <w:jc w:val="right"/>
              <w:rPr>
                <w:rFonts w:ascii="宋体" w:hAnsi="宋体" w:cs="宋体" w:eastAsia="宋体" w:hint="default"/>
                <w:sz w:val="20"/>
                <w:szCs w:val="20"/>
              </w:rPr>
            </w:pPr>
            <w:r>
              <w:rPr>
                <w:rFonts w:ascii="宋体"/>
                <w:w w:val="95"/>
                <w:sz w:val="20"/>
              </w:rPr>
              <w:t>100.00</w:t>
            </w:r>
            <w:r>
              <w:rPr>
                <w:rFonts w:ascii="宋体"/>
                <w:sz w:val="20"/>
              </w:rPr>
            </w:r>
          </w:p>
        </w:tc>
      </w:tr>
      <w:tr>
        <w:trPr>
          <w:trHeight w:val="401" w:hRule="exact"/>
        </w:trPr>
        <w:tc>
          <w:tcPr>
            <w:tcW w:w="7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5"/>
              <w:ind w:left="13" w:right="0"/>
              <w:jc w:val="center"/>
              <w:rPr>
                <w:rFonts w:ascii="宋体" w:hAnsi="宋体" w:cs="宋体" w:eastAsia="宋体" w:hint="default"/>
                <w:sz w:val="20"/>
                <w:szCs w:val="20"/>
              </w:rPr>
            </w:pPr>
            <w:r>
              <w:rPr>
                <w:rFonts w:ascii="宋体"/>
                <w:w w:val="99"/>
                <w:sz w:val="20"/>
              </w:rPr>
              <w:t>6</w:t>
            </w:r>
            <w:r>
              <w:rPr>
                <w:rFonts w:ascii="宋体"/>
                <w:sz w:val="20"/>
              </w:rPr>
            </w:r>
          </w:p>
        </w:tc>
        <w:tc>
          <w:tcPr>
            <w:tcW w:w="43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5"/>
              <w:ind w:left="105" w:right="0"/>
              <w:jc w:val="left"/>
              <w:rPr>
                <w:rFonts w:ascii="宋体" w:hAnsi="宋体" w:cs="宋体" w:eastAsia="宋体" w:hint="default"/>
                <w:sz w:val="20"/>
                <w:szCs w:val="20"/>
              </w:rPr>
            </w:pPr>
            <w:r>
              <w:rPr>
                <w:rFonts w:ascii="宋体" w:hAnsi="宋体" w:cs="宋体" w:eastAsia="宋体" w:hint="default"/>
                <w:sz w:val="20"/>
                <w:szCs w:val="20"/>
              </w:rPr>
              <w:t>泉州安通集速拼物流有限公司</w:t>
            </w:r>
          </w:p>
        </w:tc>
        <w:tc>
          <w:tcPr>
            <w:tcW w:w="16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5"/>
              <w:ind w:right="3"/>
              <w:jc w:val="center"/>
              <w:rPr>
                <w:rFonts w:ascii="宋体" w:hAnsi="宋体" w:cs="宋体" w:eastAsia="宋体" w:hint="default"/>
                <w:sz w:val="20"/>
                <w:szCs w:val="20"/>
              </w:rPr>
            </w:pPr>
            <w:r>
              <w:rPr>
                <w:rFonts w:ascii="宋体" w:hAnsi="宋体" w:cs="宋体" w:eastAsia="宋体" w:hint="default"/>
                <w:sz w:val="20"/>
                <w:szCs w:val="20"/>
              </w:rPr>
              <w:t>安通集速拼</w:t>
            </w:r>
          </w:p>
        </w:tc>
        <w:tc>
          <w:tcPr>
            <w:tcW w:w="11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5"/>
              <w:ind w:right="103"/>
              <w:jc w:val="right"/>
              <w:rPr>
                <w:rFonts w:ascii="宋体" w:hAnsi="宋体" w:cs="宋体" w:eastAsia="宋体" w:hint="default"/>
                <w:sz w:val="20"/>
                <w:szCs w:val="20"/>
              </w:rPr>
            </w:pPr>
            <w:r>
              <w:rPr>
                <w:rFonts w:ascii="宋体" w:hAnsi="宋体" w:cs="宋体" w:eastAsia="宋体" w:hint="default"/>
                <w:w w:val="99"/>
                <w:sz w:val="20"/>
                <w:szCs w:val="20"/>
              </w:rPr>
              <w:t>—</w:t>
            </w:r>
            <w:r>
              <w:rPr>
                <w:rFonts w:ascii="宋体" w:hAnsi="宋体" w:cs="宋体" w:eastAsia="宋体" w:hint="default"/>
                <w:sz w:val="20"/>
                <w:szCs w:val="20"/>
              </w:rPr>
            </w:r>
          </w:p>
        </w:tc>
        <w:tc>
          <w:tcPr>
            <w:tcW w:w="113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5"/>
              <w:ind w:right="105"/>
              <w:jc w:val="right"/>
              <w:rPr>
                <w:rFonts w:ascii="宋体" w:hAnsi="宋体" w:cs="宋体" w:eastAsia="宋体" w:hint="default"/>
                <w:sz w:val="20"/>
                <w:szCs w:val="20"/>
              </w:rPr>
            </w:pPr>
            <w:r>
              <w:rPr>
                <w:rFonts w:ascii="宋体"/>
                <w:w w:val="95"/>
                <w:sz w:val="20"/>
              </w:rPr>
              <w:t>100.00</w:t>
            </w:r>
            <w:r>
              <w:rPr>
                <w:rFonts w:ascii="宋体"/>
                <w:sz w:val="20"/>
              </w:rPr>
            </w:r>
          </w:p>
        </w:tc>
      </w:tr>
      <w:tr>
        <w:trPr>
          <w:trHeight w:val="403" w:hRule="exact"/>
        </w:trPr>
        <w:tc>
          <w:tcPr>
            <w:tcW w:w="7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3" w:right="0"/>
              <w:jc w:val="center"/>
              <w:rPr>
                <w:rFonts w:ascii="宋体" w:hAnsi="宋体" w:cs="宋体" w:eastAsia="宋体" w:hint="default"/>
                <w:sz w:val="20"/>
                <w:szCs w:val="20"/>
              </w:rPr>
            </w:pPr>
            <w:r>
              <w:rPr>
                <w:rFonts w:ascii="宋体"/>
                <w:w w:val="99"/>
                <w:sz w:val="20"/>
              </w:rPr>
              <w:t>7</w:t>
            </w:r>
            <w:r>
              <w:rPr>
                <w:rFonts w:ascii="宋体"/>
                <w:sz w:val="20"/>
              </w:rPr>
            </w:r>
          </w:p>
        </w:tc>
        <w:tc>
          <w:tcPr>
            <w:tcW w:w="43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105" w:right="0"/>
              <w:jc w:val="left"/>
              <w:rPr>
                <w:rFonts w:ascii="宋体" w:hAnsi="宋体" w:cs="宋体" w:eastAsia="宋体" w:hint="default"/>
                <w:sz w:val="20"/>
                <w:szCs w:val="20"/>
              </w:rPr>
            </w:pPr>
            <w:r>
              <w:rPr>
                <w:rFonts w:ascii="宋体" w:hAnsi="宋体" w:cs="宋体" w:eastAsia="宋体" w:hint="default"/>
                <w:sz w:val="20"/>
                <w:szCs w:val="20"/>
              </w:rPr>
              <w:t>安航冷链物流有限公司</w:t>
            </w:r>
          </w:p>
        </w:tc>
        <w:tc>
          <w:tcPr>
            <w:tcW w:w="16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2"/>
              <w:jc w:val="center"/>
              <w:rPr>
                <w:rFonts w:ascii="宋体" w:hAnsi="宋体" w:cs="宋体" w:eastAsia="宋体" w:hint="default"/>
                <w:sz w:val="20"/>
                <w:szCs w:val="20"/>
              </w:rPr>
            </w:pPr>
            <w:r>
              <w:rPr>
                <w:rFonts w:ascii="宋体" w:hAnsi="宋体" w:cs="宋体" w:eastAsia="宋体" w:hint="default"/>
                <w:sz w:val="20"/>
                <w:szCs w:val="20"/>
              </w:rPr>
              <w:t>安航冷链</w:t>
            </w:r>
          </w:p>
        </w:tc>
        <w:tc>
          <w:tcPr>
            <w:tcW w:w="11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20"/>
                <w:szCs w:val="20"/>
              </w:rPr>
            </w:pPr>
            <w:r>
              <w:rPr>
                <w:rFonts w:ascii="宋体" w:hAnsi="宋体" w:cs="宋体" w:eastAsia="宋体" w:hint="default"/>
                <w:w w:val="99"/>
                <w:sz w:val="20"/>
                <w:szCs w:val="20"/>
              </w:rPr>
              <w:t>—</w:t>
            </w:r>
            <w:r>
              <w:rPr>
                <w:rFonts w:ascii="宋体" w:hAnsi="宋体" w:cs="宋体" w:eastAsia="宋体" w:hint="default"/>
                <w:sz w:val="20"/>
                <w:szCs w:val="20"/>
              </w:rPr>
            </w:r>
          </w:p>
        </w:tc>
        <w:tc>
          <w:tcPr>
            <w:tcW w:w="113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105"/>
              <w:jc w:val="right"/>
              <w:rPr>
                <w:rFonts w:ascii="宋体" w:hAnsi="宋体" w:cs="宋体" w:eastAsia="宋体" w:hint="default"/>
                <w:sz w:val="20"/>
                <w:szCs w:val="20"/>
              </w:rPr>
            </w:pPr>
            <w:r>
              <w:rPr>
                <w:rFonts w:ascii="宋体"/>
                <w:w w:val="95"/>
                <w:sz w:val="20"/>
              </w:rPr>
              <w:t>60.00</w:t>
            </w:r>
            <w:r>
              <w:rPr>
                <w:rFonts w:ascii="宋体"/>
                <w:sz w:val="20"/>
              </w:rPr>
            </w:r>
          </w:p>
        </w:tc>
      </w:tr>
      <w:tr>
        <w:trPr>
          <w:trHeight w:val="401" w:hRule="exact"/>
        </w:trPr>
        <w:tc>
          <w:tcPr>
            <w:tcW w:w="7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5"/>
              <w:ind w:left="13" w:right="0"/>
              <w:jc w:val="center"/>
              <w:rPr>
                <w:rFonts w:ascii="宋体" w:hAnsi="宋体" w:cs="宋体" w:eastAsia="宋体" w:hint="default"/>
                <w:sz w:val="20"/>
                <w:szCs w:val="20"/>
              </w:rPr>
            </w:pPr>
            <w:r>
              <w:rPr>
                <w:rFonts w:ascii="宋体"/>
                <w:w w:val="99"/>
                <w:sz w:val="20"/>
              </w:rPr>
              <w:t>8</w:t>
            </w:r>
            <w:r>
              <w:rPr>
                <w:rFonts w:ascii="宋体"/>
                <w:sz w:val="20"/>
              </w:rPr>
            </w:r>
          </w:p>
        </w:tc>
        <w:tc>
          <w:tcPr>
            <w:tcW w:w="43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5"/>
              <w:ind w:left="105" w:right="0"/>
              <w:jc w:val="left"/>
              <w:rPr>
                <w:rFonts w:ascii="宋体" w:hAnsi="宋体" w:cs="宋体" w:eastAsia="宋体" w:hint="default"/>
                <w:sz w:val="20"/>
                <w:szCs w:val="20"/>
              </w:rPr>
            </w:pPr>
            <w:r>
              <w:rPr>
                <w:rFonts w:ascii="宋体" w:hAnsi="宋体" w:cs="宋体" w:eastAsia="宋体" w:hint="default"/>
                <w:sz w:val="20"/>
                <w:szCs w:val="20"/>
              </w:rPr>
              <w:t>安通（泉州）多式联运基地有限公司</w:t>
            </w:r>
          </w:p>
        </w:tc>
        <w:tc>
          <w:tcPr>
            <w:tcW w:w="16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5"/>
              <w:ind w:right="0"/>
              <w:jc w:val="center"/>
              <w:rPr>
                <w:rFonts w:ascii="宋体" w:hAnsi="宋体" w:cs="宋体" w:eastAsia="宋体" w:hint="default"/>
                <w:sz w:val="20"/>
                <w:szCs w:val="20"/>
              </w:rPr>
            </w:pPr>
            <w:r>
              <w:rPr>
                <w:rFonts w:ascii="宋体" w:hAnsi="宋体" w:cs="宋体" w:eastAsia="宋体" w:hint="default"/>
                <w:sz w:val="20"/>
                <w:szCs w:val="20"/>
              </w:rPr>
              <w:t>泉州多式联运</w:t>
            </w:r>
          </w:p>
        </w:tc>
        <w:tc>
          <w:tcPr>
            <w:tcW w:w="11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5"/>
              <w:ind w:right="103"/>
              <w:jc w:val="right"/>
              <w:rPr>
                <w:rFonts w:ascii="宋体" w:hAnsi="宋体" w:cs="宋体" w:eastAsia="宋体" w:hint="default"/>
                <w:sz w:val="20"/>
                <w:szCs w:val="20"/>
              </w:rPr>
            </w:pPr>
            <w:r>
              <w:rPr>
                <w:rFonts w:ascii="宋体"/>
                <w:w w:val="95"/>
                <w:sz w:val="20"/>
              </w:rPr>
              <w:t>100.00</w:t>
            </w:r>
            <w:r>
              <w:rPr>
                <w:rFonts w:ascii="宋体"/>
                <w:sz w:val="20"/>
              </w:rPr>
            </w:r>
          </w:p>
        </w:tc>
        <w:tc>
          <w:tcPr>
            <w:tcW w:w="113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5"/>
              <w:ind w:right="107"/>
              <w:jc w:val="right"/>
              <w:rPr>
                <w:rFonts w:ascii="宋体" w:hAnsi="宋体" w:cs="宋体" w:eastAsia="宋体" w:hint="default"/>
                <w:sz w:val="20"/>
                <w:szCs w:val="20"/>
              </w:rPr>
            </w:pPr>
            <w:r>
              <w:rPr>
                <w:rFonts w:ascii="宋体" w:hAnsi="宋体" w:cs="宋体" w:eastAsia="宋体" w:hint="default"/>
                <w:w w:val="99"/>
                <w:sz w:val="20"/>
                <w:szCs w:val="20"/>
              </w:rPr>
              <w:t>—</w:t>
            </w:r>
            <w:r>
              <w:rPr>
                <w:rFonts w:ascii="宋体" w:hAnsi="宋体" w:cs="宋体" w:eastAsia="宋体" w:hint="default"/>
                <w:sz w:val="20"/>
                <w:szCs w:val="20"/>
              </w:rPr>
            </w:r>
          </w:p>
        </w:tc>
      </w:tr>
      <w:tr>
        <w:trPr>
          <w:trHeight w:val="403" w:hRule="exact"/>
        </w:trPr>
        <w:tc>
          <w:tcPr>
            <w:tcW w:w="7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3" w:right="0"/>
              <w:jc w:val="center"/>
              <w:rPr>
                <w:rFonts w:ascii="宋体" w:hAnsi="宋体" w:cs="宋体" w:eastAsia="宋体" w:hint="default"/>
                <w:sz w:val="20"/>
                <w:szCs w:val="20"/>
              </w:rPr>
            </w:pPr>
            <w:r>
              <w:rPr>
                <w:rFonts w:ascii="宋体"/>
                <w:w w:val="99"/>
                <w:sz w:val="20"/>
              </w:rPr>
              <w:t>9</w:t>
            </w:r>
            <w:r>
              <w:rPr>
                <w:rFonts w:ascii="宋体"/>
                <w:sz w:val="20"/>
              </w:rPr>
            </w:r>
          </w:p>
        </w:tc>
        <w:tc>
          <w:tcPr>
            <w:tcW w:w="43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105" w:right="0"/>
              <w:jc w:val="left"/>
              <w:rPr>
                <w:rFonts w:ascii="宋体" w:hAnsi="宋体" w:cs="宋体" w:eastAsia="宋体" w:hint="default"/>
                <w:sz w:val="20"/>
                <w:szCs w:val="20"/>
              </w:rPr>
            </w:pPr>
            <w:r>
              <w:rPr>
                <w:rFonts w:ascii="宋体" w:hAnsi="宋体" w:cs="宋体" w:eastAsia="宋体" w:hint="default"/>
                <w:sz w:val="20"/>
                <w:szCs w:val="20"/>
              </w:rPr>
              <w:t>安通（唐山海港）多式联运基地有限公司</w:t>
            </w:r>
          </w:p>
        </w:tc>
        <w:tc>
          <w:tcPr>
            <w:tcW w:w="16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z w:val="20"/>
                <w:szCs w:val="20"/>
              </w:rPr>
              <w:t>唐山多式联运</w:t>
            </w:r>
          </w:p>
        </w:tc>
        <w:tc>
          <w:tcPr>
            <w:tcW w:w="11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20"/>
                <w:szCs w:val="20"/>
              </w:rPr>
            </w:pPr>
            <w:r>
              <w:rPr>
                <w:rFonts w:ascii="宋体"/>
                <w:w w:val="95"/>
                <w:sz w:val="20"/>
              </w:rPr>
              <w:t>100.00</w:t>
            </w:r>
            <w:r>
              <w:rPr>
                <w:rFonts w:ascii="宋体"/>
                <w:sz w:val="20"/>
              </w:rPr>
            </w:r>
          </w:p>
        </w:tc>
        <w:tc>
          <w:tcPr>
            <w:tcW w:w="113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107"/>
              <w:jc w:val="right"/>
              <w:rPr>
                <w:rFonts w:ascii="宋体" w:hAnsi="宋体" w:cs="宋体" w:eastAsia="宋体" w:hint="default"/>
                <w:sz w:val="20"/>
                <w:szCs w:val="20"/>
              </w:rPr>
            </w:pPr>
            <w:r>
              <w:rPr>
                <w:rFonts w:ascii="宋体" w:hAnsi="宋体" w:cs="宋体" w:eastAsia="宋体" w:hint="default"/>
                <w:w w:val="99"/>
                <w:sz w:val="20"/>
                <w:szCs w:val="20"/>
              </w:rPr>
              <w:t>—</w:t>
            </w:r>
            <w:r>
              <w:rPr>
                <w:rFonts w:ascii="宋体" w:hAnsi="宋体" w:cs="宋体" w:eastAsia="宋体" w:hint="default"/>
                <w:sz w:val="20"/>
                <w:szCs w:val="20"/>
              </w:rPr>
            </w:r>
          </w:p>
        </w:tc>
      </w:tr>
      <w:tr>
        <w:trPr>
          <w:trHeight w:val="401" w:hRule="exact"/>
        </w:trPr>
        <w:tc>
          <w:tcPr>
            <w:tcW w:w="7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5"/>
              <w:ind w:left="19" w:right="0"/>
              <w:jc w:val="center"/>
              <w:rPr>
                <w:rFonts w:ascii="宋体" w:hAnsi="宋体" w:cs="宋体" w:eastAsia="宋体" w:hint="default"/>
                <w:sz w:val="20"/>
                <w:szCs w:val="20"/>
              </w:rPr>
            </w:pPr>
            <w:r>
              <w:rPr>
                <w:rFonts w:ascii="宋体"/>
                <w:sz w:val="20"/>
              </w:rPr>
              <w:t>10</w:t>
            </w:r>
          </w:p>
        </w:tc>
        <w:tc>
          <w:tcPr>
            <w:tcW w:w="43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5"/>
              <w:ind w:left="105" w:right="0"/>
              <w:jc w:val="left"/>
              <w:rPr>
                <w:rFonts w:ascii="宋体" w:hAnsi="宋体" w:cs="宋体" w:eastAsia="宋体" w:hint="default"/>
                <w:sz w:val="20"/>
                <w:szCs w:val="20"/>
              </w:rPr>
            </w:pPr>
            <w:r>
              <w:rPr>
                <w:rFonts w:ascii="宋体" w:hAnsi="宋体" w:cs="宋体" w:eastAsia="宋体" w:hint="default"/>
                <w:sz w:val="20"/>
                <w:szCs w:val="20"/>
              </w:rPr>
              <w:t>东南冷链仓储有限公司</w:t>
            </w:r>
          </w:p>
        </w:tc>
        <w:tc>
          <w:tcPr>
            <w:tcW w:w="16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5"/>
              <w:ind w:right="2"/>
              <w:jc w:val="center"/>
              <w:rPr>
                <w:rFonts w:ascii="宋体" w:hAnsi="宋体" w:cs="宋体" w:eastAsia="宋体" w:hint="default"/>
                <w:sz w:val="20"/>
                <w:szCs w:val="20"/>
              </w:rPr>
            </w:pPr>
            <w:r>
              <w:rPr>
                <w:rFonts w:ascii="宋体" w:hAnsi="宋体" w:cs="宋体" w:eastAsia="宋体" w:hint="default"/>
                <w:sz w:val="20"/>
                <w:szCs w:val="20"/>
              </w:rPr>
              <w:t>东南冷链</w:t>
            </w:r>
          </w:p>
        </w:tc>
        <w:tc>
          <w:tcPr>
            <w:tcW w:w="11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5"/>
              <w:ind w:right="103"/>
              <w:jc w:val="right"/>
              <w:rPr>
                <w:rFonts w:ascii="宋体" w:hAnsi="宋体" w:cs="宋体" w:eastAsia="宋体" w:hint="default"/>
                <w:sz w:val="20"/>
                <w:szCs w:val="20"/>
              </w:rPr>
            </w:pPr>
            <w:r>
              <w:rPr>
                <w:rFonts w:ascii="宋体" w:hAnsi="宋体" w:cs="宋体" w:eastAsia="宋体" w:hint="default"/>
                <w:w w:val="99"/>
                <w:sz w:val="20"/>
                <w:szCs w:val="20"/>
              </w:rPr>
              <w:t>—</w:t>
            </w:r>
            <w:r>
              <w:rPr>
                <w:rFonts w:ascii="宋体" w:hAnsi="宋体" w:cs="宋体" w:eastAsia="宋体" w:hint="default"/>
                <w:sz w:val="20"/>
                <w:szCs w:val="20"/>
              </w:rPr>
            </w:r>
          </w:p>
        </w:tc>
        <w:tc>
          <w:tcPr>
            <w:tcW w:w="113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5"/>
              <w:ind w:right="105"/>
              <w:jc w:val="right"/>
              <w:rPr>
                <w:rFonts w:ascii="宋体" w:hAnsi="宋体" w:cs="宋体" w:eastAsia="宋体" w:hint="default"/>
                <w:sz w:val="20"/>
                <w:szCs w:val="20"/>
              </w:rPr>
            </w:pPr>
            <w:r>
              <w:rPr>
                <w:rFonts w:ascii="宋体"/>
                <w:w w:val="95"/>
                <w:sz w:val="20"/>
              </w:rPr>
              <w:t>100.00</w:t>
            </w:r>
            <w:r>
              <w:rPr>
                <w:rFonts w:ascii="宋体"/>
                <w:sz w:val="20"/>
              </w:rPr>
            </w:r>
          </w:p>
        </w:tc>
      </w:tr>
      <w:tr>
        <w:trPr>
          <w:trHeight w:val="403" w:hRule="exact"/>
        </w:trPr>
        <w:tc>
          <w:tcPr>
            <w:tcW w:w="7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9" w:right="0"/>
              <w:jc w:val="center"/>
              <w:rPr>
                <w:rFonts w:ascii="宋体" w:hAnsi="宋体" w:cs="宋体" w:eastAsia="宋体" w:hint="default"/>
                <w:sz w:val="20"/>
                <w:szCs w:val="20"/>
              </w:rPr>
            </w:pPr>
            <w:r>
              <w:rPr>
                <w:rFonts w:ascii="宋体"/>
                <w:sz w:val="20"/>
              </w:rPr>
              <w:t>11</w:t>
            </w:r>
          </w:p>
        </w:tc>
        <w:tc>
          <w:tcPr>
            <w:tcW w:w="43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105" w:right="0"/>
              <w:jc w:val="left"/>
              <w:rPr>
                <w:rFonts w:ascii="宋体" w:hAnsi="宋体" w:cs="宋体" w:eastAsia="宋体" w:hint="default"/>
                <w:sz w:val="20"/>
                <w:szCs w:val="20"/>
              </w:rPr>
            </w:pPr>
            <w:r>
              <w:rPr>
                <w:rFonts w:ascii="宋体" w:hAnsi="宋体" w:cs="宋体" w:eastAsia="宋体" w:hint="default"/>
                <w:sz w:val="20"/>
                <w:szCs w:val="20"/>
              </w:rPr>
              <w:t>上海建润通嘉物流有限公司</w:t>
            </w:r>
          </w:p>
        </w:tc>
        <w:tc>
          <w:tcPr>
            <w:tcW w:w="16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2"/>
              <w:jc w:val="center"/>
              <w:rPr>
                <w:rFonts w:ascii="宋体" w:hAnsi="宋体" w:cs="宋体" w:eastAsia="宋体" w:hint="default"/>
                <w:sz w:val="20"/>
                <w:szCs w:val="20"/>
              </w:rPr>
            </w:pPr>
            <w:r>
              <w:rPr>
                <w:rFonts w:ascii="宋体" w:hAnsi="宋体" w:cs="宋体" w:eastAsia="宋体" w:hint="default"/>
                <w:sz w:val="20"/>
                <w:szCs w:val="20"/>
              </w:rPr>
              <w:t>建润通嘉</w:t>
            </w:r>
          </w:p>
        </w:tc>
        <w:tc>
          <w:tcPr>
            <w:tcW w:w="11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20"/>
                <w:szCs w:val="20"/>
              </w:rPr>
            </w:pPr>
            <w:r>
              <w:rPr>
                <w:rFonts w:ascii="宋体" w:hAnsi="宋体" w:cs="宋体" w:eastAsia="宋体" w:hint="default"/>
                <w:w w:val="99"/>
                <w:sz w:val="20"/>
                <w:szCs w:val="20"/>
              </w:rPr>
              <w:t>—</w:t>
            </w:r>
            <w:r>
              <w:rPr>
                <w:rFonts w:ascii="宋体" w:hAnsi="宋体" w:cs="宋体" w:eastAsia="宋体" w:hint="default"/>
                <w:sz w:val="20"/>
                <w:szCs w:val="20"/>
              </w:rPr>
            </w:r>
          </w:p>
        </w:tc>
        <w:tc>
          <w:tcPr>
            <w:tcW w:w="113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105"/>
              <w:jc w:val="right"/>
              <w:rPr>
                <w:rFonts w:ascii="宋体" w:hAnsi="宋体" w:cs="宋体" w:eastAsia="宋体" w:hint="default"/>
                <w:sz w:val="20"/>
                <w:szCs w:val="20"/>
              </w:rPr>
            </w:pPr>
            <w:r>
              <w:rPr>
                <w:rFonts w:ascii="宋体"/>
                <w:w w:val="95"/>
                <w:sz w:val="20"/>
              </w:rPr>
              <w:t>100.00</w:t>
            </w:r>
            <w:r>
              <w:rPr>
                <w:rFonts w:ascii="宋体"/>
                <w:sz w:val="20"/>
              </w:rPr>
            </w:r>
          </w:p>
        </w:tc>
      </w:tr>
      <w:tr>
        <w:trPr>
          <w:trHeight w:val="401" w:hRule="exact"/>
        </w:trPr>
        <w:tc>
          <w:tcPr>
            <w:tcW w:w="7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5"/>
              <w:ind w:left="18" w:right="0"/>
              <w:jc w:val="center"/>
              <w:rPr>
                <w:rFonts w:ascii="宋体" w:hAnsi="宋体" w:cs="宋体" w:eastAsia="宋体" w:hint="default"/>
                <w:sz w:val="20"/>
                <w:szCs w:val="20"/>
              </w:rPr>
            </w:pPr>
            <w:r>
              <w:rPr>
                <w:rFonts w:ascii="宋体"/>
                <w:sz w:val="20"/>
              </w:rPr>
              <w:t>12</w:t>
            </w:r>
          </w:p>
        </w:tc>
        <w:tc>
          <w:tcPr>
            <w:tcW w:w="43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5"/>
              <w:ind w:left="105" w:right="0"/>
              <w:jc w:val="left"/>
              <w:rPr>
                <w:rFonts w:ascii="宋体" w:hAnsi="宋体" w:cs="宋体" w:eastAsia="宋体" w:hint="default"/>
                <w:sz w:val="20"/>
                <w:szCs w:val="20"/>
              </w:rPr>
            </w:pPr>
            <w:r>
              <w:rPr>
                <w:rFonts w:ascii="宋体" w:hAnsi="宋体" w:cs="宋体" w:eastAsia="宋体" w:hint="default"/>
                <w:sz w:val="20"/>
                <w:szCs w:val="20"/>
              </w:rPr>
              <w:t>安通华南物流有限公司</w:t>
            </w:r>
          </w:p>
        </w:tc>
        <w:tc>
          <w:tcPr>
            <w:tcW w:w="16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5"/>
              <w:ind w:right="2"/>
              <w:jc w:val="center"/>
              <w:rPr>
                <w:rFonts w:ascii="宋体" w:hAnsi="宋体" w:cs="宋体" w:eastAsia="宋体" w:hint="default"/>
                <w:sz w:val="20"/>
                <w:szCs w:val="20"/>
              </w:rPr>
            </w:pPr>
            <w:r>
              <w:rPr>
                <w:rFonts w:ascii="宋体" w:hAnsi="宋体" w:cs="宋体" w:eastAsia="宋体" w:hint="default"/>
                <w:sz w:val="20"/>
                <w:szCs w:val="20"/>
              </w:rPr>
              <w:t>安通华南</w:t>
            </w:r>
          </w:p>
        </w:tc>
        <w:tc>
          <w:tcPr>
            <w:tcW w:w="11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5"/>
              <w:ind w:right="103"/>
              <w:jc w:val="right"/>
              <w:rPr>
                <w:rFonts w:ascii="宋体" w:hAnsi="宋体" w:cs="宋体" w:eastAsia="宋体" w:hint="default"/>
                <w:sz w:val="20"/>
                <w:szCs w:val="20"/>
              </w:rPr>
            </w:pPr>
            <w:r>
              <w:rPr>
                <w:rFonts w:ascii="宋体" w:hAnsi="宋体" w:cs="宋体" w:eastAsia="宋体" w:hint="default"/>
                <w:w w:val="99"/>
                <w:sz w:val="20"/>
                <w:szCs w:val="20"/>
              </w:rPr>
              <w:t>—</w:t>
            </w:r>
            <w:r>
              <w:rPr>
                <w:rFonts w:ascii="宋体" w:hAnsi="宋体" w:cs="宋体" w:eastAsia="宋体" w:hint="default"/>
                <w:sz w:val="20"/>
                <w:szCs w:val="20"/>
              </w:rPr>
            </w:r>
          </w:p>
        </w:tc>
        <w:tc>
          <w:tcPr>
            <w:tcW w:w="113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5"/>
              <w:ind w:right="105"/>
              <w:jc w:val="right"/>
              <w:rPr>
                <w:rFonts w:ascii="宋体" w:hAnsi="宋体" w:cs="宋体" w:eastAsia="宋体" w:hint="default"/>
                <w:sz w:val="20"/>
                <w:szCs w:val="20"/>
              </w:rPr>
            </w:pPr>
            <w:r>
              <w:rPr>
                <w:rFonts w:ascii="宋体"/>
                <w:w w:val="95"/>
                <w:sz w:val="20"/>
              </w:rPr>
              <w:t>100.00</w:t>
            </w:r>
            <w:r>
              <w:rPr>
                <w:rFonts w:ascii="宋体"/>
                <w:sz w:val="20"/>
              </w:rPr>
            </w:r>
          </w:p>
        </w:tc>
      </w:tr>
      <w:tr>
        <w:trPr>
          <w:trHeight w:val="403" w:hRule="exact"/>
        </w:trPr>
        <w:tc>
          <w:tcPr>
            <w:tcW w:w="7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9" w:right="0"/>
              <w:jc w:val="center"/>
              <w:rPr>
                <w:rFonts w:ascii="宋体" w:hAnsi="宋体" w:cs="宋体" w:eastAsia="宋体" w:hint="default"/>
                <w:sz w:val="20"/>
                <w:szCs w:val="20"/>
              </w:rPr>
            </w:pPr>
            <w:r>
              <w:rPr>
                <w:rFonts w:ascii="宋体"/>
                <w:sz w:val="20"/>
              </w:rPr>
              <w:t>13</w:t>
            </w:r>
          </w:p>
        </w:tc>
        <w:tc>
          <w:tcPr>
            <w:tcW w:w="43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105" w:right="0"/>
              <w:jc w:val="left"/>
              <w:rPr>
                <w:rFonts w:ascii="宋体" w:hAnsi="宋体" w:cs="宋体" w:eastAsia="宋体" w:hint="default"/>
                <w:sz w:val="20"/>
                <w:szCs w:val="20"/>
              </w:rPr>
            </w:pPr>
            <w:r>
              <w:rPr>
                <w:rFonts w:ascii="宋体" w:hAnsi="宋体" w:cs="宋体" w:eastAsia="宋体" w:hint="default"/>
                <w:sz w:val="20"/>
                <w:szCs w:val="20"/>
              </w:rPr>
              <w:t>安通（新加坡）物流产业有限公司</w:t>
            </w:r>
          </w:p>
        </w:tc>
        <w:tc>
          <w:tcPr>
            <w:tcW w:w="16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3"/>
              <w:jc w:val="center"/>
              <w:rPr>
                <w:rFonts w:ascii="宋体" w:hAnsi="宋体" w:cs="宋体" w:eastAsia="宋体" w:hint="default"/>
                <w:sz w:val="20"/>
                <w:szCs w:val="20"/>
              </w:rPr>
            </w:pPr>
            <w:r>
              <w:rPr>
                <w:rFonts w:ascii="宋体" w:hAnsi="宋体" w:cs="宋体" w:eastAsia="宋体" w:hint="default"/>
                <w:sz w:val="20"/>
                <w:szCs w:val="20"/>
              </w:rPr>
              <w:t>新加坡物流</w:t>
            </w:r>
          </w:p>
        </w:tc>
        <w:tc>
          <w:tcPr>
            <w:tcW w:w="11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20"/>
                <w:szCs w:val="20"/>
              </w:rPr>
            </w:pPr>
            <w:r>
              <w:rPr>
                <w:rFonts w:ascii="宋体" w:hAnsi="宋体" w:cs="宋体" w:eastAsia="宋体" w:hint="default"/>
                <w:w w:val="99"/>
                <w:sz w:val="20"/>
                <w:szCs w:val="20"/>
              </w:rPr>
              <w:t>—</w:t>
            </w:r>
            <w:r>
              <w:rPr>
                <w:rFonts w:ascii="宋体" w:hAnsi="宋体" w:cs="宋体" w:eastAsia="宋体" w:hint="default"/>
                <w:sz w:val="20"/>
                <w:szCs w:val="20"/>
              </w:rPr>
            </w:r>
          </w:p>
        </w:tc>
        <w:tc>
          <w:tcPr>
            <w:tcW w:w="113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105"/>
              <w:jc w:val="right"/>
              <w:rPr>
                <w:rFonts w:ascii="宋体" w:hAnsi="宋体" w:cs="宋体" w:eastAsia="宋体" w:hint="default"/>
                <w:sz w:val="20"/>
                <w:szCs w:val="20"/>
              </w:rPr>
            </w:pPr>
            <w:r>
              <w:rPr>
                <w:rFonts w:ascii="宋体"/>
                <w:w w:val="95"/>
                <w:sz w:val="20"/>
              </w:rPr>
              <w:t>100.00</w:t>
            </w:r>
            <w:r>
              <w:rPr>
                <w:rFonts w:ascii="宋体"/>
                <w:sz w:val="20"/>
              </w:rPr>
            </w:r>
          </w:p>
        </w:tc>
      </w:tr>
      <w:tr>
        <w:trPr>
          <w:trHeight w:val="415" w:hRule="exact"/>
        </w:trPr>
        <w:tc>
          <w:tcPr>
            <w:tcW w:w="79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5"/>
              <w:ind w:left="19" w:right="0"/>
              <w:jc w:val="center"/>
              <w:rPr>
                <w:rFonts w:ascii="宋体" w:hAnsi="宋体" w:cs="宋体" w:eastAsia="宋体" w:hint="default"/>
                <w:sz w:val="20"/>
                <w:szCs w:val="20"/>
              </w:rPr>
            </w:pPr>
            <w:r>
              <w:rPr>
                <w:rFonts w:ascii="宋体"/>
                <w:sz w:val="20"/>
              </w:rPr>
              <w:t>14</w:t>
            </w:r>
          </w:p>
        </w:tc>
        <w:tc>
          <w:tcPr>
            <w:tcW w:w="434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5"/>
              <w:ind w:left="105" w:right="0"/>
              <w:jc w:val="left"/>
              <w:rPr>
                <w:rFonts w:ascii="宋体" w:hAnsi="宋体" w:cs="宋体" w:eastAsia="宋体" w:hint="default"/>
                <w:sz w:val="20"/>
                <w:szCs w:val="20"/>
              </w:rPr>
            </w:pPr>
            <w:r>
              <w:rPr>
                <w:rFonts w:ascii="宋体" w:hAnsi="宋体" w:cs="宋体" w:eastAsia="宋体" w:hint="default"/>
                <w:sz w:val="20"/>
                <w:szCs w:val="20"/>
              </w:rPr>
              <w:t>东润船舶代理有限公司</w:t>
            </w:r>
          </w:p>
        </w:tc>
        <w:tc>
          <w:tcPr>
            <w:tcW w:w="162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5"/>
              <w:ind w:right="2"/>
              <w:jc w:val="center"/>
              <w:rPr>
                <w:rFonts w:ascii="宋体" w:hAnsi="宋体" w:cs="宋体" w:eastAsia="宋体" w:hint="default"/>
                <w:sz w:val="20"/>
                <w:szCs w:val="20"/>
              </w:rPr>
            </w:pPr>
            <w:r>
              <w:rPr>
                <w:rFonts w:ascii="宋体" w:hAnsi="宋体" w:cs="宋体" w:eastAsia="宋体" w:hint="default"/>
                <w:sz w:val="20"/>
                <w:szCs w:val="20"/>
              </w:rPr>
              <w:t>东润船舶</w:t>
            </w:r>
          </w:p>
        </w:tc>
        <w:tc>
          <w:tcPr>
            <w:tcW w:w="117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5"/>
              <w:ind w:right="103"/>
              <w:jc w:val="right"/>
              <w:rPr>
                <w:rFonts w:ascii="宋体" w:hAnsi="宋体" w:cs="宋体" w:eastAsia="宋体" w:hint="default"/>
                <w:sz w:val="20"/>
                <w:szCs w:val="20"/>
              </w:rPr>
            </w:pPr>
            <w:r>
              <w:rPr>
                <w:rFonts w:ascii="宋体" w:hAnsi="宋体" w:cs="宋体" w:eastAsia="宋体" w:hint="default"/>
                <w:w w:val="99"/>
                <w:sz w:val="20"/>
                <w:szCs w:val="20"/>
              </w:rPr>
              <w:t>—</w:t>
            </w:r>
            <w:r>
              <w:rPr>
                <w:rFonts w:ascii="宋体" w:hAnsi="宋体" w:cs="宋体" w:eastAsia="宋体" w:hint="default"/>
                <w:sz w:val="20"/>
                <w:szCs w:val="20"/>
              </w:rPr>
            </w:r>
          </w:p>
        </w:tc>
        <w:tc>
          <w:tcPr>
            <w:tcW w:w="113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5"/>
              <w:ind w:right="105"/>
              <w:jc w:val="right"/>
              <w:rPr>
                <w:rFonts w:ascii="宋体" w:hAnsi="宋体" w:cs="宋体" w:eastAsia="宋体" w:hint="default"/>
                <w:sz w:val="20"/>
                <w:szCs w:val="20"/>
              </w:rPr>
            </w:pPr>
            <w:r>
              <w:rPr>
                <w:rFonts w:ascii="宋体"/>
                <w:w w:val="95"/>
                <w:sz w:val="20"/>
              </w:rPr>
              <w:t>100.00</w:t>
            </w:r>
            <w:r>
              <w:rPr>
                <w:rFonts w:ascii="宋体"/>
                <w:sz w:val="20"/>
              </w:rPr>
            </w:r>
          </w:p>
        </w:tc>
      </w:tr>
    </w:tbl>
    <w:p>
      <w:pPr>
        <w:pStyle w:val="BodyText"/>
        <w:spacing w:line="241" w:lineRule="exact"/>
        <w:ind w:left="658" w:right="930"/>
        <w:jc w:val="left"/>
      </w:pPr>
      <w:r>
        <w:rPr/>
        <w:t>（</w:t>
      </w:r>
      <w:r>
        <w:rPr>
          <w:rFonts w:ascii="宋体" w:hAnsi="宋体" w:cs="宋体" w:eastAsia="宋体" w:hint="default"/>
        </w:rPr>
        <w:t>2</w:t>
      </w:r>
      <w:r>
        <w:rPr/>
        <w:t>）本公司报告期内合并财务报表范围变化</w:t>
      </w:r>
    </w:p>
    <w:p>
      <w:pPr>
        <w:pStyle w:val="BodyText"/>
        <w:spacing w:line="240" w:lineRule="auto" w:before="133"/>
        <w:ind w:left="658" w:right="930"/>
        <w:jc w:val="left"/>
      </w:pPr>
      <w:r>
        <w:rPr/>
        <w:t>本期新增的子公司：</w:t>
      </w:r>
    </w:p>
    <w:p>
      <w:pPr>
        <w:spacing w:line="240" w:lineRule="auto" w:before="10"/>
        <w:rPr>
          <w:rFonts w:ascii="宋体" w:hAnsi="宋体" w:cs="宋体" w:eastAsia="宋体"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794"/>
        <w:gridCol w:w="4477"/>
        <w:gridCol w:w="1630"/>
        <w:gridCol w:w="2163"/>
      </w:tblGrid>
      <w:tr>
        <w:trPr>
          <w:trHeight w:val="658" w:hRule="exact"/>
        </w:trPr>
        <w:tc>
          <w:tcPr>
            <w:tcW w:w="79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4" w:right="0"/>
              <w:jc w:val="center"/>
              <w:rPr>
                <w:rFonts w:ascii="宋体" w:hAnsi="宋体" w:cs="宋体" w:eastAsia="宋体" w:hint="default"/>
                <w:sz w:val="20"/>
                <w:szCs w:val="20"/>
              </w:rPr>
            </w:pPr>
            <w:r>
              <w:rPr>
                <w:rFonts w:ascii="宋体" w:hAnsi="宋体" w:cs="宋体" w:eastAsia="宋体" w:hint="default"/>
                <w:sz w:val="20"/>
                <w:szCs w:val="20"/>
              </w:rPr>
              <w:t>序号</w:t>
            </w:r>
          </w:p>
        </w:tc>
        <w:tc>
          <w:tcPr>
            <w:tcW w:w="447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子公司全称</w:t>
            </w:r>
          </w:p>
        </w:tc>
        <w:tc>
          <w:tcPr>
            <w:tcW w:w="163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子公司简称</w:t>
            </w:r>
          </w:p>
        </w:tc>
        <w:tc>
          <w:tcPr>
            <w:tcW w:w="2163"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88"/>
              <w:ind w:left="879" w:right="183" w:hanging="702"/>
              <w:jc w:val="left"/>
              <w:rPr>
                <w:rFonts w:ascii="宋体" w:hAnsi="宋体" w:cs="宋体" w:eastAsia="宋体" w:hint="default"/>
                <w:sz w:val="20"/>
                <w:szCs w:val="20"/>
              </w:rPr>
            </w:pPr>
            <w:r>
              <w:rPr>
                <w:rFonts w:ascii="宋体" w:hAnsi="宋体" w:cs="宋体" w:eastAsia="宋体" w:hint="default"/>
                <w:sz w:val="20"/>
                <w:szCs w:val="20"/>
              </w:rPr>
              <w:t>本期纳入合并范围的</w:t>
            </w:r>
            <w:r>
              <w:rPr>
                <w:rFonts w:ascii="宋体" w:hAnsi="宋体" w:cs="宋体" w:eastAsia="宋体" w:hint="default"/>
                <w:w w:val="99"/>
                <w:sz w:val="20"/>
                <w:szCs w:val="20"/>
              </w:rPr>
              <w:t> </w:t>
            </w:r>
            <w:r>
              <w:rPr>
                <w:rFonts w:ascii="宋体" w:hAnsi="宋体" w:cs="宋体" w:eastAsia="宋体" w:hint="default"/>
                <w:sz w:val="20"/>
                <w:szCs w:val="20"/>
              </w:rPr>
              <w:t>原因</w:t>
            </w:r>
          </w:p>
        </w:tc>
      </w:tr>
      <w:tr>
        <w:trPr>
          <w:trHeight w:val="401" w:hRule="exact"/>
        </w:trPr>
        <w:tc>
          <w:tcPr>
            <w:tcW w:w="7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5"/>
              <w:ind w:left="13" w:right="0"/>
              <w:jc w:val="center"/>
              <w:rPr>
                <w:rFonts w:ascii="宋体" w:hAnsi="宋体" w:cs="宋体" w:eastAsia="宋体" w:hint="default"/>
                <w:sz w:val="20"/>
                <w:szCs w:val="20"/>
              </w:rPr>
            </w:pPr>
            <w:r>
              <w:rPr>
                <w:rFonts w:ascii="宋体"/>
                <w:w w:val="99"/>
                <w:sz w:val="20"/>
              </w:rPr>
              <w:t>1</w:t>
            </w:r>
            <w:r>
              <w:rPr>
                <w:rFonts w:ascii="宋体"/>
                <w:sz w:val="20"/>
              </w:rPr>
            </w:r>
          </w:p>
        </w:tc>
        <w:tc>
          <w:tcPr>
            <w:tcW w:w="44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5"/>
              <w:ind w:left="105" w:right="0"/>
              <w:jc w:val="left"/>
              <w:rPr>
                <w:rFonts w:ascii="宋体" w:hAnsi="宋体" w:cs="宋体" w:eastAsia="宋体" w:hint="default"/>
                <w:sz w:val="20"/>
                <w:szCs w:val="20"/>
              </w:rPr>
            </w:pPr>
            <w:r>
              <w:rPr>
                <w:rFonts w:ascii="宋体" w:hAnsi="宋体" w:cs="宋体" w:eastAsia="宋体" w:hint="default"/>
                <w:sz w:val="20"/>
                <w:szCs w:val="20"/>
              </w:rPr>
              <w:t>泉州安通集速拼物流有限公司</w:t>
            </w:r>
          </w:p>
        </w:tc>
        <w:tc>
          <w:tcPr>
            <w:tcW w:w="16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5"/>
              <w:ind w:right="0"/>
              <w:jc w:val="center"/>
              <w:rPr>
                <w:rFonts w:ascii="宋体" w:hAnsi="宋体" w:cs="宋体" w:eastAsia="宋体" w:hint="default"/>
                <w:sz w:val="20"/>
                <w:szCs w:val="20"/>
              </w:rPr>
            </w:pPr>
            <w:r>
              <w:rPr>
                <w:rFonts w:ascii="宋体" w:hAnsi="宋体" w:cs="宋体" w:eastAsia="宋体" w:hint="default"/>
                <w:sz w:val="20"/>
                <w:szCs w:val="20"/>
              </w:rPr>
              <w:t>安通集速拼</w:t>
            </w:r>
          </w:p>
        </w:tc>
        <w:tc>
          <w:tcPr>
            <w:tcW w:w="21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5"/>
              <w:ind w:right="3"/>
              <w:jc w:val="center"/>
              <w:rPr>
                <w:rFonts w:ascii="宋体" w:hAnsi="宋体" w:cs="宋体" w:eastAsia="宋体" w:hint="default"/>
                <w:sz w:val="20"/>
                <w:szCs w:val="20"/>
              </w:rPr>
            </w:pPr>
            <w:r>
              <w:rPr>
                <w:rFonts w:ascii="宋体" w:hAnsi="宋体" w:cs="宋体" w:eastAsia="宋体" w:hint="default"/>
                <w:sz w:val="20"/>
                <w:szCs w:val="20"/>
              </w:rPr>
              <w:t>新设</w:t>
            </w:r>
          </w:p>
        </w:tc>
      </w:tr>
      <w:tr>
        <w:trPr>
          <w:trHeight w:val="403" w:hRule="exact"/>
        </w:trPr>
        <w:tc>
          <w:tcPr>
            <w:tcW w:w="7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3" w:right="0"/>
              <w:jc w:val="center"/>
              <w:rPr>
                <w:rFonts w:ascii="宋体" w:hAnsi="宋体" w:cs="宋体" w:eastAsia="宋体" w:hint="default"/>
                <w:sz w:val="20"/>
                <w:szCs w:val="20"/>
              </w:rPr>
            </w:pPr>
            <w:r>
              <w:rPr>
                <w:rFonts w:ascii="宋体"/>
                <w:w w:val="99"/>
                <w:sz w:val="20"/>
              </w:rPr>
              <w:t>2</w:t>
            </w:r>
            <w:r>
              <w:rPr>
                <w:rFonts w:ascii="宋体"/>
                <w:sz w:val="20"/>
              </w:rPr>
            </w:r>
          </w:p>
        </w:tc>
        <w:tc>
          <w:tcPr>
            <w:tcW w:w="44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105" w:right="0"/>
              <w:jc w:val="left"/>
              <w:rPr>
                <w:rFonts w:ascii="宋体" w:hAnsi="宋体" w:cs="宋体" w:eastAsia="宋体" w:hint="default"/>
                <w:sz w:val="20"/>
                <w:szCs w:val="20"/>
              </w:rPr>
            </w:pPr>
            <w:r>
              <w:rPr>
                <w:rFonts w:ascii="宋体" w:hAnsi="宋体" w:cs="宋体" w:eastAsia="宋体" w:hint="default"/>
                <w:sz w:val="20"/>
                <w:szCs w:val="20"/>
              </w:rPr>
              <w:t>安通（泉州）多式联运基地有限公司</w:t>
            </w:r>
          </w:p>
        </w:tc>
        <w:tc>
          <w:tcPr>
            <w:tcW w:w="16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3"/>
              <w:jc w:val="center"/>
              <w:rPr>
                <w:rFonts w:ascii="宋体" w:hAnsi="宋体" w:cs="宋体" w:eastAsia="宋体" w:hint="default"/>
                <w:sz w:val="20"/>
                <w:szCs w:val="20"/>
              </w:rPr>
            </w:pPr>
            <w:r>
              <w:rPr>
                <w:rFonts w:ascii="宋体" w:hAnsi="宋体" w:cs="宋体" w:eastAsia="宋体" w:hint="default"/>
                <w:sz w:val="20"/>
                <w:szCs w:val="20"/>
              </w:rPr>
              <w:t>泉州多式联运</w:t>
            </w:r>
          </w:p>
        </w:tc>
        <w:tc>
          <w:tcPr>
            <w:tcW w:w="21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3"/>
              <w:jc w:val="center"/>
              <w:rPr>
                <w:rFonts w:ascii="宋体" w:hAnsi="宋体" w:cs="宋体" w:eastAsia="宋体" w:hint="default"/>
                <w:sz w:val="20"/>
                <w:szCs w:val="20"/>
              </w:rPr>
            </w:pPr>
            <w:r>
              <w:rPr>
                <w:rFonts w:ascii="宋体" w:hAnsi="宋体" w:cs="宋体" w:eastAsia="宋体" w:hint="default"/>
                <w:sz w:val="20"/>
                <w:szCs w:val="20"/>
              </w:rPr>
              <w:t>新设</w:t>
            </w:r>
          </w:p>
        </w:tc>
      </w:tr>
      <w:tr>
        <w:trPr>
          <w:trHeight w:val="401" w:hRule="exact"/>
        </w:trPr>
        <w:tc>
          <w:tcPr>
            <w:tcW w:w="7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6"/>
              <w:ind w:left="13" w:right="0"/>
              <w:jc w:val="center"/>
              <w:rPr>
                <w:rFonts w:ascii="宋体" w:hAnsi="宋体" w:cs="宋体" w:eastAsia="宋体" w:hint="default"/>
                <w:sz w:val="20"/>
                <w:szCs w:val="20"/>
              </w:rPr>
            </w:pPr>
            <w:r>
              <w:rPr>
                <w:rFonts w:ascii="宋体"/>
                <w:w w:val="99"/>
                <w:sz w:val="20"/>
              </w:rPr>
              <w:t>3</w:t>
            </w:r>
            <w:r>
              <w:rPr>
                <w:rFonts w:ascii="宋体"/>
                <w:sz w:val="20"/>
              </w:rPr>
            </w:r>
          </w:p>
        </w:tc>
        <w:tc>
          <w:tcPr>
            <w:tcW w:w="44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6"/>
              <w:ind w:left="105" w:right="0"/>
              <w:jc w:val="left"/>
              <w:rPr>
                <w:rFonts w:ascii="宋体" w:hAnsi="宋体" w:cs="宋体" w:eastAsia="宋体" w:hint="default"/>
                <w:sz w:val="20"/>
                <w:szCs w:val="20"/>
              </w:rPr>
            </w:pPr>
            <w:r>
              <w:rPr>
                <w:rFonts w:ascii="宋体" w:hAnsi="宋体" w:cs="宋体" w:eastAsia="宋体" w:hint="default"/>
                <w:sz w:val="20"/>
                <w:szCs w:val="20"/>
              </w:rPr>
              <w:t>安通（唐山海港）多式联运基地有限公司</w:t>
            </w:r>
          </w:p>
        </w:tc>
        <w:tc>
          <w:tcPr>
            <w:tcW w:w="16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6"/>
              <w:ind w:right="3"/>
              <w:jc w:val="center"/>
              <w:rPr>
                <w:rFonts w:ascii="宋体" w:hAnsi="宋体" w:cs="宋体" w:eastAsia="宋体" w:hint="default"/>
                <w:sz w:val="20"/>
                <w:szCs w:val="20"/>
              </w:rPr>
            </w:pPr>
            <w:r>
              <w:rPr>
                <w:rFonts w:ascii="宋体" w:hAnsi="宋体" w:cs="宋体" w:eastAsia="宋体" w:hint="default"/>
                <w:sz w:val="20"/>
                <w:szCs w:val="20"/>
              </w:rPr>
              <w:t>唐山多式联运</w:t>
            </w:r>
          </w:p>
        </w:tc>
        <w:tc>
          <w:tcPr>
            <w:tcW w:w="21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6"/>
              <w:ind w:right="3"/>
              <w:jc w:val="center"/>
              <w:rPr>
                <w:rFonts w:ascii="宋体" w:hAnsi="宋体" w:cs="宋体" w:eastAsia="宋体" w:hint="default"/>
                <w:sz w:val="20"/>
                <w:szCs w:val="20"/>
              </w:rPr>
            </w:pPr>
            <w:r>
              <w:rPr>
                <w:rFonts w:ascii="宋体" w:hAnsi="宋体" w:cs="宋体" w:eastAsia="宋体" w:hint="default"/>
                <w:sz w:val="20"/>
                <w:szCs w:val="20"/>
              </w:rPr>
              <w:t>新设</w:t>
            </w:r>
          </w:p>
        </w:tc>
      </w:tr>
      <w:tr>
        <w:trPr>
          <w:trHeight w:val="403" w:hRule="exact"/>
        </w:trPr>
        <w:tc>
          <w:tcPr>
            <w:tcW w:w="7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3" w:right="0"/>
              <w:jc w:val="center"/>
              <w:rPr>
                <w:rFonts w:ascii="宋体" w:hAnsi="宋体" w:cs="宋体" w:eastAsia="宋体" w:hint="default"/>
                <w:sz w:val="20"/>
                <w:szCs w:val="20"/>
              </w:rPr>
            </w:pPr>
            <w:r>
              <w:rPr>
                <w:rFonts w:ascii="宋体"/>
                <w:w w:val="99"/>
                <w:sz w:val="20"/>
              </w:rPr>
              <w:t>4</w:t>
            </w:r>
            <w:r>
              <w:rPr>
                <w:rFonts w:ascii="宋体"/>
                <w:sz w:val="20"/>
              </w:rPr>
            </w:r>
          </w:p>
        </w:tc>
        <w:tc>
          <w:tcPr>
            <w:tcW w:w="44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105" w:right="0"/>
              <w:jc w:val="left"/>
              <w:rPr>
                <w:rFonts w:ascii="宋体" w:hAnsi="宋体" w:cs="宋体" w:eastAsia="宋体" w:hint="default"/>
                <w:sz w:val="20"/>
                <w:szCs w:val="20"/>
              </w:rPr>
            </w:pPr>
            <w:r>
              <w:rPr>
                <w:rFonts w:ascii="宋体" w:hAnsi="宋体" w:cs="宋体" w:eastAsia="宋体" w:hint="default"/>
                <w:sz w:val="20"/>
                <w:szCs w:val="20"/>
              </w:rPr>
              <w:t>东南冷链仓储有限公司</w:t>
            </w:r>
          </w:p>
        </w:tc>
        <w:tc>
          <w:tcPr>
            <w:tcW w:w="16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z w:val="20"/>
                <w:szCs w:val="20"/>
              </w:rPr>
              <w:t>东南冷链</w:t>
            </w:r>
          </w:p>
        </w:tc>
        <w:tc>
          <w:tcPr>
            <w:tcW w:w="21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3"/>
              <w:jc w:val="center"/>
              <w:rPr>
                <w:rFonts w:ascii="宋体" w:hAnsi="宋体" w:cs="宋体" w:eastAsia="宋体" w:hint="default"/>
                <w:sz w:val="20"/>
                <w:szCs w:val="20"/>
              </w:rPr>
            </w:pPr>
            <w:r>
              <w:rPr>
                <w:rFonts w:ascii="宋体" w:hAnsi="宋体" w:cs="宋体" w:eastAsia="宋体" w:hint="default"/>
                <w:sz w:val="20"/>
                <w:szCs w:val="20"/>
              </w:rPr>
              <w:t>企业合并</w:t>
            </w:r>
          </w:p>
        </w:tc>
      </w:tr>
      <w:tr>
        <w:trPr>
          <w:trHeight w:val="401" w:hRule="exact"/>
        </w:trPr>
        <w:tc>
          <w:tcPr>
            <w:tcW w:w="7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5"/>
              <w:ind w:left="13" w:right="0"/>
              <w:jc w:val="center"/>
              <w:rPr>
                <w:rFonts w:ascii="宋体" w:hAnsi="宋体" w:cs="宋体" w:eastAsia="宋体" w:hint="default"/>
                <w:sz w:val="20"/>
                <w:szCs w:val="20"/>
              </w:rPr>
            </w:pPr>
            <w:r>
              <w:rPr>
                <w:rFonts w:ascii="宋体"/>
                <w:w w:val="99"/>
                <w:sz w:val="20"/>
              </w:rPr>
              <w:t>5</w:t>
            </w:r>
            <w:r>
              <w:rPr>
                <w:rFonts w:ascii="宋体"/>
                <w:sz w:val="20"/>
              </w:rPr>
            </w:r>
          </w:p>
        </w:tc>
        <w:tc>
          <w:tcPr>
            <w:tcW w:w="44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5"/>
              <w:ind w:left="105" w:right="0"/>
              <w:jc w:val="left"/>
              <w:rPr>
                <w:rFonts w:ascii="宋体" w:hAnsi="宋体" w:cs="宋体" w:eastAsia="宋体" w:hint="default"/>
                <w:sz w:val="20"/>
                <w:szCs w:val="20"/>
              </w:rPr>
            </w:pPr>
            <w:r>
              <w:rPr>
                <w:rFonts w:ascii="宋体" w:hAnsi="宋体" w:cs="宋体" w:eastAsia="宋体" w:hint="default"/>
                <w:sz w:val="20"/>
                <w:szCs w:val="20"/>
              </w:rPr>
              <w:t>上海建润通嘉物流有限公司</w:t>
            </w:r>
          </w:p>
        </w:tc>
        <w:tc>
          <w:tcPr>
            <w:tcW w:w="16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5"/>
              <w:ind w:right="0"/>
              <w:jc w:val="center"/>
              <w:rPr>
                <w:rFonts w:ascii="宋体" w:hAnsi="宋体" w:cs="宋体" w:eastAsia="宋体" w:hint="default"/>
                <w:sz w:val="20"/>
                <w:szCs w:val="20"/>
              </w:rPr>
            </w:pPr>
            <w:r>
              <w:rPr>
                <w:rFonts w:ascii="宋体" w:hAnsi="宋体" w:cs="宋体" w:eastAsia="宋体" w:hint="default"/>
                <w:sz w:val="20"/>
                <w:szCs w:val="20"/>
              </w:rPr>
              <w:t>建润通嘉</w:t>
            </w:r>
          </w:p>
        </w:tc>
        <w:tc>
          <w:tcPr>
            <w:tcW w:w="21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5"/>
              <w:ind w:right="3"/>
              <w:jc w:val="center"/>
              <w:rPr>
                <w:rFonts w:ascii="宋体" w:hAnsi="宋体" w:cs="宋体" w:eastAsia="宋体" w:hint="default"/>
                <w:sz w:val="20"/>
                <w:szCs w:val="20"/>
              </w:rPr>
            </w:pPr>
            <w:r>
              <w:rPr>
                <w:rFonts w:ascii="宋体" w:hAnsi="宋体" w:cs="宋体" w:eastAsia="宋体" w:hint="default"/>
                <w:sz w:val="20"/>
                <w:szCs w:val="20"/>
              </w:rPr>
              <w:t>新设</w:t>
            </w:r>
          </w:p>
        </w:tc>
      </w:tr>
      <w:tr>
        <w:trPr>
          <w:trHeight w:val="403" w:hRule="exact"/>
        </w:trPr>
        <w:tc>
          <w:tcPr>
            <w:tcW w:w="7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3" w:right="0"/>
              <w:jc w:val="center"/>
              <w:rPr>
                <w:rFonts w:ascii="宋体" w:hAnsi="宋体" w:cs="宋体" w:eastAsia="宋体" w:hint="default"/>
                <w:sz w:val="20"/>
                <w:szCs w:val="20"/>
              </w:rPr>
            </w:pPr>
            <w:r>
              <w:rPr>
                <w:rFonts w:ascii="宋体"/>
                <w:w w:val="99"/>
                <w:sz w:val="20"/>
              </w:rPr>
              <w:t>6</w:t>
            </w:r>
            <w:r>
              <w:rPr>
                <w:rFonts w:ascii="宋体"/>
                <w:sz w:val="20"/>
              </w:rPr>
            </w:r>
          </w:p>
        </w:tc>
        <w:tc>
          <w:tcPr>
            <w:tcW w:w="44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105" w:right="0"/>
              <w:jc w:val="left"/>
              <w:rPr>
                <w:rFonts w:ascii="宋体" w:hAnsi="宋体" w:cs="宋体" w:eastAsia="宋体" w:hint="default"/>
                <w:sz w:val="20"/>
                <w:szCs w:val="20"/>
              </w:rPr>
            </w:pPr>
            <w:r>
              <w:rPr>
                <w:rFonts w:ascii="宋体" w:hAnsi="宋体" w:cs="宋体" w:eastAsia="宋体" w:hint="default"/>
                <w:sz w:val="20"/>
                <w:szCs w:val="20"/>
              </w:rPr>
              <w:t>安通华南物流有限公司</w:t>
            </w:r>
          </w:p>
        </w:tc>
        <w:tc>
          <w:tcPr>
            <w:tcW w:w="16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z w:val="20"/>
                <w:szCs w:val="20"/>
              </w:rPr>
              <w:t>安通华南</w:t>
            </w:r>
          </w:p>
        </w:tc>
        <w:tc>
          <w:tcPr>
            <w:tcW w:w="21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3"/>
              <w:jc w:val="center"/>
              <w:rPr>
                <w:rFonts w:ascii="宋体" w:hAnsi="宋体" w:cs="宋体" w:eastAsia="宋体" w:hint="default"/>
                <w:sz w:val="20"/>
                <w:szCs w:val="20"/>
              </w:rPr>
            </w:pPr>
            <w:r>
              <w:rPr>
                <w:rFonts w:ascii="宋体" w:hAnsi="宋体" w:cs="宋体" w:eastAsia="宋体" w:hint="default"/>
                <w:sz w:val="20"/>
                <w:szCs w:val="20"/>
              </w:rPr>
              <w:t>新设</w:t>
            </w:r>
          </w:p>
        </w:tc>
      </w:tr>
      <w:tr>
        <w:trPr>
          <w:trHeight w:val="401" w:hRule="exact"/>
        </w:trPr>
        <w:tc>
          <w:tcPr>
            <w:tcW w:w="7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5"/>
              <w:ind w:left="13" w:right="0"/>
              <w:jc w:val="center"/>
              <w:rPr>
                <w:rFonts w:ascii="宋体" w:hAnsi="宋体" w:cs="宋体" w:eastAsia="宋体" w:hint="default"/>
                <w:sz w:val="20"/>
                <w:szCs w:val="20"/>
              </w:rPr>
            </w:pPr>
            <w:r>
              <w:rPr>
                <w:rFonts w:ascii="宋体"/>
                <w:w w:val="99"/>
                <w:sz w:val="20"/>
              </w:rPr>
              <w:t>7</w:t>
            </w:r>
            <w:r>
              <w:rPr>
                <w:rFonts w:ascii="宋体"/>
                <w:sz w:val="20"/>
              </w:rPr>
            </w:r>
          </w:p>
        </w:tc>
        <w:tc>
          <w:tcPr>
            <w:tcW w:w="44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5"/>
              <w:ind w:left="105" w:right="0"/>
              <w:jc w:val="left"/>
              <w:rPr>
                <w:rFonts w:ascii="宋体" w:hAnsi="宋体" w:cs="宋体" w:eastAsia="宋体" w:hint="default"/>
                <w:sz w:val="20"/>
                <w:szCs w:val="20"/>
              </w:rPr>
            </w:pPr>
            <w:r>
              <w:rPr>
                <w:rFonts w:ascii="宋体" w:hAnsi="宋体" w:cs="宋体" w:eastAsia="宋体" w:hint="default"/>
                <w:sz w:val="20"/>
                <w:szCs w:val="20"/>
              </w:rPr>
              <w:t>安通（新加坡）物流产业有限公司</w:t>
            </w:r>
          </w:p>
        </w:tc>
        <w:tc>
          <w:tcPr>
            <w:tcW w:w="16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5"/>
              <w:ind w:right="0"/>
              <w:jc w:val="center"/>
              <w:rPr>
                <w:rFonts w:ascii="宋体" w:hAnsi="宋体" w:cs="宋体" w:eastAsia="宋体" w:hint="default"/>
                <w:sz w:val="20"/>
                <w:szCs w:val="20"/>
              </w:rPr>
            </w:pPr>
            <w:r>
              <w:rPr>
                <w:rFonts w:ascii="宋体" w:hAnsi="宋体" w:cs="宋体" w:eastAsia="宋体" w:hint="default"/>
                <w:sz w:val="20"/>
                <w:szCs w:val="20"/>
              </w:rPr>
              <w:t>新加坡物流</w:t>
            </w:r>
          </w:p>
        </w:tc>
        <w:tc>
          <w:tcPr>
            <w:tcW w:w="21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5"/>
              <w:ind w:right="3"/>
              <w:jc w:val="center"/>
              <w:rPr>
                <w:rFonts w:ascii="宋体" w:hAnsi="宋体" w:cs="宋体" w:eastAsia="宋体" w:hint="default"/>
                <w:sz w:val="20"/>
                <w:szCs w:val="20"/>
              </w:rPr>
            </w:pPr>
            <w:r>
              <w:rPr>
                <w:rFonts w:ascii="宋体" w:hAnsi="宋体" w:cs="宋体" w:eastAsia="宋体" w:hint="default"/>
                <w:sz w:val="20"/>
                <w:szCs w:val="20"/>
              </w:rPr>
              <w:t>新设</w:t>
            </w:r>
          </w:p>
        </w:tc>
      </w:tr>
      <w:tr>
        <w:trPr>
          <w:trHeight w:val="415" w:hRule="exact"/>
        </w:trPr>
        <w:tc>
          <w:tcPr>
            <w:tcW w:w="79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7"/>
              <w:ind w:left="13" w:right="0"/>
              <w:jc w:val="center"/>
              <w:rPr>
                <w:rFonts w:ascii="宋体" w:hAnsi="宋体" w:cs="宋体" w:eastAsia="宋体" w:hint="default"/>
                <w:sz w:val="20"/>
                <w:szCs w:val="20"/>
              </w:rPr>
            </w:pPr>
            <w:r>
              <w:rPr>
                <w:rFonts w:ascii="宋体"/>
                <w:w w:val="99"/>
                <w:sz w:val="20"/>
              </w:rPr>
              <w:t>8</w:t>
            </w:r>
            <w:r>
              <w:rPr>
                <w:rFonts w:ascii="宋体"/>
                <w:sz w:val="20"/>
              </w:rPr>
            </w:r>
          </w:p>
        </w:tc>
        <w:tc>
          <w:tcPr>
            <w:tcW w:w="447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left="105" w:right="0"/>
              <w:jc w:val="left"/>
              <w:rPr>
                <w:rFonts w:ascii="宋体" w:hAnsi="宋体" w:cs="宋体" w:eastAsia="宋体" w:hint="default"/>
                <w:sz w:val="20"/>
                <w:szCs w:val="20"/>
              </w:rPr>
            </w:pPr>
            <w:r>
              <w:rPr>
                <w:rFonts w:ascii="宋体" w:hAnsi="宋体" w:cs="宋体" w:eastAsia="宋体" w:hint="default"/>
                <w:sz w:val="20"/>
                <w:szCs w:val="20"/>
              </w:rPr>
              <w:t>东润船舶代理有限公司</w:t>
            </w:r>
          </w:p>
        </w:tc>
        <w:tc>
          <w:tcPr>
            <w:tcW w:w="163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z w:val="20"/>
                <w:szCs w:val="20"/>
              </w:rPr>
              <w:t>东润船舶</w:t>
            </w:r>
          </w:p>
        </w:tc>
        <w:tc>
          <w:tcPr>
            <w:tcW w:w="216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7"/>
              <w:ind w:right="3"/>
              <w:jc w:val="center"/>
              <w:rPr>
                <w:rFonts w:ascii="宋体" w:hAnsi="宋体" w:cs="宋体" w:eastAsia="宋体" w:hint="default"/>
                <w:sz w:val="20"/>
                <w:szCs w:val="20"/>
              </w:rPr>
            </w:pPr>
            <w:r>
              <w:rPr>
                <w:rFonts w:ascii="宋体" w:hAnsi="宋体" w:cs="宋体" w:eastAsia="宋体" w:hint="default"/>
                <w:sz w:val="20"/>
                <w:szCs w:val="20"/>
              </w:rPr>
              <w:t>新设</w:t>
            </w:r>
          </w:p>
        </w:tc>
      </w:tr>
    </w:tbl>
    <w:p>
      <w:pPr>
        <w:spacing w:line="240" w:lineRule="auto" w:before="2"/>
        <w:rPr>
          <w:rFonts w:ascii="宋体" w:hAnsi="宋体" w:cs="宋体" w:eastAsia="宋体" w:hint="default"/>
          <w:sz w:val="20"/>
          <w:szCs w:val="20"/>
        </w:rPr>
      </w:pPr>
    </w:p>
    <w:p>
      <w:pPr>
        <w:pStyle w:val="Heading2"/>
        <w:tabs>
          <w:tab w:pos="662" w:val="left" w:leader="none"/>
        </w:tabs>
        <w:spacing w:line="290" w:lineRule="auto" w:before="36"/>
        <w:ind w:left="238" w:right="6760"/>
        <w:jc w:val="left"/>
        <w:rPr>
          <w:b w:val="0"/>
          <w:bCs w:val="0"/>
        </w:rPr>
      </w:pPr>
      <w:r>
        <w:rPr/>
        <w:t>四、财务报表的编制基础</w:t>
      </w:r>
      <w:r>
        <w:rPr>
          <w:spacing w:val="-100"/>
        </w:rPr>
        <w:t> </w:t>
      </w:r>
      <w:r>
        <w:rPr>
          <w:spacing w:val="-100"/>
        </w:rPr>
      </w:r>
      <w:r>
        <w:rPr>
          <w:rFonts w:ascii="宋体" w:hAnsi="宋体" w:cs="宋体" w:eastAsia="宋体" w:hint="default"/>
          <w:w w:val="95"/>
        </w:rPr>
        <w:t>1.</w:t>
        <w:tab/>
      </w:r>
      <w:r>
        <w:rPr/>
        <w:t>编制基础</w:t>
      </w:r>
      <w:r>
        <w:rPr>
          <w:b w:val="0"/>
          <w:bCs w:val="0"/>
        </w:rPr>
      </w:r>
    </w:p>
    <w:p>
      <w:pPr>
        <w:pStyle w:val="BodyText"/>
        <w:spacing w:line="240" w:lineRule="auto" w:before="15"/>
        <w:ind w:left="238" w:right="930"/>
        <w:jc w:val="left"/>
      </w:pPr>
      <w:r>
        <w:rPr/>
        <w:t>本公司财务报表以持续经营为编制基础。</w:t>
      </w:r>
    </w:p>
    <w:p>
      <w:pPr>
        <w:spacing w:after="0" w:line="240" w:lineRule="auto"/>
        <w:jc w:val="left"/>
        <w:sectPr>
          <w:pgSz w:w="11910" w:h="16840"/>
          <w:pgMar w:header="882" w:footer="1195" w:top="1120" w:bottom="1380" w:left="1560" w:right="1020"/>
        </w:sectPr>
      </w:pPr>
    </w:p>
    <w:p>
      <w:pPr>
        <w:spacing w:line="240" w:lineRule="auto" w:before="1"/>
        <w:rPr>
          <w:rFonts w:ascii="宋体" w:hAnsi="宋体" w:cs="宋体" w:eastAsia="宋体" w:hint="default"/>
          <w:sz w:val="25"/>
          <w:szCs w:val="25"/>
        </w:rPr>
      </w:pPr>
    </w:p>
    <w:p>
      <w:pPr>
        <w:pStyle w:val="Heading2"/>
        <w:spacing w:line="240" w:lineRule="auto" w:before="36"/>
        <w:ind w:left="138" w:right="0"/>
        <w:jc w:val="both"/>
        <w:rPr>
          <w:b w:val="0"/>
          <w:bCs w:val="0"/>
        </w:rPr>
      </w:pPr>
      <w:r>
        <w:rPr>
          <w:rFonts w:ascii="宋体" w:hAnsi="宋体" w:cs="宋体" w:eastAsia="宋体" w:hint="default"/>
        </w:rPr>
        <w:t>2. </w:t>
      </w:r>
      <w:r>
        <w:rPr>
          <w:rFonts w:ascii="宋体" w:hAnsi="宋体" w:cs="宋体" w:eastAsia="宋体" w:hint="default"/>
          <w:spacing w:val="2"/>
        </w:rPr>
        <w:t> </w:t>
      </w:r>
      <w:r>
        <w:rPr/>
        <w:t>持续经营</w:t>
      </w:r>
      <w:r>
        <w:rPr>
          <w:b w:val="0"/>
          <w:bCs w:val="0"/>
        </w:rPr>
      </w:r>
    </w:p>
    <w:p>
      <w:pPr>
        <w:pStyle w:val="BodyText"/>
        <w:spacing w:line="273" w:lineRule="exact" w:before="58"/>
        <w:ind w:left="138" w:right="0"/>
        <w:jc w:val="both"/>
      </w:pPr>
      <w:r>
        <w:rPr/>
        <w:t>√适用</w:t>
      </w:r>
      <w:r>
        <w:rPr>
          <w:spacing w:val="-1"/>
        </w:rPr>
        <w:t> </w:t>
      </w:r>
      <w:r>
        <w:rPr/>
        <w:t>□不适用</w:t>
      </w:r>
    </w:p>
    <w:p>
      <w:pPr>
        <w:pStyle w:val="BodyText"/>
        <w:spacing w:line="240" w:lineRule="auto"/>
        <w:ind w:left="138" w:right="125"/>
        <w:jc w:val="left"/>
      </w:pPr>
      <w:r>
        <w:rPr>
          <w:spacing w:val="-2"/>
          <w:w w:val="100"/>
        </w:rPr>
        <w:t>本公司对自报告期末起</w:t>
      </w:r>
      <w:r>
        <w:rPr>
          <w:spacing w:val="-40"/>
          <w:w w:val="100"/>
        </w:rPr>
        <w:t> </w:t>
      </w:r>
      <w:r>
        <w:rPr>
          <w:rFonts w:ascii="宋体" w:hAnsi="宋体" w:cs="宋体" w:eastAsia="宋体" w:hint="default"/>
          <w:spacing w:val="-2"/>
          <w:w w:val="100"/>
        </w:rPr>
        <w:t>12</w:t>
      </w:r>
      <w:r>
        <w:rPr>
          <w:rFonts w:ascii="宋体" w:hAnsi="宋体" w:cs="宋体" w:eastAsia="宋体" w:hint="default"/>
          <w:spacing w:val="-43"/>
          <w:w w:val="100"/>
        </w:rPr>
        <w:t> </w:t>
      </w:r>
      <w:r>
        <w:rPr>
          <w:spacing w:val="-5"/>
          <w:w w:val="100"/>
        </w:rPr>
        <w:t>个月的持续经营能力进行了评估，未发现影响本公司持续经营能力的事</w:t>
      </w:r>
      <w:r>
        <w:rPr>
          <w:spacing w:val="-101"/>
          <w:w w:val="100"/>
        </w:rPr>
        <w:t> </w:t>
      </w:r>
      <w:r>
        <w:rPr>
          <w:spacing w:val="-101"/>
          <w:w w:val="100"/>
        </w:rPr>
      </w:r>
      <w:r>
        <w:rPr/>
        <w:t>项，本公司以持续经营为基础编制财务报表是合理的。</w:t>
      </w:r>
    </w:p>
    <w:p>
      <w:pPr>
        <w:spacing w:line="240" w:lineRule="auto" w:before="3"/>
        <w:rPr>
          <w:rFonts w:ascii="宋体" w:hAnsi="宋体" w:cs="宋体" w:eastAsia="宋体" w:hint="default"/>
          <w:sz w:val="25"/>
          <w:szCs w:val="25"/>
        </w:rPr>
      </w:pPr>
    </w:p>
    <w:p>
      <w:pPr>
        <w:spacing w:line="290" w:lineRule="auto" w:before="0"/>
        <w:ind w:left="138" w:right="3467" w:firstLine="0"/>
        <w:jc w:val="left"/>
        <w:rPr>
          <w:rFonts w:ascii="宋体" w:hAnsi="宋体" w:cs="宋体" w:eastAsia="宋体" w:hint="default"/>
          <w:sz w:val="21"/>
          <w:szCs w:val="21"/>
        </w:rPr>
      </w:pPr>
      <w:r>
        <w:rPr>
          <w:rFonts w:ascii="宋体" w:hAnsi="宋体" w:cs="宋体" w:eastAsia="宋体" w:hint="default"/>
          <w:b/>
          <w:bCs/>
          <w:sz w:val="21"/>
          <w:szCs w:val="21"/>
        </w:rPr>
        <w:t>五、重要会计政策及会计估计</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spacing w:val="-2"/>
          <w:sz w:val="21"/>
          <w:szCs w:val="21"/>
        </w:rPr>
        <w:t>具体会计政策和会计估计提示：</w:t>
      </w:r>
    </w:p>
    <w:p>
      <w:pPr>
        <w:pStyle w:val="BodyText"/>
        <w:spacing w:line="228" w:lineRule="exact"/>
        <w:ind w:left="138" w:right="0"/>
        <w:jc w:val="both"/>
      </w:pPr>
      <w:r>
        <w:rPr/>
        <w:t>√适用</w:t>
      </w:r>
      <w:r>
        <w:rPr>
          <w:spacing w:val="-1"/>
        </w:rPr>
        <w:t> </w:t>
      </w:r>
      <w:r>
        <w:rPr/>
        <w:t>□不适用</w:t>
      </w:r>
    </w:p>
    <w:p>
      <w:pPr>
        <w:pStyle w:val="BodyText"/>
        <w:spacing w:line="240" w:lineRule="auto"/>
        <w:ind w:left="138" w:right="125"/>
        <w:jc w:val="left"/>
      </w:pPr>
      <w:r>
        <w:rPr>
          <w:spacing w:val="-2"/>
        </w:rPr>
        <w:t>本公司下列重要会计政策、会计估计根据企业会计准则制定。未提及的业务按企业会计准则中相</w:t>
      </w:r>
      <w:r>
        <w:rPr>
          <w:spacing w:val="-25"/>
        </w:rPr>
        <w:t> </w:t>
      </w:r>
      <w:r>
        <w:rPr>
          <w:spacing w:val="-25"/>
        </w:rPr>
      </w:r>
      <w:r>
        <w:rPr/>
        <w:t>关会计政策执行。</w:t>
      </w:r>
    </w:p>
    <w:p>
      <w:pPr>
        <w:spacing w:line="240" w:lineRule="auto" w:before="3"/>
        <w:rPr>
          <w:rFonts w:ascii="宋体" w:hAnsi="宋体" w:cs="宋体" w:eastAsia="宋体" w:hint="default"/>
          <w:sz w:val="25"/>
          <w:szCs w:val="25"/>
        </w:rPr>
      </w:pPr>
    </w:p>
    <w:p>
      <w:pPr>
        <w:pStyle w:val="Heading2"/>
        <w:spacing w:line="240" w:lineRule="auto"/>
        <w:ind w:left="138" w:right="0"/>
        <w:jc w:val="both"/>
        <w:rPr>
          <w:b w:val="0"/>
          <w:bCs w:val="0"/>
        </w:rPr>
      </w:pPr>
      <w:r>
        <w:rPr>
          <w:rFonts w:ascii="宋体" w:hAnsi="宋体" w:cs="宋体" w:eastAsia="宋体" w:hint="default"/>
        </w:rPr>
        <w:t>1. </w:t>
      </w:r>
      <w:r>
        <w:rPr>
          <w:rFonts w:ascii="宋体" w:hAnsi="宋体" w:cs="宋体" w:eastAsia="宋体" w:hint="default"/>
          <w:spacing w:val="1"/>
        </w:rPr>
        <w:t> </w:t>
      </w:r>
      <w:r>
        <w:rPr/>
        <w:t>遵循企业会计准则的声明</w:t>
      </w:r>
      <w:r>
        <w:rPr>
          <w:b w:val="0"/>
          <w:bCs w:val="0"/>
        </w:rPr>
      </w:r>
    </w:p>
    <w:p>
      <w:pPr>
        <w:pStyle w:val="BodyText"/>
        <w:spacing w:line="240" w:lineRule="auto" w:before="56"/>
        <w:ind w:left="138" w:right="125"/>
        <w:jc w:val="left"/>
      </w:pPr>
      <w:r>
        <w:rPr>
          <w:spacing w:val="-2"/>
        </w:rPr>
        <w:t>本公司所编制的财务报表符合企业会计准则的要求，真实、完整地反映了公司的财务状况、经营</w:t>
      </w:r>
      <w:r>
        <w:rPr>
          <w:spacing w:val="-25"/>
        </w:rPr>
        <w:t> </w:t>
      </w:r>
      <w:r>
        <w:rPr>
          <w:spacing w:val="-25"/>
        </w:rPr>
      </w:r>
      <w:r>
        <w:rPr/>
        <w:t>成果、股东权益变动和现金流量等有关信息。</w:t>
      </w:r>
    </w:p>
    <w:p>
      <w:pPr>
        <w:spacing w:line="240" w:lineRule="auto" w:before="3"/>
        <w:rPr>
          <w:rFonts w:ascii="宋体" w:hAnsi="宋体" w:cs="宋体" w:eastAsia="宋体" w:hint="default"/>
          <w:sz w:val="25"/>
          <w:szCs w:val="25"/>
        </w:rPr>
      </w:pPr>
    </w:p>
    <w:p>
      <w:pPr>
        <w:pStyle w:val="Heading2"/>
        <w:spacing w:line="240" w:lineRule="auto"/>
        <w:ind w:left="138" w:right="0"/>
        <w:jc w:val="both"/>
        <w:rPr>
          <w:b w:val="0"/>
          <w:bCs w:val="0"/>
        </w:rPr>
      </w:pPr>
      <w:r>
        <w:rPr>
          <w:rFonts w:ascii="宋体" w:hAnsi="宋体" w:cs="宋体" w:eastAsia="宋体" w:hint="default"/>
        </w:rPr>
        <w:t>2. </w:t>
      </w:r>
      <w:r>
        <w:rPr>
          <w:rFonts w:ascii="宋体" w:hAnsi="宋体" w:cs="宋体" w:eastAsia="宋体" w:hint="default"/>
          <w:spacing w:val="2"/>
        </w:rPr>
        <w:t> </w:t>
      </w:r>
      <w:r>
        <w:rPr/>
        <w:t>会计期间</w:t>
      </w:r>
      <w:r>
        <w:rPr>
          <w:b w:val="0"/>
          <w:bCs w:val="0"/>
        </w:rPr>
      </w:r>
    </w:p>
    <w:p>
      <w:pPr>
        <w:pStyle w:val="BodyText"/>
        <w:spacing w:line="240" w:lineRule="auto" w:before="56"/>
        <w:ind w:left="138" w:right="0"/>
        <w:jc w:val="both"/>
      </w:pPr>
      <w:r>
        <w:rPr/>
        <w:t>本公司会计年度自公历</w:t>
      </w:r>
      <w:r>
        <w:rPr>
          <w:spacing w:val="-52"/>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3"/>
        </w:rPr>
        <w:t> </w:t>
      </w:r>
      <w:r>
        <w:rPr/>
        <w:t>日起至</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日止。</w:t>
      </w:r>
    </w:p>
    <w:p>
      <w:pPr>
        <w:spacing w:line="240" w:lineRule="auto" w:before="3"/>
        <w:rPr>
          <w:rFonts w:ascii="宋体" w:hAnsi="宋体" w:cs="宋体" w:eastAsia="宋体" w:hint="default"/>
          <w:sz w:val="25"/>
          <w:szCs w:val="25"/>
        </w:rPr>
      </w:pPr>
    </w:p>
    <w:p>
      <w:pPr>
        <w:pStyle w:val="Heading2"/>
        <w:spacing w:line="240" w:lineRule="auto"/>
        <w:ind w:left="138" w:right="0"/>
        <w:jc w:val="both"/>
        <w:rPr>
          <w:b w:val="0"/>
          <w:bCs w:val="0"/>
        </w:rPr>
      </w:pPr>
      <w:r>
        <w:rPr>
          <w:rFonts w:ascii="宋体" w:hAnsi="宋体" w:cs="宋体" w:eastAsia="宋体" w:hint="default"/>
        </w:rPr>
        <w:t>3. </w:t>
      </w:r>
      <w:r>
        <w:rPr>
          <w:rFonts w:ascii="宋体" w:hAnsi="宋体" w:cs="宋体" w:eastAsia="宋体" w:hint="default"/>
          <w:spacing w:val="2"/>
        </w:rPr>
        <w:t> </w:t>
      </w:r>
      <w:r>
        <w:rPr/>
        <w:t>营业周期</w:t>
      </w:r>
      <w:r>
        <w:rPr>
          <w:b w:val="0"/>
          <w:bCs w:val="0"/>
        </w:rPr>
      </w:r>
    </w:p>
    <w:p>
      <w:pPr>
        <w:pStyle w:val="BodyText"/>
        <w:spacing w:line="240" w:lineRule="auto" w:before="56"/>
        <w:ind w:left="138" w:right="5169"/>
        <w:jc w:val="left"/>
      </w:pPr>
      <w:r>
        <w:rPr/>
        <w:t>√适用</w:t>
      </w:r>
      <w:r>
        <w:rPr>
          <w:spacing w:val="-2"/>
        </w:rPr>
        <w:t> </w:t>
      </w:r>
      <w:r>
        <w:rPr/>
        <w:t>□不适用</w:t>
      </w:r>
      <w:r>
        <w:rPr>
          <w:w w:val="100"/>
        </w:rPr>
        <w:t> </w:t>
      </w:r>
      <w:r>
        <w:rPr>
          <w:spacing w:val="-2"/>
        </w:rPr>
        <w:t>本公司正常营业周期为一年。</w:t>
      </w:r>
    </w:p>
    <w:p>
      <w:pPr>
        <w:spacing w:line="240" w:lineRule="auto" w:before="3"/>
        <w:rPr>
          <w:rFonts w:ascii="宋体" w:hAnsi="宋体" w:cs="宋体" w:eastAsia="宋体" w:hint="default"/>
          <w:sz w:val="25"/>
          <w:szCs w:val="25"/>
        </w:rPr>
      </w:pPr>
    </w:p>
    <w:p>
      <w:pPr>
        <w:tabs>
          <w:tab w:pos="562" w:val="left" w:leader="none"/>
        </w:tabs>
        <w:spacing w:line="290" w:lineRule="auto" w:before="0"/>
        <w:ind w:left="138" w:right="6021" w:firstLine="0"/>
        <w:jc w:val="left"/>
        <w:rPr>
          <w:rFonts w:ascii="宋体" w:hAnsi="宋体" w:cs="宋体" w:eastAsia="宋体" w:hint="default"/>
          <w:sz w:val="21"/>
          <w:szCs w:val="21"/>
        </w:rPr>
      </w:pPr>
      <w:r>
        <w:rPr>
          <w:rFonts w:ascii="宋体" w:hAnsi="宋体" w:cs="宋体" w:eastAsia="宋体" w:hint="default"/>
          <w:b/>
          <w:bCs/>
          <w:w w:val="95"/>
          <w:sz w:val="21"/>
          <w:szCs w:val="21"/>
        </w:rPr>
        <w:t>4.</w:t>
        <w:tab/>
      </w:r>
      <w:r>
        <w:rPr>
          <w:rFonts w:ascii="宋体" w:hAnsi="宋体" w:cs="宋体" w:eastAsia="宋体" w:hint="default"/>
          <w:b/>
          <w:bCs/>
          <w:sz w:val="21"/>
          <w:szCs w:val="21"/>
        </w:rPr>
        <w:t>记账本位币</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本公司的记账本位币为人民币。</w:t>
      </w:r>
    </w:p>
    <w:p>
      <w:pPr>
        <w:spacing w:line="240" w:lineRule="auto" w:before="11"/>
        <w:rPr>
          <w:rFonts w:ascii="宋体" w:hAnsi="宋体" w:cs="宋体" w:eastAsia="宋体" w:hint="default"/>
          <w:sz w:val="21"/>
          <w:szCs w:val="21"/>
        </w:rPr>
      </w:pPr>
    </w:p>
    <w:p>
      <w:pPr>
        <w:pStyle w:val="Heading2"/>
        <w:spacing w:line="240" w:lineRule="auto"/>
        <w:ind w:left="138" w:right="0"/>
        <w:jc w:val="both"/>
        <w:rPr>
          <w:b w:val="0"/>
          <w:bCs w:val="0"/>
        </w:rPr>
      </w:pPr>
      <w:r>
        <w:rPr>
          <w:rFonts w:ascii="宋体" w:hAnsi="宋体" w:cs="宋体" w:eastAsia="宋体" w:hint="default"/>
        </w:rPr>
        <w:t>5.</w:t>
      </w:r>
      <w:r>
        <w:rPr>
          <w:rFonts w:ascii="宋体" w:hAnsi="宋体" w:cs="宋体" w:eastAsia="宋体" w:hint="default"/>
          <w:spacing w:val="103"/>
        </w:rPr>
        <w:t> </w:t>
      </w:r>
      <w:r>
        <w:rPr/>
        <w:t>同一控制下和非同一控制下企业合并的会计处理方法</w:t>
      </w:r>
      <w:r>
        <w:rPr>
          <w:b w:val="0"/>
          <w:bCs w:val="0"/>
        </w:rPr>
      </w:r>
    </w:p>
    <w:p>
      <w:pPr>
        <w:pStyle w:val="BodyText"/>
        <w:spacing w:line="273" w:lineRule="exact" w:before="58"/>
        <w:ind w:left="138" w:right="0"/>
        <w:jc w:val="both"/>
      </w:pPr>
      <w:r>
        <w:rPr/>
        <w:t>√适用</w:t>
      </w:r>
      <w:r>
        <w:rPr>
          <w:spacing w:val="-1"/>
        </w:rPr>
        <w:t> </w:t>
      </w:r>
      <w:r>
        <w:rPr/>
        <w:t>□不适用</w:t>
      </w:r>
    </w:p>
    <w:p>
      <w:pPr>
        <w:spacing w:line="355" w:lineRule="auto" w:before="0"/>
        <w:ind w:left="558" w:right="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）同一控制下的企业合并</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本公司在企业合并中取得的资产和负债，在合并日按取得被合并方在最终控制方合并财务报</w:t>
      </w:r>
    </w:p>
    <w:p>
      <w:pPr>
        <w:pStyle w:val="BodyText"/>
        <w:spacing w:line="357" w:lineRule="auto" w:before="34"/>
        <w:ind w:left="138" w:right="128"/>
        <w:jc w:val="both"/>
      </w:pPr>
      <w:r>
        <w:rPr>
          <w:spacing w:val="-2"/>
        </w:rPr>
        <w:t>表中的账面价值计量。其中，对于被合并方与本公司在企业合并前采用的会计政策不同的，基于</w:t>
      </w:r>
      <w:r>
        <w:rPr>
          <w:spacing w:val="-25"/>
        </w:rPr>
        <w:t> </w:t>
      </w:r>
      <w:r>
        <w:rPr>
          <w:spacing w:val="-25"/>
        </w:rPr>
      </w:r>
      <w:r>
        <w:rPr>
          <w:spacing w:val="-6"/>
          <w:w w:val="100"/>
        </w:rPr>
        <w:t>重要性原则统一会计政策，即按照本公司的会计政策对被合并方资产、负债的账面价值进行调整。</w:t>
      </w:r>
      <w:r>
        <w:rPr>
          <w:w w:val="100"/>
        </w:rPr>
        <w:t> </w:t>
      </w:r>
      <w:r>
        <w:rPr>
          <w:spacing w:val="-2"/>
        </w:rPr>
        <w:t>本公司在企业合并中取得的净资产账面价值与所支付对价的账面价值之间存在差额的，首先调整</w:t>
      </w:r>
      <w:r>
        <w:rPr>
          <w:spacing w:val="-25"/>
        </w:rPr>
        <w:t> </w:t>
      </w:r>
      <w:r>
        <w:rPr>
          <w:spacing w:val="-25"/>
        </w:rPr>
      </w:r>
      <w:r>
        <w:rPr>
          <w:spacing w:val="-2"/>
        </w:rPr>
        <w:t>资本公积（资本溢价或股本溢价），资本公积（资本溢价或股本溢价）的余额不足冲减的，依次</w:t>
      </w:r>
      <w:r>
        <w:rPr>
          <w:spacing w:val="-25"/>
        </w:rPr>
        <w:t> </w:t>
      </w:r>
      <w:r>
        <w:rPr>
          <w:spacing w:val="-25"/>
        </w:rPr>
      </w:r>
      <w:r>
        <w:rPr/>
        <w:t>冲减盈余公积和未分配利润。</w:t>
      </w:r>
    </w:p>
    <w:p>
      <w:pPr>
        <w:pStyle w:val="BodyText"/>
        <w:spacing w:line="357" w:lineRule="auto" w:before="30"/>
        <w:ind w:left="138" w:right="124" w:firstLine="422"/>
        <w:jc w:val="left"/>
      </w:pPr>
      <w:r>
        <w:rPr>
          <w:rFonts w:ascii="宋体" w:hAnsi="宋体" w:cs="宋体" w:eastAsia="宋体" w:hint="default"/>
          <w:b/>
          <w:bCs/>
        </w:rPr>
        <w:t>（</w:t>
      </w:r>
      <w:r>
        <w:rPr>
          <w:rFonts w:ascii="宋体" w:hAnsi="宋体" w:cs="宋体" w:eastAsia="宋体" w:hint="default"/>
          <w:b/>
          <w:bCs/>
        </w:rPr>
        <w:t>2</w:t>
      </w:r>
      <w:r>
        <w:rPr>
          <w:rFonts w:ascii="宋体" w:hAnsi="宋体" w:cs="宋体" w:eastAsia="宋体" w:hint="default"/>
          <w:b/>
          <w:bCs/>
        </w:rPr>
        <w:t>）非同一控制下的企业合并</w:t>
      </w:r>
      <w:r>
        <w:rPr>
          <w:rFonts w:ascii="宋体" w:hAnsi="宋体" w:cs="宋体" w:eastAsia="宋体" w:hint="default"/>
          <w:b/>
          <w:bCs/>
          <w:w w:val="100"/>
        </w:rPr>
        <w:t> </w:t>
      </w:r>
      <w:r>
        <w:rPr>
          <w:spacing w:val="-6"/>
          <w:w w:val="100"/>
        </w:rPr>
        <w:t>本公司在企业合并中取得的被购买方各项可辨认资产和负债，在购买日按其公允价值计量。其中，</w:t>
      </w:r>
      <w:r>
        <w:rPr>
          <w:w w:val="100"/>
        </w:rPr>
        <w:t> </w:t>
      </w:r>
      <w:r>
        <w:rPr>
          <w:spacing w:val="-2"/>
        </w:rPr>
        <w:t>对于被购买方与本公司在企业合并前采用的会计政策不同的，基于重要性原则统一会计政策，即</w:t>
      </w:r>
      <w:r>
        <w:rPr>
          <w:spacing w:val="-25"/>
        </w:rPr>
        <w:t> </w:t>
      </w:r>
      <w:r>
        <w:rPr>
          <w:spacing w:val="-25"/>
        </w:rPr>
      </w:r>
      <w:r>
        <w:rPr>
          <w:spacing w:val="-2"/>
        </w:rPr>
        <w:t>按照本公司的会计政策对被购买方资产、负债的账面价值进行调整。本公司在购买日的合并成本</w:t>
      </w:r>
      <w:r>
        <w:rPr>
          <w:spacing w:val="-25"/>
        </w:rPr>
        <w:t> </w:t>
      </w:r>
      <w:r>
        <w:rPr>
          <w:spacing w:val="-25"/>
        </w:rPr>
      </w:r>
      <w:r>
        <w:rPr>
          <w:spacing w:val="-2"/>
        </w:rPr>
        <w:t>大于企业合并中取得的被购买方可辨认资产、负债公允价值的差额，确认为商誉；如果合并成本</w:t>
      </w:r>
      <w:r>
        <w:rPr>
          <w:spacing w:val="-25"/>
        </w:rPr>
        <w:t> </w:t>
      </w:r>
      <w:r>
        <w:rPr>
          <w:spacing w:val="-25"/>
        </w:rPr>
      </w:r>
      <w:r>
        <w:rPr>
          <w:spacing w:val="-2"/>
        </w:rPr>
        <w:t>小于企业合并中取得的被购买方可辨认资产、负债公允价值的差额，首先对合并成本以及在企业</w:t>
      </w:r>
    </w:p>
    <w:p>
      <w:pPr>
        <w:spacing w:after="0" w:line="357" w:lineRule="auto"/>
        <w:jc w:val="left"/>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BodyText"/>
        <w:spacing w:line="357" w:lineRule="auto" w:before="36"/>
        <w:ind w:left="138" w:right="125"/>
        <w:jc w:val="left"/>
      </w:pPr>
      <w:r>
        <w:rPr>
          <w:spacing w:val="-2"/>
        </w:rPr>
        <w:t>合并中取得的被购买方可辨认资产、负债的公允价值进行复核，经复核后合并成本仍小于取得的</w:t>
      </w:r>
      <w:r>
        <w:rPr>
          <w:spacing w:val="-25"/>
        </w:rPr>
        <w:t> </w:t>
      </w:r>
      <w:r>
        <w:rPr>
          <w:spacing w:val="-25"/>
        </w:rPr>
      </w:r>
      <w:r>
        <w:rPr/>
        <w:t>被购买方可辨认资产、负债公允价值的，其差额确认为合并当期损益。</w:t>
      </w:r>
    </w:p>
    <w:p>
      <w:pPr>
        <w:pStyle w:val="Heading2"/>
        <w:tabs>
          <w:tab w:pos="562" w:val="left" w:leader="none"/>
        </w:tabs>
        <w:spacing w:line="240" w:lineRule="auto" w:before="90"/>
        <w:ind w:left="138" w:right="125"/>
        <w:jc w:val="left"/>
        <w:rPr>
          <w:b w:val="0"/>
          <w:bCs w:val="0"/>
        </w:rPr>
      </w:pPr>
      <w:r>
        <w:rPr>
          <w:rFonts w:ascii="宋体" w:hAnsi="宋体" w:cs="宋体" w:eastAsia="宋体" w:hint="default"/>
          <w:w w:val="95"/>
        </w:rPr>
        <w:t>6.</w:t>
        <w:tab/>
      </w:r>
      <w:r>
        <w:rPr/>
        <w:t>合并财务报表的编制方法</w:t>
      </w:r>
      <w:r>
        <w:rPr>
          <w:b w:val="0"/>
          <w:bCs w:val="0"/>
        </w:rPr>
      </w:r>
    </w:p>
    <w:p>
      <w:pPr>
        <w:pStyle w:val="BodyText"/>
        <w:spacing w:line="240" w:lineRule="auto" w:before="56"/>
        <w:ind w:left="558" w:right="125" w:hanging="420"/>
        <w:jc w:val="left"/>
      </w:pPr>
      <w:r>
        <w:rPr/>
        <w:t>√适用</w:t>
      </w:r>
      <w:r>
        <w:rPr>
          <w:spacing w:val="-2"/>
        </w:rPr>
        <w:t> </w:t>
      </w:r>
      <w:r>
        <w:rPr/>
        <w:t>□不适用</w:t>
      </w:r>
      <w:r>
        <w:rPr>
          <w:w w:val="100"/>
        </w:rPr>
        <w:t> </w:t>
      </w:r>
      <w:r>
        <w:rPr/>
        <w:t>本公司以自身和子公司的财务报表为基础，根据其他有关资料，编制合并财务报表。</w:t>
      </w:r>
    </w:p>
    <w:p>
      <w:pPr>
        <w:pStyle w:val="BodyText"/>
        <w:spacing w:line="355" w:lineRule="auto" w:before="133"/>
        <w:ind w:left="138" w:right="125" w:firstLine="419"/>
        <w:jc w:val="left"/>
      </w:pPr>
      <w:r>
        <w:rPr>
          <w:spacing w:val="-2"/>
        </w:rPr>
        <w:t>本公司编制合并财务报表，将整个企业集团视为一个会计主体，依据相关企业会计准则的确</w:t>
      </w:r>
      <w:r>
        <w:rPr>
          <w:w w:val="100"/>
        </w:rPr>
        <w:t> </w:t>
      </w:r>
      <w:r>
        <w:rPr>
          <w:spacing w:val="-7"/>
        </w:rPr>
        <w:t>认、计量和列报要求，按照统一的会计政策，反映企业集团整体财务状况、经营成果和现金流量。</w:t>
      </w:r>
    </w:p>
    <w:p>
      <w:pPr>
        <w:pStyle w:val="BodyText"/>
        <w:spacing w:line="240" w:lineRule="auto" w:before="32"/>
        <w:ind w:left="558" w:right="125"/>
        <w:jc w:val="left"/>
      </w:pPr>
      <w:r>
        <w:rPr/>
        <w:t>①合并母公司与子公司的资产、负债、所有者权益、收入、费用和现金流等项目。</w:t>
      </w:r>
    </w:p>
    <w:p>
      <w:pPr>
        <w:pStyle w:val="BodyText"/>
        <w:spacing w:line="240" w:lineRule="auto" w:before="135"/>
        <w:ind w:left="558" w:right="125"/>
        <w:jc w:val="left"/>
      </w:pPr>
      <w:r>
        <w:rPr/>
        <w:t>②抵销母公司对子公司的长期股权投资与母公司在子公司所有者权益中所享有的份额。</w:t>
      </w:r>
    </w:p>
    <w:p>
      <w:pPr>
        <w:pStyle w:val="BodyText"/>
        <w:spacing w:line="355" w:lineRule="auto" w:before="133"/>
        <w:ind w:left="138" w:right="125" w:firstLine="419"/>
        <w:jc w:val="left"/>
      </w:pPr>
      <w:r>
        <w:rPr>
          <w:spacing w:val="-2"/>
        </w:rPr>
        <w:t>③抵销母公司与子公司、子公司相互之间发生的内部交易的影响。内部交易表明相关资产发</w:t>
      </w:r>
      <w:r>
        <w:rPr>
          <w:w w:val="100"/>
        </w:rPr>
        <w:t> </w:t>
      </w:r>
      <w:r>
        <w:rPr/>
        <w:t>生减值损失的，全额确认该部分损失。</w:t>
      </w:r>
    </w:p>
    <w:p>
      <w:pPr>
        <w:pStyle w:val="BodyText"/>
        <w:spacing w:line="240" w:lineRule="auto" w:before="32"/>
        <w:ind w:left="558" w:right="125"/>
        <w:jc w:val="left"/>
      </w:pPr>
      <w:r>
        <w:rPr/>
        <w:t>④站在企业集团角度对特殊交易事项予以调整。</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2"/>
        <w:tabs>
          <w:tab w:pos="562" w:val="left" w:leader="none"/>
        </w:tabs>
        <w:spacing w:line="240" w:lineRule="auto"/>
        <w:ind w:left="138" w:right="125"/>
        <w:jc w:val="left"/>
        <w:rPr>
          <w:b w:val="0"/>
          <w:bCs w:val="0"/>
        </w:rPr>
      </w:pPr>
      <w:r>
        <w:rPr>
          <w:rFonts w:ascii="宋体" w:hAnsi="宋体" w:cs="宋体" w:eastAsia="宋体" w:hint="default"/>
          <w:w w:val="95"/>
        </w:rPr>
        <w:t>7.</w:t>
        <w:tab/>
      </w:r>
      <w:r>
        <w:rPr/>
        <w:t>合营安排分类及共同经营会计处理方法</w:t>
      </w:r>
      <w:r>
        <w:rPr>
          <w:b w:val="0"/>
          <w:bCs w:val="0"/>
        </w:rPr>
      </w:r>
    </w:p>
    <w:p>
      <w:pPr>
        <w:pStyle w:val="BodyText"/>
        <w:spacing w:line="240" w:lineRule="auto" w:before="56"/>
        <w:ind w:left="558" w:right="125" w:hanging="420"/>
        <w:jc w:val="left"/>
      </w:pPr>
      <w:r>
        <w:rPr/>
        <w:t>√适用</w:t>
      </w:r>
      <w:r>
        <w:rPr>
          <w:spacing w:val="-2"/>
        </w:rPr>
        <w:t> </w:t>
      </w:r>
      <w:r>
        <w:rPr/>
        <w:t>□不适用</w:t>
      </w:r>
      <w:r>
        <w:rPr>
          <w:w w:val="100"/>
        </w:rPr>
        <w:t> </w:t>
      </w:r>
      <w:r>
        <w:rPr>
          <w:spacing w:val="-2"/>
        </w:rPr>
        <w:t>合营安排，是指一项由两个或两个以上的参与方共同控制的安排。本公司合营安排为合营企</w:t>
      </w:r>
    </w:p>
    <w:p>
      <w:pPr>
        <w:pStyle w:val="BodyText"/>
        <w:spacing w:line="240" w:lineRule="auto" w:before="133"/>
        <w:ind w:left="138" w:right="125"/>
        <w:jc w:val="left"/>
      </w:pPr>
      <w:r>
        <w:rPr/>
        <w:t>业。</w:t>
      </w:r>
    </w:p>
    <w:p>
      <w:pPr>
        <w:pStyle w:val="BodyText"/>
        <w:spacing w:line="357" w:lineRule="auto" w:before="133"/>
        <w:ind w:left="138" w:right="125" w:firstLine="419"/>
        <w:jc w:val="left"/>
      </w:pPr>
      <w:r>
        <w:rPr/>
        <w:t>合营企业是指本公司仅对该安排的净资产享有权利的合营安排。</w:t>
      </w:r>
      <w:r>
        <w:rPr>
          <w:w w:val="100"/>
        </w:rPr>
        <w:t> </w:t>
      </w:r>
      <w:r>
        <w:rPr>
          <w:spacing w:val="-2"/>
        </w:rPr>
        <w:t>本公司按照长期股权投资有关权益法核算的规定对合营企业的投资进行会计处理。</w:t>
      </w:r>
    </w:p>
    <w:p>
      <w:pPr>
        <w:spacing w:line="240" w:lineRule="auto" w:before="8"/>
        <w:rPr>
          <w:rFonts w:ascii="宋体" w:hAnsi="宋体" w:cs="宋体" w:eastAsia="宋体" w:hint="default"/>
          <w:sz w:val="27"/>
          <w:szCs w:val="27"/>
        </w:rPr>
      </w:pPr>
    </w:p>
    <w:p>
      <w:pPr>
        <w:tabs>
          <w:tab w:pos="562" w:val="left" w:leader="none"/>
        </w:tabs>
        <w:spacing w:line="290" w:lineRule="auto" w:before="0"/>
        <w:ind w:left="558" w:right="148" w:hanging="420"/>
        <w:jc w:val="left"/>
        <w:rPr>
          <w:rFonts w:ascii="宋体" w:hAnsi="宋体" w:cs="宋体" w:eastAsia="宋体" w:hint="default"/>
          <w:sz w:val="21"/>
          <w:szCs w:val="21"/>
        </w:rPr>
      </w:pPr>
      <w:r>
        <w:rPr>
          <w:rFonts w:ascii="宋体" w:hAnsi="宋体" w:cs="宋体" w:eastAsia="宋体" w:hint="default"/>
          <w:b/>
          <w:bCs/>
          <w:w w:val="95"/>
          <w:sz w:val="21"/>
          <w:szCs w:val="21"/>
        </w:rPr>
        <w:t>8.</w:t>
        <w:tab/>
        <w:tab/>
      </w:r>
      <w:r>
        <w:rPr>
          <w:rFonts w:ascii="宋体" w:hAnsi="宋体" w:cs="宋体" w:eastAsia="宋体" w:hint="default"/>
          <w:b/>
          <w:bCs/>
          <w:sz w:val="21"/>
          <w:szCs w:val="21"/>
        </w:rPr>
        <w:t>现金及现金等价物的确定标准</w:t>
      </w:r>
      <w:r>
        <w:rPr>
          <w:rFonts w:ascii="宋体" w:hAnsi="宋体" w:cs="宋体" w:eastAsia="宋体" w:hint="default"/>
          <w:b/>
          <w:bCs/>
          <w:w w:val="100"/>
          <w:sz w:val="21"/>
          <w:szCs w:val="21"/>
        </w:rPr>
        <w:t> </w:t>
      </w:r>
      <w:r>
        <w:rPr>
          <w:rFonts w:ascii="宋体" w:hAnsi="宋体" w:cs="宋体" w:eastAsia="宋体" w:hint="default"/>
          <w:spacing w:val="-2"/>
          <w:sz w:val="21"/>
          <w:szCs w:val="21"/>
        </w:rPr>
        <w:t>现金指企业库存现金及可以随时用于支付的存款。现金等价物指持有的期限短（一般是指从</w:t>
      </w:r>
    </w:p>
    <w:p>
      <w:pPr>
        <w:pStyle w:val="BodyText"/>
        <w:spacing w:line="227" w:lineRule="exact"/>
        <w:ind w:left="138" w:right="125"/>
        <w:jc w:val="left"/>
      </w:pPr>
      <w:r>
        <w:rPr/>
        <w:t>购买日起三个月内到期）、流动性强、易于转换为已知金额现金、价值变动风险很小的投资。</w:t>
      </w:r>
    </w:p>
    <w:p>
      <w:pPr>
        <w:spacing w:line="240" w:lineRule="auto" w:before="3"/>
        <w:rPr>
          <w:rFonts w:ascii="宋体" w:hAnsi="宋体" w:cs="宋体" w:eastAsia="宋体" w:hint="default"/>
          <w:sz w:val="25"/>
          <w:szCs w:val="25"/>
        </w:rPr>
      </w:pPr>
    </w:p>
    <w:p>
      <w:pPr>
        <w:pStyle w:val="Heading2"/>
        <w:tabs>
          <w:tab w:pos="562" w:val="left" w:leader="none"/>
        </w:tabs>
        <w:spacing w:line="240" w:lineRule="auto"/>
        <w:ind w:left="138" w:right="125"/>
        <w:jc w:val="left"/>
        <w:rPr>
          <w:b w:val="0"/>
          <w:bCs w:val="0"/>
        </w:rPr>
      </w:pPr>
      <w:r>
        <w:rPr>
          <w:rFonts w:ascii="宋体" w:hAnsi="宋体" w:cs="宋体" w:eastAsia="宋体" w:hint="default"/>
          <w:w w:val="95"/>
        </w:rPr>
        <w:t>9.</w:t>
        <w:tab/>
      </w:r>
      <w:r>
        <w:rPr/>
        <w:t>外币业务和外币报表折算</w:t>
      </w:r>
      <w:r>
        <w:rPr>
          <w:b w:val="0"/>
          <w:bCs w:val="0"/>
        </w:rPr>
      </w:r>
    </w:p>
    <w:p>
      <w:pPr>
        <w:pStyle w:val="BodyText"/>
        <w:spacing w:line="273" w:lineRule="exact" w:before="58"/>
        <w:ind w:left="138" w:right="125"/>
        <w:jc w:val="left"/>
      </w:pPr>
      <w:r>
        <w:rPr/>
        <w:t>√适用</w:t>
      </w:r>
      <w:r>
        <w:rPr>
          <w:spacing w:val="-1"/>
        </w:rPr>
        <w:t> </w:t>
      </w:r>
      <w:r>
        <w:rPr/>
        <w:t>□不适用</w:t>
      </w:r>
    </w:p>
    <w:p>
      <w:pPr>
        <w:spacing w:line="357" w:lineRule="auto" w:before="0"/>
        <w:ind w:left="558" w:right="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）外币交易时折算汇率的确定方法</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本公司外币交易初始确认时采用交易发生日的即期汇率或即期汇率的近似汇率折算为记账本</w:t>
      </w:r>
    </w:p>
    <w:p>
      <w:pPr>
        <w:pStyle w:val="BodyText"/>
        <w:spacing w:line="240" w:lineRule="auto" w:before="32"/>
        <w:ind w:left="138" w:right="125"/>
        <w:jc w:val="left"/>
      </w:pPr>
      <w:r>
        <w:rPr/>
        <w:t>位币。</w:t>
      </w:r>
    </w:p>
    <w:p>
      <w:pPr>
        <w:spacing w:line="355" w:lineRule="auto" w:before="133"/>
        <w:ind w:left="558" w:right="125"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）资产负债表日外币货币性项目的折算方法</w:t>
      </w:r>
      <w:r>
        <w:rPr>
          <w:rFonts w:ascii="宋体" w:hAnsi="宋体" w:cs="宋体" w:eastAsia="宋体" w:hint="default"/>
          <w:b/>
          <w:bCs/>
          <w:w w:val="100"/>
          <w:sz w:val="21"/>
          <w:szCs w:val="21"/>
        </w:rPr>
        <w:t> </w:t>
      </w:r>
      <w:r>
        <w:rPr>
          <w:rFonts w:ascii="宋体" w:hAnsi="宋体" w:cs="宋体" w:eastAsia="宋体" w:hint="default"/>
          <w:spacing w:val="-2"/>
          <w:sz w:val="21"/>
          <w:szCs w:val="21"/>
        </w:rPr>
        <w:t>在资产负债表日，对于外币货币性项目，采用资产负债表日的即期汇率折算。因资产负债表</w:t>
      </w:r>
    </w:p>
    <w:p>
      <w:pPr>
        <w:pStyle w:val="BodyText"/>
        <w:spacing w:line="240" w:lineRule="auto" w:before="32"/>
        <w:ind w:left="138" w:right="0"/>
        <w:jc w:val="left"/>
      </w:pPr>
      <w:r>
        <w:rPr/>
        <w:t>日即期汇率与初始确认时或前一资产负债表日即期汇率不同而产生的汇兑差额，计入当期损益。</w:t>
      </w:r>
    </w:p>
    <w:p>
      <w:pPr>
        <w:spacing w:line="357" w:lineRule="auto" w:before="133"/>
        <w:ind w:left="558" w:right="125"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）外币报表折算方法</w:t>
      </w:r>
      <w:r>
        <w:rPr>
          <w:rFonts w:ascii="宋体" w:hAnsi="宋体" w:cs="宋体" w:eastAsia="宋体" w:hint="default"/>
          <w:b/>
          <w:bCs/>
          <w:w w:val="100"/>
          <w:sz w:val="21"/>
          <w:szCs w:val="21"/>
        </w:rPr>
        <w:t> </w:t>
      </w:r>
      <w:r>
        <w:rPr>
          <w:rFonts w:ascii="宋体" w:hAnsi="宋体" w:cs="宋体" w:eastAsia="宋体" w:hint="default"/>
          <w:spacing w:val="-2"/>
          <w:sz w:val="21"/>
          <w:szCs w:val="21"/>
        </w:rPr>
        <w:t>对企业境外经营财务报表进行折算前先调整境外经营的会计期间和会计政策，使之与企业会</w:t>
      </w:r>
    </w:p>
    <w:p>
      <w:pPr>
        <w:pStyle w:val="BodyText"/>
        <w:spacing w:line="357" w:lineRule="auto" w:before="30"/>
        <w:ind w:left="138" w:right="125"/>
        <w:jc w:val="left"/>
      </w:pPr>
      <w:r>
        <w:rPr>
          <w:spacing w:val="-2"/>
        </w:rPr>
        <w:t>计期间和会计政策相一致，再根据调整后会计政策及会计期间编制相应货币（记账本位币以外的</w:t>
      </w:r>
      <w:r>
        <w:rPr>
          <w:spacing w:val="-25"/>
        </w:rPr>
        <w:t> </w:t>
      </w:r>
      <w:r>
        <w:rPr>
          <w:spacing w:val="-25"/>
        </w:rPr>
      </w:r>
      <w:r>
        <w:rPr/>
        <w:t>货币）的财务报表，再按照以下方法对境外经营财务报表进行折算：</w:t>
      </w:r>
    </w:p>
    <w:p>
      <w:pPr>
        <w:spacing w:after="0" w:line="357" w:lineRule="auto"/>
        <w:jc w:val="left"/>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BodyText"/>
        <w:spacing w:line="357" w:lineRule="auto" w:before="36"/>
        <w:ind w:left="138" w:right="125" w:firstLine="419"/>
        <w:jc w:val="left"/>
      </w:pPr>
      <w:r>
        <w:rPr>
          <w:spacing w:val="-2"/>
        </w:rPr>
        <w:t>①资产负债表中的资产和负债项目，采用资产负债表日的即期汇率折算，所有者权益项目除</w:t>
      </w:r>
      <w:r>
        <w:rPr>
          <w:w w:val="100"/>
        </w:rPr>
        <w:t> </w:t>
      </w:r>
      <w:r>
        <w:rPr/>
        <w:t>“未分配利润”项目外，其他项目采用发生时的即期汇率折算。</w:t>
      </w:r>
    </w:p>
    <w:p>
      <w:pPr>
        <w:pStyle w:val="BodyText"/>
        <w:spacing w:line="240" w:lineRule="auto" w:before="30"/>
        <w:ind w:left="558" w:right="125"/>
        <w:jc w:val="left"/>
      </w:pPr>
      <w:r>
        <w:rPr/>
        <w:t>②利润表中的收入和费用项目，采用交易发生日的即期汇率或即期汇率的近似汇率折算。</w:t>
      </w:r>
    </w:p>
    <w:p>
      <w:pPr>
        <w:pStyle w:val="BodyText"/>
        <w:spacing w:line="355" w:lineRule="auto" w:before="133"/>
        <w:ind w:left="138" w:right="125" w:firstLine="419"/>
        <w:jc w:val="left"/>
      </w:pPr>
      <w:r>
        <w:rPr>
          <w:spacing w:val="-2"/>
        </w:rPr>
        <w:t>③产生的外币财务报表折算差额，在编制合并财务报表时，在合并资产负债表中所有者权益</w:t>
      </w:r>
      <w:r>
        <w:rPr>
          <w:w w:val="100"/>
        </w:rPr>
        <w:t> </w:t>
      </w:r>
      <w:r>
        <w:rPr/>
        <w:t>项目下单独列示“其他综合收益”。</w:t>
      </w:r>
    </w:p>
    <w:p>
      <w:pPr>
        <w:pStyle w:val="BodyText"/>
        <w:spacing w:line="357" w:lineRule="auto" w:before="32"/>
        <w:ind w:left="138" w:right="125" w:firstLine="419"/>
        <w:jc w:val="left"/>
      </w:pPr>
      <w:r>
        <w:rPr>
          <w:spacing w:val="-2"/>
        </w:rPr>
        <w:t>④外币现金流量以及境外子公司的现金流量，采用现金流量发生日的即期汇率或即期汇率的</w:t>
      </w:r>
      <w:r>
        <w:rPr>
          <w:w w:val="100"/>
        </w:rPr>
        <w:t> </w:t>
      </w:r>
      <w:r>
        <w:rPr/>
        <w:t>近似汇率折算。汇率变动对现金的影响额作为调节项目，在现金流量表中单独列报。</w:t>
      </w:r>
    </w:p>
    <w:p>
      <w:pPr>
        <w:spacing w:line="240" w:lineRule="auto" w:before="9"/>
        <w:rPr>
          <w:rFonts w:ascii="宋体" w:hAnsi="宋体" w:cs="宋体" w:eastAsia="宋体" w:hint="default"/>
          <w:sz w:val="27"/>
          <w:szCs w:val="27"/>
        </w:rPr>
      </w:pPr>
    </w:p>
    <w:p>
      <w:pPr>
        <w:pStyle w:val="Heading2"/>
        <w:spacing w:line="240" w:lineRule="auto"/>
        <w:ind w:left="138" w:right="0"/>
        <w:jc w:val="both"/>
        <w:rPr>
          <w:b w:val="0"/>
          <w:bCs w:val="0"/>
        </w:rPr>
      </w:pPr>
      <w:r>
        <w:rPr>
          <w:rFonts w:ascii="宋体" w:hAnsi="宋体" w:cs="宋体" w:eastAsia="宋体" w:hint="default"/>
        </w:rPr>
        <w:t>10.</w:t>
      </w:r>
      <w:r>
        <w:rPr>
          <w:rFonts w:ascii="宋体" w:hAnsi="宋体" w:cs="宋体" w:eastAsia="宋体" w:hint="default"/>
          <w:spacing w:val="2"/>
        </w:rPr>
        <w:t> </w:t>
      </w:r>
      <w:r>
        <w:rPr/>
        <w:t>金融工具</w:t>
      </w:r>
      <w:r>
        <w:rPr>
          <w:b w:val="0"/>
          <w:bCs w:val="0"/>
        </w:rPr>
      </w:r>
    </w:p>
    <w:p>
      <w:pPr>
        <w:pStyle w:val="BodyText"/>
        <w:spacing w:line="273" w:lineRule="exact" w:before="58"/>
        <w:ind w:left="138" w:right="0"/>
        <w:jc w:val="both"/>
      </w:pPr>
      <w:r>
        <w:rPr/>
        <w:t>√适用</w:t>
      </w:r>
      <w:r>
        <w:rPr>
          <w:spacing w:val="-1"/>
        </w:rPr>
        <w:t> </w:t>
      </w:r>
      <w:r>
        <w:rPr/>
        <w:t>□不适用</w:t>
      </w:r>
    </w:p>
    <w:p>
      <w:pPr>
        <w:pStyle w:val="Heading2"/>
        <w:spacing w:line="273" w:lineRule="exact"/>
        <w:ind w:left="558" w:right="125"/>
        <w:jc w:val="left"/>
        <w:rPr>
          <w:b w:val="0"/>
          <w:bCs w:val="0"/>
        </w:rPr>
      </w:pPr>
      <w:r>
        <w:rPr/>
        <w:t>（</w:t>
      </w:r>
      <w:r>
        <w:rPr>
          <w:rFonts w:ascii="宋体" w:hAnsi="宋体" w:cs="宋体" w:eastAsia="宋体" w:hint="default"/>
        </w:rPr>
        <w:t>1</w:t>
      </w:r>
      <w:r>
        <w:rPr/>
        <w:t>）金融资产的分类</w:t>
      </w:r>
      <w:r>
        <w:rPr>
          <w:b w:val="0"/>
          <w:bCs w:val="0"/>
        </w:rPr>
      </w:r>
    </w:p>
    <w:p>
      <w:pPr>
        <w:pStyle w:val="BodyText"/>
        <w:spacing w:line="355" w:lineRule="auto" w:before="135"/>
        <w:ind w:left="558" w:right="125"/>
        <w:jc w:val="left"/>
      </w:pPr>
      <w:r>
        <w:rPr/>
        <w:t>①以公允价值计量且其变动计入当期损益的金融资产</w:t>
      </w:r>
      <w:r>
        <w:rPr>
          <w:w w:val="100"/>
        </w:rPr>
        <w:t> </w:t>
      </w:r>
      <w:r>
        <w:rPr>
          <w:spacing w:val="-2"/>
        </w:rPr>
        <w:t>包括交易性金融资产和直接指定为以公允价值计量且其变动计入当期损益的金融资产，前者</w:t>
      </w:r>
    </w:p>
    <w:p>
      <w:pPr>
        <w:pStyle w:val="BodyText"/>
        <w:spacing w:line="357" w:lineRule="auto" w:before="32"/>
        <w:ind w:left="138" w:right="137"/>
        <w:jc w:val="both"/>
      </w:pPr>
      <w:r>
        <w:rPr>
          <w:spacing w:val="-2"/>
        </w:rPr>
        <w:t>主要是指本公司为了近期内出售而持有的股票、债券、基金以及不作为有效套期工具的衍生工具</w:t>
      </w:r>
      <w:r>
        <w:rPr>
          <w:spacing w:val="-25"/>
        </w:rPr>
        <w:t> </w:t>
      </w:r>
      <w:r>
        <w:rPr>
          <w:spacing w:val="-25"/>
        </w:rPr>
      </w:r>
      <w:r>
        <w:rPr>
          <w:spacing w:val="-2"/>
        </w:rPr>
        <w:t>投资。这类资产在初始计量时按照取得时的公允价值作为初始确认金额，相关的交易费用在发生</w:t>
      </w:r>
      <w:r>
        <w:rPr>
          <w:spacing w:val="-25"/>
        </w:rPr>
        <w:t> </w:t>
      </w:r>
      <w:r>
        <w:rPr>
          <w:spacing w:val="-25"/>
        </w:rPr>
      </w:r>
      <w:r>
        <w:rPr>
          <w:spacing w:val="-2"/>
        </w:rPr>
        <w:t>时计入当期损益。支付的价款中包含已宣告但尚未发放的现金股利或已到付息期但尚未领取的债</w:t>
      </w:r>
      <w:r>
        <w:rPr>
          <w:spacing w:val="-25"/>
        </w:rPr>
        <w:t> </w:t>
      </w:r>
      <w:r>
        <w:rPr>
          <w:spacing w:val="-25"/>
        </w:rPr>
      </w:r>
      <w:r>
        <w:rPr>
          <w:spacing w:val="-2"/>
        </w:rPr>
        <w:t>券利息，单独确认为应收项目。在持有期间取得利息或现金股利，确认为投资收益。资产负债表</w:t>
      </w:r>
      <w:r>
        <w:rPr>
          <w:spacing w:val="-25"/>
        </w:rPr>
        <w:t> </w:t>
      </w:r>
      <w:r>
        <w:rPr>
          <w:spacing w:val="-25"/>
        </w:rPr>
      </w:r>
      <w:r>
        <w:rPr>
          <w:spacing w:val="-2"/>
        </w:rPr>
        <w:t>日，本公司将这类金融资产以公允价值计量且其变动计入当期损益。这类金融资产在处置时，其</w:t>
      </w:r>
      <w:r>
        <w:rPr>
          <w:spacing w:val="-25"/>
        </w:rPr>
        <w:t> </w:t>
      </w:r>
      <w:r>
        <w:rPr>
          <w:spacing w:val="-25"/>
        </w:rPr>
      </w:r>
      <w:r>
        <w:rPr/>
        <w:t>公允价值与初始入账金额之间的差额确认为投资收益，同时调整公允价值变动损益。</w:t>
      </w:r>
    </w:p>
    <w:p>
      <w:pPr>
        <w:pStyle w:val="BodyText"/>
        <w:spacing w:line="355" w:lineRule="auto" w:before="30"/>
        <w:ind w:left="558" w:right="125"/>
        <w:jc w:val="left"/>
      </w:pPr>
      <w:r>
        <w:rPr/>
        <w:t>②持有至到期投资</w:t>
      </w:r>
      <w:r>
        <w:rPr>
          <w:w w:val="100"/>
        </w:rPr>
        <w:t> </w:t>
      </w:r>
      <w:r>
        <w:rPr>
          <w:spacing w:val="-2"/>
        </w:rPr>
        <w:t>主要是指到期日固定、回收金额固定或可确定，且本公司具有明确意图和能力持有至到期的</w:t>
      </w:r>
    </w:p>
    <w:p>
      <w:pPr>
        <w:pStyle w:val="BodyText"/>
        <w:spacing w:line="355" w:lineRule="auto" w:before="34"/>
        <w:ind w:left="138" w:right="128"/>
        <w:jc w:val="both"/>
      </w:pPr>
      <w:r>
        <w:rPr>
          <w:spacing w:val="-6"/>
          <w:w w:val="100"/>
        </w:rPr>
        <w:t>国债、公司债券等。这类金融资产按照取得时的公允价值和相关交易费用之和作为初始确认金额。</w:t>
      </w:r>
      <w:r>
        <w:rPr>
          <w:w w:val="100"/>
        </w:rPr>
        <w:t> </w:t>
      </w:r>
      <w:r>
        <w:rPr>
          <w:spacing w:val="-2"/>
        </w:rPr>
        <w:t>支付价款中包含的已到付息期但尚未发放的债券利息，单独确认为应收项目。持有至到期投资在</w:t>
      </w:r>
      <w:r>
        <w:rPr>
          <w:spacing w:val="-25"/>
        </w:rPr>
        <w:t> </w:t>
      </w:r>
      <w:r>
        <w:rPr>
          <w:spacing w:val="-25"/>
        </w:rPr>
      </w:r>
      <w:r>
        <w:rPr>
          <w:spacing w:val="-2"/>
        </w:rPr>
        <w:t>持有期间按照摊余成本和实际利率计算确认利息收入，计入投资收益。处置持有至到期投资时，</w:t>
      </w:r>
      <w:r>
        <w:rPr>
          <w:spacing w:val="-25"/>
        </w:rPr>
        <w:t> </w:t>
      </w:r>
      <w:r>
        <w:rPr>
          <w:spacing w:val="-25"/>
        </w:rPr>
      </w:r>
      <w:r>
        <w:rPr/>
        <w:t>将所取得价款与该投资账面价值之间的差额计入投资收益。</w:t>
      </w:r>
    </w:p>
    <w:p>
      <w:pPr>
        <w:pStyle w:val="BodyText"/>
        <w:spacing w:line="355" w:lineRule="auto" w:before="35"/>
        <w:ind w:left="558" w:right="125"/>
        <w:jc w:val="left"/>
      </w:pPr>
      <w:r>
        <w:rPr/>
        <w:t>③应收款项</w:t>
      </w:r>
      <w:r>
        <w:rPr>
          <w:spacing w:val="-102"/>
        </w:rPr>
        <w:t> </w:t>
      </w:r>
      <w:r>
        <w:rPr>
          <w:spacing w:val="-102"/>
        </w:rPr>
      </w:r>
      <w:r>
        <w:rPr>
          <w:spacing w:val="-2"/>
        </w:rPr>
        <w:t>应收款项主要包括应收账款和其他应收款等。应收账款是指本公司销售商品或提供劳务形成</w:t>
      </w:r>
    </w:p>
    <w:p>
      <w:pPr>
        <w:pStyle w:val="BodyText"/>
        <w:spacing w:line="240" w:lineRule="auto" w:before="32"/>
        <w:ind w:left="138" w:right="0"/>
        <w:jc w:val="both"/>
      </w:pPr>
      <w:r>
        <w:rPr/>
        <w:t>的应收款项。应收账款按从购货方应收的合同或协议价款作为初始确认金额。</w:t>
      </w:r>
    </w:p>
    <w:p>
      <w:pPr>
        <w:pStyle w:val="BodyText"/>
        <w:spacing w:line="355" w:lineRule="auto" w:before="133"/>
        <w:ind w:left="558" w:right="125"/>
        <w:jc w:val="left"/>
      </w:pPr>
      <w:r>
        <w:rPr/>
        <w:t>④可供出售金融资产</w:t>
      </w:r>
      <w:r>
        <w:rPr>
          <w:w w:val="100"/>
        </w:rPr>
        <w:t> </w:t>
      </w:r>
      <w:r>
        <w:rPr>
          <w:spacing w:val="-2"/>
        </w:rPr>
        <w:t>主要是指本公司没有划分为以公允价值计量且其变动计入当期损益的金融资产、持有至到期</w:t>
      </w:r>
    </w:p>
    <w:p>
      <w:pPr>
        <w:pStyle w:val="BodyText"/>
        <w:spacing w:line="357" w:lineRule="auto" w:before="34"/>
        <w:ind w:left="138" w:right="137"/>
        <w:jc w:val="both"/>
      </w:pPr>
      <w:r>
        <w:rPr>
          <w:spacing w:val="-2"/>
        </w:rPr>
        <w:t>投资、贷款和应收款项的金融资产。可供出售金融资产按照取得该金融资产的公允价值和相关交</w:t>
      </w:r>
      <w:r>
        <w:rPr>
          <w:spacing w:val="-25"/>
        </w:rPr>
        <w:t> </w:t>
      </w:r>
      <w:r>
        <w:rPr>
          <w:spacing w:val="-25"/>
        </w:rPr>
      </w:r>
      <w:r>
        <w:rPr>
          <w:spacing w:val="-2"/>
        </w:rPr>
        <w:t>易费用之和作为初始确认金额。支付的价款中包含的已到付息期但尚未领取的债券利息或已宣告</w:t>
      </w:r>
      <w:r>
        <w:rPr>
          <w:spacing w:val="-25"/>
        </w:rPr>
        <w:t> </w:t>
      </w:r>
      <w:r>
        <w:rPr>
          <w:spacing w:val="-25"/>
        </w:rPr>
      </w:r>
      <w:r>
        <w:rPr>
          <w:spacing w:val="-2"/>
        </w:rPr>
        <w:t>但尚未发放的现金股利，单独确认为应收项目。可供出售金融资产持有期间取得的利息或现金股</w:t>
      </w:r>
      <w:r>
        <w:rPr>
          <w:spacing w:val="-25"/>
        </w:rPr>
        <w:t> </w:t>
      </w:r>
      <w:r>
        <w:rPr>
          <w:spacing w:val="-25"/>
        </w:rPr>
      </w:r>
      <w:r>
        <w:rPr/>
        <w:t>利计入投资收益。</w:t>
      </w:r>
    </w:p>
    <w:p>
      <w:pPr>
        <w:spacing w:after="0" w:line="357" w:lineRule="auto"/>
        <w:jc w:val="both"/>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BodyText"/>
        <w:spacing w:line="357" w:lineRule="auto" w:before="36"/>
        <w:ind w:left="138" w:right="217" w:firstLine="419"/>
        <w:jc w:val="both"/>
      </w:pPr>
      <w:r>
        <w:rPr>
          <w:spacing w:val="-2"/>
        </w:rPr>
        <w:t>可供出售金融资产是外币货币性金融资产的，其形成的汇兑损益应当计入当期损益。采用实</w:t>
      </w:r>
      <w:r>
        <w:rPr>
          <w:w w:val="100"/>
        </w:rPr>
        <w:t> </w:t>
      </w:r>
      <w:r>
        <w:rPr>
          <w:spacing w:val="-2"/>
        </w:rPr>
        <w:t>际利率法计算的可供出售债务工具投资的利息，计入当期损益；可供出售权益工具投资的现金股</w:t>
      </w:r>
      <w:r>
        <w:rPr>
          <w:spacing w:val="-25"/>
        </w:rPr>
        <w:t> </w:t>
      </w:r>
      <w:r>
        <w:rPr>
          <w:spacing w:val="-25"/>
        </w:rPr>
      </w:r>
      <w:r>
        <w:rPr>
          <w:spacing w:val="-2"/>
        </w:rPr>
        <w:t>利，在被投资单位宣告发放股利时计入当期损益。资产负债表日，可供出售金融资产以公允价值</w:t>
      </w:r>
      <w:r>
        <w:rPr>
          <w:spacing w:val="-25"/>
        </w:rPr>
        <w:t> </w:t>
      </w:r>
      <w:r>
        <w:rPr>
          <w:spacing w:val="-25"/>
        </w:rPr>
      </w:r>
      <w:r>
        <w:rPr>
          <w:spacing w:val="-2"/>
        </w:rPr>
        <w:t>计量，且其变动计入其他综合收益。处置可供出售金融资产时，将取得的价款与该金融资产账面</w:t>
      </w:r>
      <w:r>
        <w:rPr>
          <w:spacing w:val="-25"/>
        </w:rPr>
        <w:t> </w:t>
      </w:r>
      <w:r>
        <w:rPr>
          <w:spacing w:val="-25"/>
        </w:rPr>
      </w:r>
      <w:r>
        <w:rPr>
          <w:spacing w:val="-2"/>
        </w:rPr>
        <w:t>价值之间差额计入投资收益；同时，将原计入所有者权益的公允价值变动累计额对应处置部分的</w:t>
      </w:r>
      <w:r>
        <w:rPr>
          <w:spacing w:val="-25"/>
        </w:rPr>
        <w:t> </w:t>
      </w:r>
      <w:r>
        <w:rPr>
          <w:spacing w:val="-25"/>
        </w:rPr>
      </w:r>
      <w:r>
        <w:rPr/>
        <w:t>金额转出，计入投资收益。</w:t>
      </w:r>
    </w:p>
    <w:p>
      <w:pPr>
        <w:pStyle w:val="Heading2"/>
        <w:spacing w:line="240" w:lineRule="auto" w:before="32"/>
        <w:ind w:left="560" w:right="104"/>
        <w:jc w:val="left"/>
        <w:rPr>
          <w:b w:val="0"/>
          <w:bCs w:val="0"/>
        </w:rPr>
      </w:pPr>
      <w:r>
        <w:rPr/>
        <w:t>（</w:t>
      </w:r>
      <w:r>
        <w:rPr>
          <w:rFonts w:ascii="宋体" w:hAnsi="宋体" w:cs="宋体" w:eastAsia="宋体" w:hint="default"/>
        </w:rPr>
        <w:t>2</w:t>
      </w:r>
      <w:r>
        <w:rPr/>
        <w:t>）金融负债的分类</w:t>
      </w:r>
      <w:r>
        <w:rPr>
          <w:b w:val="0"/>
          <w:bCs w:val="0"/>
        </w:rPr>
      </w:r>
    </w:p>
    <w:p>
      <w:pPr>
        <w:pStyle w:val="BodyText"/>
        <w:spacing w:line="357" w:lineRule="auto" w:before="133"/>
        <w:ind w:left="138" w:right="217" w:firstLine="419"/>
        <w:jc w:val="both"/>
      </w:pPr>
      <w:r>
        <w:rPr>
          <w:spacing w:val="-2"/>
        </w:rPr>
        <w:t>①以公允价值计量且其变动计入当期损益的金融负债，包括交易性金融负债和指定为以公允</w:t>
      </w:r>
      <w:r>
        <w:rPr>
          <w:w w:val="100"/>
        </w:rPr>
        <w:t> </w:t>
      </w:r>
      <w:r>
        <w:rPr>
          <w:spacing w:val="-2"/>
        </w:rPr>
        <w:t>价值计量且其变动计入当期损益的金融负债；这类金融负债初始确认时以公允价值计量，相关交</w:t>
      </w:r>
      <w:r>
        <w:rPr>
          <w:spacing w:val="-25"/>
        </w:rPr>
        <w:t> </w:t>
      </w:r>
      <w:r>
        <w:rPr>
          <w:spacing w:val="-25"/>
        </w:rPr>
      </w:r>
      <w:r>
        <w:rPr/>
        <w:t>易费用直接计入当期损益，资产负债表日将公允价值变动计入当期损益。</w:t>
      </w:r>
    </w:p>
    <w:p>
      <w:pPr>
        <w:pStyle w:val="BodyText"/>
        <w:spacing w:line="240" w:lineRule="auto" w:before="32"/>
        <w:ind w:left="558" w:right="104"/>
        <w:jc w:val="left"/>
      </w:pPr>
      <w:r>
        <w:rPr/>
        <w:t>②其他金融负债，是指以公允价值计量且其变动计入当期损益的金融负债以外的金融负债。</w:t>
      </w:r>
    </w:p>
    <w:p>
      <w:pPr>
        <w:spacing w:line="355" w:lineRule="auto" w:before="133"/>
        <w:ind w:left="558" w:right="104"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）金融资产的重分类</w:t>
      </w:r>
      <w:r>
        <w:rPr>
          <w:rFonts w:ascii="宋体" w:hAnsi="宋体" w:cs="宋体" w:eastAsia="宋体" w:hint="default"/>
          <w:b/>
          <w:bCs/>
          <w:w w:val="100"/>
          <w:sz w:val="21"/>
          <w:szCs w:val="21"/>
        </w:rPr>
        <w:t> </w:t>
      </w:r>
      <w:r>
        <w:rPr>
          <w:rFonts w:ascii="宋体" w:hAnsi="宋体" w:cs="宋体" w:eastAsia="宋体" w:hint="default"/>
          <w:spacing w:val="-2"/>
          <w:sz w:val="21"/>
          <w:szCs w:val="21"/>
        </w:rPr>
        <w:t>因持有意图或能力发生改变，使某项投资不再适合划分为持有至到期投资的，本公司将其重</w:t>
      </w:r>
    </w:p>
    <w:p>
      <w:pPr>
        <w:pStyle w:val="BodyText"/>
        <w:spacing w:line="357" w:lineRule="auto" w:before="32"/>
        <w:ind w:left="138" w:right="104"/>
        <w:jc w:val="left"/>
      </w:pPr>
      <w:r>
        <w:rPr/>
        <w:t>分类为可供出售金融资产，并以公允价值进行后续计量。持有至到期投资部分出售或重分类的金</w:t>
      </w:r>
      <w:r>
        <w:rPr>
          <w:w w:val="100"/>
        </w:rPr>
        <w:t> </w:t>
      </w:r>
      <w:r>
        <w:rPr/>
        <w:t>额较大，且不属于《企业会计准则第</w:t>
      </w:r>
      <w:r>
        <w:rPr>
          <w:spacing w:val="-52"/>
        </w:rPr>
        <w:t> </w:t>
      </w:r>
      <w:r>
        <w:rPr>
          <w:rFonts w:ascii="宋体" w:hAnsi="宋体" w:cs="宋体" w:eastAsia="宋体" w:hint="default"/>
        </w:rPr>
        <w:t>22</w:t>
      </w:r>
      <w:r>
        <w:rPr>
          <w:rFonts w:ascii="宋体" w:hAnsi="宋体" w:cs="宋体" w:eastAsia="宋体" w:hint="default"/>
          <w:spacing w:val="-54"/>
        </w:rPr>
        <w:t> </w:t>
      </w:r>
      <w:r>
        <w:rPr/>
        <w:t>号——金融工具确认和计量》第十六条所指的例外情况，</w:t>
      </w:r>
      <w:r>
        <w:rPr>
          <w:w w:val="100"/>
        </w:rPr>
        <w:t> </w:t>
      </w:r>
      <w:r>
        <w:rPr/>
        <w:t>使该投资的剩余部分不再适合划分为持有至到期投资的，本公司应当将该投资的剩余部分重分类</w:t>
      </w:r>
      <w:r>
        <w:rPr>
          <w:w w:val="100"/>
        </w:rPr>
        <w:t> </w:t>
      </w:r>
      <w:r>
        <w:rPr/>
        <w:t>为可供出售金融资产，并以公允价值进行后续计量，但在本会计年度及以后两个完整的会计年度</w:t>
      </w:r>
      <w:r>
        <w:rPr>
          <w:w w:val="100"/>
        </w:rPr>
        <w:t> </w:t>
      </w:r>
      <w:r>
        <w:rPr/>
        <w:t>内不再将该金融资产划分为持有至到期投资。</w:t>
      </w:r>
    </w:p>
    <w:p>
      <w:pPr>
        <w:pStyle w:val="BodyText"/>
        <w:spacing w:line="355" w:lineRule="auto" w:before="30"/>
        <w:ind w:left="138" w:right="217" w:firstLine="419"/>
        <w:jc w:val="both"/>
      </w:pPr>
      <w:r>
        <w:rPr>
          <w:spacing w:val="-2"/>
        </w:rPr>
        <w:t>重分类日，该投资的账面价值与公允价值之间的差额计入其他综合收益，在该可供出售金融</w:t>
      </w:r>
      <w:r>
        <w:rPr>
          <w:w w:val="100"/>
        </w:rPr>
        <w:t> </w:t>
      </w:r>
      <w:r>
        <w:rPr/>
        <w:t>资产发生减值或终止确认时转出，计入当期损益。</w:t>
      </w:r>
    </w:p>
    <w:p>
      <w:pPr>
        <w:spacing w:line="355" w:lineRule="auto" w:before="34"/>
        <w:ind w:left="558" w:right="104"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4</w:t>
      </w:r>
      <w:r>
        <w:rPr>
          <w:rFonts w:ascii="宋体" w:hAnsi="宋体" w:cs="宋体" w:eastAsia="宋体" w:hint="default"/>
          <w:b/>
          <w:bCs/>
          <w:sz w:val="21"/>
          <w:szCs w:val="21"/>
        </w:rPr>
        <w:t>）金融负债与权益工具的区分</w:t>
      </w:r>
      <w:r>
        <w:rPr>
          <w:rFonts w:ascii="宋体" w:hAnsi="宋体" w:cs="宋体" w:eastAsia="宋体" w:hint="default"/>
          <w:b/>
          <w:bCs/>
          <w:w w:val="100"/>
          <w:sz w:val="21"/>
          <w:szCs w:val="21"/>
        </w:rPr>
        <w:t> </w:t>
      </w:r>
      <w:r>
        <w:rPr>
          <w:rFonts w:ascii="宋体" w:hAnsi="宋体" w:cs="宋体" w:eastAsia="宋体" w:hint="default"/>
          <w:spacing w:val="-2"/>
          <w:sz w:val="21"/>
          <w:szCs w:val="21"/>
        </w:rPr>
        <w:t>除特殊情况外，金融负债与权益工具按照下列原则进行区分：</w:t>
      </w:r>
    </w:p>
    <w:p>
      <w:pPr>
        <w:pStyle w:val="BodyText"/>
        <w:spacing w:line="357" w:lineRule="auto" w:before="32"/>
        <w:ind w:left="138" w:right="217" w:firstLine="419"/>
        <w:jc w:val="both"/>
      </w:pPr>
      <w:r>
        <w:rPr>
          <w:spacing w:val="-2"/>
        </w:rPr>
        <w:t>①如果本公司不能无条件地避免以交付现金或其他金融资产来履行一项合同义务，则该合同</w:t>
      </w:r>
      <w:r>
        <w:rPr>
          <w:w w:val="100"/>
        </w:rPr>
        <w:t> </w:t>
      </w:r>
      <w:r>
        <w:rPr>
          <w:spacing w:val="-2"/>
        </w:rPr>
        <w:t>义务符合金融负债的定义。有些金融工具虽然没有明确地包含交付现金或其他金融资产义务的条</w:t>
      </w:r>
      <w:r>
        <w:rPr>
          <w:spacing w:val="-25"/>
        </w:rPr>
        <w:t> </w:t>
      </w:r>
      <w:r>
        <w:rPr>
          <w:spacing w:val="-25"/>
        </w:rPr>
      </w:r>
      <w:r>
        <w:rPr/>
        <w:t>款和条件，但有可能通过其他条款和条件间接地形成合同义务。</w:t>
      </w:r>
    </w:p>
    <w:p>
      <w:pPr>
        <w:pStyle w:val="BodyText"/>
        <w:spacing w:line="357" w:lineRule="auto" w:before="30"/>
        <w:ind w:left="138" w:right="217" w:firstLine="419"/>
        <w:jc w:val="both"/>
      </w:pPr>
      <w:r>
        <w:rPr>
          <w:spacing w:val="-2"/>
        </w:rPr>
        <w:t>②如果一项金融工具须用或可用本公司自身权益工具进行结算，需要考虑用于结算该工具的</w:t>
      </w:r>
      <w:r>
        <w:rPr>
          <w:w w:val="100"/>
        </w:rPr>
        <w:t> </w:t>
      </w:r>
      <w:r>
        <w:rPr>
          <w:spacing w:val="-2"/>
        </w:rPr>
        <w:t>本公司自身权益工具，是作为现金或其他金融资产的替代品，还是为了使该工具持有方享有在发</w:t>
      </w:r>
      <w:r>
        <w:rPr>
          <w:spacing w:val="-25"/>
        </w:rPr>
        <w:t> </w:t>
      </w:r>
      <w:r>
        <w:rPr>
          <w:spacing w:val="-25"/>
        </w:rPr>
      </w:r>
      <w:r>
        <w:rPr>
          <w:spacing w:val="-2"/>
        </w:rPr>
        <w:t>行方扣除所有负债后的资产中的剩余权益。如果是前者，该工具是发行方的金融负债；如果是后</w:t>
      </w:r>
      <w:r>
        <w:rPr>
          <w:spacing w:val="-25"/>
        </w:rPr>
        <w:t> </w:t>
      </w:r>
      <w:r>
        <w:rPr>
          <w:spacing w:val="-25"/>
        </w:rPr>
      </w:r>
      <w:r>
        <w:rPr>
          <w:spacing w:val="-2"/>
        </w:rPr>
        <w:t>者，该工具是发行方的权益工具。在某些情况下，一项金融工具合同规定本公司须用或可用自身</w:t>
      </w:r>
      <w:r>
        <w:rPr>
          <w:spacing w:val="-25"/>
        </w:rPr>
        <w:t> </w:t>
      </w:r>
      <w:r>
        <w:rPr>
          <w:spacing w:val="-25"/>
        </w:rPr>
      </w:r>
      <w:r>
        <w:rPr>
          <w:spacing w:val="-2"/>
        </w:rPr>
        <w:t>权益工具结算该金融工具，其中合同权利或合同义务的金额等于可获取或需交付的自身权益工具</w:t>
      </w:r>
      <w:r>
        <w:rPr>
          <w:spacing w:val="-25"/>
        </w:rPr>
        <w:t> </w:t>
      </w:r>
      <w:r>
        <w:rPr>
          <w:spacing w:val="-25"/>
        </w:rPr>
      </w:r>
      <w:r>
        <w:rPr>
          <w:spacing w:val="-2"/>
        </w:rPr>
        <w:t>的数量乘以其结算时的公允价值，则无论该合同权利或合同义务的金额是固定的，还是完全或部</w:t>
      </w:r>
      <w:r>
        <w:rPr>
          <w:spacing w:val="-25"/>
        </w:rPr>
        <w:t> </w:t>
      </w:r>
      <w:r>
        <w:rPr>
          <w:spacing w:val="-25"/>
        </w:rPr>
      </w:r>
      <w:r>
        <w:rPr>
          <w:spacing w:val="-2"/>
        </w:rPr>
        <w:t>分地基于除本公司自身权益工具的市场价格以外变量（例如利率、某种商品的价格或某项金融工</w:t>
      </w:r>
      <w:r>
        <w:rPr>
          <w:spacing w:val="-25"/>
        </w:rPr>
        <w:t> </w:t>
      </w:r>
      <w:r>
        <w:rPr>
          <w:spacing w:val="-25"/>
        </w:rPr>
      </w:r>
      <w:r>
        <w:rPr/>
        <w:t>具的价格）的变动而变动，该合同分类为金融负债。</w:t>
      </w:r>
    </w:p>
    <w:p>
      <w:pPr>
        <w:pStyle w:val="Heading2"/>
        <w:spacing w:line="240" w:lineRule="auto" w:before="32"/>
        <w:ind w:left="560" w:right="104"/>
        <w:jc w:val="left"/>
        <w:rPr>
          <w:b w:val="0"/>
          <w:bCs w:val="0"/>
        </w:rPr>
      </w:pPr>
      <w:r>
        <w:rPr/>
        <w:t>（</w:t>
      </w:r>
      <w:r>
        <w:rPr>
          <w:rFonts w:ascii="宋体" w:hAnsi="宋体" w:cs="宋体" w:eastAsia="宋体" w:hint="default"/>
        </w:rPr>
        <w:t>5</w:t>
      </w:r>
      <w:r>
        <w:rPr/>
        <w:t>）金融资产转移</w:t>
      </w:r>
      <w:r>
        <w:rPr>
          <w:b w:val="0"/>
          <w:bCs w:val="0"/>
        </w:rPr>
      </w:r>
    </w:p>
    <w:p>
      <w:pPr>
        <w:spacing w:after="0" w:line="240" w:lineRule="auto"/>
        <w:jc w:val="left"/>
        <w:sectPr>
          <w:pgSz w:w="11910" w:h="16840"/>
          <w:pgMar w:header="882" w:footer="1195" w:top="1120" w:bottom="1380" w:left="1660" w:right="1060"/>
        </w:sectPr>
      </w:pPr>
    </w:p>
    <w:p>
      <w:pPr>
        <w:spacing w:line="240" w:lineRule="auto" w:before="1"/>
        <w:rPr>
          <w:rFonts w:ascii="宋体" w:hAnsi="宋体" w:cs="宋体" w:eastAsia="宋体" w:hint="default"/>
          <w:b/>
          <w:bCs/>
          <w:sz w:val="25"/>
          <w:szCs w:val="25"/>
        </w:rPr>
      </w:pPr>
    </w:p>
    <w:p>
      <w:pPr>
        <w:pStyle w:val="BodyText"/>
        <w:spacing w:line="357" w:lineRule="auto" w:before="36"/>
        <w:ind w:left="558" w:right="628"/>
        <w:jc w:val="left"/>
      </w:pPr>
      <w:r>
        <w:rPr/>
        <w:t>金融资产转移是指下列两种情形：</w:t>
      </w:r>
      <w:r>
        <w:rPr>
          <w:w w:val="100"/>
        </w:rPr>
        <w:t> </w:t>
      </w:r>
      <w:r>
        <w:rPr>
          <w:rFonts w:ascii="宋体" w:hAnsi="宋体" w:cs="宋体" w:eastAsia="宋体" w:hint="default"/>
          <w:spacing w:val="-2"/>
        </w:rPr>
        <w:t>A.</w:t>
      </w:r>
      <w:r>
        <w:rPr>
          <w:spacing w:val="-2"/>
        </w:rPr>
        <w:t>将收取金融资产现金流量的合同权利转移给另一方；</w:t>
      </w:r>
    </w:p>
    <w:p>
      <w:pPr>
        <w:pStyle w:val="BodyText"/>
        <w:spacing w:line="355" w:lineRule="auto" w:before="30"/>
        <w:ind w:left="138" w:right="104" w:firstLine="419"/>
        <w:jc w:val="left"/>
      </w:pPr>
      <w:r>
        <w:rPr>
          <w:rFonts w:ascii="宋体" w:hAnsi="宋体" w:cs="宋体" w:eastAsia="宋体" w:hint="default"/>
          <w:spacing w:val="-2"/>
        </w:rPr>
        <w:t>B.</w:t>
      </w:r>
      <w:r>
        <w:rPr>
          <w:spacing w:val="-2"/>
        </w:rPr>
        <w:t>将金融资产整体或部分转移给另一方，但保留收取金融资产现金流量的合同权利，并承担</w:t>
      </w:r>
      <w:r>
        <w:rPr>
          <w:w w:val="100"/>
        </w:rPr>
        <w:t> </w:t>
      </w:r>
      <w:r>
        <w:rPr/>
        <w:t>将收取的现金流量支付给一个或多个收款方的合同义务。</w:t>
      </w:r>
    </w:p>
    <w:p>
      <w:pPr>
        <w:pStyle w:val="BodyText"/>
        <w:spacing w:line="355" w:lineRule="auto" w:before="32"/>
        <w:ind w:left="558" w:right="104"/>
        <w:jc w:val="left"/>
      </w:pPr>
      <w:r>
        <w:rPr/>
        <w:t>①终止确认所转移的金融资产</w:t>
      </w:r>
      <w:r>
        <w:rPr>
          <w:w w:val="100"/>
        </w:rPr>
        <w:t> </w:t>
      </w:r>
      <w:r>
        <w:rPr>
          <w:spacing w:val="-2"/>
        </w:rPr>
        <w:t>已将金融资产所有权上几乎所有的风险和报酬转移给转入方的，或既没有转移也没有保留金</w:t>
      </w:r>
    </w:p>
    <w:p>
      <w:pPr>
        <w:pStyle w:val="BodyText"/>
        <w:spacing w:line="357" w:lineRule="auto" w:before="34"/>
        <w:ind w:left="138" w:right="210"/>
        <w:jc w:val="right"/>
      </w:pPr>
      <w:r>
        <w:rPr>
          <w:spacing w:val="-7"/>
          <w:w w:val="100"/>
        </w:rPr>
        <w:t>融资产所有权上几乎所有的风险和报酬的，但放弃了对该金融资产控制的，终止确认该金融资产。</w:t>
      </w:r>
      <w:r>
        <w:rPr>
          <w:spacing w:val="-87"/>
          <w:w w:val="100"/>
        </w:rPr>
        <w:t> </w:t>
      </w:r>
      <w:r>
        <w:rPr>
          <w:spacing w:val="-87"/>
          <w:w w:val="100"/>
        </w:rPr>
      </w:r>
      <w:r>
        <w:rPr>
          <w:spacing w:val="-2"/>
        </w:rPr>
        <w:t>在判断是否已放弃对所转移金融资产的控制时，注重转入方出售该金融资产的实际能力。转</w:t>
      </w:r>
      <w:r>
        <w:rPr>
          <w:w w:val="100"/>
        </w:rPr>
        <w:t> </w:t>
      </w:r>
      <w:r>
        <w:rPr>
          <w:spacing w:val="-2"/>
        </w:rPr>
        <w:t>入方能够单独将转入的金融资产整体出售给与其不存在关联方关系的第三方，且没有额外条件对</w:t>
      </w:r>
    </w:p>
    <w:p>
      <w:pPr>
        <w:pStyle w:val="BodyText"/>
        <w:spacing w:line="357" w:lineRule="auto" w:before="30"/>
        <w:ind w:left="558" w:right="104" w:hanging="420"/>
        <w:jc w:val="left"/>
      </w:pPr>
      <w:r>
        <w:rPr/>
        <w:t>此项出售加以限制的，表明企业已放弃对该金融资产的控制。</w:t>
      </w:r>
      <w:r>
        <w:rPr>
          <w:w w:val="100"/>
        </w:rPr>
        <w:t> </w:t>
      </w:r>
      <w:r>
        <w:rPr>
          <w:spacing w:val="-2"/>
        </w:rPr>
        <w:t>本公司在判断金融资产转移是否满足金融资产终止确认条件时，注重金融资产转移的实质。</w:t>
      </w:r>
      <w:r>
        <w:rPr>
          <w:w w:val="100"/>
        </w:rPr>
        <w:t> </w:t>
      </w:r>
      <w:r>
        <w:rPr/>
        <w:t>金融资产整体转移满足终止确认条件的，将下列两项金额的差额计入当期损益：</w:t>
      </w:r>
      <w:r>
        <w:rPr>
          <w:w w:val="100"/>
        </w:rPr>
        <w:t> </w:t>
      </w:r>
      <w:r>
        <w:rPr>
          <w:rFonts w:ascii="宋体" w:hAnsi="宋体" w:cs="宋体" w:eastAsia="宋体" w:hint="default"/>
        </w:rPr>
        <w:t>A.</w:t>
      </w:r>
      <w:r>
        <w:rPr/>
        <w:t>所转移金融资产的账面价值；</w:t>
      </w:r>
      <w:r>
        <w:rPr>
          <w:w w:val="100"/>
        </w:rPr>
        <w:t> </w:t>
      </w:r>
      <w:r>
        <w:rPr>
          <w:rFonts w:ascii="宋体" w:hAnsi="宋体" w:cs="宋体" w:eastAsia="宋体" w:hint="default"/>
          <w:spacing w:val="-2"/>
        </w:rPr>
        <w:t>B.</w:t>
      </w:r>
      <w:r>
        <w:rPr>
          <w:spacing w:val="-2"/>
        </w:rPr>
        <w:t>因转移而收到的对价，与原直接计入所有者权益的公允价值变动累计额（涉及转移的金融</w:t>
      </w:r>
    </w:p>
    <w:p>
      <w:pPr>
        <w:pStyle w:val="BodyText"/>
        <w:spacing w:line="357" w:lineRule="auto" w:before="30"/>
        <w:ind w:left="558" w:right="104" w:hanging="420"/>
        <w:jc w:val="left"/>
      </w:pPr>
      <w:r>
        <w:rPr/>
        <w:t>资产为可供出售金融资产的情形）之和。</w:t>
      </w:r>
      <w:r>
        <w:rPr>
          <w:w w:val="100"/>
        </w:rPr>
        <w:t> </w:t>
      </w:r>
      <w:r>
        <w:rPr>
          <w:spacing w:val="-2"/>
        </w:rPr>
        <w:t>金融资产部分转移满足终止确认条件的，将所转移金融资产整体的账面价值，在终止确认部</w:t>
      </w:r>
    </w:p>
    <w:p>
      <w:pPr>
        <w:pStyle w:val="BodyText"/>
        <w:spacing w:line="355" w:lineRule="auto" w:before="30"/>
        <w:ind w:left="138" w:right="104"/>
        <w:jc w:val="left"/>
      </w:pPr>
      <w:r>
        <w:rPr>
          <w:spacing w:val="-2"/>
        </w:rPr>
        <w:t>分和未终止确认部分（在此种情况下，所保留的服务资产视同未终止确认金融资产的一部分）之</w:t>
      </w:r>
      <w:r>
        <w:rPr>
          <w:spacing w:val="-25"/>
        </w:rPr>
        <w:t> </w:t>
      </w:r>
      <w:r>
        <w:rPr>
          <w:spacing w:val="-25"/>
        </w:rPr>
      </w:r>
      <w:r>
        <w:rPr/>
        <w:t>间，按照各自的相对公允价值进行分摊，并将下列两项金额的差额计入当期损益：</w:t>
      </w:r>
    </w:p>
    <w:p>
      <w:pPr>
        <w:pStyle w:val="BodyText"/>
        <w:spacing w:line="355" w:lineRule="auto" w:before="32"/>
        <w:ind w:left="558" w:right="104"/>
        <w:jc w:val="left"/>
      </w:pPr>
      <w:r>
        <w:rPr>
          <w:rFonts w:ascii="宋体" w:hAnsi="宋体" w:cs="宋体" w:eastAsia="宋体" w:hint="default"/>
        </w:rPr>
        <w:t>A.</w:t>
      </w:r>
      <w:r>
        <w:rPr/>
        <w:t>终止确认部分的账面价值。</w:t>
      </w:r>
      <w:r>
        <w:rPr>
          <w:w w:val="100"/>
        </w:rPr>
        <w:t> </w:t>
      </w:r>
      <w:r>
        <w:rPr>
          <w:rFonts w:ascii="宋体" w:hAnsi="宋体" w:cs="宋体" w:eastAsia="宋体" w:hint="default"/>
          <w:spacing w:val="-2"/>
        </w:rPr>
        <w:t>B.</w:t>
      </w:r>
      <w:r>
        <w:rPr>
          <w:spacing w:val="-2"/>
        </w:rPr>
        <w:t>终止确认部分的对价，与原直接计入所有者权益的公允价值变动累计额中对应终止确认部</w:t>
      </w:r>
    </w:p>
    <w:p>
      <w:pPr>
        <w:pStyle w:val="BodyText"/>
        <w:spacing w:line="240" w:lineRule="auto" w:before="34"/>
        <w:ind w:left="138" w:right="104"/>
        <w:jc w:val="left"/>
      </w:pPr>
      <w:r>
        <w:rPr/>
        <w:t>分的金额（涉及转移的金融资产为可供出售金融资产的情形）之和。</w:t>
      </w:r>
    </w:p>
    <w:p>
      <w:pPr>
        <w:pStyle w:val="BodyText"/>
        <w:spacing w:line="355" w:lineRule="auto" w:before="133"/>
        <w:ind w:left="558" w:right="104"/>
        <w:jc w:val="left"/>
      </w:pPr>
      <w:r>
        <w:rPr/>
        <w:t>②继续涉入所转移的金融资产</w:t>
      </w:r>
      <w:r>
        <w:rPr>
          <w:w w:val="100"/>
        </w:rPr>
        <w:t> </w:t>
      </w:r>
      <w:r>
        <w:rPr>
          <w:spacing w:val="-2"/>
        </w:rPr>
        <w:t>既没有转移也没有保留金融资产所有权上几乎所有的风险和报酬的，且未放弃对该金融资产</w:t>
      </w:r>
    </w:p>
    <w:p>
      <w:pPr>
        <w:pStyle w:val="BodyText"/>
        <w:spacing w:line="360" w:lineRule="auto" w:before="32"/>
        <w:ind w:left="558" w:right="104" w:hanging="420"/>
        <w:jc w:val="left"/>
      </w:pPr>
      <w:r>
        <w:rPr>
          <w:spacing w:val="-2"/>
        </w:rPr>
        <w:t>控制的，按照其继续涉入所转移金融资产的程度确认有关金融资产，并相应确认有关负债。</w:t>
      </w:r>
      <w:r>
        <w:rPr>
          <w:spacing w:val="-29"/>
        </w:rPr>
        <w:t> </w:t>
      </w:r>
      <w:r>
        <w:rPr>
          <w:spacing w:val="-29"/>
        </w:rPr>
      </w:r>
      <w:r>
        <w:rPr/>
        <w:t>继续涉入所转移金融资产的程度，是指该金融资产价值变动使企业面临的风险水平。</w:t>
      </w:r>
    </w:p>
    <w:p>
      <w:pPr>
        <w:pStyle w:val="BodyText"/>
        <w:spacing w:line="355" w:lineRule="auto" w:before="28"/>
        <w:ind w:left="558" w:right="0"/>
        <w:jc w:val="left"/>
      </w:pPr>
      <w:r>
        <w:rPr/>
        <w:t>③继续确认所转移的金融资产</w:t>
      </w:r>
      <w:r>
        <w:rPr>
          <w:w w:val="100"/>
        </w:rPr>
        <w:t> </w:t>
      </w:r>
      <w:r>
        <w:rPr>
          <w:spacing w:val="-4"/>
          <w:w w:val="100"/>
        </w:rPr>
        <w:t>仍保留与所转移金融资产所有权上几乎所有的风险和报酬的，继续确认所转移金融资产整体，</w:t>
      </w:r>
    </w:p>
    <w:p>
      <w:pPr>
        <w:pStyle w:val="BodyText"/>
        <w:spacing w:line="355" w:lineRule="auto" w:before="32"/>
        <w:ind w:left="558" w:right="104" w:hanging="420"/>
        <w:jc w:val="left"/>
      </w:pPr>
      <w:r>
        <w:rPr/>
        <w:t>并将收到的对价确认为一项金融负债。</w:t>
      </w:r>
      <w:r>
        <w:rPr>
          <w:w w:val="100"/>
        </w:rPr>
        <w:t> </w:t>
      </w:r>
      <w:r>
        <w:rPr>
          <w:spacing w:val="-2"/>
        </w:rPr>
        <w:t>该金融资产与确认的相关金融负债不得相互抵销。在随后的会计期间，企业继续确认该金融</w:t>
      </w:r>
    </w:p>
    <w:p>
      <w:pPr>
        <w:pStyle w:val="BodyText"/>
        <w:spacing w:line="355" w:lineRule="auto" w:before="34"/>
        <w:ind w:left="138" w:right="104"/>
        <w:jc w:val="left"/>
      </w:pPr>
      <w:r>
        <w:rPr>
          <w:spacing w:val="-2"/>
        </w:rPr>
        <w:t>资产产生的收入和该金融负债产生的费用。所转移的金融资产以摊余成本计量的，确认的相关负</w:t>
      </w:r>
      <w:r>
        <w:rPr>
          <w:spacing w:val="-25"/>
        </w:rPr>
        <w:t> </w:t>
      </w:r>
      <w:r>
        <w:rPr>
          <w:spacing w:val="-25"/>
        </w:rPr>
      </w:r>
      <w:r>
        <w:rPr/>
        <w:t>债不得指定为以公允价值计量且其变动计入当期损益的金融负债。</w:t>
      </w:r>
    </w:p>
    <w:p>
      <w:pPr>
        <w:spacing w:line="357" w:lineRule="auto" w:before="32"/>
        <w:ind w:left="558" w:right="104"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6</w:t>
      </w:r>
      <w:r>
        <w:rPr>
          <w:rFonts w:ascii="宋体" w:hAnsi="宋体" w:cs="宋体" w:eastAsia="宋体" w:hint="default"/>
          <w:b/>
          <w:bCs/>
          <w:sz w:val="21"/>
          <w:szCs w:val="21"/>
        </w:rPr>
        <w:t>）金融负债终止确认</w:t>
      </w:r>
      <w:r>
        <w:rPr>
          <w:rFonts w:ascii="宋体" w:hAnsi="宋体" w:cs="宋体" w:eastAsia="宋体" w:hint="default"/>
          <w:b/>
          <w:bCs/>
          <w:w w:val="100"/>
          <w:sz w:val="21"/>
          <w:szCs w:val="21"/>
        </w:rPr>
        <w:t> </w:t>
      </w:r>
      <w:r>
        <w:rPr>
          <w:rFonts w:ascii="宋体" w:hAnsi="宋体" w:cs="宋体" w:eastAsia="宋体" w:hint="default"/>
          <w:spacing w:val="-2"/>
          <w:sz w:val="21"/>
          <w:szCs w:val="21"/>
        </w:rPr>
        <w:t>金融负债的现时义务全部或部分已经解除的，终止确认该金融负债或其一部分。</w:t>
      </w:r>
    </w:p>
    <w:p>
      <w:pPr>
        <w:spacing w:after="0" w:line="357" w:lineRule="auto"/>
        <w:jc w:val="left"/>
        <w:rPr>
          <w:rFonts w:ascii="宋体" w:hAnsi="宋体" w:cs="宋体" w:eastAsia="宋体" w:hint="default"/>
          <w:sz w:val="21"/>
          <w:szCs w:val="21"/>
        </w:rPr>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BodyText"/>
        <w:spacing w:line="357" w:lineRule="auto" w:before="36"/>
        <w:ind w:left="138" w:right="104" w:firstLine="419"/>
        <w:jc w:val="left"/>
      </w:pPr>
      <w:r>
        <w:rPr>
          <w:spacing w:val="-2"/>
        </w:rPr>
        <w:t>将用于偿付金融负债的资产转入某个机构或设立信托，偿付债务的现时义务仍存在的，不终</w:t>
      </w:r>
      <w:r>
        <w:rPr>
          <w:w w:val="100"/>
        </w:rPr>
        <w:t> </w:t>
      </w:r>
      <w:r>
        <w:rPr/>
        <w:t>止确认该金融负债，也不终止确认转出的资产。</w:t>
      </w:r>
    </w:p>
    <w:p>
      <w:pPr>
        <w:pStyle w:val="BodyText"/>
        <w:spacing w:line="355" w:lineRule="auto" w:before="30"/>
        <w:ind w:left="138" w:right="104" w:firstLine="419"/>
        <w:jc w:val="left"/>
      </w:pPr>
      <w:r>
        <w:rPr>
          <w:spacing w:val="-2"/>
        </w:rPr>
        <w:t>与债权人之间签订协议，以承担新金融负债方式替换现存金融负债，且新金融负债与现存金</w:t>
      </w:r>
      <w:r>
        <w:rPr>
          <w:w w:val="100"/>
        </w:rPr>
        <w:t> </w:t>
      </w:r>
      <w:r>
        <w:rPr/>
        <w:t>融负债的合同条款实质上不同的，终止确认现存金融负债，并同时确认新金融负债。</w:t>
      </w:r>
    </w:p>
    <w:p>
      <w:pPr>
        <w:pStyle w:val="BodyText"/>
        <w:spacing w:line="355" w:lineRule="auto" w:before="32"/>
        <w:ind w:left="138" w:right="104" w:firstLine="419"/>
        <w:jc w:val="left"/>
      </w:pPr>
      <w:r>
        <w:rPr>
          <w:spacing w:val="-2"/>
        </w:rPr>
        <w:t>对现存金融负债全部或部分的合同条款作出实质性修改的，终止确认现存金融负债或其一部</w:t>
      </w:r>
      <w:r>
        <w:rPr>
          <w:w w:val="100"/>
        </w:rPr>
        <w:t> </w:t>
      </w:r>
      <w:r>
        <w:rPr/>
        <w:t>分，同时将修改条款后的金融负债确认为一项新金融负债。</w:t>
      </w:r>
    </w:p>
    <w:p>
      <w:pPr>
        <w:pStyle w:val="BodyText"/>
        <w:spacing w:line="355" w:lineRule="auto" w:before="34"/>
        <w:ind w:left="138" w:right="104" w:firstLine="419"/>
        <w:jc w:val="left"/>
      </w:pPr>
      <w:r>
        <w:rPr>
          <w:spacing w:val="-2"/>
        </w:rPr>
        <w:t>金融负债全部或部分终止确认的，将终止确认部分的账面价值与支付的对价（包括转出的非</w:t>
      </w:r>
      <w:r>
        <w:rPr>
          <w:w w:val="100"/>
        </w:rPr>
        <w:t> </w:t>
      </w:r>
      <w:r>
        <w:rPr/>
        <w:t>现金资产或承担的新金融负债）之间的差额，计入当期损益。</w:t>
      </w:r>
    </w:p>
    <w:p>
      <w:pPr>
        <w:spacing w:line="355" w:lineRule="auto" w:before="33"/>
        <w:ind w:left="558" w:right="104"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7</w:t>
      </w:r>
      <w:r>
        <w:rPr>
          <w:rFonts w:ascii="宋体" w:hAnsi="宋体" w:cs="宋体" w:eastAsia="宋体" w:hint="default"/>
          <w:b/>
          <w:bCs/>
          <w:sz w:val="21"/>
          <w:szCs w:val="21"/>
        </w:rPr>
        <w:t>）金融资产和金融负债的抵销</w:t>
      </w:r>
      <w:r>
        <w:rPr>
          <w:rFonts w:ascii="宋体" w:hAnsi="宋体" w:cs="宋体" w:eastAsia="宋体" w:hint="default"/>
          <w:b/>
          <w:bCs/>
          <w:w w:val="100"/>
          <w:sz w:val="21"/>
          <w:szCs w:val="21"/>
        </w:rPr>
        <w:t> </w:t>
      </w:r>
      <w:r>
        <w:rPr>
          <w:rFonts w:ascii="宋体" w:hAnsi="宋体" w:cs="宋体" w:eastAsia="宋体" w:hint="default"/>
          <w:spacing w:val="-2"/>
          <w:sz w:val="21"/>
          <w:szCs w:val="21"/>
        </w:rPr>
        <w:t>金融资产和金融负债在资产负债表内分别列示，不得相互抵销。但同时满足下列条件的，以</w:t>
      </w:r>
    </w:p>
    <w:p>
      <w:pPr>
        <w:pStyle w:val="BodyText"/>
        <w:spacing w:line="355" w:lineRule="auto" w:before="34"/>
        <w:ind w:left="558" w:right="0" w:hanging="420"/>
        <w:jc w:val="left"/>
      </w:pPr>
      <w:r>
        <w:rPr/>
        <w:t>相互抵销后的净额在资产负债表内列示：</w:t>
      </w:r>
      <w:r>
        <w:rPr>
          <w:w w:val="100"/>
        </w:rPr>
        <w:t> </w:t>
      </w:r>
      <w:r>
        <w:rPr/>
        <w:t>本公司具有抵销已确认金额的法定权利，且该种法定权利是当前可执行的。</w:t>
      </w:r>
      <w:r>
        <w:rPr>
          <w:w w:val="100"/>
        </w:rPr>
        <w:t> </w:t>
      </w:r>
      <w:r>
        <w:rPr/>
        <w:t>本公司计划以净额结算，或同时变现该金融资产和清偿该金融负债。</w:t>
      </w:r>
      <w:r>
        <w:rPr>
          <w:w w:val="100"/>
        </w:rPr>
        <w:t> </w:t>
      </w:r>
      <w:r>
        <w:rPr>
          <w:spacing w:val="-4"/>
          <w:w w:val="100"/>
        </w:rPr>
        <w:t>不满足终止确认条件的金融资产转移，转出方不得将已转移的金融资产和相关负债进行抵销。</w:t>
      </w:r>
    </w:p>
    <w:p>
      <w:pPr>
        <w:pStyle w:val="Heading2"/>
        <w:spacing w:line="240" w:lineRule="auto" w:before="32"/>
        <w:ind w:left="560" w:right="104"/>
        <w:jc w:val="left"/>
        <w:rPr>
          <w:b w:val="0"/>
          <w:bCs w:val="0"/>
        </w:rPr>
      </w:pPr>
      <w:r>
        <w:rPr/>
        <w:t>（</w:t>
      </w:r>
      <w:r>
        <w:rPr>
          <w:rFonts w:ascii="宋体" w:hAnsi="宋体" w:cs="宋体" w:eastAsia="宋体" w:hint="default"/>
        </w:rPr>
        <w:t>8</w:t>
      </w:r>
      <w:r>
        <w:rPr/>
        <w:t>）金融资产减值测试方法及减值准备计提方法</w:t>
      </w:r>
      <w:r>
        <w:rPr>
          <w:b w:val="0"/>
          <w:bCs w:val="0"/>
        </w:rPr>
      </w:r>
    </w:p>
    <w:p>
      <w:pPr>
        <w:pStyle w:val="BodyText"/>
        <w:spacing w:line="357" w:lineRule="auto" w:before="135"/>
        <w:ind w:left="558" w:right="2071"/>
        <w:jc w:val="left"/>
      </w:pPr>
      <w:r>
        <w:rPr/>
        <w:t>①金融资产发生减值的客观证据：</w:t>
      </w:r>
      <w:r>
        <w:rPr>
          <w:w w:val="100"/>
        </w:rPr>
        <w:t> </w:t>
      </w:r>
      <w:r>
        <w:rPr>
          <w:rFonts w:ascii="宋体" w:hAnsi="宋体" w:cs="宋体" w:eastAsia="宋体" w:hint="default"/>
        </w:rPr>
        <w:t>A.</w:t>
      </w:r>
      <w:r>
        <w:rPr/>
        <w:t>发行方或债务人发生严重财务困难。</w:t>
      </w:r>
      <w:r>
        <w:rPr>
          <w:w w:val="100"/>
        </w:rPr>
        <w:t> </w:t>
      </w:r>
      <w:r>
        <w:rPr>
          <w:rFonts w:ascii="宋体" w:hAnsi="宋体" w:cs="宋体" w:eastAsia="宋体" w:hint="default"/>
          <w:spacing w:val="-2"/>
        </w:rPr>
        <w:t>B.</w:t>
      </w:r>
      <w:r>
        <w:rPr>
          <w:spacing w:val="-2"/>
        </w:rPr>
        <w:t>债务人违反了合同条款，如偿付利息或本金发生违约或逾期等。</w:t>
      </w:r>
    </w:p>
    <w:p>
      <w:pPr>
        <w:pStyle w:val="BodyText"/>
        <w:spacing w:line="357" w:lineRule="auto" w:before="30"/>
        <w:ind w:left="558" w:right="104"/>
        <w:jc w:val="left"/>
      </w:pPr>
      <w:r>
        <w:rPr>
          <w:rFonts w:ascii="宋体" w:hAnsi="宋体" w:cs="宋体" w:eastAsia="宋体" w:hint="default"/>
        </w:rPr>
        <w:t>C.</w:t>
      </w:r>
      <w:r>
        <w:rPr/>
        <w:t>债权人出于经济或法律等方面的考虑，对发生财务困难的债务人作出让步。</w:t>
      </w:r>
      <w:r>
        <w:rPr>
          <w:w w:val="100"/>
        </w:rPr>
        <w:t> </w:t>
      </w:r>
      <w:r>
        <w:rPr>
          <w:rFonts w:ascii="宋体" w:hAnsi="宋体" w:cs="宋体" w:eastAsia="宋体" w:hint="default"/>
        </w:rPr>
        <w:t>D.</w:t>
      </w:r>
      <w:r>
        <w:rPr/>
        <w:t>债务人可能倒闭或进行其他财务重组。</w:t>
      </w:r>
      <w:r>
        <w:rPr>
          <w:w w:val="100"/>
        </w:rPr>
        <w:t> </w:t>
      </w:r>
      <w:r>
        <w:rPr>
          <w:rFonts w:ascii="宋体" w:hAnsi="宋体" w:cs="宋体" w:eastAsia="宋体" w:hint="default"/>
        </w:rPr>
        <w:t>E.</w:t>
      </w:r>
      <w:r>
        <w:rPr/>
        <w:t>因发行方发生重大财务困难，该金融资产无法在活跃市场继续交易。</w:t>
      </w:r>
      <w:r>
        <w:rPr>
          <w:w w:val="100"/>
        </w:rPr>
        <w:t> </w:t>
      </w:r>
      <w:r>
        <w:rPr>
          <w:rFonts w:ascii="宋体" w:hAnsi="宋体" w:cs="宋体" w:eastAsia="宋体" w:hint="default"/>
          <w:spacing w:val="-2"/>
        </w:rPr>
        <w:t>F.</w:t>
      </w:r>
      <w:r>
        <w:rPr>
          <w:spacing w:val="-2"/>
        </w:rPr>
        <w:t>无法辨认一组金融资产中的某项资产的现金流量是否已经减少，但根据公开的数据对其进</w:t>
      </w:r>
    </w:p>
    <w:p>
      <w:pPr>
        <w:pStyle w:val="BodyText"/>
        <w:spacing w:line="355" w:lineRule="auto" w:before="30"/>
        <w:ind w:left="558" w:right="104" w:hanging="420"/>
        <w:jc w:val="left"/>
      </w:pPr>
      <w:r>
        <w:rPr/>
        <w:t>行总体评价后发现，该组金融资产自初始确认以来的预计未来现金流量确已减少且可计量。</w:t>
      </w:r>
      <w:r>
        <w:rPr>
          <w:w w:val="100"/>
        </w:rPr>
        <w:t> </w:t>
      </w:r>
      <w:r>
        <w:rPr>
          <w:rFonts w:ascii="宋体" w:hAnsi="宋体" w:cs="宋体" w:eastAsia="宋体" w:hint="default"/>
          <w:spacing w:val="-2"/>
        </w:rPr>
        <w:t>G.</w:t>
      </w:r>
      <w:r>
        <w:rPr>
          <w:spacing w:val="-2"/>
        </w:rPr>
        <w:t>债务人经营所处的技术、市场、经济或法律环境等发生重大不利变化，使权益工具投资人</w:t>
      </w:r>
    </w:p>
    <w:p>
      <w:pPr>
        <w:pStyle w:val="BodyText"/>
        <w:spacing w:line="355" w:lineRule="auto" w:before="35"/>
        <w:ind w:left="558" w:right="2071" w:hanging="420"/>
        <w:jc w:val="left"/>
      </w:pPr>
      <w:r>
        <w:rPr/>
        <w:t>可能无法收回投资成本。</w:t>
      </w:r>
      <w:r>
        <w:rPr>
          <w:w w:val="100"/>
        </w:rPr>
        <w:t> </w:t>
      </w:r>
      <w:r>
        <w:rPr>
          <w:rFonts w:ascii="宋体" w:hAnsi="宋体" w:cs="宋体" w:eastAsia="宋体" w:hint="default"/>
          <w:spacing w:val="-2"/>
        </w:rPr>
        <w:t>H.</w:t>
      </w:r>
      <w:r>
        <w:rPr>
          <w:spacing w:val="-2"/>
        </w:rPr>
        <w:t>权益工具投资的公允价值发生严重或非暂时性下跌。</w:t>
      </w:r>
      <w:r>
        <w:rPr>
          <w:w w:val="100"/>
        </w:rPr>
        <w:t> </w:t>
      </w:r>
      <w:r>
        <w:rPr>
          <w:rFonts w:ascii="宋体" w:hAnsi="宋体" w:cs="宋体" w:eastAsia="宋体" w:hint="default"/>
        </w:rPr>
        <w:t>I.</w:t>
      </w:r>
      <w:r>
        <w:rPr/>
        <w:t>其他表明金融资产发生减值的客观证据。</w:t>
      </w:r>
    </w:p>
    <w:p>
      <w:pPr>
        <w:pStyle w:val="BodyText"/>
        <w:spacing w:line="355" w:lineRule="auto" w:before="32"/>
        <w:ind w:left="558" w:right="2071"/>
        <w:jc w:val="left"/>
      </w:pPr>
      <w:r>
        <w:rPr>
          <w:spacing w:val="-2"/>
        </w:rPr>
        <w:t>②金融资产的减值测试（不包括应收款项）</w:t>
      </w:r>
      <w:r>
        <w:rPr>
          <w:spacing w:val="-69"/>
        </w:rPr>
        <w:t> </w:t>
      </w:r>
      <w:r>
        <w:rPr>
          <w:spacing w:val="-69"/>
        </w:rPr>
      </w:r>
      <w:r>
        <w:rPr>
          <w:rFonts w:ascii="宋体" w:hAnsi="宋体" w:cs="宋体" w:eastAsia="宋体" w:hint="default"/>
        </w:rPr>
        <w:t>A</w:t>
      </w:r>
      <w:r>
        <w:rPr/>
        <w:t>．持有至到期投资减值测试</w:t>
      </w:r>
    </w:p>
    <w:p>
      <w:pPr>
        <w:pStyle w:val="BodyText"/>
        <w:spacing w:line="355" w:lineRule="auto" w:before="34"/>
        <w:ind w:left="138" w:right="104" w:firstLine="419"/>
        <w:jc w:val="left"/>
      </w:pPr>
      <w:r>
        <w:rPr>
          <w:spacing w:val="-2"/>
        </w:rPr>
        <w:t>持有至到期投资发生减值时，将该持有至到期投资的账面价值减记至预计未来现金流量（不</w:t>
      </w:r>
      <w:r>
        <w:rPr>
          <w:w w:val="100"/>
        </w:rPr>
        <w:t> </w:t>
      </w:r>
      <w:r>
        <w:rPr/>
        <w:t>包括尚未发生的未来信用损失）现值，减记的金额确认为资产减值损失，计入当期损益。</w:t>
      </w:r>
    </w:p>
    <w:p>
      <w:pPr>
        <w:pStyle w:val="BodyText"/>
        <w:spacing w:line="357" w:lineRule="auto" w:before="32"/>
        <w:ind w:left="138" w:right="104" w:firstLine="419"/>
        <w:jc w:val="left"/>
      </w:pPr>
      <w:r>
        <w:rPr>
          <w:spacing w:val="-2"/>
        </w:rPr>
        <w:t>预计未来现金流量现值，按照该持有至到期投资的原实际利率折现确定，并考虑相关担保物</w:t>
      </w:r>
      <w:r>
        <w:rPr>
          <w:w w:val="100"/>
        </w:rPr>
        <w:t> </w:t>
      </w:r>
      <w:r>
        <w:rPr>
          <w:spacing w:val="-2"/>
        </w:rPr>
        <w:t>的价值（取得和出售该担保物发生的费用予以扣除）。原实际利率是初始确认该持有至到期投资</w:t>
      </w:r>
    </w:p>
    <w:p>
      <w:pPr>
        <w:spacing w:after="0" w:line="357" w:lineRule="auto"/>
        <w:jc w:val="left"/>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BodyText"/>
        <w:spacing w:line="357" w:lineRule="auto" w:before="36"/>
        <w:ind w:left="138" w:right="217"/>
        <w:jc w:val="both"/>
      </w:pPr>
      <w:r>
        <w:rPr>
          <w:spacing w:val="-2"/>
        </w:rPr>
        <w:t>时计算确定的实际利率。对于浮动利率的持有至到期投资，在计算未来现金流量现值时可采用合</w:t>
      </w:r>
      <w:r>
        <w:rPr>
          <w:spacing w:val="-25"/>
        </w:rPr>
        <w:t> </w:t>
      </w:r>
      <w:r>
        <w:rPr>
          <w:spacing w:val="-25"/>
        </w:rPr>
      </w:r>
      <w:r>
        <w:rPr/>
        <w:t>同规定的现行实际利率作为折现率。</w:t>
      </w:r>
    </w:p>
    <w:p>
      <w:pPr>
        <w:pStyle w:val="BodyText"/>
        <w:spacing w:line="355" w:lineRule="auto" w:before="30"/>
        <w:ind w:left="138" w:right="217" w:firstLine="419"/>
        <w:jc w:val="both"/>
      </w:pPr>
      <w:r>
        <w:rPr>
          <w:spacing w:val="-2"/>
        </w:rPr>
        <w:t>即使合同条款因债务方或金融资产发行方发生财务困难而重新商定或修改，在确认减值损失</w:t>
      </w:r>
      <w:r>
        <w:rPr>
          <w:w w:val="100"/>
        </w:rPr>
        <w:t> </w:t>
      </w:r>
      <w:r>
        <w:rPr/>
        <w:t>时，仍用条款修改前所计算的该金融资产的原实际利率计算。</w:t>
      </w:r>
    </w:p>
    <w:p>
      <w:pPr>
        <w:pStyle w:val="BodyText"/>
        <w:spacing w:line="357" w:lineRule="auto" w:before="32"/>
        <w:ind w:left="138" w:right="217" w:firstLine="419"/>
        <w:jc w:val="both"/>
      </w:pPr>
      <w:r>
        <w:rPr>
          <w:spacing w:val="-2"/>
        </w:rPr>
        <w:t>对持有至到期投资确认减值损失后，如有客观证据表明该持有至到期投资价值已恢复，且客</w:t>
      </w:r>
      <w:r>
        <w:rPr>
          <w:w w:val="100"/>
        </w:rPr>
        <w:t> </w:t>
      </w:r>
      <w:r>
        <w:rPr>
          <w:spacing w:val="-2"/>
        </w:rPr>
        <w:t>观上与确认该损失后发生的事项有关（如债务人的信用评级已提高等），原确认的减值损失予以</w:t>
      </w:r>
      <w:r>
        <w:rPr>
          <w:spacing w:val="-25"/>
        </w:rPr>
        <w:t> </w:t>
      </w:r>
      <w:r>
        <w:rPr>
          <w:spacing w:val="-25"/>
        </w:rPr>
      </w:r>
      <w:r>
        <w:rPr/>
        <w:t>转回，计入当期损益。</w:t>
      </w:r>
    </w:p>
    <w:p>
      <w:pPr>
        <w:pStyle w:val="BodyText"/>
        <w:spacing w:line="357" w:lineRule="auto" w:before="30"/>
        <w:ind w:left="138" w:right="217" w:firstLine="419"/>
        <w:jc w:val="both"/>
      </w:pPr>
      <w:r>
        <w:rPr>
          <w:spacing w:val="-2"/>
        </w:rPr>
        <w:t>持有至到期投资发生减值后，利息收入按照确定减值损失时对未来现金流量进行折现采用的</w:t>
      </w:r>
      <w:r>
        <w:rPr>
          <w:w w:val="100"/>
        </w:rPr>
        <w:t> </w:t>
      </w:r>
      <w:r>
        <w:rPr/>
        <w:t>折现率作为利率计算确认。</w:t>
      </w:r>
    </w:p>
    <w:p>
      <w:pPr>
        <w:pStyle w:val="BodyText"/>
        <w:spacing w:line="357" w:lineRule="auto" w:before="30"/>
        <w:ind w:left="558" w:right="104"/>
        <w:jc w:val="left"/>
      </w:pPr>
      <w:r>
        <w:rPr>
          <w:rFonts w:ascii="宋体" w:hAnsi="宋体" w:cs="宋体" w:eastAsia="宋体" w:hint="default"/>
        </w:rPr>
        <w:t>B.</w:t>
      </w:r>
      <w:r>
        <w:rPr/>
        <w:t>可供出售金融资产减值测试</w:t>
      </w:r>
      <w:r>
        <w:rPr>
          <w:w w:val="100"/>
        </w:rPr>
        <w:t> </w:t>
      </w:r>
      <w:r>
        <w:rPr>
          <w:spacing w:val="-2"/>
        </w:rPr>
        <w:t>在资产负债表日本公司对可供出售金融资产的减值情况进行分析，判断该项金融资产公允价</w:t>
      </w:r>
    </w:p>
    <w:p>
      <w:pPr>
        <w:pStyle w:val="BodyText"/>
        <w:spacing w:line="355" w:lineRule="auto" w:before="30"/>
        <w:ind w:left="138" w:right="217"/>
        <w:jc w:val="both"/>
      </w:pPr>
      <w:r>
        <w:rPr>
          <w:spacing w:val="-2"/>
        </w:rPr>
        <w:t>值是否持续下降。通常情况下，如果可供出售金融资产的期末公允价值相对于成本的下跌幅度较</w:t>
      </w:r>
      <w:r>
        <w:rPr>
          <w:spacing w:val="-25"/>
        </w:rPr>
        <w:t> </w:t>
      </w:r>
      <w:r>
        <w:rPr>
          <w:spacing w:val="-25"/>
        </w:rPr>
      </w:r>
      <w:r>
        <w:rPr>
          <w:spacing w:val="-2"/>
        </w:rPr>
        <w:t>大，在综合考虑各种相关因素后，预期这种下降趋势属于非暂时性的，可以认定该可供出售金融</w:t>
      </w:r>
      <w:r>
        <w:rPr>
          <w:spacing w:val="-26"/>
        </w:rPr>
        <w:t> </w:t>
      </w:r>
      <w:r>
        <w:rPr>
          <w:spacing w:val="-26"/>
        </w:rPr>
      </w:r>
      <w:r>
        <w:rPr>
          <w:spacing w:val="-2"/>
        </w:rPr>
        <w:t>资产已发生减值，确认减值损失。可供出售金融资产发生减值的，在确认减值损失时，将原直接</w:t>
      </w:r>
      <w:r>
        <w:rPr>
          <w:spacing w:val="-25"/>
        </w:rPr>
        <w:t> </w:t>
      </w:r>
      <w:r>
        <w:rPr>
          <w:spacing w:val="-25"/>
        </w:rPr>
      </w:r>
      <w:r>
        <w:rPr/>
        <w:t>计入所有者权益的公允价值下降形成的累计损失一并转出，计入资产减值损失。</w:t>
      </w:r>
    </w:p>
    <w:p>
      <w:pPr>
        <w:pStyle w:val="BodyText"/>
        <w:spacing w:line="357" w:lineRule="auto" w:before="34"/>
        <w:ind w:left="558" w:right="0"/>
        <w:jc w:val="left"/>
      </w:pPr>
      <w:r>
        <w:rPr>
          <w:spacing w:val="-4"/>
          <w:w w:val="100"/>
        </w:rPr>
        <w:t>可供出售债务工具金融资产是否发生减值，可参照上述可供出售权益工具投资进行分析判断。</w:t>
      </w:r>
      <w:r>
        <w:rPr>
          <w:spacing w:val="-93"/>
          <w:w w:val="100"/>
        </w:rPr>
        <w:t> </w:t>
      </w:r>
      <w:r>
        <w:rPr>
          <w:spacing w:val="-93"/>
          <w:w w:val="100"/>
        </w:rPr>
      </w:r>
      <w:r>
        <w:rPr/>
        <w:t>可供出售权益工具投资发生的减值损失，不得通过损益转回。</w:t>
      </w:r>
      <w:r>
        <w:rPr>
          <w:w w:val="100"/>
        </w:rPr>
        <w:t> </w:t>
      </w:r>
      <w:r>
        <w:rPr/>
        <w:t>可供出售债务工具金融资产发生减值后，利息收入按照确定减值损失时对未来现金流量进行</w:t>
      </w:r>
    </w:p>
    <w:p>
      <w:pPr>
        <w:pStyle w:val="BodyText"/>
        <w:spacing w:line="355" w:lineRule="auto" w:before="30"/>
        <w:ind w:left="558" w:right="104" w:hanging="420"/>
        <w:jc w:val="left"/>
      </w:pPr>
      <w:r>
        <w:rPr/>
        <w:t>折现采用的折现率作为利率计算确认。</w:t>
      </w:r>
      <w:r>
        <w:rPr>
          <w:w w:val="100"/>
        </w:rPr>
        <w:t> </w:t>
      </w:r>
      <w:r>
        <w:rPr>
          <w:spacing w:val="-2"/>
        </w:rPr>
        <w:t>对于已确认减值损失的可供出售债务工具，在随后的会计期间公允价值已上升且客观上与确</w:t>
      </w:r>
    </w:p>
    <w:p>
      <w:pPr>
        <w:pStyle w:val="BodyText"/>
        <w:spacing w:line="240" w:lineRule="auto" w:before="34"/>
        <w:ind w:left="138" w:right="0"/>
        <w:jc w:val="both"/>
      </w:pPr>
      <w:r>
        <w:rPr/>
        <w:t>认原减值损失确认后发生的事项有关的，原确认的减值损失予以转回，计入当期损益。</w:t>
      </w:r>
    </w:p>
    <w:p>
      <w:pPr>
        <w:spacing w:line="355" w:lineRule="auto" w:before="133"/>
        <w:ind w:left="558" w:right="104"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9</w:t>
      </w:r>
      <w:r>
        <w:rPr>
          <w:rFonts w:ascii="宋体" w:hAnsi="宋体" w:cs="宋体" w:eastAsia="宋体" w:hint="default"/>
          <w:b/>
          <w:bCs/>
          <w:sz w:val="21"/>
          <w:szCs w:val="21"/>
        </w:rPr>
        <w:t>）金融资产和金融负债公允价值的确定方法</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本公司以主要市场的价格计量相关资产或负债的公允价值，不存在主要市场的，本公司以最</w:t>
      </w:r>
    </w:p>
    <w:p>
      <w:pPr>
        <w:pStyle w:val="BodyText"/>
        <w:spacing w:line="360" w:lineRule="auto" w:before="32"/>
        <w:ind w:left="558" w:right="104" w:hanging="420"/>
        <w:jc w:val="left"/>
      </w:pPr>
      <w:r>
        <w:rPr/>
        <w:t>有利市场的价格计量相关资产或负债的公允价值。</w:t>
      </w:r>
      <w:r>
        <w:rPr>
          <w:w w:val="100"/>
        </w:rPr>
        <w:t> </w:t>
      </w:r>
      <w:r>
        <w:rPr>
          <w:spacing w:val="-2"/>
        </w:rPr>
        <w:t>主要市场，是指相关资产或负债交易量最大和交易活跃程度最高的市场；最有利市场，是指</w:t>
      </w:r>
    </w:p>
    <w:p>
      <w:pPr>
        <w:pStyle w:val="BodyText"/>
        <w:spacing w:line="355" w:lineRule="auto" w:before="28"/>
        <w:ind w:left="138" w:right="217"/>
        <w:jc w:val="both"/>
      </w:pPr>
      <w:r>
        <w:rPr>
          <w:spacing w:val="-2"/>
        </w:rPr>
        <w:t>在考虑交易费用和运输费用后，能够以最高金额出售相关资产或者以最低金额转移相关负债的市</w:t>
      </w:r>
      <w:r>
        <w:rPr>
          <w:spacing w:val="-25"/>
        </w:rPr>
        <w:t> </w:t>
      </w:r>
      <w:r>
        <w:rPr>
          <w:spacing w:val="-25"/>
        </w:rPr>
      </w:r>
      <w:r>
        <w:rPr/>
        <w:t>场。本公司采用市场参与者在对该资产或负债定价时为实现其经济利益最大化所使用的假设。</w:t>
      </w:r>
    </w:p>
    <w:p>
      <w:pPr>
        <w:pStyle w:val="BodyText"/>
        <w:spacing w:line="355" w:lineRule="auto" w:before="32"/>
        <w:ind w:left="558" w:right="104"/>
        <w:jc w:val="left"/>
      </w:pPr>
      <w:r>
        <w:rPr/>
        <w:t>①估值技术</w:t>
      </w:r>
      <w:r>
        <w:rPr>
          <w:spacing w:val="-102"/>
        </w:rPr>
        <w:t> </w:t>
      </w:r>
      <w:r>
        <w:rPr>
          <w:spacing w:val="-102"/>
        </w:rPr>
      </w:r>
      <w:r>
        <w:rPr>
          <w:spacing w:val="-2"/>
        </w:rPr>
        <w:t>本公司采用在当期情况下适用并且有足够可利用数据和其他信息支持的估值技术，使用的估</w:t>
      </w:r>
    </w:p>
    <w:p>
      <w:pPr>
        <w:pStyle w:val="BodyText"/>
        <w:spacing w:line="355" w:lineRule="auto" w:before="34"/>
        <w:ind w:left="138" w:right="217"/>
        <w:jc w:val="both"/>
      </w:pPr>
      <w:r>
        <w:rPr>
          <w:spacing w:val="-2"/>
        </w:rPr>
        <w:t>值技术主要包括市场法、收益法和成本法。本公司使用与其中一种或多种估值技术相一致的方法</w:t>
      </w:r>
      <w:r>
        <w:rPr>
          <w:spacing w:val="-25"/>
        </w:rPr>
        <w:t> </w:t>
      </w:r>
      <w:r>
        <w:rPr>
          <w:spacing w:val="-25"/>
        </w:rPr>
      </w:r>
      <w:r>
        <w:rPr>
          <w:spacing w:val="-2"/>
        </w:rPr>
        <w:t>计量公允价值，使用多种估值技术计量公允价值的，考虑各估值结果的合理性，选取在当期情况</w:t>
      </w:r>
      <w:r>
        <w:rPr>
          <w:spacing w:val="-25"/>
        </w:rPr>
        <w:t> </w:t>
      </w:r>
      <w:r>
        <w:rPr>
          <w:spacing w:val="-25"/>
        </w:rPr>
      </w:r>
      <w:r>
        <w:rPr/>
        <w:t>下最能代表公允价值的金额作为公允价值。</w:t>
      </w:r>
    </w:p>
    <w:p>
      <w:pPr>
        <w:pStyle w:val="BodyText"/>
        <w:spacing w:line="357" w:lineRule="auto" w:before="32"/>
        <w:ind w:left="138" w:right="217" w:firstLine="419"/>
        <w:jc w:val="both"/>
      </w:pPr>
      <w:r>
        <w:rPr>
          <w:spacing w:val="-2"/>
        </w:rPr>
        <w:t>本公司在估值技术的应用中，优先使用相关可观察输入值，只有在相关可观察输入值无法取</w:t>
      </w:r>
      <w:r>
        <w:rPr>
          <w:w w:val="100"/>
        </w:rPr>
        <w:t> </w:t>
      </w:r>
      <w:r>
        <w:rPr>
          <w:spacing w:val="-2"/>
        </w:rPr>
        <w:t>得或取得不切实可行的情况下，才使用不可观察输入值。可观察输入值，是指能够从市场数据中</w:t>
      </w:r>
    </w:p>
    <w:p>
      <w:pPr>
        <w:spacing w:after="0" w:line="357" w:lineRule="auto"/>
        <w:jc w:val="both"/>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BodyText"/>
        <w:spacing w:line="357" w:lineRule="auto" w:before="36"/>
        <w:ind w:right="237"/>
        <w:jc w:val="both"/>
      </w:pPr>
      <w:r>
        <w:rPr>
          <w:spacing w:val="-2"/>
        </w:rPr>
        <w:t>取得的输入值。该输入值反映了市场参与者在对相关资产或负债定价时所使用的假设。不可观察</w:t>
      </w:r>
      <w:r>
        <w:rPr>
          <w:spacing w:val="-25"/>
        </w:rPr>
        <w:t> </w:t>
      </w:r>
      <w:r>
        <w:rPr>
          <w:spacing w:val="-25"/>
        </w:rPr>
      </w:r>
      <w:r>
        <w:rPr>
          <w:spacing w:val="-2"/>
        </w:rPr>
        <w:t>输入值，是指不能从市场数据中取得的输入值。该输入值根据可获得的市场参与者在对相关资产</w:t>
      </w:r>
      <w:r>
        <w:rPr>
          <w:spacing w:val="-25"/>
        </w:rPr>
        <w:t> </w:t>
      </w:r>
      <w:r>
        <w:rPr>
          <w:spacing w:val="-25"/>
        </w:rPr>
      </w:r>
      <w:r>
        <w:rPr/>
        <w:t>或负债在对相关资产或负债定价时所使用假设的最佳信息取得。</w:t>
      </w:r>
    </w:p>
    <w:p>
      <w:pPr>
        <w:pStyle w:val="BodyText"/>
        <w:spacing w:line="355" w:lineRule="auto" w:before="30"/>
        <w:ind w:left="638" w:right="227"/>
        <w:jc w:val="left"/>
      </w:pPr>
      <w:r>
        <w:rPr/>
        <w:t>②公允价值层次</w:t>
      </w:r>
      <w:r>
        <w:rPr>
          <w:spacing w:val="-103"/>
        </w:rPr>
        <w:t> </w:t>
      </w:r>
      <w:r>
        <w:rPr>
          <w:spacing w:val="-103"/>
        </w:rPr>
      </w:r>
      <w:r>
        <w:rPr>
          <w:spacing w:val="-2"/>
        </w:rPr>
        <w:t>本公司将公允价值计量所使用的输入值划分为三个层次，并首先使用第一层次输入值，其次</w:t>
      </w:r>
    </w:p>
    <w:p>
      <w:pPr>
        <w:pStyle w:val="BodyText"/>
        <w:spacing w:line="357" w:lineRule="auto" w:before="32"/>
        <w:ind w:right="237"/>
        <w:jc w:val="both"/>
      </w:pPr>
      <w:r>
        <w:rPr>
          <w:spacing w:val="-2"/>
        </w:rPr>
        <w:t>使用第二层次输入值，最后使用第三层次输入值。第一层次输入值是在计量日能够取得的相同资</w:t>
      </w:r>
      <w:r>
        <w:rPr>
          <w:spacing w:val="-25"/>
        </w:rPr>
        <w:t> </w:t>
      </w:r>
      <w:r>
        <w:rPr>
          <w:spacing w:val="-25"/>
        </w:rPr>
      </w:r>
      <w:r>
        <w:rPr>
          <w:spacing w:val="-2"/>
        </w:rPr>
        <w:t>产或负债在活跃市场上未经调整的报价。第二层次输入值是除第一层次输入值外相关资产或负债</w:t>
      </w:r>
      <w:r>
        <w:rPr>
          <w:spacing w:val="-25"/>
        </w:rPr>
        <w:t> </w:t>
      </w:r>
      <w:r>
        <w:rPr>
          <w:spacing w:val="-25"/>
        </w:rPr>
      </w:r>
      <w:r>
        <w:rPr/>
        <w:t>直接或间接可观察的输入值。第三层次输入值是相关资产或负债的不可观察输入值。</w:t>
      </w:r>
    </w:p>
    <w:p>
      <w:pPr>
        <w:spacing w:line="240" w:lineRule="auto" w:before="11"/>
        <w:rPr>
          <w:rFonts w:ascii="宋体" w:hAnsi="宋体" w:cs="宋体" w:eastAsia="宋体" w:hint="default"/>
          <w:sz w:val="27"/>
          <w:szCs w:val="27"/>
        </w:rPr>
      </w:pPr>
    </w:p>
    <w:p>
      <w:pPr>
        <w:pStyle w:val="Heading2"/>
        <w:spacing w:line="290" w:lineRule="auto"/>
        <w:ind w:right="4408"/>
        <w:jc w:val="left"/>
        <w:rPr>
          <w:b w:val="0"/>
          <w:bCs w:val="0"/>
        </w:rPr>
      </w:pPr>
      <w:r>
        <w:rPr>
          <w:rFonts w:ascii="宋体" w:hAnsi="宋体" w:cs="宋体" w:eastAsia="宋体" w:hint="default"/>
        </w:rPr>
        <w:t>11.</w:t>
      </w:r>
      <w:r>
        <w:rPr>
          <w:rFonts w:ascii="宋体" w:hAnsi="宋体" w:cs="宋体" w:eastAsia="宋体" w:hint="default"/>
          <w:spacing w:val="2"/>
        </w:rPr>
        <w:t> </w:t>
      </w:r>
      <w:r>
        <w:rPr/>
        <w:t>应收款项</w:t>
      </w:r>
      <w:r>
        <w:rPr>
          <w:w w:val="100"/>
        </w:rPr>
        <w:t> </w:t>
      </w:r>
      <w:r>
        <w:rPr>
          <w:rFonts w:ascii="宋体" w:hAnsi="宋体" w:cs="宋体" w:eastAsia="宋体" w:hint="default"/>
        </w:rPr>
        <w:t>(1).</w:t>
      </w:r>
      <w:r>
        <w:rPr/>
        <w:t>单项金额重大并单独计提坏账准备的应收款项</w:t>
      </w:r>
      <w:r>
        <w:rPr>
          <w:b w:val="0"/>
          <w:bCs w:val="0"/>
        </w:rPr>
      </w:r>
    </w:p>
    <w:p>
      <w:pPr>
        <w:pStyle w:val="BodyText"/>
        <w:spacing w:line="240" w:lineRule="auto" w:before="14"/>
        <w:ind w:right="0"/>
        <w:jc w:val="both"/>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82"/>
        <w:gridCol w:w="4467"/>
      </w:tblGrid>
      <w:tr>
        <w:trPr>
          <w:trHeight w:val="554"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本公司将</w:t>
            </w:r>
            <w:r>
              <w:rPr>
                <w:rFonts w:ascii="宋体" w:hAnsi="宋体" w:cs="宋体" w:eastAsia="宋体" w:hint="default"/>
                <w:spacing w:val="-54"/>
                <w:sz w:val="21"/>
                <w:szCs w:val="21"/>
              </w:rPr>
              <w:t> </w:t>
            </w:r>
            <w:r>
              <w:rPr>
                <w:rFonts w:ascii="宋体" w:hAnsi="宋体" w:cs="宋体" w:eastAsia="宋体" w:hint="default"/>
                <w:sz w:val="21"/>
                <w:szCs w:val="21"/>
              </w:rPr>
              <w:t>500</w:t>
            </w:r>
            <w:r>
              <w:rPr>
                <w:rFonts w:ascii="宋体" w:hAnsi="宋体" w:cs="宋体" w:eastAsia="宋体" w:hint="default"/>
                <w:spacing w:val="-54"/>
                <w:sz w:val="21"/>
                <w:szCs w:val="21"/>
              </w:rPr>
              <w:t> </w:t>
            </w:r>
            <w:r>
              <w:rPr>
                <w:rFonts w:ascii="宋体" w:hAnsi="宋体" w:cs="宋体" w:eastAsia="宋体" w:hint="default"/>
                <w:sz w:val="21"/>
                <w:szCs w:val="21"/>
              </w:rPr>
              <w:t>万元以上应收款项确定为单项金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额重大。</w:t>
            </w:r>
          </w:p>
        </w:tc>
      </w:tr>
      <w:tr>
        <w:trPr>
          <w:trHeight w:val="1099"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单项金额重大并单项计提坏账准备的计提方法</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对于单项金额重大的应收款项，单独进行减值</w:t>
            </w:r>
          </w:p>
          <w:p>
            <w:pPr>
              <w:pStyle w:val="TableParagraph"/>
              <w:spacing w:line="237" w:lineRule="auto" w:before="2"/>
              <w:ind w:left="103" w:right="146"/>
              <w:jc w:val="both"/>
              <w:rPr>
                <w:rFonts w:ascii="宋体" w:hAnsi="宋体" w:cs="宋体" w:eastAsia="宋体" w:hint="default"/>
                <w:sz w:val="21"/>
                <w:szCs w:val="21"/>
              </w:rPr>
            </w:pPr>
            <w:r>
              <w:rPr>
                <w:rFonts w:ascii="宋体" w:hAnsi="宋体" w:cs="宋体" w:eastAsia="宋体" w:hint="default"/>
                <w:spacing w:val="-2"/>
                <w:sz w:val="21"/>
                <w:szCs w:val="21"/>
              </w:rPr>
              <w:t>测试。有客观证据表明其发生了减值的，根据</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其未来现金流量现值低于其账面价值的差额，</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确认减值损失，并据此计提相应的坏账准备。</w:t>
            </w:r>
          </w:p>
        </w:tc>
      </w:tr>
    </w:tbl>
    <w:p>
      <w:pPr>
        <w:spacing w:line="240" w:lineRule="auto" w:before="2"/>
        <w:rPr>
          <w:rFonts w:ascii="宋体" w:hAnsi="宋体" w:cs="宋体" w:eastAsia="宋体" w:hint="default"/>
          <w:sz w:val="20"/>
          <w:szCs w:val="20"/>
        </w:rPr>
      </w:pPr>
    </w:p>
    <w:p>
      <w:pPr>
        <w:pStyle w:val="Heading2"/>
        <w:spacing w:line="240" w:lineRule="auto" w:before="36"/>
        <w:ind w:right="2497"/>
        <w:jc w:val="left"/>
        <w:rPr>
          <w:b w:val="0"/>
          <w:bCs w:val="0"/>
        </w:rPr>
      </w:pPr>
      <w:r>
        <w:rPr>
          <w:rFonts w:ascii="宋体" w:hAnsi="宋体" w:cs="宋体" w:eastAsia="宋体" w:hint="default"/>
        </w:rPr>
        <w:t>(2).</w:t>
      </w:r>
      <w:r>
        <w:rPr/>
        <w:t>按信用风险特征组合计提坏账准备的应收款项：</w:t>
      </w:r>
      <w:r>
        <w:rPr>
          <w:b w:val="0"/>
          <w:bCs w:val="0"/>
        </w:rPr>
      </w:r>
    </w:p>
    <w:p>
      <w:pPr>
        <w:pStyle w:val="BodyText"/>
        <w:spacing w:line="240" w:lineRule="auto" w:before="56"/>
        <w:ind w:right="2497"/>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82"/>
        <w:gridCol w:w="4467"/>
      </w:tblGrid>
      <w:tr>
        <w:trPr>
          <w:trHeight w:val="281"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按信用风险特征组合计提坏账准备的计提方法（账龄分析法、余额百分比法、其他方法）</w:t>
            </w:r>
          </w:p>
        </w:tc>
      </w:tr>
      <w:tr>
        <w:trPr>
          <w:trHeight w:val="1102"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对单项金额重大单独测试未发生减值的应收款</w:t>
            </w:r>
          </w:p>
          <w:p>
            <w:pPr>
              <w:pStyle w:val="TableParagraph"/>
              <w:spacing w:line="240" w:lineRule="auto"/>
              <w:ind w:left="103" w:right="96"/>
              <w:jc w:val="left"/>
              <w:rPr>
                <w:rFonts w:ascii="宋体" w:hAnsi="宋体" w:cs="宋体" w:eastAsia="宋体" w:hint="default"/>
                <w:sz w:val="21"/>
                <w:szCs w:val="21"/>
              </w:rPr>
            </w:pPr>
            <w:r>
              <w:rPr>
                <w:rFonts w:ascii="宋体" w:hAnsi="宋体" w:cs="宋体" w:eastAsia="宋体" w:hint="default"/>
                <w:spacing w:val="-4"/>
                <w:sz w:val="21"/>
                <w:szCs w:val="21"/>
              </w:rPr>
              <w:t>项汇同单项金额不重大的应收款项，本公司以账</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龄作为信用风险特征组合。</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根据以前年度按账龄划分的各段应收款项实际</w:t>
            </w:r>
          </w:p>
          <w:p>
            <w:pPr>
              <w:pStyle w:val="TableParagraph"/>
              <w:spacing w:line="237" w:lineRule="auto"/>
              <w:ind w:left="103" w:right="146"/>
              <w:jc w:val="both"/>
              <w:rPr>
                <w:rFonts w:ascii="宋体" w:hAnsi="宋体" w:cs="宋体" w:eastAsia="宋体" w:hint="default"/>
                <w:sz w:val="21"/>
                <w:szCs w:val="21"/>
              </w:rPr>
            </w:pPr>
            <w:r>
              <w:rPr>
                <w:rFonts w:ascii="宋体" w:hAnsi="宋体" w:cs="宋体" w:eastAsia="宋体" w:hint="default"/>
                <w:spacing w:val="-2"/>
                <w:sz w:val="21"/>
                <w:szCs w:val="21"/>
              </w:rPr>
              <w:t>损失率作为基础，结合现时情况确定本年各账</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龄段应收款项组合计提坏账准备的比例，据此</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计算本年应计提的坏账准备。</w:t>
            </w:r>
          </w:p>
        </w:tc>
      </w:tr>
      <w:tr>
        <w:trPr>
          <w:trHeight w:val="826"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以支付的融资租赁公司保证金、合并范围内公司</w:t>
            </w:r>
          </w:p>
          <w:p>
            <w:pPr>
              <w:pStyle w:val="TableParagraph"/>
              <w:spacing w:line="240" w:lineRule="auto"/>
              <w:ind w:left="103" w:right="261"/>
              <w:jc w:val="left"/>
              <w:rPr>
                <w:rFonts w:ascii="宋体" w:hAnsi="宋体" w:cs="宋体" w:eastAsia="宋体" w:hint="default"/>
                <w:sz w:val="21"/>
                <w:szCs w:val="21"/>
              </w:rPr>
            </w:pPr>
            <w:r>
              <w:rPr>
                <w:rFonts w:ascii="宋体" w:hAnsi="宋体" w:cs="宋体" w:eastAsia="宋体" w:hint="default"/>
                <w:spacing w:val="-2"/>
                <w:sz w:val="21"/>
                <w:szCs w:val="21"/>
              </w:rPr>
              <w:t>往来等应收款项划分组合（以下简称“特定组</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合”）。</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特定组合应收款项不计提坏账准备。</w:t>
            </w:r>
          </w:p>
        </w:tc>
      </w:tr>
    </w:tbl>
    <w:p>
      <w:pPr>
        <w:spacing w:line="240" w:lineRule="auto" w:before="7"/>
        <w:rPr>
          <w:rFonts w:ascii="宋体" w:hAnsi="宋体" w:cs="宋体" w:eastAsia="宋体" w:hint="default"/>
          <w:sz w:val="15"/>
          <w:szCs w:val="15"/>
        </w:rPr>
      </w:pPr>
    </w:p>
    <w:p>
      <w:pPr>
        <w:pStyle w:val="BodyText"/>
        <w:spacing w:line="273" w:lineRule="exact" w:before="36"/>
        <w:ind w:right="2497"/>
        <w:jc w:val="left"/>
      </w:pPr>
      <w:r>
        <w:rPr/>
        <w:t>组合中，采用账龄分析法计提坏账准备的</w:t>
      </w:r>
    </w:p>
    <w:p>
      <w:pPr>
        <w:pStyle w:val="BodyText"/>
        <w:spacing w:line="273" w:lineRule="exact"/>
        <w:ind w:right="2497"/>
        <w:jc w:val="left"/>
      </w:pPr>
      <w:r>
        <w:rPr/>
        <w:t>□适用 □不适用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23"/>
        <w:gridCol w:w="2962"/>
        <w:gridCol w:w="2965"/>
      </w:tblGrid>
      <w:tr>
        <w:trPr>
          <w:trHeight w:val="281"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0" w:right="0"/>
              <w:jc w:val="left"/>
              <w:rPr>
                <w:rFonts w:ascii="宋体" w:hAnsi="宋体" w:cs="宋体" w:eastAsia="宋体" w:hint="default"/>
                <w:sz w:val="21"/>
                <w:szCs w:val="21"/>
              </w:rPr>
            </w:pPr>
            <w:r>
              <w:rPr>
                <w:rFonts w:ascii="宋体" w:hAnsi="宋体" w:cs="宋体" w:eastAsia="宋体" w:hint="default"/>
                <w:sz w:val="21"/>
                <w:szCs w:val="21"/>
              </w:rPr>
              <w:t>应收账款计提比例</w:t>
            </w:r>
            <w:r>
              <w:rPr>
                <w:rFonts w:ascii="宋体" w:hAnsi="宋体" w:cs="宋体" w:eastAsia="宋体" w:hint="default"/>
                <w:sz w:val="21"/>
                <w:szCs w:val="21"/>
              </w:rPr>
              <w:t>(%)</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4" w:right="0"/>
              <w:jc w:val="left"/>
              <w:rPr>
                <w:rFonts w:ascii="宋体" w:hAnsi="宋体" w:cs="宋体" w:eastAsia="宋体" w:hint="default"/>
                <w:sz w:val="21"/>
                <w:szCs w:val="21"/>
              </w:rPr>
            </w:pPr>
            <w:r>
              <w:rPr>
                <w:rFonts w:ascii="宋体" w:hAnsi="宋体" w:cs="宋体" w:eastAsia="宋体" w:hint="default"/>
                <w:sz w:val="21"/>
                <w:szCs w:val="21"/>
              </w:rPr>
              <w:t>其他应收款计提比例</w:t>
            </w:r>
            <w:r>
              <w:rPr>
                <w:rFonts w:ascii="宋体" w:hAnsi="宋体" w:cs="宋体" w:eastAsia="宋体" w:hint="default"/>
                <w:sz w:val="21"/>
                <w:szCs w:val="21"/>
              </w:rPr>
              <w:t>(%)</w:t>
            </w:r>
          </w:p>
        </w:tc>
      </w:tr>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年以内（含</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5</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5</w:t>
            </w:r>
          </w:p>
        </w:tc>
      </w:tr>
      <w:tr>
        <w:trPr>
          <w:trHeight w:val="283"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年以内分项，可添加行</w:t>
            </w:r>
          </w:p>
        </w:tc>
      </w:tr>
      <w:tr>
        <w:trPr>
          <w:trHeight w:val="281"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个月以内（含</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个月）</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1</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5</w:t>
            </w:r>
          </w:p>
        </w:tc>
      </w:tr>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w:t>
            </w:r>
          </w:p>
        </w:tc>
      </w:tr>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30</w:t>
            </w:r>
          </w:p>
        </w:tc>
      </w:tr>
      <w:tr>
        <w:trPr>
          <w:trHeight w:val="281"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50</w:t>
            </w:r>
          </w:p>
        </w:tc>
      </w:tr>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80</w:t>
            </w:r>
          </w:p>
        </w:tc>
      </w:tr>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273" w:lineRule="exact" w:before="36"/>
        <w:ind w:right="2497"/>
        <w:jc w:val="left"/>
      </w:pPr>
      <w:r>
        <w:rPr/>
        <w:t>组合中，采用余额百分比法计提坏账准备的</w:t>
      </w:r>
    </w:p>
    <w:p>
      <w:pPr>
        <w:pStyle w:val="BodyText"/>
        <w:spacing w:line="273" w:lineRule="exact"/>
        <w:ind w:right="2497"/>
        <w:jc w:val="left"/>
      </w:pPr>
      <w:r>
        <w:rPr/>
        <w:t>□适用</w:t>
      </w:r>
      <w:r>
        <w:rPr>
          <w:spacing w:val="-1"/>
        </w:rPr>
        <w:t> </w:t>
      </w:r>
      <w:r>
        <w:rPr/>
        <w:t>√不适用</w:t>
      </w:r>
    </w:p>
    <w:p>
      <w:pPr>
        <w:spacing w:after="0" w:line="273" w:lineRule="exact"/>
        <w:jc w:val="left"/>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pStyle w:val="BodyText"/>
        <w:spacing w:line="274" w:lineRule="exact" w:before="36"/>
        <w:ind w:right="2497"/>
        <w:jc w:val="left"/>
      </w:pPr>
      <w:r>
        <w:rPr/>
        <w:t>组合中，采用其他方法计提坏账准备的</w:t>
      </w:r>
    </w:p>
    <w:p>
      <w:pPr>
        <w:spacing w:line="290" w:lineRule="auto" w:before="0"/>
        <w:ind w:left="218" w:right="2497"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(3).</w:t>
      </w:r>
      <w:r>
        <w:rPr>
          <w:rFonts w:ascii="宋体" w:hAnsi="宋体" w:cs="宋体" w:eastAsia="宋体" w:hint="default"/>
          <w:b/>
          <w:bCs/>
          <w:spacing w:val="-1"/>
          <w:sz w:val="21"/>
          <w:szCs w:val="21"/>
        </w:rPr>
        <w:t>单项金额不重大但单独计提坏账准备的应收款项：</w:t>
      </w:r>
      <w:r>
        <w:rPr>
          <w:rFonts w:ascii="宋体" w:hAnsi="宋体" w:cs="宋体" w:eastAsia="宋体" w:hint="default"/>
          <w:spacing w:val="-1"/>
          <w:sz w:val="21"/>
          <w:szCs w:val="21"/>
        </w:rPr>
      </w:r>
    </w:p>
    <w:p>
      <w:pPr>
        <w:pStyle w:val="BodyText"/>
        <w:spacing w:line="240" w:lineRule="auto" w:before="14"/>
        <w:ind w:right="2497"/>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340"/>
        <w:gridCol w:w="4710"/>
      </w:tblGrid>
      <w:tr>
        <w:trPr>
          <w:trHeight w:val="554"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对单项金额不重大但已有客观证据表明其发生了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减值</w:t>
            </w:r>
          </w:p>
        </w:tc>
      </w:tr>
      <w:tr>
        <w:trPr>
          <w:trHeight w:val="1102"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按账龄分析法计提的坏账准备不能反映实际情</w:t>
            </w:r>
          </w:p>
          <w:p>
            <w:pPr>
              <w:pStyle w:val="TableParagraph"/>
              <w:spacing w:line="237" w:lineRule="auto"/>
              <w:ind w:left="100" w:right="-5"/>
              <w:jc w:val="left"/>
              <w:rPr>
                <w:rFonts w:ascii="宋体" w:hAnsi="宋体" w:cs="宋体" w:eastAsia="宋体" w:hint="default"/>
                <w:sz w:val="21"/>
                <w:szCs w:val="21"/>
              </w:rPr>
            </w:pPr>
            <w:r>
              <w:rPr>
                <w:rFonts w:ascii="宋体" w:hAnsi="宋体" w:cs="宋体" w:eastAsia="宋体" w:hint="default"/>
                <w:sz w:val="21"/>
                <w:szCs w:val="21"/>
              </w:rPr>
              <w:t>况，本公司单独进行减值测试，根据其未来现金</w:t>
            </w:r>
            <w:r>
              <w:rPr>
                <w:rFonts w:ascii="宋体" w:hAnsi="宋体" w:cs="宋体" w:eastAsia="宋体" w:hint="default"/>
                <w:w w:val="100"/>
                <w:sz w:val="21"/>
                <w:szCs w:val="21"/>
              </w:rPr>
              <w:t> </w:t>
            </w:r>
            <w:r>
              <w:rPr>
                <w:rFonts w:ascii="宋体" w:hAnsi="宋体" w:cs="宋体" w:eastAsia="宋体" w:hint="default"/>
                <w:spacing w:val="-3"/>
                <w:sz w:val="21"/>
                <w:szCs w:val="21"/>
              </w:rPr>
              <w:t>流量现值低于其账面价值的差额，确认减值损失，</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并据此计提相应的坏账准备。</w:t>
            </w:r>
          </w:p>
        </w:tc>
      </w:tr>
    </w:tbl>
    <w:p>
      <w:pPr>
        <w:spacing w:line="240" w:lineRule="auto" w:before="13"/>
        <w:rPr>
          <w:rFonts w:ascii="宋体" w:hAnsi="宋体" w:cs="宋体" w:eastAsia="宋体" w:hint="default"/>
          <w:sz w:val="19"/>
          <w:szCs w:val="19"/>
        </w:rPr>
      </w:pPr>
    </w:p>
    <w:p>
      <w:pPr>
        <w:pStyle w:val="Heading2"/>
        <w:spacing w:line="240" w:lineRule="auto" w:before="36"/>
        <w:ind w:right="2497"/>
        <w:jc w:val="left"/>
        <w:rPr>
          <w:b w:val="0"/>
          <w:bCs w:val="0"/>
        </w:rPr>
      </w:pPr>
      <w:r>
        <w:rPr>
          <w:rFonts w:ascii="宋体" w:hAnsi="宋体" w:cs="宋体" w:eastAsia="宋体" w:hint="default"/>
        </w:rPr>
        <w:t>12.</w:t>
      </w:r>
      <w:r>
        <w:rPr>
          <w:rFonts w:ascii="宋体" w:hAnsi="宋体" w:cs="宋体" w:eastAsia="宋体" w:hint="default"/>
          <w:spacing w:val="2"/>
        </w:rPr>
        <w:t> </w:t>
      </w:r>
      <w:r>
        <w:rPr/>
        <w:t>存货</w:t>
      </w:r>
      <w:r>
        <w:rPr>
          <w:b w:val="0"/>
          <w:bCs w:val="0"/>
        </w:rPr>
      </w:r>
    </w:p>
    <w:p>
      <w:pPr>
        <w:pStyle w:val="BodyText"/>
        <w:spacing w:line="273" w:lineRule="exact" w:before="58"/>
        <w:ind w:right="2497"/>
        <w:jc w:val="left"/>
      </w:pPr>
      <w:r>
        <w:rPr/>
        <w:t>√适用</w:t>
      </w:r>
      <w:r>
        <w:rPr>
          <w:spacing w:val="-1"/>
        </w:rPr>
        <w:t> </w:t>
      </w:r>
      <w:r>
        <w:rPr/>
        <w:t>□不适用</w:t>
      </w:r>
    </w:p>
    <w:p>
      <w:pPr>
        <w:pStyle w:val="BodyText"/>
        <w:spacing w:line="355" w:lineRule="auto"/>
        <w:ind w:left="638" w:right="227"/>
        <w:jc w:val="left"/>
      </w:pPr>
      <w:r>
        <w:rPr>
          <w:rFonts w:ascii="宋体" w:hAnsi="宋体" w:cs="宋体" w:eastAsia="宋体" w:hint="default"/>
          <w:b/>
          <w:bCs/>
        </w:rPr>
        <w:t>（</w:t>
      </w:r>
      <w:r>
        <w:rPr>
          <w:rFonts w:ascii="宋体" w:hAnsi="宋体" w:cs="宋体" w:eastAsia="宋体" w:hint="default"/>
          <w:b/>
          <w:bCs/>
        </w:rPr>
        <w:t>1</w:t>
      </w:r>
      <w:r>
        <w:rPr>
          <w:rFonts w:ascii="宋体" w:hAnsi="宋体" w:cs="宋体" w:eastAsia="宋体" w:hint="default"/>
          <w:b/>
          <w:bCs/>
        </w:rPr>
        <w:t>）存货的分类</w:t>
      </w:r>
      <w:r>
        <w:rPr>
          <w:rFonts w:ascii="宋体" w:hAnsi="宋体" w:cs="宋体" w:eastAsia="宋体" w:hint="default"/>
          <w:b/>
          <w:bCs/>
          <w:spacing w:val="-104"/>
        </w:rPr>
        <w:t> </w:t>
      </w:r>
      <w:r>
        <w:rPr>
          <w:spacing w:val="-2"/>
        </w:rPr>
        <w:t>存货是指本公司在生产过程或提供劳务过程中耗用的燃料和物料等，包括船存燃料、周转材</w:t>
      </w:r>
    </w:p>
    <w:p>
      <w:pPr>
        <w:pStyle w:val="BodyText"/>
        <w:spacing w:line="240" w:lineRule="auto" w:before="34"/>
        <w:ind w:right="2497"/>
        <w:jc w:val="left"/>
      </w:pPr>
      <w:r>
        <w:rPr/>
        <w:t>料等。</w:t>
      </w:r>
    </w:p>
    <w:p>
      <w:pPr>
        <w:spacing w:line="355" w:lineRule="auto" w:before="133"/>
        <w:ind w:left="638" w:right="2497"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）发出存货的计价方法</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本公司存货发出时采用加权平均法计价。</w:t>
      </w:r>
    </w:p>
    <w:p>
      <w:pPr>
        <w:spacing w:line="355" w:lineRule="auto" w:before="32"/>
        <w:ind w:left="638" w:right="227"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）存货的盘存制度</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本公司存货采用永续盘存制，每年至少盘点一次，盘盈及盘亏金额计入当年度损益。</w:t>
      </w:r>
    </w:p>
    <w:p>
      <w:pPr>
        <w:spacing w:line="355" w:lineRule="auto" w:before="35"/>
        <w:ind w:left="638" w:right="227"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4</w:t>
      </w:r>
      <w:r>
        <w:rPr>
          <w:rFonts w:ascii="宋体" w:hAnsi="宋体" w:cs="宋体" w:eastAsia="宋体" w:hint="default"/>
          <w:b/>
          <w:bCs/>
          <w:sz w:val="21"/>
          <w:szCs w:val="21"/>
        </w:rPr>
        <w:t>）存货跌价准备的计提方法</w:t>
      </w:r>
      <w:r>
        <w:rPr>
          <w:rFonts w:ascii="宋体" w:hAnsi="宋体" w:cs="宋体" w:eastAsia="宋体" w:hint="default"/>
          <w:b/>
          <w:bCs/>
          <w:w w:val="100"/>
          <w:sz w:val="21"/>
          <w:szCs w:val="21"/>
        </w:rPr>
        <w:t> </w:t>
      </w:r>
      <w:r>
        <w:rPr>
          <w:rFonts w:ascii="宋体" w:hAnsi="宋体" w:cs="宋体" w:eastAsia="宋体" w:hint="default"/>
          <w:spacing w:val="-2"/>
          <w:sz w:val="21"/>
          <w:szCs w:val="21"/>
        </w:rPr>
        <w:t>资产负债表日按成本与可变现净值孰低计量，存货成本高于其可变现净值的，计提存货跌价</w:t>
      </w:r>
    </w:p>
    <w:p>
      <w:pPr>
        <w:pStyle w:val="BodyText"/>
        <w:spacing w:line="355" w:lineRule="auto" w:before="32"/>
        <w:ind w:left="638" w:right="227" w:hanging="420"/>
        <w:jc w:val="left"/>
      </w:pPr>
      <w:r>
        <w:rPr/>
        <w:t>准备，计入当期损益。</w:t>
      </w:r>
      <w:r>
        <w:rPr>
          <w:w w:val="100"/>
        </w:rPr>
        <w:t> </w:t>
      </w:r>
      <w:r>
        <w:rPr>
          <w:spacing w:val="-2"/>
        </w:rPr>
        <w:t>在确定存货的可变现净值时，以取得的可靠证据为基础，并且考虑持有存货的目的、资产负</w:t>
      </w:r>
    </w:p>
    <w:p>
      <w:pPr>
        <w:pStyle w:val="BodyText"/>
        <w:spacing w:line="240" w:lineRule="auto" w:before="32"/>
        <w:ind w:right="2497"/>
        <w:jc w:val="left"/>
      </w:pPr>
      <w:r>
        <w:rPr/>
        <w:t>债表日后事项的影响等因素。</w:t>
      </w:r>
    </w:p>
    <w:p>
      <w:pPr>
        <w:pStyle w:val="BodyText"/>
        <w:spacing w:line="355" w:lineRule="auto" w:before="135"/>
        <w:ind w:right="237" w:firstLine="419"/>
        <w:jc w:val="both"/>
      </w:pPr>
      <w:r>
        <w:rPr>
          <w:spacing w:val="-2"/>
        </w:rPr>
        <w:t>①将在生产过程或提供劳务过程中耗用的燃料，以航次收入减去至航次结束时估计将要发生</w:t>
      </w:r>
      <w:r>
        <w:rPr>
          <w:w w:val="100"/>
        </w:rPr>
        <w:t> </w:t>
      </w:r>
      <w:r>
        <w:rPr>
          <w:spacing w:val="-2"/>
        </w:rPr>
        <w:t>的成本、估计的销售费用和相关税费后的金额确定其可变现净值。其他存货的可变现净值一般以</w:t>
      </w:r>
      <w:r>
        <w:rPr>
          <w:spacing w:val="-25"/>
        </w:rPr>
        <w:t> </w:t>
      </w:r>
      <w:r>
        <w:rPr>
          <w:spacing w:val="-25"/>
        </w:rPr>
      </w:r>
      <w:r>
        <w:rPr/>
        <w:t>公开市场的销售价格为基础计算。</w:t>
      </w:r>
    </w:p>
    <w:p>
      <w:pPr>
        <w:pStyle w:val="BodyText"/>
        <w:spacing w:line="357" w:lineRule="auto" w:before="33"/>
        <w:ind w:right="237" w:firstLine="419"/>
        <w:jc w:val="both"/>
      </w:pPr>
      <w:r>
        <w:rPr>
          <w:spacing w:val="-2"/>
        </w:rPr>
        <w:t>②存货跌价准备一般按单个存货项目计提；对于数量繁多、单价较低的存货，按存货类别计</w:t>
      </w:r>
      <w:r>
        <w:rPr>
          <w:w w:val="100"/>
        </w:rPr>
        <w:t> </w:t>
      </w:r>
      <w:r>
        <w:rPr/>
        <w:t>提。</w:t>
      </w:r>
    </w:p>
    <w:p>
      <w:pPr>
        <w:pStyle w:val="BodyText"/>
        <w:spacing w:line="355" w:lineRule="auto" w:before="30"/>
        <w:ind w:right="237" w:firstLine="419"/>
        <w:jc w:val="both"/>
      </w:pPr>
      <w:r>
        <w:rPr>
          <w:spacing w:val="-2"/>
        </w:rPr>
        <w:t>③资产负债表日如果以前减记存货价值的影响因素已经消失，则减记的金额予以恢复，并在</w:t>
      </w:r>
      <w:r>
        <w:rPr>
          <w:w w:val="100"/>
        </w:rPr>
        <w:t> </w:t>
      </w:r>
      <w:r>
        <w:rPr/>
        <w:t>原已计提的存货跌价准备的金额内转回，转回的金额计入当期损益。</w:t>
      </w:r>
    </w:p>
    <w:p>
      <w:pPr>
        <w:spacing w:line="355" w:lineRule="auto" w:before="32"/>
        <w:ind w:left="638" w:right="2497"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5</w:t>
      </w:r>
      <w:r>
        <w:rPr>
          <w:rFonts w:ascii="宋体" w:hAnsi="宋体" w:cs="宋体" w:eastAsia="宋体" w:hint="default"/>
          <w:b/>
          <w:bCs/>
          <w:sz w:val="21"/>
          <w:szCs w:val="21"/>
        </w:rPr>
        <w:t>）周转材料的摊销方法</w:t>
      </w:r>
      <w:r>
        <w:rPr>
          <w:rFonts w:ascii="宋体" w:hAnsi="宋体" w:cs="宋体" w:eastAsia="宋体" w:hint="default"/>
          <w:b/>
          <w:bCs/>
          <w:w w:val="100"/>
          <w:sz w:val="21"/>
          <w:szCs w:val="21"/>
        </w:rPr>
        <w:t> </w:t>
      </w:r>
      <w:r>
        <w:rPr>
          <w:rFonts w:ascii="宋体" w:hAnsi="宋体" w:cs="宋体" w:eastAsia="宋体" w:hint="default"/>
          <w:spacing w:val="-2"/>
          <w:sz w:val="21"/>
          <w:szCs w:val="21"/>
        </w:rPr>
        <w:t>周转材料摊销方法：在领用时采用一次转销法。</w:t>
      </w:r>
    </w:p>
    <w:p>
      <w:pPr>
        <w:spacing w:line="240" w:lineRule="auto" w:before="13"/>
        <w:rPr>
          <w:rFonts w:ascii="宋体" w:hAnsi="宋体" w:cs="宋体" w:eastAsia="宋体" w:hint="default"/>
          <w:sz w:val="27"/>
          <w:szCs w:val="27"/>
        </w:rPr>
      </w:pPr>
    </w:p>
    <w:p>
      <w:pPr>
        <w:pStyle w:val="Heading2"/>
        <w:spacing w:line="240" w:lineRule="auto"/>
        <w:ind w:right="2497"/>
        <w:jc w:val="left"/>
        <w:rPr>
          <w:b w:val="0"/>
          <w:bCs w:val="0"/>
        </w:rPr>
      </w:pPr>
      <w:r>
        <w:rPr>
          <w:rFonts w:ascii="宋体" w:hAnsi="宋体" w:cs="宋体" w:eastAsia="宋体" w:hint="default"/>
        </w:rPr>
        <w:t>13.</w:t>
      </w:r>
      <w:r>
        <w:rPr>
          <w:rFonts w:ascii="宋体" w:hAnsi="宋体" w:cs="宋体" w:eastAsia="宋体" w:hint="default"/>
          <w:spacing w:val="3"/>
        </w:rPr>
        <w:t> </w:t>
      </w:r>
      <w:r>
        <w:rPr/>
        <w:t>持有待售资产</w:t>
      </w:r>
      <w:r>
        <w:rPr>
          <w:b w:val="0"/>
          <w:bCs w:val="0"/>
        </w:rPr>
      </w:r>
    </w:p>
    <w:p>
      <w:pPr>
        <w:pStyle w:val="BodyText"/>
        <w:spacing w:line="273" w:lineRule="exact" w:before="59"/>
        <w:ind w:right="2497"/>
        <w:jc w:val="left"/>
      </w:pPr>
      <w:r>
        <w:rPr/>
        <w:t>√适用</w:t>
      </w:r>
      <w:r>
        <w:rPr>
          <w:spacing w:val="-1"/>
        </w:rPr>
        <w:t> </w:t>
      </w:r>
      <w:r>
        <w:rPr/>
        <w:t>□不适用</w:t>
      </w:r>
    </w:p>
    <w:p>
      <w:pPr>
        <w:pStyle w:val="BodyText"/>
        <w:spacing w:line="273" w:lineRule="exact"/>
        <w:ind w:left="638" w:right="2497"/>
        <w:jc w:val="left"/>
      </w:pPr>
      <w:r>
        <w:rPr/>
        <w:t>（</w:t>
      </w:r>
      <w:r>
        <w:rPr>
          <w:rFonts w:ascii="宋体" w:hAnsi="宋体" w:cs="宋体" w:eastAsia="宋体" w:hint="default"/>
        </w:rPr>
        <w:t>1</w:t>
      </w:r>
      <w:r>
        <w:rPr/>
        <w:t>）持有待售的非流动资产或处置组的分类</w:t>
      </w:r>
    </w:p>
    <w:p>
      <w:pPr>
        <w:spacing w:after="0" w:line="273" w:lineRule="exact"/>
        <w:jc w:val="left"/>
        <w:sectPr>
          <w:footerReference w:type="default" r:id="rId37"/>
          <w:pgSz w:w="11910" w:h="16840"/>
          <w:pgMar w:footer="1195" w:header="882" w:top="1120" w:bottom="1380" w:left="1580" w:right="1040"/>
        </w:sectPr>
      </w:pPr>
    </w:p>
    <w:p>
      <w:pPr>
        <w:spacing w:line="240" w:lineRule="auto" w:before="1"/>
        <w:rPr>
          <w:rFonts w:ascii="宋体" w:hAnsi="宋体" w:cs="宋体" w:eastAsia="宋体" w:hint="default"/>
          <w:sz w:val="25"/>
          <w:szCs w:val="25"/>
        </w:rPr>
      </w:pPr>
    </w:p>
    <w:p>
      <w:pPr>
        <w:pStyle w:val="BodyText"/>
        <w:spacing w:line="240" w:lineRule="auto" w:before="36"/>
        <w:ind w:left="558" w:right="125"/>
        <w:jc w:val="left"/>
      </w:pPr>
      <w:r>
        <w:rPr/>
        <w:t>本公司将同时满足下列条件的非流动资产或处置组划分为持有待售类别：</w:t>
      </w:r>
    </w:p>
    <w:p>
      <w:pPr>
        <w:pStyle w:val="BodyText"/>
        <w:spacing w:line="240" w:lineRule="auto" w:before="135"/>
        <w:ind w:left="558" w:right="125"/>
        <w:jc w:val="left"/>
      </w:pPr>
      <w:r>
        <w:rPr/>
        <w:t>①根据类似交易中出售此类资产或处置组的惯例，在当前状况下即可立即出售；</w:t>
      </w:r>
    </w:p>
    <w:p>
      <w:pPr>
        <w:pStyle w:val="BodyText"/>
        <w:spacing w:line="355" w:lineRule="auto" w:before="133"/>
        <w:ind w:left="138" w:right="137" w:firstLine="419"/>
        <w:jc w:val="both"/>
      </w:pPr>
      <w:r>
        <w:rPr>
          <w:spacing w:val="-2"/>
        </w:rPr>
        <w:t>②出售极可能发生，即本公司已经就一项出售计划作出决议且获得确定的购买承诺，预计出</w:t>
      </w:r>
      <w:r>
        <w:rPr>
          <w:w w:val="100"/>
        </w:rPr>
        <w:t> </w:t>
      </w:r>
      <w:r>
        <w:rPr>
          <w:spacing w:val="-2"/>
        </w:rPr>
        <w:t>售将在一年内完成。有关规定要求本公司相关权力机构或者监管部门批准后方可出售的，已经获</w:t>
      </w:r>
      <w:r>
        <w:rPr>
          <w:spacing w:val="-25"/>
        </w:rPr>
        <w:t> </w:t>
      </w:r>
      <w:r>
        <w:rPr>
          <w:spacing w:val="-25"/>
        </w:rPr>
      </w:r>
      <w:r>
        <w:rPr/>
        <w:t>得批准。</w:t>
      </w:r>
    </w:p>
    <w:p>
      <w:pPr>
        <w:pStyle w:val="BodyText"/>
        <w:spacing w:line="357" w:lineRule="auto" w:before="32"/>
        <w:ind w:left="138" w:right="137" w:firstLine="419"/>
        <w:jc w:val="both"/>
      </w:pPr>
      <w:r>
        <w:rPr>
          <w:spacing w:val="-2"/>
        </w:rPr>
        <w:t>本公司专为转售而取得的非流动资产或处置组，在取得日满足“预计出售将在一年内完成”</w:t>
      </w:r>
      <w:r>
        <w:rPr>
          <w:w w:val="100"/>
        </w:rPr>
        <w:t> </w:t>
      </w:r>
      <w:r>
        <w:rPr/>
        <w:t>的规定条件，且短期（通常为</w:t>
      </w:r>
      <w:r>
        <w:rPr>
          <w:spacing w:val="-54"/>
        </w:rPr>
        <w:t> </w:t>
      </w:r>
      <w:r>
        <w:rPr>
          <w:rFonts w:ascii="宋体" w:hAnsi="宋体" w:cs="宋体" w:eastAsia="宋体" w:hint="default"/>
        </w:rPr>
        <w:t>3</w:t>
      </w:r>
      <w:r>
        <w:rPr>
          <w:rFonts w:ascii="宋体" w:hAnsi="宋体" w:cs="宋体" w:eastAsia="宋体" w:hint="default"/>
          <w:spacing w:val="-56"/>
        </w:rPr>
        <w:t> </w:t>
      </w:r>
      <w:r>
        <w:rPr/>
        <w:t>个月）内很可能满足持有待售类别的其他划分条件的，本公司在</w:t>
      </w:r>
      <w:r>
        <w:rPr>
          <w:w w:val="100"/>
        </w:rPr>
        <w:t> </w:t>
      </w:r>
      <w:r>
        <w:rPr/>
        <w:t>取得日将其划分为持有待售类别。</w:t>
      </w:r>
    </w:p>
    <w:p>
      <w:pPr>
        <w:pStyle w:val="BodyText"/>
        <w:spacing w:line="357" w:lineRule="auto" w:before="31"/>
        <w:ind w:left="138" w:right="137" w:firstLine="419"/>
        <w:jc w:val="both"/>
      </w:pPr>
      <w:r>
        <w:rPr>
          <w:spacing w:val="-2"/>
        </w:rPr>
        <w:t>本公司因出售对子公司的投资等原因导致其丧失对子公司控制权的，无论出售后本公司是否</w:t>
      </w:r>
      <w:r>
        <w:rPr>
          <w:w w:val="100"/>
        </w:rPr>
        <w:t> </w:t>
      </w:r>
      <w:r>
        <w:rPr>
          <w:spacing w:val="-2"/>
        </w:rPr>
        <w:t>保留部分权益性投资，在拟出售的对子公司投资满足持有待售类别划分条件时，在母公司个别财</w:t>
      </w:r>
      <w:r>
        <w:rPr>
          <w:spacing w:val="-25"/>
        </w:rPr>
        <w:t> </w:t>
      </w:r>
      <w:r>
        <w:rPr>
          <w:spacing w:val="-25"/>
        </w:rPr>
      </w:r>
      <w:r>
        <w:rPr>
          <w:spacing w:val="-2"/>
        </w:rPr>
        <w:t>务报表中将对子公司投资整体划分为持有待售类别，在合并财务报表中将子公司所有资产和负债</w:t>
      </w:r>
      <w:r>
        <w:rPr>
          <w:spacing w:val="-25"/>
        </w:rPr>
        <w:t> </w:t>
      </w:r>
      <w:r>
        <w:rPr>
          <w:spacing w:val="-25"/>
        </w:rPr>
      </w:r>
      <w:r>
        <w:rPr/>
        <w:t>划分为持有待售类别。</w:t>
      </w:r>
    </w:p>
    <w:p>
      <w:pPr>
        <w:pStyle w:val="BodyText"/>
        <w:spacing w:line="355" w:lineRule="auto" w:before="30"/>
        <w:ind w:left="558" w:right="125"/>
        <w:jc w:val="left"/>
      </w:pPr>
      <w:r>
        <w:rPr/>
        <w:t>（</w:t>
      </w:r>
      <w:r>
        <w:rPr>
          <w:rFonts w:ascii="宋体" w:hAnsi="宋体" w:cs="宋体" w:eastAsia="宋体" w:hint="default"/>
        </w:rPr>
        <w:t>2</w:t>
      </w:r>
      <w:r>
        <w:rPr/>
        <w:t>）持有待售的非流动资产或处置组的计量</w:t>
      </w:r>
      <w:r>
        <w:rPr>
          <w:w w:val="100"/>
        </w:rPr>
        <w:t> </w:t>
      </w:r>
      <w:r>
        <w:rPr>
          <w:spacing w:val="-2"/>
        </w:rPr>
        <w:t>采用公允价值模式进行后续计量的投资性房地产、采用公允价值减去出售费用后的净额计量</w:t>
      </w:r>
    </w:p>
    <w:p>
      <w:pPr>
        <w:pStyle w:val="BodyText"/>
        <w:spacing w:line="357" w:lineRule="auto" w:before="32"/>
        <w:ind w:left="0" w:right="137"/>
        <w:jc w:val="right"/>
      </w:pPr>
      <w:r>
        <w:rPr>
          <w:spacing w:val="-2"/>
        </w:rPr>
        <w:t>的生物资产、职工薪酬形成的资产、递延所得税资产、由金融工具相关会计准则规范的金融资产</w:t>
      </w:r>
      <w:r>
        <w:rPr>
          <w:spacing w:val="-43"/>
        </w:rPr>
        <w:t> </w:t>
      </w:r>
      <w:r>
        <w:rPr>
          <w:spacing w:val="-43"/>
        </w:rPr>
      </w:r>
      <w:r>
        <w:rPr>
          <w:spacing w:val="-2"/>
        </w:rPr>
        <w:t>及由保险合同相关会计准则规范的保险合同所产生的权利的计量分别适用于其他相关会计准则。</w:t>
      </w:r>
      <w:r>
        <w:rPr>
          <w:spacing w:val="-43"/>
        </w:rPr>
        <w:t> </w:t>
      </w:r>
      <w:r>
        <w:rPr>
          <w:spacing w:val="-43"/>
        </w:rPr>
      </w:r>
      <w:r>
        <w:rPr>
          <w:spacing w:val="-2"/>
        </w:rPr>
        <w:t>初始计量或在资产负债表日重新计量持有待售的非流动资产或处置组时，其账面价值高于公</w:t>
      </w:r>
      <w:r>
        <w:rPr>
          <w:w w:val="100"/>
        </w:rPr>
        <w:t> </w:t>
      </w:r>
      <w:r>
        <w:rPr>
          <w:spacing w:val="-2"/>
        </w:rPr>
        <w:t>允价值减去出售费用后的净额的，将账面价值减记至公允价值减去出售费用后的净额，减记的金</w:t>
      </w:r>
    </w:p>
    <w:p>
      <w:pPr>
        <w:pStyle w:val="BodyText"/>
        <w:spacing w:line="355" w:lineRule="auto" w:before="30"/>
        <w:ind w:left="558" w:right="125" w:hanging="420"/>
        <w:jc w:val="left"/>
      </w:pPr>
      <w:r>
        <w:rPr/>
        <w:t>额确认为资产减值损失，计入当期损益，同时计提持有待售资产减值准备。</w:t>
      </w:r>
      <w:r>
        <w:rPr>
          <w:w w:val="100"/>
        </w:rPr>
        <w:t> </w:t>
      </w:r>
      <w:r>
        <w:rPr>
          <w:spacing w:val="-2"/>
        </w:rPr>
        <w:t>非流动资产或处置组因不再满足持有待售类别的划分条件而不再继续划分为持有待售类别或</w:t>
      </w:r>
    </w:p>
    <w:p>
      <w:pPr>
        <w:pStyle w:val="BodyText"/>
        <w:spacing w:line="240" w:lineRule="auto" w:before="34"/>
        <w:ind w:left="138" w:right="125"/>
        <w:jc w:val="left"/>
      </w:pPr>
      <w:r>
        <w:rPr/>
        <w:t>非流动资产从持有待售的处置组中移除时，按照以下两者孰低计量：</w:t>
      </w:r>
    </w:p>
    <w:p>
      <w:pPr>
        <w:pStyle w:val="BodyText"/>
        <w:spacing w:line="355" w:lineRule="auto" w:before="133"/>
        <w:ind w:left="138" w:right="137" w:firstLine="419"/>
        <w:jc w:val="both"/>
      </w:pPr>
      <w:r>
        <w:rPr>
          <w:spacing w:val="-2"/>
        </w:rPr>
        <w:t>①划分为持有待售类别前的账面价值，按照假定不划分为持有待售类别情况下本应确认的折</w:t>
      </w:r>
      <w:r>
        <w:rPr>
          <w:w w:val="100"/>
        </w:rPr>
        <w:t> </w:t>
      </w:r>
      <w:r>
        <w:rPr/>
        <w:t>旧、摊销或减值等进行调整后的金额；</w:t>
      </w:r>
    </w:p>
    <w:p>
      <w:pPr>
        <w:pStyle w:val="BodyText"/>
        <w:spacing w:line="240" w:lineRule="auto" w:before="32"/>
        <w:ind w:left="558" w:right="125"/>
        <w:jc w:val="left"/>
      </w:pPr>
      <w:r>
        <w:rPr/>
        <w:t>②可收回金额。</w:t>
      </w:r>
    </w:p>
    <w:p>
      <w:pPr>
        <w:pStyle w:val="BodyText"/>
        <w:spacing w:line="355" w:lineRule="auto" w:before="136"/>
        <w:ind w:left="558" w:right="125"/>
        <w:jc w:val="left"/>
      </w:pPr>
      <w:r>
        <w:rPr/>
        <w:t>（</w:t>
      </w:r>
      <w:r>
        <w:rPr>
          <w:rFonts w:ascii="宋体" w:hAnsi="宋体" w:cs="宋体" w:eastAsia="宋体" w:hint="default"/>
        </w:rPr>
        <w:t>3</w:t>
      </w:r>
      <w:r>
        <w:rPr/>
        <w:t>）列报</w:t>
      </w:r>
      <w:r>
        <w:rPr>
          <w:spacing w:val="-103"/>
        </w:rPr>
        <w:t> </w:t>
      </w:r>
      <w:r>
        <w:rPr>
          <w:spacing w:val="-103"/>
        </w:rPr>
      </w:r>
      <w:r>
        <w:rPr>
          <w:spacing w:val="-2"/>
        </w:rPr>
        <w:t>本公司在资产负债表中区别于其他资产单独列示持有待售的非流动资产或持有待售的处置组</w:t>
      </w:r>
    </w:p>
    <w:p>
      <w:pPr>
        <w:pStyle w:val="BodyText"/>
        <w:spacing w:line="355" w:lineRule="auto" w:before="32"/>
        <w:ind w:left="138" w:right="137"/>
        <w:jc w:val="both"/>
      </w:pPr>
      <w:r>
        <w:rPr>
          <w:spacing w:val="-2"/>
        </w:rPr>
        <w:t>中的资产，区别于其他负债单独列示持有待售的处置组中的负债。持有待售的非流动资产或持有</w:t>
      </w:r>
      <w:r>
        <w:rPr>
          <w:spacing w:val="-25"/>
        </w:rPr>
        <w:t> </w:t>
      </w:r>
      <w:r>
        <w:rPr>
          <w:spacing w:val="-25"/>
        </w:rPr>
      </w:r>
      <w:r>
        <w:rPr>
          <w:spacing w:val="-2"/>
        </w:rPr>
        <w:t>待售的处置组中的资产与持有待售的处置组中的负债不予相互抵销，分别作为流动资产和流动负</w:t>
      </w:r>
      <w:r>
        <w:rPr>
          <w:spacing w:val="-25"/>
        </w:rPr>
        <w:t> </w:t>
      </w:r>
      <w:r>
        <w:rPr>
          <w:spacing w:val="-25"/>
        </w:rPr>
      </w:r>
      <w:r>
        <w:rPr/>
        <w:t>债列示。</w:t>
      </w:r>
    </w:p>
    <w:p>
      <w:pPr>
        <w:spacing w:line="240" w:lineRule="auto" w:before="13"/>
        <w:rPr>
          <w:rFonts w:ascii="宋体" w:hAnsi="宋体" w:cs="宋体" w:eastAsia="宋体" w:hint="default"/>
          <w:sz w:val="27"/>
          <w:szCs w:val="27"/>
        </w:rPr>
      </w:pPr>
    </w:p>
    <w:p>
      <w:pPr>
        <w:pStyle w:val="Heading2"/>
        <w:spacing w:line="240" w:lineRule="auto"/>
        <w:ind w:left="138" w:right="125"/>
        <w:jc w:val="left"/>
        <w:rPr>
          <w:b w:val="0"/>
          <w:bCs w:val="0"/>
        </w:rPr>
      </w:pPr>
      <w:r>
        <w:rPr>
          <w:rFonts w:ascii="宋体" w:hAnsi="宋体" w:cs="宋体" w:eastAsia="宋体" w:hint="default"/>
        </w:rPr>
        <w:t>14.</w:t>
      </w:r>
      <w:r>
        <w:rPr>
          <w:rFonts w:ascii="宋体" w:hAnsi="宋体" w:cs="宋体" w:eastAsia="宋体" w:hint="default"/>
          <w:spacing w:val="3"/>
        </w:rPr>
        <w:t> </w:t>
      </w:r>
      <w:r>
        <w:rPr/>
        <w:t>长期股权投资</w:t>
      </w:r>
      <w:r>
        <w:rPr>
          <w:b w:val="0"/>
          <w:bCs w:val="0"/>
        </w:rPr>
      </w:r>
    </w:p>
    <w:p>
      <w:pPr>
        <w:pStyle w:val="BodyText"/>
        <w:spacing w:line="272" w:lineRule="exact" w:before="86"/>
        <w:ind w:left="558" w:right="125" w:hanging="420"/>
        <w:jc w:val="left"/>
      </w:pPr>
      <w:r>
        <w:rPr/>
        <w:t>√适用</w:t>
      </w:r>
      <w:r>
        <w:rPr>
          <w:spacing w:val="-2"/>
        </w:rPr>
        <w:t> </w:t>
      </w:r>
      <w:r>
        <w:rPr/>
        <w:t>□不适用</w:t>
      </w:r>
      <w:r>
        <w:rPr>
          <w:w w:val="100"/>
        </w:rPr>
        <w:t> </w:t>
      </w:r>
      <w:r>
        <w:rPr>
          <w:spacing w:val="-2"/>
        </w:rPr>
        <w:t>本公司长期股权投资包括对被投资单位实施控制、重大影响的权益性投资，以及对合营企业</w:t>
      </w:r>
    </w:p>
    <w:p>
      <w:pPr>
        <w:pStyle w:val="BodyText"/>
        <w:spacing w:line="240" w:lineRule="auto" w:before="108"/>
        <w:ind w:left="138" w:right="125"/>
        <w:jc w:val="left"/>
      </w:pPr>
      <w:r>
        <w:rPr/>
        <w:t>的权益性投资。本公司能够对被投资单位施加重大影响的，为本公司的联营企业。</w:t>
      </w:r>
    </w:p>
    <w:p>
      <w:pPr>
        <w:spacing w:after="0" w:line="240" w:lineRule="auto"/>
        <w:jc w:val="left"/>
        <w:sectPr>
          <w:footerReference w:type="default" r:id="rId38"/>
          <w:pgSz w:w="11910" w:h="16840"/>
          <w:pgMar w:footer="1195" w:header="882" w:top="1120" w:bottom="1380" w:left="1660" w:right="1140"/>
          <w:pgNumType w:start="91"/>
        </w:sectPr>
      </w:pPr>
    </w:p>
    <w:p>
      <w:pPr>
        <w:spacing w:line="240" w:lineRule="auto" w:before="1"/>
        <w:rPr>
          <w:rFonts w:ascii="宋体" w:hAnsi="宋体" w:cs="宋体" w:eastAsia="宋体" w:hint="default"/>
          <w:sz w:val="25"/>
          <w:szCs w:val="25"/>
        </w:rPr>
      </w:pPr>
    </w:p>
    <w:p>
      <w:pPr>
        <w:spacing w:line="357" w:lineRule="auto" w:before="36"/>
        <w:ind w:left="558" w:right="227"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）确定对被投资单位具有共同控制、重大影响的依据</w:t>
      </w:r>
      <w:r>
        <w:rPr>
          <w:rFonts w:ascii="宋体" w:hAnsi="宋体" w:cs="宋体" w:eastAsia="宋体" w:hint="default"/>
          <w:b/>
          <w:bCs/>
          <w:w w:val="100"/>
          <w:sz w:val="21"/>
          <w:szCs w:val="21"/>
        </w:rPr>
        <w:t> </w:t>
      </w:r>
      <w:r>
        <w:rPr>
          <w:rFonts w:ascii="宋体" w:hAnsi="宋体" w:cs="宋体" w:eastAsia="宋体" w:hint="default"/>
          <w:spacing w:val="-2"/>
          <w:sz w:val="21"/>
          <w:szCs w:val="21"/>
        </w:rPr>
        <w:t>共同控制，是指按照相关约定对某项安排所共有的控制，并且该安排的相关活动必须经过分</w:t>
      </w:r>
    </w:p>
    <w:p>
      <w:pPr>
        <w:pStyle w:val="BodyText"/>
        <w:spacing w:line="357" w:lineRule="auto" w:before="30"/>
        <w:ind w:left="0" w:right="310"/>
        <w:jc w:val="right"/>
      </w:pPr>
      <w:r>
        <w:rPr>
          <w:spacing w:val="-2"/>
        </w:rPr>
        <w:t>享控制权的参与方一致同意后才能决策。在判断是否存在共同控制时，首先判断所有参与方或参</w:t>
      </w:r>
      <w:r>
        <w:rPr>
          <w:spacing w:val="-50"/>
        </w:rPr>
        <w:t> </w:t>
      </w:r>
      <w:r>
        <w:rPr>
          <w:spacing w:val="-50"/>
        </w:rPr>
      </w:r>
      <w:r>
        <w:rPr>
          <w:spacing w:val="-2"/>
        </w:rPr>
        <w:t>与方组合是否集体控制该安排，如果所有参与方或一组参与方必须一致行动才能决定某项安排的</w:t>
      </w:r>
      <w:r>
        <w:rPr>
          <w:spacing w:val="-50"/>
        </w:rPr>
        <w:t> </w:t>
      </w:r>
      <w:r>
        <w:rPr>
          <w:spacing w:val="-50"/>
        </w:rPr>
      </w:r>
      <w:r>
        <w:rPr>
          <w:spacing w:val="-2"/>
        </w:rPr>
        <w:t>相关活动，则认为所有参与方或一组参与方集体控制该安排。其次再判断该安排相关活动的决策</w:t>
      </w:r>
      <w:r>
        <w:rPr>
          <w:spacing w:val="-50"/>
        </w:rPr>
        <w:t> </w:t>
      </w:r>
      <w:r>
        <w:rPr>
          <w:spacing w:val="-50"/>
        </w:rPr>
      </w:r>
      <w:r>
        <w:rPr>
          <w:spacing w:val="-2"/>
        </w:rPr>
        <w:t>是否必须经过这些集体控制该安排的参与方一致同意。如果存在两个或两个以上的参与方组合能</w:t>
      </w:r>
      <w:r>
        <w:rPr>
          <w:spacing w:val="-50"/>
        </w:rPr>
        <w:t> </w:t>
      </w:r>
      <w:r>
        <w:rPr>
          <w:spacing w:val="-50"/>
        </w:rPr>
      </w:r>
      <w:r>
        <w:rPr>
          <w:spacing w:val="-7"/>
        </w:rPr>
        <w:t>够集体控制某项安排的，不构成共同控制。判断是否存在共同控制时，不考虑享有的保护性权利。</w:t>
      </w:r>
      <w:r>
        <w:rPr>
          <w:spacing w:val="-35"/>
        </w:rPr>
        <w:t> </w:t>
      </w:r>
      <w:r>
        <w:rPr>
          <w:spacing w:val="-35"/>
        </w:rPr>
      </w:r>
      <w:r>
        <w:rPr>
          <w:spacing w:val="-2"/>
        </w:rPr>
        <w:t>重大影响，是指投资方对被投资单位的财务和经营政策有参与决策的权力，但并不能够控制</w:t>
      </w:r>
      <w:r>
        <w:rPr>
          <w:w w:val="100"/>
        </w:rPr>
        <w:t> </w:t>
      </w:r>
      <w:r>
        <w:rPr>
          <w:spacing w:val="-2"/>
        </w:rPr>
        <w:t>或者与其他方一起共同控制这些政策的制定。在确定能否对被投资单位施加重大影响时，考虑投</w:t>
      </w:r>
      <w:r>
        <w:rPr>
          <w:spacing w:val="-50"/>
        </w:rPr>
        <w:t> </w:t>
      </w:r>
      <w:r>
        <w:rPr>
          <w:spacing w:val="-50"/>
        </w:rPr>
      </w:r>
      <w:r>
        <w:rPr>
          <w:spacing w:val="-2"/>
        </w:rPr>
        <w:t>资方直接或间接持有被投资单位的表决权股份以及投资方及其他方持有的当期可执行潜在表决权</w:t>
      </w:r>
      <w:r>
        <w:rPr>
          <w:spacing w:val="-50"/>
        </w:rPr>
        <w:t> </w:t>
      </w:r>
      <w:r>
        <w:rPr>
          <w:spacing w:val="-50"/>
        </w:rPr>
      </w:r>
      <w:r>
        <w:rPr>
          <w:spacing w:val="-2"/>
        </w:rPr>
        <w:t>在假定转换为对被投资方单位的股权后产生的影响，包括被投资单位发行的当期可转换的认股权</w:t>
      </w:r>
    </w:p>
    <w:p>
      <w:pPr>
        <w:pStyle w:val="BodyText"/>
        <w:spacing w:line="240" w:lineRule="auto" w:before="30"/>
        <w:ind w:left="138" w:right="2497"/>
        <w:jc w:val="left"/>
      </w:pPr>
      <w:r>
        <w:rPr/>
        <w:t>证、股份期权及可转换公司债券等的影响。</w:t>
      </w:r>
    </w:p>
    <w:p>
      <w:pPr>
        <w:pStyle w:val="BodyText"/>
        <w:spacing w:line="355" w:lineRule="auto" w:before="133"/>
        <w:ind w:left="138" w:right="307" w:firstLine="419"/>
        <w:jc w:val="both"/>
      </w:pPr>
      <w:r>
        <w:rPr/>
        <w:t>当本公司直接或通过子公司间接拥有被投资单位</w:t>
      </w:r>
      <w:r>
        <w:rPr>
          <w:spacing w:val="-48"/>
        </w:rPr>
        <w:t> </w:t>
      </w:r>
      <w:r>
        <w:rPr>
          <w:rFonts w:ascii="宋体" w:hAnsi="宋体" w:cs="宋体" w:eastAsia="宋体" w:hint="default"/>
          <w:spacing w:val="-6"/>
        </w:rPr>
        <w:t>20%</w:t>
      </w:r>
      <w:r>
        <w:rPr>
          <w:spacing w:val="-6"/>
        </w:rPr>
        <w:t>（含</w:t>
      </w:r>
      <w:r>
        <w:rPr>
          <w:spacing w:val="-49"/>
        </w:rPr>
        <w:t> </w:t>
      </w:r>
      <w:r>
        <w:rPr>
          <w:rFonts w:ascii="宋体" w:hAnsi="宋体" w:cs="宋体" w:eastAsia="宋体" w:hint="default"/>
          <w:spacing w:val="-4"/>
        </w:rPr>
        <w:t>20%</w:t>
      </w:r>
      <w:r>
        <w:rPr>
          <w:spacing w:val="-4"/>
        </w:rPr>
        <w:t>）以上但低于</w:t>
      </w:r>
      <w:r>
        <w:rPr>
          <w:spacing w:val="-48"/>
        </w:rPr>
        <w:t> </w:t>
      </w:r>
      <w:r>
        <w:rPr>
          <w:rFonts w:ascii="宋体" w:hAnsi="宋体" w:cs="宋体" w:eastAsia="宋体" w:hint="default"/>
        </w:rPr>
        <w:t>50%</w:t>
      </w:r>
      <w:r>
        <w:rPr/>
        <w:t>的表决权股份</w:t>
      </w:r>
      <w:r>
        <w:rPr>
          <w:w w:val="100"/>
        </w:rPr>
        <w:t> </w:t>
      </w:r>
      <w:r>
        <w:rPr>
          <w:spacing w:val="-2"/>
        </w:rPr>
        <w:t>时，一般认为对被投资单位具有重大影响，除非有明确证据表明该种情况下不能参与被投资单位</w:t>
      </w:r>
      <w:r>
        <w:rPr>
          <w:spacing w:val="-25"/>
        </w:rPr>
        <w:t> </w:t>
      </w:r>
      <w:r>
        <w:rPr>
          <w:spacing w:val="-25"/>
        </w:rPr>
      </w:r>
      <w:r>
        <w:rPr/>
        <w:t>的生产经营决策，不形成重大影响。</w:t>
      </w:r>
    </w:p>
    <w:p>
      <w:pPr>
        <w:pStyle w:val="Heading2"/>
        <w:spacing w:line="240" w:lineRule="auto" w:before="34"/>
        <w:ind w:left="560" w:right="2497"/>
        <w:jc w:val="left"/>
        <w:rPr>
          <w:b w:val="0"/>
          <w:bCs w:val="0"/>
        </w:rPr>
      </w:pPr>
      <w:r>
        <w:rPr/>
        <w:t>（</w:t>
      </w:r>
      <w:r>
        <w:rPr>
          <w:rFonts w:ascii="宋体" w:hAnsi="宋体" w:cs="宋体" w:eastAsia="宋体" w:hint="default"/>
        </w:rPr>
        <w:t>2</w:t>
      </w:r>
      <w:r>
        <w:rPr/>
        <w:t>）初始投资成本确定</w:t>
      </w:r>
      <w:r>
        <w:rPr>
          <w:b w:val="0"/>
          <w:bCs w:val="0"/>
        </w:rPr>
      </w:r>
    </w:p>
    <w:p>
      <w:pPr>
        <w:pStyle w:val="BodyText"/>
        <w:spacing w:line="240" w:lineRule="auto" w:before="133"/>
        <w:ind w:left="558" w:right="2497"/>
        <w:jc w:val="left"/>
      </w:pPr>
      <w:r>
        <w:rPr/>
        <w:t>①企业合并形成的长期股权投资，按照下列规定确定其投资成本：</w:t>
      </w:r>
    </w:p>
    <w:p>
      <w:pPr>
        <w:pStyle w:val="BodyText"/>
        <w:spacing w:line="357" w:lineRule="auto" w:before="133"/>
        <w:ind w:left="138" w:right="308" w:firstLine="371"/>
        <w:jc w:val="both"/>
      </w:pPr>
      <w:r>
        <w:rPr>
          <w:rFonts w:ascii="宋体" w:hAnsi="宋体" w:cs="宋体" w:eastAsia="宋体" w:hint="default"/>
        </w:rPr>
        <w:t>A.</w:t>
      </w:r>
      <w:r>
        <w:rPr>
          <w:rFonts w:ascii="宋体" w:hAnsi="宋体" w:cs="宋体" w:eastAsia="宋体" w:hint="default"/>
          <w:spacing w:val="53"/>
        </w:rPr>
        <w:t> </w:t>
      </w:r>
      <w:r>
        <w:rPr>
          <w:spacing w:val="-3"/>
        </w:rPr>
        <w:t>同一控制下的企业合并，合并方以支付现金、转让非现金资产或承担债务方式作为合并对</w:t>
      </w:r>
      <w:r>
        <w:rPr>
          <w:w w:val="100"/>
        </w:rPr>
        <w:t> </w:t>
      </w:r>
      <w:r>
        <w:rPr>
          <w:spacing w:val="-2"/>
        </w:rPr>
        <w:t>价的，在合并日按照被合并方所有者权益在最终控制方合并财务报表中的账面价值的份额作为长</w:t>
      </w:r>
      <w:r>
        <w:rPr>
          <w:spacing w:val="-27"/>
        </w:rPr>
        <w:t> </w:t>
      </w:r>
      <w:r>
        <w:rPr>
          <w:spacing w:val="-27"/>
        </w:rPr>
      </w:r>
      <w:r>
        <w:rPr>
          <w:spacing w:val="-2"/>
        </w:rPr>
        <w:t>期股权投资的初始投资成本。长期股权投资初始投资成本与支付的现金、转让的非现金资产以及</w:t>
      </w:r>
      <w:r>
        <w:rPr>
          <w:spacing w:val="-25"/>
        </w:rPr>
        <w:t> </w:t>
      </w:r>
      <w:r>
        <w:rPr>
          <w:spacing w:val="-25"/>
        </w:rPr>
      </w:r>
      <w:r>
        <w:rPr/>
        <w:t>所承担债务账面价值之间的差额，调整资本公积；资本公积不足冲减的，调整留存收益。</w:t>
      </w:r>
    </w:p>
    <w:p>
      <w:pPr>
        <w:pStyle w:val="BodyText"/>
        <w:spacing w:line="357" w:lineRule="auto" w:before="30"/>
        <w:ind w:left="138" w:right="0" w:firstLine="371"/>
        <w:jc w:val="left"/>
      </w:pPr>
      <w:r>
        <w:rPr>
          <w:rFonts w:ascii="宋体" w:hAnsi="宋体" w:cs="宋体" w:eastAsia="宋体" w:hint="default"/>
        </w:rPr>
        <w:t>B.</w:t>
      </w:r>
      <w:r>
        <w:rPr>
          <w:rFonts w:ascii="宋体" w:hAnsi="宋体" w:cs="宋体" w:eastAsia="宋体" w:hint="default"/>
          <w:spacing w:val="19"/>
        </w:rPr>
        <w:t> </w:t>
      </w:r>
      <w:r>
        <w:rPr>
          <w:spacing w:val="-3"/>
        </w:rPr>
        <w:t>同一控制下的企业合并，合并方以发行权益性证券作为合并对价的，在合并日按照被合并</w:t>
      </w:r>
      <w:r>
        <w:rPr>
          <w:w w:val="100"/>
        </w:rPr>
        <w:t> </w:t>
      </w:r>
      <w:r>
        <w:rPr>
          <w:spacing w:val="-2"/>
        </w:rPr>
        <w:t>方所有者权益在最终控制方合并财务报表中的账面价值的份额作为长期股权投资的初始投资成本。</w:t>
      </w:r>
      <w:r>
        <w:rPr>
          <w:spacing w:val="-13"/>
        </w:rPr>
        <w:t> </w:t>
      </w:r>
      <w:r>
        <w:rPr>
          <w:spacing w:val="-13"/>
        </w:rPr>
      </w:r>
      <w:r>
        <w:rPr/>
        <w:t>按照发行股份的面值总额作为股本，长期股权投资初始投资成本与所发行股份面值总额之间的差</w:t>
      </w:r>
      <w:r>
        <w:rPr>
          <w:w w:val="100"/>
        </w:rPr>
        <w:t> </w:t>
      </w:r>
      <w:r>
        <w:rPr/>
        <w:t>额，调整资本公积；资本公积不足冲减的，调整留存收益。</w:t>
      </w:r>
    </w:p>
    <w:p>
      <w:pPr>
        <w:pStyle w:val="BodyText"/>
        <w:spacing w:line="355" w:lineRule="auto" w:before="30"/>
        <w:ind w:left="138" w:right="310" w:firstLine="371"/>
        <w:jc w:val="both"/>
      </w:pPr>
      <w:r>
        <w:rPr>
          <w:rFonts w:ascii="宋体" w:hAnsi="宋体" w:cs="宋体" w:eastAsia="宋体" w:hint="default"/>
        </w:rPr>
        <w:t>C.</w:t>
      </w:r>
      <w:r>
        <w:rPr>
          <w:rFonts w:ascii="宋体" w:hAnsi="宋体" w:cs="宋体" w:eastAsia="宋体" w:hint="default"/>
          <w:spacing w:val="50"/>
        </w:rPr>
        <w:t> </w:t>
      </w:r>
      <w:r>
        <w:rPr>
          <w:spacing w:val="-3"/>
        </w:rPr>
        <w:t>非同一控制下的企业合并，以购买日为取得对被购买方的控制权而付出的资产、发生或承</w:t>
      </w:r>
      <w:r>
        <w:rPr>
          <w:w w:val="100"/>
        </w:rPr>
        <w:t> </w:t>
      </w:r>
      <w:r>
        <w:rPr>
          <w:spacing w:val="-2"/>
        </w:rPr>
        <w:t>担的负债以及发行的权益性证券的公允价值确定为合并成本作为长期股权投资的初始投资成本。</w:t>
      </w:r>
      <w:r>
        <w:rPr>
          <w:spacing w:val="-25"/>
        </w:rPr>
        <w:t> </w:t>
      </w:r>
      <w:r>
        <w:rPr>
          <w:spacing w:val="-25"/>
        </w:rPr>
      </w:r>
      <w:r>
        <w:rPr>
          <w:spacing w:val="-2"/>
        </w:rPr>
        <w:t>合并方为企业合并发生的审计、法律服务、评估咨询等中介费用以及其他相关管理费用，于发生</w:t>
      </w:r>
      <w:r>
        <w:rPr>
          <w:spacing w:val="-25"/>
        </w:rPr>
        <w:t> </w:t>
      </w:r>
      <w:r>
        <w:rPr>
          <w:spacing w:val="-25"/>
        </w:rPr>
      </w:r>
      <w:r>
        <w:rPr/>
        <w:t>时计入当期损益。</w:t>
      </w:r>
    </w:p>
    <w:p>
      <w:pPr>
        <w:pStyle w:val="BodyText"/>
        <w:spacing w:line="355" w:lineRule="auto" w:before="34"/>
        <w:ind w:left="138" w:right="317" w:firstLine="419"/>
        <w:jc w:val="both"/>
      </w:pPr>
      <w:r>
        <w:rPr>
          <w:spacing w:val="-2"/>
        </w:rPr>
        <w:t>②除企业合并形成的长期股权投资以外，其他方式取得的长期股权投资，按照下列规定确定</w:t>
      </w:r>
      <w:r>
        <w:rPr>
          <w:w w:val="100"/>
        </w:rPr>
        <w:t> </w:t>
      </w:r>
      <w:r>
        <w:rPr/>
        <w:t>其投资成本：</w:t>
      </w:r>
    </w:p>
    <w:p>
      <w:pPr>
        <w:pStyle w:val="BodyText"/>
        <w:spacing w:line="357" w:lineRule="auto" w:before="32"/>
        <w:ind w:left="138" w:right="310" w:firstLine="419"/>
        <w:jc w:val="both"/>
      </w:pPr>
      <w:r>
        <w:rPr>
          <w:rFonts w:ascii="宋体" w:hAnsi="宋体" w:cs="宋体" w:eastAsia="宋体" w:hint="default"/>
        </w:rPr>
        <w:t>A.</w:t>
      </w:r>
      <w:r>
        <w:rPr>
          <w:rFonts w:ascii="宋体" w:hAnsi="宋体" w:cs="宋体" w:eastAsia="宋体" w:hint="default"/>
          <w:spacing w:val="43"/>
        </w:rPr>
        <w:t> </w:t>
      </w:r>
      <w:r>
        <w:rPr>
          <w:spacing w:val="-4"/>
        </w:rPr>
        <w:t>以支付现金取得的长期股权投资，按照实际支付的购买价款作为投资成本。初始投资成本</w:t>
      </w:r>
      <w:r>
        <w:rPr>
          <w:w w:val="100"/>
        </w:rPr>
        <w:t> </w:t>
      </w:r>
      <w:r>
        <w:rPr/>
        <w:t>包括与取得长期股权投资直接相关的费用、税金及其他必要支出。</w:t>
      </w:r>
    </w:p>
    <w:p>
      <w:pPr>
        <w:spacing w:after="0" w:line="357" w:lineRule="auto"/>
        <w:jc w:val="both"/>
        <w:sectPr>
          <w:pgSz w:w="11910" w:h="16840"/>
          <w:pgMar w:header="882" w:footer="1195" w:top="1120" w:bottom="1380" w:left="1660" w:right="960"/>
        </w:sectPr>
      </w:pPr>
    </w:p>
    <w:p>
      <w:pPr>
        <w:spacing w:line="240" w:lineRule="auto" w:before="1"/>
        <w:rPr>
          <w:rFonts w:ascii="宋体" w:hAnsi="宋体" w:cs="宋体" w:eastAsia="宋体" w:hint="default"/>
          <w:sz w:val="25"/>
          <w:szCs w:val="25"/>
        </w:rPr>
      </w:pPr>
    </w:p>
    <w:p>
      <w:pPr>
        <w:pStyle w:val="BodyText"/>
        <w:spacing w:line="357" w:lineRule="auto" w:before="36"/>
        <w:ind w:left="138" w:right="205" w:firstLine="419"/>
        <w:jc w:val="left"/>
      </w:pPr>
      <w:r>
        <w:rPr>
          <w:rFonts w:ascii="宋体" w:hAnsi="宋体" w:cs="宋体" w:eastAsia="宋体" w:hint="default"/>
          <w:w w:val="100"/>
        </w:rPr>
        <w:t>B.</w:t>
      </w:r>
      <w:r>
        <w:rPr>
          <w:rFonts w:ascii="宋体" w:hAnsi="宋体" w:cs="宋体" w:eastAsia="宋体" w:hint="default"/>
          <w:spacing w:val="6"/>
          <w:w w:val="100"/>
        </w:rPr>
        <w:t> </w:t>
      </w:r>
      <w:r>
        <w:rPr>
          <w:spacing w:val="-4"/>
          <w:w w:val="100"/>
        </w:rPr>
        <w:t>以发行权益性证券取得的长期股权投资，按照发行权益性证券的公允价值作为初始投资成</w:t>
      </w:r>
      <w:r>
        <w:rPr>
          <w:w w:val="100"/>
        </w:rPr>
        <w:t> </w:t>
      </w:r>
      <w:r>
        <w:rPr/>
        <w:t>本。</w:t>
      </w:r>
    </w:p>
    <w:p>
      <w:pPr>
        <w:pStyle w:val="BodyText"/>
        <w:spacing w:line="355" w:lineRule="auto" w:before="30"/>
        <w:ind w:left="138" w:right="0" w:firstLine="419"/>
        <w:jc w:val="left"/>
      </w:pPr>
      <w:r>
        <w:rPr>
          <w:rFonts w:ascii="宋体" w:hAnsi="宋体" w:cs="宋体" w:eastAsia="宋体" w:hint="default"/>
          <w:w w:val="100"/>
        </w:rPr>
        <w:t>C.</w:t>
      </w:r>
      <w:r>
        <w:rPr>
          <w:rFonts w:ascii="宋体" w:hAnsi="宋体" w:cs="宋体" w:eastAsia="宋体" w:hint="default"/>
          <w:spacing w:val="3"/>
          <w:w w:val="100"/>
        </w:rPr>
        <w:t> </w:t>
      </w:r>
      <w:r>
        <w:rPr>
          <w:spacing w:val="-4"/>
          <w:w w:val="100"/>
        </w:rPr>
        <w:t>通过非货币性资产交换取得的长期股权投资，如果该项交换具有商业实质且换入资产或换</w:t>
      </w:r>
      <w:r>
        <w:rPr>
          <w:w w:val="100"/>
        </w:rPr>
        <w:t> </w:t>
      </w:r>
      <w:r>
        <w:rPr/>
        <w:t>出资产的公允价值能可靠计量，则以换出资产的公允价值和相关税费作为初始投资成本，换出资</w:t>
      </w:r>
      <w:r>
        <w:rPr>
          <w:w w:val="100"/>
        </w:rPr>
        <w:t> </w:t>
      </w:r>
      <w:r>
        <w:rPr>
          <w:spacing w:val="-4"/>
          <w:w w:val="100"/>
        </w:rPr>
        <w:t>产的公允价值与账面价值之间的差额计入当期损益；若非货币资产交换不同时具备上述两个条件，</w:t>
      </w:r>
      <w:r>
        <w:rPr>
          <w:spacing w:val="-85"/>
          <w:w w:val="100"/>
        </w:rPr>
        <w:t> </w:t>
      </w:r>
      <w:r>
        <w:rPr>
          <w:spacing w:val="-85"/>
          <w:w w:val="100"/>
        </w:rPr>
      </w:r>
      <w:r>
        <w:rPr/>
        <w:t>则按换出资产的账面价值和相关税费作为初始投资成本。</w:t>
      </w:r>
    </w:p>
    <w:p>
      <w:pPr>
        <w:pStyle w:val="BodyText"/>
        <w:spacing w:line="355" w:lineRule="auto" w:before="34"/>
        <w:ind w:left="138" w:right="104" w:firstLine="419"/>
        <w:jc w:val="left"/>
      </w:pPr>
      <w:r>
        <w:rPr>
          <w:rFonts w:ascii="宋体" w:hAnsi="宋体" w:cs="宋体" w:eastAsia="宋体" w:hint="default"/>
        </w:rPr>
        <w:t>D.</w:t>
      </w:r>
      <w:r>
        <w:rPr>
          <w:rFonts w:ascii="宋体" w:hAnsi="宋体" w:cs="宋体" w:eastAsia="宋体" w:hint="default"/>
          <w:spacing w:val="45"/>
        </w:rPr>
        <w:t> </w:t>
      </w:r>
      <w:r>
        <w:rPr>
          <w:spacing w:val="-4"/>
        </w:rPr>
        <w:t>通过债务重组取得的长期股权投资，按取得的股权的公允价值作为初始投资成本，初始投</w:t>
      </w:r>
      <w:r>
        <w:rPr>
          <w:w w:val="100"/>
        </w:rPr>
        <w:t> </w:t>
      </w:r>
      <w:r>
        <w:rPr/>
        <w:t>资成本与债权账面价值之间的差额计入当期损益。</w:t>
      </w:r>
    </w:p>
    <w:p>
      <w:pPr>
        <w:spacing w:line="355" w:lineRule="auto" w:before="33"/>
        <w:ind w:left="558" w:right="104"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）后续计量及损益确认方法</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本公司能够对被投资单位实施控制的长期股权投资采用成本法核算；对联营企业和合营企业</w:t>
      </w:r>
    </w:p>
    <w:p>
      <w:pPr>
        <w:pStyle w:val="BodyText"/>
        <w:spacing w:line="240" w:lineRule="auto" w:before="34"/>
        <w:ind w:left="138" w:right="104"/>
        <w:jc w:val="left"/>
      </w:pPr>
      <w:r>
        <w:rPr/>
        <w:t>的长期股权投资采用权益法核算。</w:t>
      </w:r>
    </w:p>
    <w:p>
      <w:pPr>
        <w:pStyle w:val="BodyText"/>
        <w:spacing w:line="355" w:lineRule="auto" w:before="133"/>
        <w:ind w:left="558" w:right="104"/>
        <w:jc w:val="left"/>
      </w:pPr>
      <w:r>
        <w:rPr/>
        <w:t>①成本法</w:t>
      </w:r>
      <w:r>
        <w:rPr>
          <w:w w:val="100"/>
        </w:rPr>
        <w:t> </w:t>
      </w:r>
      <w:r>
        <w:rPr>
          <w:spacing w:val="-2"/>
        </w:rPr>
        <w:t>采用成本法核算的长期股权投资，追加或收回投资时调整长期股权投资的成本；被投资单位</w:t>
      </w:r>
    </w:p>
    <w:p>
      <w:pPr>
        <w:pStyle w:val="BodyText"/>
        <w:spacing w:line="240" w:lineRule="auto" w:before="32"/>
        <w:ind w:left="138" w:right="104"/>
        <w:jc w:val="left"/>
      </w:pPr>
      <w:r>
        <w:rPr/>
        <w:t>宣告分派的现金股利或利润，确认为当期投资收益。</w:t>
      </w:r>
    </w:p>
    <w:p>
      <w:pPr>
        <w:pStyle w:val="BodyText"/>
        <w:spacing w:line="357" w:lineRule="auto" w:before="133"/>
        <w:ind w:left="558" w:right="3646"/>
        <w:jc w:val="left"/>
      </w:pPr>
      <w:r>
        <w:rPr/>
        <w:t>②权益法</w:t>
      </w:r>
      <w:r>
        <w:rPr>
          <w:w w:val="100"/>
        </w:rPr>
        <w:t> </w:t>
      </w:r>
      <w:r>
        <w:rPr>
          <w:spacing w:val="-2"/>
        </w:rPr>
        <w:t>按照权益法核算的长期股权投资，一般会计处理为：</w:t>
      </w:r>
    </w:p>
    <w:p>
      <w:pPr>
        <w:pStyle w:val="BodyText"/>
        <w:spacing w:line="355" w:lineRule="auto" w:before="30"/>
        <w:ind w:left="138" w:right="217" w:firstLine="419"/>
        <w:jc w:val="both"/>
      </w:pPr>
      <w:r>
        <w:rPr>
          <w:spacing w:val="-2"/>
        </w:rPr>
        <w:t>本公司长期股权投资的投资成本大于投资时享有被投资单位可辨认净资产公允价值份额的，</w:t>
      </w:r>
      <w:r>
        <w:rPr>
          <w:w w:val="100"/>
        </w:rPr>
        <w:t> </w:t>
      </w:r>
      <w:r>
        <w:rPr>
          <w:spacing w:val="-2"/>
        </w:rPr>
        <w:t>不调整长期股权投资的初始投资成本；长期股权投资的初始投资成本小于投资时享有被投资单位</w:t>
      </w:r>
      <w:r>
        <w:rPr>
          <w:spacing w:val="-25"/>
        </w:rPr>
        <w:t> </w:t>
      </w:r>
      <w:r>
        <w:rPr>
          <w:spacing w:val="-25"/>
        </w:rPr>
      </w:r>
      <w:r>
        <w:rPr/>
        <w:t>可辨认净资产公允价值份额的，其差额计入当期损益，同时调整长期股权投资的成本。</w:t>
      </w:r>
    </w:p>
    <w:p>
      <w:pPr>
        <w:pStyle w:val="BodyText"/>
        <w:spacing w:line="357" w:lineRule="auto" w:before="32"/>
        <w:ind w:left="138" w:right="0" w:firstLine="419"/>
        <w:jc w:val="left"/>
      </w:pPr>
      <w:r>
        <w:rPr/>
        <w:t>本公司按照享有或分担的被投资单位实现的净损益和其他综合收益的份额，分别确认投资收</w:t>
      </w:r>
      <w:r>
        <w:rPr>
          <w:w w:val="100"/>
        </w:rPr>
        <w:t> </w:t>
      </w:r>
      <w:r>
        <w:rPr/>
        <w:t>益和其他综合收益，同时调整长期股权投资的账面价值；本公司按照被投资单位宣告分派的利润</w:t>
      </w:r>
      <w:r>
        <w:rPr>
          <w:w w:val="100"/>
        </w:rPr>
        <w:t> </w:t>
      </w:r>
      <w:r>
        <w:rPr/>
        <w:t>或现金股利计算享有的部分，相应减少长期股权投资的账面价值；被投资单位除净损益、其他综</w:t>
      </w:r>
      <w:r>
        <w:rPr>
          <w:w w:val="100"/>
        </w:rPr>
        <w:t> </w:t>
      </w:r>
      <w:r>
        <w:rPr>
          <w:spacing w:val="-4"/>
          <w:w w:val="100"/>
        </w:rPr>
        <w:t>合收益和利润分配以外所有者权益的其他变动，调整长期股权投资的账面价值并计入所有者权益。</w:t>
      </w:r>
      <w:r>
        <w:rPr>
          <w:spacing w:val="-85"/>
          <w:w w:val="100"/>
        </w:rPr>
        <w:t> </w:t>
      </w:r>
      <w:r>
        <w:rPr>
          <w:spacing w:val="-85"/>
          <w:w w:val="100"/>
        </w:rPr>
      </w:r>
      <w:r>
        <w:rPr/>
        <w:t>在确认享有被投资单位净损益的份额时，以取得投资时被投资单位可辨认净资产的公允价值为基</w:t>
      </w:r>
      <w:r>
        <w:rPr>
          <w:w w:val="100"/>
        </w:rPr>
        <w:t> </w:t>
      </w:r>
      <w:r>
        <w:rPr/>
        <w:t>础，对被投资单位的净利润进行调整后确认。被投资单位采用的会计政策及会计期间与本公司不</w:t>
      </w:r>
      <w:r>
        <w:rPr>
          <w:w w:val="100"/>
        </w:rPr>
        <w:t> </w:t>
      </w:r>
      <w:r>
        <w:rPr/>
        <w:t>一致的，按照本公司的会计政策及会计期间对被投资单位的财务报表进行调整，并据以确认投资</w:t>
      </w:r>
      <w:r>
        <w:rPr>
          <w:w w:val="100"/>
        </w:rPr>
        <w:t> </w:t>
      </w:r>
      <w:r>
        <w:rPr/>
        <w:t>收益和其他综合收益等。本公司与联营企业及合营企业之间发生的未实现内部交易损益按照享有</w:t>
      </w:r>
      <w:r>
        <w:rPr>
          <w:w w:val="100"/>
        </w:rPr>
        <w:t> </w:t>
      </w:r>
      <w:r>
        <w:rPr/>
        <w:t>的比例计算归属于本公司的部分予以抵销，在此基础上确认投资损益。本公司与被投资单位发生</w:t>
      </w:r>
      <w:r>
        <w:rPr>
          <w:w w:val="100"/>
        </w:rPr>
        <w:t> </w:t>
      </w:r>
      <w:r>
        <w:rPr/>
        <w:t>的未实行内部交易损失属于资产减值损失的，全额确认。</w:t>
      </w:r>
    </w:p>
    <w:p>
      <w:pPr>
        <w:pStyle w:val="BodyText"/>
        <w:spacing w:line="357" w:lineRule="auto" w:before="32"/>
        <w:ind w:left="138" w:right="217" w:firstLine="419"/>
        <w:jc w:val="both"/>
      </w:pPr>
      <w:r>
        <w:rPr>
          <w:spacing w:val="-2"/>
        </w:rPr>
        <w:t>因追加投资等原因能够对被投资单位施加重大影响或实施共同控制但不构成控制的，按照原</w:t>
      </w:r>
      <w:r>
        <w:rPr>
          <w:w w:val="100"/>
        </w:rPr>
        <w:t> </w:t>
      </w:r>
      <w:r>
        <w:rPr>
          <w:spacing w:val="-2"/>
        </w:rPr>
        <w:t>持有的股权投资的公允价值加上新增投资成本之和，作为改按权益法核算的初始投资成本。原持</w:t>
      </w:r>
      <w:r>
        <w:rPr>
          <w:spacing w:val="-25"/>
        </w:rPr>
        <w:t> </w:t>
      </w:r>
      <w:r>
        <w:rPr>
          <w:spacing w:val="-25"/>
        </w:rPr>
      </w:r>
      <w:r>
        <w:rPr>
          <w:spacing w:val="-2"/>
        </w:rPr>
        <w:t>有的股权投资分类为可供出售金融资产的，其公允价值与账面价值之间的差额，以及原计入其他</w:t>
      </w:r>
      <w:r>
        <w:rPr>
          <w:spacing w:val="-25"/>
        </w:rPr>
        <w:t> </w:t>
      </w:r>
      <w:r>
        <w:rPr>
          <w:spacing w:val="-25"/>
        </w:rPr>
      </w:r>
      <w:r>
        <w:rPr/>
        <w:t>综合收益的累计公允价值变动转入改按权益法核算的当期损益。</w:t>
      </w:r>
    </w:p>
    <w:p>
      <w:pPr>
        <w:spacing w:after="0" w:line="357" w:lineRule="auto"/>
        <w:jc w:val="both"/>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BodyText"/>
        <w:spacing w:line="357" w:lineRule="auto" w:before="36"/>
        <w:ind w:left="238" w:right="257" w:firstLine="419"/>
        <w:jc w:val="both"/>
      </w:pPr>
      <w:r>
        <w:rPr>
          <w:spacing w:val="-2"/>
        </w:rPr>
        <w:t>因处置部分股权投资等原因丧失了对被投资单位的共同控制或重大影响的，处置后的剩余股</w:t>
      </w:r>
      <w:r>
        <w:rPr>
          <w:w w:val="100"/>
        </w:rPr>
        <w:t> </w:t>
      </w:r>
      <w:r>
        <w:rPr>
          <w:spacing w:val="-2"/>
        </w:rPr>
        <w:t>权改按其在丧失共同控制或重大影响之日的公允价值与账面价值之间的差额计入当期损益。原股</w:t>
      </w:r>
      <w:r>
        <w:rPr>
          <w:spacing w:val="-25"/>
        </w:rPr>
        <w:t> </w:t>
      </w:r>
      <w:r>
        <w:rPr>
          <w:spacing w:val="-25"/>
        </w:rPr>
      </w:r>
      <w:r>
        <w:rPr>
          <w:spacing w:val="-2"/>
        </w:rPr>
        <w:t>权投资因采用权益法核算而确认的其他综合收益，在终止采用权益法核算时采用与被投资单位直</w:t>
      </w:r>
      <w:r>
        <w:rPr>
          <w:spacing w:val="-25"/>
        </w:rPr>
        <w:t> </w:t>
      </w:r>
      <w:r>
        <w:rPr>
          <w:spacing w:val="-25"/>
        </w:rPr>
      </w:r>
      <w:r>
        <w:rPr/>
        <w:t>接处置相关资产或负债相同的基础进行会计处理。</w:t>
      </w:r>
    </w:p>
    <w:p>
      <w:pPr>
        <w:spacing w:line="240" w:lineRule="auto" w:before="0"/>
        <w:rPr>
          <w:rFonts w:ascii="宋体" w:hAnsi="宋体" w:cs="宋体" w:eastAsia="宋体" w:hint="default"/>
          <w:sz w:val="20"/>
          <w:szCs w:val="20"/>
        </w:rPr>
      </w:pPr>
    </w:p>
    <w:p>
      <w:pPr>
        <w:pStyle w:val="Heading2"/>
        <w:spacing w:line="290" w:lineRule="auto" w:before="179"/>
        <w:ind w:left="238" w:right="6115"/>
        <w:jc w:val="left"/>
        <w:rPr>
          <w:rFonts w:ascii="宋体" w:hAnsi="宋体" w:cs="宋体" w:eastAsia="宋体" w:hint="default"/>
          <w:b w:val="0"/>
          <w:bCs w:val="0"/>
        </w:rPr>
      </w:pPr>
      <w:r>
        <w:rPr>
          <w:rFonts w:ascii="宋体" w:hAnsi="宋体" w:cs="宋体" w:eastAsia="宋体" w:hint="default"/>
        </w:rPr>
        <w:t>15.</w:t>
      </w:r>
      <w:r>
        <w:rPr>
          <w:rFonts w:ascii="宋体" w:hAnsi="宋体" w:cs="宋体" w:eastAsia="宋体" w:hint="default"/>
          <w:spacing w:val="2"/>
        </w:rPr>
        <w:t> </w:t>
      </w:r>
      <w:r>
        <w:rPr/>
        <w:t>投资性房地产</w:t>
      </w:r>
      <w:r>
        <w:rPr>
          <w:w w:val="100"/>
        </w:rPr>
        <w:t> </w:t>
      </w:r>
      <w:r>
        <w:rPr>
          <w:rFonts w:ascii="宋体" w:hAnsi="宋体" w:cs="宋体" w:eastAsia="宋体" w:hint="default"/>
        </w:rPr>
        <w:t>(1).</w:t>
      </w:r>
      <w:r>
        <w:rPr/>
        <w:t>如果采用成本计量模式的：</w:t>
      </w:r>
      <w:r>
        <w:rPr>
          <w:w w:val="100"/>
        </w:rPr>
        <w:t> </w:t>
      </w:r>
      <w:r>
        <w:rPr>
          <w:rFonts w:ascii="宋体" w:hAnsi="宋体" w:cs="宋体" w:eastAsia="宋体" w:hint="default"/>
          <w:b w:val="0"/>
          <w:bCs w:val="0"/>
        </w:rPr>
        <w:t>折旧或摊销方法</w:t>
      </w:r>
    </w:p>
    <w:p>
      <w:pPr>
        <w:pStyle w:val="BodyText"/>
        <w:spacing w:line="229" w:lineRule="exact"/>
        <w:ind w:left="658" w:right="0"/>
        <w:jc w:val="left"/>
      </w:pPr>
      <w:r>
        <w:rPr/>
        <w:t>本公司对投资性房地产成本减累计减值及净残值后按直线法计算折旧或摊销，投资性房地产</w:t>
      </w:r>
    </w:p>
    <w:p>
      <w:pPr>
        <w:pStyle w:val="BodyText"/>
        <w:spacing w:line="240" w:lineRule="auto" w:before="133"/>
        <w:ind w:left="238" w:right="930"/>
        <w:jc w:val="left"/>
      </w:pPr>
      <w:r>
        <w:rPr/>
        <w:t>的类别、估计的经济使用年限和预计的净残值率分别确定折旧年限和年折旧率如下：</w:t>
      </w:r>
    </w:p>
    <w:p>
      <w:pPr>
        <w:spacing w:line="240" w:lineRule="auto" w:before="10"/>
        <w:rPr>
          <w:rFonts w:ascii="宋体" w:hAnsi="宋体" w:cs="宋体" w:eastAsia="宋体"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2018"/>
        <w:gridCol w:w="1820"/>
        <w:gridCol w:w="5226"/>
      </w:tblGrid>
      <w:tr>
        <w:trPr>
          <w:trHeight w:val="427" w:hRule="exact"/>
        </w:trPr>
        <w:tc>
          <w:tcPr>
            <w:tcW w:w="2018" w:type="dxa"/>
            <w:tcBorders>
              <w:top w:val="single" w:sz="12" w:space="0" w:color="000000"/>
              <w:left w:val="nil" w:sz="6" w:space="0" w:color="auto"/>
              <w:bottom w:val="single" w:sz="2" w:space="0" w:color="000000"/>
              <w:right w:val="single" w:sz="2" w:space="0" w:color="000000"/>
            </w:tcBorders>
          </w:tcPr>
          <w:p>
            <w:pPr>
              <w:pStyle w:val="TableParagraph"/>
              <w:spacing w:line="243" w:lineRule="exact"/>
              <w:ind w:right="785"/>
              <w:jc w:val="right"/>
              <w:rPr>
                <w:rFonts w:ascii="宋体" w:hAnsi="宋体" w:cs="宋体" w:eastAsia="宋体" w:hint="default"/>
                <w:sz w:val="21"/>
                <w:szCs w:val="21"/>
              </w:rPr>
            </w:pPr>
            <w:r>
              <w:rPr>
                <w:rFonts w:ascii="宋体" w:hAnsi="宋体" w:cs="宋体" w:eastAsia="宋体" w:hint="default"/>
                <w:sz w:val="21"/>
                <w:szCs w:val="21"/>
              </w:rPr>
              <w:t>项目</w:t>
            </w:r>
          </w:p>
        </w:tc>
        <w:tc>
          <w:tcPr>
            <w:tcW w:w="1820" w:type="dxa"/>
            <w:tcBorders>
              <w:top w:val="single" w:sz="12" w:space="0" w:color="000000"/>
              <w:left w:val="single" w:sz="2" w:space="0" w:color="000000"/>
              <w:bottom w:val="single" w:sz="2" w:space="0" w:color="000000"/>
              <w:right w:val="single" w:sz="2"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预计使用寿命</w:t>
            </w:r>
          </w:p>
        </w:tc>
        <w:tc>
          <w:tcPr>
            <w:tcW w:w="5226" w:type="dxa"/>
            <w:tcBorders>
              <w:top w:val="single" w:sz="12" w:space="0" w:color="000000"/>
              <w:left w:val="single" w:sz="2" w:space="0" w:color="000000"/>
              <w:bottom w:val="single" w:sz="2" w:space="0" w:color="000000"/>
              <w:right w:val="nil" w:sz="6" w:space="0" w:color="auto"/>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依据</w:t>
            </w:r>
          </w:p>
        </w:tc>
      </w:tr>
      <w:tr>
        <w:trPr>
          <w:trHeight w:val="427" w:hRule="exact"/>
        </w:trPr>
        <w:tc>
          <w:tcPr>
            <w:tcW w:w="2018" w:type="dxa"/>
            <w:tcBorders>
              <w:top w:val="single" w:sz="2" w:space="0" w:color="000000"/>
              <w:left w:val="nil" w:sz="6" w:space="0" w:color="auto"/>
              <w:bottom w:val="single" w:sz="12" w:space="0" w:color="000000"/>
              <w:right w:val="single" w:sz="2" w:space="0" w:color="000000"/>
            </w:tcBorders>
          </w:tcPr>
          <w:p>
            <w:pPr>
              <w:pStyle w:val="TableParagraph"/>
              <w:spacing w:line="241" w:lineRule="exact"/>
              <w:ind w:right="837"/>
              <w:jc w:val="right"/>
              <w:rPr>
                <w:rFonts w:ascii="宋体" w:hAnsi="宋体" w:cs="宋体" w:eastAsia="宋体" w:hint="default"/>
                <w:sz w:val="21"/>
                <w:szCs w:val="21"/>
              </w:rPr>
            </w:pPr>
            <w:r>
              <w:rPr>
                <w:rFonts w:ascii="宋体" w:hAnsi="宋体" w:cs="宋体" w:eastAsia="宋体" w:hint="default"/>
                <w:spacing w:val="-1"/>
                <w:sz w:val="21"/>
                <w:szCs w:val="21"/>
              </w:rPr>
              <w:t>土地使用权</w:t>
            </w:r>
          </w:p>
        </w:tc>
        <w:tc>
          <w:tcPr>
            <w:tcW w:w="1820" w:type="dxa"/>
            <w:tcBorders>
              <w:top w:val="single" w:sz="2" w:space="0" w:color="000000"/>
              <w:left w:val="single" w:sz="2" w:space="0" w:color="000000"/>
              <w:bottom w:val="single" w:sz="12" w:space="0" w:color="000000"/>
              <w:right w:val="single" w:sz="2"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48</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5226" w:type="dxa"/>
            <w:tcBorders>
              <w:top w:val="single" w:sz="2" w:space="0" w:color="000000"/>
              <w:left w:val="single" w:sz="2" w:space="0" w:color="000000"/>
              <w:bottom w:val="single" w:sz="12" w:space="0" w:color="000000"/>
              <w:right w:val="nil" w:sz="6" w:space="0" w:color="auto"/>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剩余法定使用权</w:t>
            </w:r>
          </w:p>
        </w:tc>
      </w:tr>
    </w:tbl>
    <w:p>
      <w:pPr>
        <w:spacing w:line="240" w:lineRule="auto" w:before="12"/>
        <w:rPr>
          <w:rFonts w:ascii="宋体" w:hAnsi="宋体" w:cs="宋体" w:eastAsia="宋体" w:hint="default"/>
          <w:sz w:val="19"/>
          <w:szCs w:val="19"/>
        </w:rPr>
      </w:pPr>
    </w:p>
    <w:p>
      <w:pPr>
        <w:pStyle w:val="Heading2"/>
        <w:spacing w:line="290" w:lineRule="auto" w:before="36"/>
        <w:ind w:left="238" w:right="7799"/>
        <w:jc w:val="left"/>
        <w:rPr>
          <w:b w:val="0"/>
          <w:bCs w:val="0"/>
        </w:rPr>
      </w:pPr>
      <w:r>
        <w:rPr>
          <w:rFonts w:ascii="宋体" w:hAnsi="宋体" w:cs="宋体" w:eastAsia="宋体" w:hint="default"/>
        </w:rPr>
        <w:t>16.</w:t>
      </w:r>
      <w:r>
        <w:rPr>
          <w:rFonts w:ascii="宋体" w:hAnsi="宋体" w:cs="宋体" w:eastAsia="宋体" w:hint="default"/>
          <w:spacing w:val="2"/>
        </w:rPr>
        <w:t> </w:t>
      </w:r>
      <w:r>
        <w:rPr/>
        <w:t>固定资产</w:t>
      </w:r>
      <w:r>
        <w:rPr>
          <w:w w:val="100"/>
        </w:rPr>
        <w:t> </w:t>
      </w:r>
      <w:r>
        <w:rPr>
          <w:rFonts w:ascii="宋体" w:hAnsi="宋体" w:cs="宋体" w:eastAsia="宋体" w:hint="default"/>
        </w:rPr>
        <w:t>(1).</w:t>
      </w:r>
      <w:r>
        <w:rPr/>
        <w:t>确认条件</w:t>
      </w:r>
      <w:r>
        <w:rPr>
          <w:b w:val="0"/>
          <w:bCs w:val="0"/>
        </w:rPr>
      </w:r>
    </w:p>
    <w:p>
      <w:pPr>
        <w:pStyle w:val="BodyText"/>
        <w:spacing w:line="272" w:lineRule="exact" w:before="40"/>
        <w:ind w:left="658" w:right="2289" w:hanging="420"/>
        <w:jc w:val="left"/>
      </w:pPr>
      <w:r>
        <w:rPr/>
        <w:t>√适用</w:t>
      </w:r>
      <w:r>
        <w:rPr>
          <w:spacing w:val="-2"/>
        </w:rPr>
        <w:t> </w:t>
      </w:r>
      <w:r>
        <w:rPr/>
        <w:t>□不适用</w:t>
      </w:r>
      <w:r>
        <w:rPr>
          <w:w w:val="100"/>
        </w:rPr>
        <w:t> </w:t>
      </w:r>
      <w:r>
        <w:rPr>
          <w:spacing w:val="-2"/>
        </w:rPr>
        <w:t>固定资产在同时满足下列条件时，按取得时的实际成本予以确认：</w:t>
      </w:r>
    </w:p>
    <w:p>
      <w:pPr>
        <w:pStyle w:val="BodyText"/>
        <w:spacing w:line="240" w:lineRule="auto" w:before="110"/>
        <w:ind w:left="658" w:right="930"/>
        <w:jc w:val="left"/>
      </w:pPr>
      <w:r>
        <w:rPr/>
        <w:t>①与该固定资产有关的经济利益很可能流入企业。</w:t>
      </w:r>
    </w:p>
    <w:p>
      <w:pPr>
        <w:pStyle w:val="BodyText"/>
        <w:spacing w:line="355" w:lineRule="auto" w:before="133"/>
        <w:ind w:left="658" w:right="0"/>
        <w:jc w:val="left"/>
      </w:pPr>
      <w:r>
        <w:rPr/>
        <w:t>②该固定资产的成本能够可靠地计量。</w:t>
      </w:r>
      <w:r>
        <w:rPr>
          <w:w w:val="100"/>
        </w:rPr>
        <w:t> </w:t>
      </w:r>
      <w:r>
        <w:rPr>
          <w:spacing w:val="-2"/>
        </w:rPr>
        <w:t>固定资产发生的后续支出，符合固定资产确认条件的计入固定资产成本；不符合固定资产确</w:t>
      </w:r>
    </w:p>
    <w:p>
      <w:pPr>
        <w:pStyle w:val="BodyText"/>
        <w:spacing w:line="240" w:lineRule="auto" w:before="32"/>
        <w:ind w:left="238" w:right="930"/>
        <w:jc w:val="left"/>
      </w:pPr>
      <w:r>
        <w:rPr/>
        <w:t>认条件的在发生时计入当期损益。</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2"/>
        <w:spacing w:line="240" w:lineRule="auto"/>
        <w:ind w:left="238" w:right="930"/>
        <w:jc w:val="left"/>
        <w:rPr>
          <w:b w:val="0"/>
          <w:bCs w:val="0"/>
        </w:rPr>
      </w:pPr>
      <w:r>
        <w:rPr>
          <w:rFonts w:ascii="宋体" w:hAnsi="宋体" w:cs="宋体" w:eastAsia="宋体" w:hint="default"/>
        </w:rPr>
        <w:t>(2).</w:t>
      </w:r>
      <w:r>
        <w:rPr/>
        <w:t>折旧方法</w:t>
      </w:r>
      <w:r>
        <w:rPr>
          <w:b w:val="0"/>
          <w:bCs w:val="0"/>
        </w:rPr>
      </w:r>
    </w:p>
    <w:p>
      <w:pPr>
        <w:pStyle w:val="BodyText"/>
        <w:spacing w:line="240" w:lineRule="auto" w:before="56"/>
        <w:ind w:left="238" w:right="930"/>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718"/>
        <w:gridCol w:w="1832"/>
        <w:gridCol w:w="1834"/>
        <w:gridCol w:w="1834"/>
        <w:gridCol w:w="1831"/>
      </w:tblGrid>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折旧方法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折旧年限（年）</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残值率</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9" w:right="0"/>
              <w:jc w:val="left"/>
              <w:rPr>
                <w:rFonts w:ascii="宋体" w:hAnsi="宋体" w:cs="宋体" w:eastAsia="宋体" w:hint="default"/>
                <w:sz w:val="21"/>
                <w:szCs w:val="21"/>
              </w:rPr>
            </w:pPr>
            <w:r>
              <w:rPr>
                <w:rFonts w:ascii="宋体" w:hAnsi="宋体" w:cs="宋体" w:eastAsia="宋体" w:hint="default"/>
                <w:sz w:val="21"/>
                <w:szCs w:val="21"/>
              </w:rPr>
              <w:t>年折旧率</w:t>
            </w:r>
          </w:p>
        </w:tc>
      </w:tr>
      <w:tr>
        <w:trPr>
          <w:trHeight w:val="281"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船舶</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预计废钢价</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92"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集装箱</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预计废钢价</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92"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284"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房屋及建筑物</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5-25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0-5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3" w:right="0"/>
              <w:jc w:val="left"/>
              <w:rPr>
                <w:rFonts w:ascii="宋体" w:hAnsi="宋体" w:cs="宋体" w:eastAsia="宋体" w:hint="default"/>
                <w:sz w:val="21"/>
                <w:szCs w:val="21"/>
              </w:rPr>
            </w:pPr>
            <w:r>
              <w:rPr>
                <w:rFonts w:ascii="宋体"/>
                <w:sz w:val="21"/>
              </w:rPr>
              <w:t>3.80-20.00</w:t>
            </w:r>
          </w:p>
        </w:tc>
      </w:tr>
      <w:tr>
        <w:trPr>
          <w:trHeight w:val="281"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运输设备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19.00</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办公设备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1" w:right="0"/>
              <w:jc w:val="left"/>
              <w:rPr>
                <w:rFonts w:ascii="宋体" w:hAnsi="宋体" w:cs="宋体" w:eastAsia="宋体" w:hint="default"/>
                <w:sz w:val="21"/>
                <w:szCs w:val="21"/>
              </w:rPr>
            </w:pPr>
            <w:r>
              <w:rPr>
                <w:rFonts w:ascii="宋体"/>
                <w:sz w:val="21"/>
              </w:rPr>
              <w:t>19.00-31.67</w:t>
            </w:r>
          </w:p>
        </w:tc>
      </w:tr>
    </w:tbl>
    <w:p>
      <w:pPr>
        <w:pStyle w:val="BodyText"/>
        <w:spacing w:line="241" w:lineRule="exact"/>
        <w:ind w:left="658" w:right="930"/>
        <w:jc w:val="left"/>
      </w:pPr>
      <w:r>
        <w:rPr/>
        <w:t>对于购置的二手船舶，按预计尚可使用年限作为折旧计提年限。</w:t>
      </w:r>
    </w:p>
    <w:p>
      <w:pPr>
        <w:pStyle w:val="BodyText"/>
        <w:spacing w:line="357" w:lineRule="auto" w:before="133"/>
        <w:ind w:left="238" w:right="0" w:firstLine="419"/>
        <w:jc w:val="left"/>
      </w:pPr>
      <w:r>
        <w:rPr/>
        <w:t>对于已经计提减值准备的固定资产，在计提折旧时扣除已计提的固定资产减值准备。</w:t>
      </w:r>
      <w:r>
        <w:rPr>
          <w:w w:val="100"/>
        </w:rPr>
        <w:t> </w:t>
      </w:r>
      <w:r>
        <w:rPr>
          <w:spacing w:val="-2"/>
        </w:rPr>
        <w:t>每年年度终了，公司对固定资产的使用寿命、预计净残值和折旧方法进行复核。使用寿命预计数</w:t>
      </w:r>
      <w:r>
        <w:rPr>
          <w:spacing w:val="-25"/>
        </w:rPr>
        <w:t> </w:t>
      </w:r>
      <w:r>
        <w:rPr>
          <w:spacing w:val="-25"/>
        </w:rPr>
      </w:r>
      <w:r>
        <w:rPr/>
        <w:t>与原先估计数有差异的，调整固定资产使用寿命。</w:t>
      </w:r>
    </w:p>
    <w:p>
      <w:pPr>
        <w:spacing w:line="240" w:lineRule="auto" w:before="8"/>
        <w:rPr>
          <w:rFonts w:ascii="宋体" w:hAnsi="宋体" w:cs="宋体" w:eastAsia="宋体" w:hint="default"/>
          <w:sz w:val="27"/>
          <w:szCs w:val="27"/>
        </w:rPr>
      </w:pPr>
    </w:p>
    <w:p>
      <w:pPr>
        <w:pStyle w:val="Heading2"/>
        <w:spacing w:line="240" w:lineRule="auto"/>
        <w:ind w:left="238" w:right="930"/>
        <w:jc w:val="left"/>
        <w:rPr>
          <w:b w:val="0"/>
          <w:bCs w:val="0"/>
        </w:rPr>
      </w:pPr>
      <w:r>
        <w:rPr>
          <w:rFonts w:ascii="宋体" w:hAnsi="宋体" w:cs="宋体" w:eastAsia="宋体" w:hint="default"/>
        </w:rPr>
        <w:t>(3).</w:t>
      </w:r>
      <w:r>
        <w:rPr/>
        <w:t>融资租入固定资产的认定依据、计价和折旧方法</w:t>
      </w:r>
      <w:r>
        <w:rPr>
          <w:b w:val="0"/>
          <w:bCs w:val="0"/>
        </w:rPr>
      </w:r>
    </w:p>
    <w:p>
      <w:pPr>
        <w:pStyle w:val="BodyText"/>
        <w:spacing w:line="272" w:lineRule="exact" w:before="87"/>
        <w:ind w:left="658" w:right="0" w:hanging="420"/>
        <w:jc w:val="left"/>
      </w:pPr>
      <w:r>
        <w:rPr/>
        <w:t>√适用</w:t>
      </w:r>
      <w:r>
        <w:rPr>
          <w:spacing w:val="-2"/>
        </w:rPr>
        <w:t> </w:t>
      </w:r>
      <w:r>
        <w:rPr/>
        <w:t>□不适用</w:t>
      </w:r>
      <w:r>
        <w:rPr>
          <w:w w:val="100"/>
        </w:rPr>
        <w:t> </w:t>
      </w:r>
      <w:r>
        <w:rPr>
          <w:spacing w:val="-2"/>
        </w:rPr>
        <w:t>本公司在租入的固定资产实质上转移了与资产有关的全部风险和报酬时确认该项固定资产的</w:t>
      </w:r>
    </w:p>
    <w:p>
      <w:pPr>
        <w:pStyle w:val="BodyText"/>
        <w:spacing w:line="249" w:lineRule="exact"/>
        <w:ind w:left="238" w:right="0"/>
        <w:jc w:val="left"/>
      </w:pPr>
      <w:r>
        <w:rPr/>
        <w:t>租赁为融资租赁。融资租赁取得的固定资产的成本，按租赁开始日租赁资产公允价值与最低租赁</w:t>
      </w:r>
    </w:p>
    <w:p>
      <w:pPr>
        <w:spacing w:after="0" w:line="249" w:lineRule="exact"/>
        <w:jc w:val="left"/>
        <w:sectPr>
          <w:pgSz w:w="11910" w:h="16840"/>
          <w:pgMar w:header="882" w:footer="1195" w:top="1120" w:bottom="1380" w:left="1560" w:right="1020"/>
        </w:sectPr>
      </w:pPr>
    </w:p>
    <w:p>
      <w:pPr>
        <w:spacing w:line="240" w:lineRule="auto" w:before="1"/>
        <w:rPr>
          <w:rFonts w:ascii="宋体" w:hAnsi="宋体" w:cs="宋体" w:eastAsia="宋体" w:hint="default"/>
          <w:sz w:val="25"/>
          <w:szCs w:val="25"/>
        </w:rPr>
      </w:pPr>
    </w:p>
    <w:p>
      <w:pPr>
        <w:pStyle w:val="BodyText"/>
        <w:spacing w:line="237" w:lineRule="auto" w:before="38"/>
        <w:ind w:left="138" w:right="297"/>
        <w:jc w:val="both"/>
      </w:pPr>
      <w:r>
        <w:rPr>
          <w:spacing w:val="-2"/>
        </w:rPr>
        <w:t>付款额现值两者中较低者确定。融资租入的固定资产采用与自有固定资产相一致的折旧政策计提</w:t>
      </w:r>
      <w:r>
        <w:rPr>
          <w:spacing w:val="-25"/>
        </w:rPr>
        <w:t> </w:t>
      </w:r>
      <w:r>
        <w:rPr>
          <w:spacing w:val="-25"/>
        </w:rPr>
      </w:r>
      <w:r>
        <w:rPr>
          <w:spacing w:val="-2"/>
        </w:rPr>
        <w:t>租赁资产折旧。能够合理确定租赁期届满时将会取得租赁资产所有权的，在租赁资产使用年限内</w:t>
      </w:r>
      <w:r>
        <w:rPr>
          <w:spacing w:val="-25"/>
        </w:rPr>
        <w:t> </w:t>
      </w:r>
      <w:r>
        <w:rPr>
          <w:spacing w:val="-25"/>
        </w:rPr>
      </w:r>
      <w:r>
        <w:rPr>
          <w:spacing w:val="-2"/>
        </w:rPr>
        <w:t>计提折旧；无法合理确定租赁期届满时能够取得租赁资产所有权的，在租赁期与租赁资产使用寿</w:t>
      </w:r>
      <w:r>
        <w:rPr>
          <w:spacing w:val="-25"/>
        </w:rPr>
        <w:t> </w:t>
      </w:r>
      <w:r>
        <w:rPr>
          <w:spacing w:val="-25"/>
        </w:rPr>
      </w:r>
      <w:r>
        <w:rPr/>
        <w:t>命两者中较短的期间内计提折旧。</w:t>
      </w:r>
    </w:p>
    <w:p>
      <w:pPr>
        <w:spacing w:line="240" w:lineRule="auto" w:before="3"/>
        <w:rPr>
          <w:rFonts w:ascii="宋体" w:hAnsi="宋体" w:cs="宋体" w:eastAsia="宋体" w:hint="default"/>
          <w:sz w:val="25"/>
          <w:szCs w:val="25"/>
        </w:rPr>
      </w:pPr>
    </w:p>
    <w:p>
      <w:pPr>
        <w:pStyle w:val="Heading2"/>
        <w:spacing w:line="240" w:lineRule="auto"/>
        <w:ind w:left="138" w:right="0"/>
        <w:jc w:val="left"/>
        <w:rPr>
          <w:b w:val="0"/>
          <w:bCs w:val="0"/>
        </w:rPr>
      </w:pPr>
      <w:r>
        <w:rPr>
          <w:rFonts w:ascii="宋体" w:hAnsi="宋体" w:cs="宋体" w:eastAsia="宋体" w:hint="default"/>
        </w:rPr>
        <w:t>17.</w:t>
      </w:r>
      <w:r>
        <w:rPr>
          <w:rFonts w:ascii="宋体" w:hAnsi="宋体" w:cs="宋体" w:eastAsia="宋体" w:hint="default"/>
          <w:spacing w:val="2"/>
        </w:rPr>
        <w:t> </w:t>
      </w:r>
      <w:r>
        <w:rPr/>
        <w:t>在建工程</w:t>
      </w:r>
      <w:r>
        <w:rPr>
          <w:b w:val="0"/>
          <w:bCs w:val="0"/>
        </w:rPr>
      </w:r>
    </w:p>
    <w:p>
      <w:pPr>
        <w:pStyle w:val="BodyText"/>
        <w:spacing w:line="240" w:lineRule="auto" w:before="56"/>
        <w:ind w:left="138" w:right="0"/>
        <w:jc w:val="left"/>
      </w:pPr>
      <w:r>
        <w:rPr/>
        <w:t>√适用</w:t>
      </w:r>
      <w:r>
        <w:rPr>
          <w:spacing w:val="-1"/>
        </w:rPr>
        <w:t> </w:t>
      </w:r>
      <w:r>
        <w:rPr/>
        <w:t>□不适用</w:t>
      </w:r>
    </w:p>
    <w:p>
      <w:pPr>
        <w:spacing w:before="1"/>
        <w:ind w:left="558" w:right="0" w:firstLine="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1</w:t>
      </w:r>
      <w:r>
        <w:rPr>
          <w:rFonts w:ascii="宋体" w:hAnsi="宋体" w:cs="宋体" w:eastAsia="宋体" w:hint="default"/>
          <w:sz w:val="20"/>
          <w:szCs w:val="20"/>
        </w:rPr>
        <w:t>）在建工程以立项项目分类核算。</w:t>
      </w:r>
    </w:p>
    <w:p>
      <w:pPr>
        <w:spacing w:line="357" w:lineRule="auto" w:before="127"/>
        <w:ind w:left="538" w:right="0" w:firstLine="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2</w:t>
      </w:r>
      <w:r>
        <w:rPr>
          <w:rFonts w:ascii="宋体" w:hAnsi="宋体" w:cs="宋体" w:eastAsia="宋体" w:hint="default"/>
          <w:sz w:val="20"/>
          <w:szCs w:val="20"/>
        </w:rPr>
        <w:t>）在建工程结转为固定资产的标准和时点</w:t>
      </w:r>
      <w:r>
        <w:rPr>
          <w:rFonts w:ascii="宋体" w:hAnsi="宋体" w:cs="宋体" w:eastAsia="宋体" w:hint="default"/>
          <w:w w:val="99"/>
          <w:sz w:val="20"/>
          <w:szCs w:val="20"/>
        </w:rPr>
        <w:t> </w:t>
      </w:r>
      <w:r>
        <w:rPr>
          <w:rFonts w:ascii="宋体" w:hAnsi="宋体" w:cs="宋体" w:eastAsia="宋体" w:hint="default"/>
          <w:w w:val="95"/>
          <w:sz w:val="20"/>
          <w:szCs w:val="20"/>
        </w:rPr>
        <w:t>在建工程项目按建造该项资产达到预定可使用状态前所发生的全部支出，作为固定资产的入账价</w:t>
      </w:r>
      <w:r>
        <w:rPr>
          <w:rFonts w:ascii="宋体" w:hAnsi="宋体" w:cs="宋体" w:eastAsia="宋体" w:hint="default"/>
          <w:sz w:val="20"/>
          <w:szCs w:val="20"/>
        </w:rPr>
      </w:r>
    </w:p>
    <w:p>
      <w:pPr>
        <w:spacing w:line="357" w:lineRule="auto" w:before="29"/>
        <w:ind w:left="138" w:right="0" w:firstLine="0"/>
        <w:jc w:val="left"/>
        <w:rPr>
          <w:rFonts w:ascii="宋体" w:hAnsi="宋体" w:cs="宋体" w:eastAsia="宋体" w:hint="default"/>
          <w:sz w:val="20"/>
          <w:szCs w:val="20"/>
        </w:rPr>
      </w:pPr>
      <w:r>
        <w:rPr>
          <w:rFonts w:ascii="宋体" w:hAnsi="宋体" w:cs="宋体" w:eastAsia="宋体" w:hint="default"/>
          <w:sz w:val="20"/>
          <w:szCs w:val="20"/>
        </w:rPr>
        <w:t>值。包括建筑费用、机器设备原价、其他为使在建工程达到预定可使用状态所发生的必要支出以及在</w:t>
      </w:r>
      <w:r>
        <w:rPr>
          <w:rFonts w:ascii="宋体" w:hAnsi="宋体" w:cs="宋体" w:eastAsia="宋体" w:hint="default"/>
          <w:w w:val="99"/>
          <w:sz w:val="20"/>
          <w:szCs w:val="20"/>
        </w:rPr>
        <w:t> </w:t>
      </w:r>
      <w:r>
        <w:rPr>
          <w:rFonts w:ascii="宋体" w:hAnsi="宋体" w:cs="宋体" w:eastAsia="宋体" w:hint="default"/>
          <w:sz w:val="20"/>
          <w:szCs w:val="20"/>
        </w:rPr>
        <w:t>资产达到预定可使用状态之前为该项目专门借款所发生的借款费用及占用的一般借款发生的借款费用。</w:t>
      </w:r>
      <w:r>
        <w:rPr>
          <w:rFonts w:ascii="宋体" w:hAnsi="宋体" w:cs="宋体" w:eastAsia="宋体" w:hint="default"/>
          <w:spacing w:val="-79"/>
          <w:sz w:val="20"/>
          <w:szCs w:val="20"/>
        </w:rPr>
        <w:t> </w:t>
      </w:r>
      <w:r>
        <w:rPr>
          <w:rFonts w:ascii="宋体" w:hAnsi="宋体" w:cs="宋体" w:eastAsia="宋体" w:hint="default"/>
          <w:spacing w:val="-79"/>
          <w:sz w:val="20"/>
          <w:szCs w:val="20"/>
        </w:rPr>
      </w:r>
      <w:r>
        <w:rPr>
          <w:rFonts w:ascii="宋体" w:hAnsi="宋体" w:cs="宋体" w:eastAsia="宋体" w:hint="default"/>
          <w:sz w:val="20"/>
          <w:szCs w:val="20"/>
        </w:rPr>
        <w:t>本公司在建工程安装或建设完成达到预定可使用状态时将在建工程转入固定资产。所建造的已达到预</w:t>
      </w:r>
      <w:r>
        <w:rPr>
          <w:rFonts w:ascii="宋体" w:hAnsi="宋体" w:cs="宋体" w:eastAsia="宋体" w:hint="default"/>
          <w:w w:val="99"/>
          <w:sz w:val="20"/>
          <w:szCs w:val="20"/>
        </w:rPr>
        <w:t> </w:t>
      </w:r>
      <w:r>
        <w:rPr>
          <w:rFonts w:ascii="宋体" w:hAnsi="宋体" w:cs="宋体" w:eastAsia="宋体" w:hint="default"/>
          <w:sz w:val="20"/>
          <w:szCs w:val="20"/>
        </w:rPr>
        <w:t>定可使用状态、但尚未办理竣工决算的固定资产，自达到预定可使用状态之日起，根据工程预算、造</w:t>
      </w:r>
      <w:r>
        <w:rPr>
          <w:rFonts w:ascii="宋体" w:hAnsi="宋体" w:cs="宋体" w:eastAsia="宋体" w:hint="default"/>
          <w:w w:val="99"/>
          <w:sz w:val="20"/>
          <w:szCs w:val="20"/>
        </w:rPr>
        <w:t> </w:t>
      </w:r>
      <w:r>
        <w:rPr>
          <w:rFonts w:ascii="宋体" w:hAnsi="宋体" w:cs="宋体" w:eastAsia="宋体" w:hint="default"/>
          <w:sz w:val="20"/>
          <w:szCs w:val="20"/>
        </w:rPr>
        <w:t>价或者工程实际成本等，按估计的价值转入固定资产，并按本公司固定资产折旧政策计提固定资产的</w:t>
      </w:r>
      <w:r>
        <w:rPr>
          <w:rFonts w:ascii="宋体" w:hAnsi="宋体" w:cs="宋体" w:eastAsia="宋体" w:hint="default"/>
          <w:w w:val="99"/>
          <w:sz w:val="20"/>
          <w:szCs w:val="20"/>
        </w:rPr>
        <w:t> </w:t>
      </w:r>
      <w:r>
        <w:rPr>
          <w:rFonts w:ascii="宋体" w:hAnsi="宋体" w:cs="宋体" w:eastAsia="宋体" w:hint="default"/>
          <w:sz w:val="20"/>
          <w:szCs w:val="20"/>
        </w:rPr>
        <w:t>折旧，待办理竣工决算后，再按实际成本调整原来的暂估价值，但不调整原已计提的折旧额。</w:t>
      </w:r>
    </w:p>
    <w:p>
      <w:pPr>
        <w:spacing w:line="240" w:lineRule="auto" w:before="5"/>
        <w:rPr>
          <w:rFonts w:ascii="宋体" w:hAnsi="宋体" w:cs="宋体" w:eastAsia="宋体" w:hint="default"/>
          <w:sz w:val="27"/>
          <w:szCs w:val="27"/>
        </w:rPr>
      </w:pPr>
    </w:p>
    <w:p>
      <w:pPr>
        <w:pStyle w:val="Heading2"/>
        <w:spacing w:line="240" w:lineRule="auto"/>
        <w:ind w:left="138" w:right="0"/>
        <w:jc w:val="left"/>
        <w:rPr>
          <w:b w:val="0"/>
          <w:bCs w:val="0"/>
        </w:rPr>
      </w:pPr>
      <w:r>
        <w:rPr>
          <w:rFonts w:ascii="宋体" w:hAnsi="宋体" w:cs="宋体" w:eastAsia="宋体" w:hint="default"/>
        </w:rPr>
        <w:t>18.</w:t>
      </w:r>
      <w:r>
        <w:rPr>
          <w:rFonts w:ascii="宋体" w:hAnsi="宋体" w:cs="宋体" w:eastAsia="宋体" w:hint="default"/>
          <w:spacing w:val="2"/>
        </w:rPr>
        <w:t> </w:t>
      </w:r>
      <w:r>
        <w:rPr/>
        <w:t>借款费用</w:t>
      </w:r>
      <w:r>
        <w:rPr>
          <w:b w:val="0"/>
          <w:bCs w:val="0"/>
        </w:rPr>
      </w:r>
    </w:p>
    <w:p>
      <w:pPr>
        <w:pStyle w:val="BodyText"/>
        <w:spacing w:line="273" w:lineRule="exact" w:before="58"/>
        <w:ind w:left="138" w:right="0"/>
        <w:jc w:val="left"/>
      </w:pPr>
      <w:r>
        <w:rPr/>
        <w:t>√适用</w:t>
      </w:r>
      <w:r>
        <w:rPr>
          <w:spacing w:val="-1"/>
        </w:rPr>
        <w:t> </w:t>
      </w:r>
      <w:r>
        <w:rPr/>
        <w:t>□不适用</w:t>
      </w:r>
    </w:p>
    <w:p>
      <w:pPr>
        <w:spacing w:line="355" w:lineRule="auto" w:before="0"/>
        <w:ind w:left="558"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）借款费用资本化的确认原则和资本化期间</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本公司发生的可直接归属于符合资本化条件的资产的购建或生产的借款费用在同时满足下列</w:t>
      </w:r>
    </w:p>
    <w:p>
      <w:pPr>
        <w:pStyle w:val="BodyText"/>
        <w:spacing w:line="240" w:lineRule="auto" w:before="34"/>
        <w:ind w:left="138" w:right="0"/>
        <w:jc w:val="left"/>
      </w:pPr>
      <w:r>
        <w:rPr/>
        <w:t>条件时予以资本化计入相关资产成本：</w:t>
      </w:r>
    </w:p>
    <w:p>
      <w:pPr>
        <w:pStyle w:val="BodyText"/>
        <w:spacing w:line="240" w:lineRule="auto" w:before="133"/>
        <w:ind w:left="558" w:right="0"/>
        <w:jc w:val="left"/>
      </w:pPr>
      <w:r>
        <w:rPr/>
        <w:t>①资产支出已经发生。</w:t>
      </w:r>
    </w:p>
    <w:p>
      <w:pPr>
        <w:pStyle w:val="BodyText"/>
        <w:spacing w:line="240" w:lineRule="auto" w:before="133"/>
        <w:ind w:left="558" w:right="0"/>
        <w:jc w:val="left"/>
      </w:pPr>
      <w:r>
        <w:rPr/>
        <w:t>②借款费用已经发生。</w:t>
      </w:r>
    </w:p>
    <w:p>
      <w:pPr>
        <w:pStyle w:val="BodyText"/>
        <w:spacing w:line="357" w:lineRule="auto" w:before="133"/>
        <w:ind w:left="558" w:right="292"/>
        <w:jc w:val="left"/>
      </w:pPr>
      <w:r>
        <w:rPr/>
        <w:t>③为使资产达到预定可使用状态所必要的购建或者生产活动已经开始。</w:t>
      </w:r>
      <w:r>
        <w:rPr>
          <w:w w:val="100"/>
        </w:rPr>
        <w:t> </w:t>
      </w:r>
      <w:r>
        <w:rPr/>
        <w:t>其他的借款利息、折价或溢价和汇兑差额，计入发生当期的损益。</w:t>
      </w:r>
      <w:r>
        <w:rPr>
          <w:w w:val="100"/>
        </w:rPr>
        <w:t> </w:t>
      </w:r>
      <w:r>
        <w:rPr/>
        <w:t>符合资本化条件的资产在购建或者生产过程中发生非正常中断，且中断时间连续超过</w:t>
      </w:r>
      <w:r>
        <w:rPr>
          <w:spacing w:val="-53"/>
        </w:rPr>
        <w:t> </w:t>
      </w:r>
      <w:r>
        <w:rPr>
          <w:rFonts w:ascii="宋体" w:hAnsi="宋体" w:cs="宋体" w:eastAsia="宋体" w:hint="default"/>
        </w:rPr>
        <w:t>3</w:t>
      </w:r>
      <w:r>
        <w:rPr>
          <w:rFonts w:ascii="宋体" w:hAnsi="宋体" w:cs="宋体" w:eastAsia="宋体" w:hint="default"/>
          <w:spacing w:val="-56"/>
        </w:rPr>
        <w:t> </w:t>
      </w:r>
      <w:r>
        <w:rPr/>
        <w:t>个月</w:t>
      </w:r>
    </w:p>
    <w:p>
      <w:pPr>
        <w:pStyle w:val="BodyText"/>
        <w:spacing w:line="355" w:lineRule="auto" w:before="31"/>
        <w:ind w:left="558" w:right="0" w:hanging="420"/>
        <w:jc w:val="left"/>
      </w:pPr>
      <w:r>
        <w:rPr/>
        <w:t>的，暂停借款费用的资本化。</w:t>
      </w:r>
      <w:r>
        <w:rPr>
          <w:w w:val="100"/>
        </w:rPr>
        <w:t> </w:t>
      </w:r>
      <w:r>
        <w:rPr>
          <w:spacing w:val="-2"/>
        </w:rPr>
        <w:t>当购建或者生产符合资本化条件的资产达到预定可使用或者可销售状态时，停止其借款费用</w:t>
      </w:r>
    </w:p>
    <w:p>
      <w:pPr>
        <w:pStyle w:val="BodyText"/>
        <w:spacing w:line="240" w:lineRule="auto" w:before="32"/>
        <w:ind w:left="138" w:right="0"/>
        <w:jc w:val="left"/>
      </w:pPr>
      <w:r>
        <w:rPr/>
        <w:t>的资本化；以后发生的借款费用于发生当期确认为费用。</w:t>
      </w:r>
    </w:p>
    <w:p>
      <w:pPr>
        <w:spacing w:line="355" w:lineRule="auto" w:before="135"/>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）借款费用资本化率以及资本化金额的计算方法</w:t>
      </w:r>
      <w:r>
        <w:rPr>
          <w:rFonts w:ascii="宋体" w:hAnsi="宋体" w:cs="宋体" w:eastAsia="宋体" w:hint="default"/>
          <w:b/>
          <w:bCs/>
          <w:w w:val="100"/>
          <w:sz w:val="21"/>
          <w:szCs w:val="21"/>
        </w:rPr>
        <w:t> </w:t>
      </w:r>
      <w:r>
        <w:rPr>
          <w:rFonts w:ascii="宋体" w:hAnsi="宋体" w:cs="宋体" w:eastAsia="宋体" w:hint="default"/>
          <w:spacing w:val="-2"/>
          <w:sz w:val="21"/>
          <w:szCs w:val="21"/>
        </w:rPr>
        <w:t>为购建或者生产符合资本化条件的资产而借入专门借款的，以专门借款当期实际发生的利息</w:t>
      </w:r>
    </w:p>
    <w:p>
      <w:pPr>
        <w:pStyle w:val="BodyText"/>
        <w:spacing w:line="357" w:lineRule="auto" w:before="32"/>
        <w:ind w:left="138" w:right="0"/>
        <w:jc w:val="left"/>
      </w:pPr>
      <w:r>
        <w:rPr>
          <w:spacing w:val="-2"/>
        </w:rPr>
        <w:t>费用，减去将尚未动用的借款资金存入银行取得的利息收入或者进行暂时性投资取得的投资收益</w:t>
      </w:r>
      <w:r>
        <w:rPr>
          <w:spacing w:val="-25"/>
        </w:rPr>
        <w:t> </w:t>
      </w:r>
      <w:r>
        <w:rPr>
          <w:spacing w:val="-25"/>
        </w:rPr>
      </w:r>
      <w:r>
        <w:rPr/>
        <w:t>后的金额，确定为专门借款利息费用的资本化金额。</w:t>
      </w:r>
      <w:r>
        <w:rPr>
          <w:w w:val="100"/>
        </w:rPr>
        <w:t> </w:t>
      </w:r>
      <w:r>
        <w:rPr>
          <w:spacing w:val="-2"/>
        </w:rPr>
        <w:t>购建或者生产符合资本化条件的资产占用了一般借款的，一般借款予以资本化的利息金额按累计</w:t>
      </w:r>
      <w:r>
        <w:rPr>
          <w:spacing w:val="-26"/>
        </w:rPr>
        <w:t> </w:t>
      </w:r>
      <w:r>
        <w:rPr>
          <w:spacing w:val="-26"/>
        </w:rPr>
      </w:r>
      <w:r>
        <w:rPr>
          <w:spacing w:val="-2"/>
        </w:rPr>
        <w:t>资产支出超过专门借款部分的资产支出加权平均数乘以所占用一般借款的资本化率，计算确定一</w:t>
      </w:r>
      <w:r>
        <w:rPr>
          <w:spacing w:val="-25"/>
        </w:rPr>
        <w:t> </w:t>
      </w:r>
      <w:r>
        <w:rPr>
          <w:spacing w:val="-25"/>
        </w:rPr>
      </w:r>
      <w:r>
        <w:rPr/>
        <w:t>般借款予以资本化的利息金额。资本化率根据一般借款加权平均利率计算确定。</w:t>
      </w:r>
    </w:p>
    <w:p>
      <w:pPr>
        <w:spacing w:after="0" w:line="357" w:lineRule="auto"/>
        <w:jc w:val="left"/>
        <w:sectPr>
          <w:pgSz w:w="11910" w:h="16840"/>
          <w:pgMar w:header="882" w:footer="1195" w:top="1120" w:bottom="1380" w:left="166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75"/>
        <w:ind w:left="238" w:right="930"/>
        <w:jc w:val="left"/>
        <w:rPr>
          <w:b w:val="0"/>
          <w:bCs w:val="0"/>
        </w:rPr>
      </w:pPr>
      <w:r>
        <w:rPr>
          <w:rFonts w:ascii="宋体" w:hAnsi="宋体" w:cs="宋体" w:eastAsia="宋体" w:hint="default"/>
        </w:rPr>
        <w:t>19.</w:t>
      </w:r>
      <w:r>
        <w:rPr>
          <w:rFonts w:ascii="宋体" w:hAnsi="宋体" w:cs="宋体" w:eastAsia="宋体" w:hint="default"/>
          <w:spacing w:val="2"/>
        </w:rPr>
        <w:t> </w:t>
      </w:r>
      <w:r>
        <w:rPr/>
        <w:t>生物资产</w:t>
      </w:r>
      <w:r>
        <w:rPr>
          <w:b w:val="0"/>
          <w:bCs w:val="0"/>
        </w:rPr>
      </w:r>
    </w:p>
    <w:p>
      <w:pPr>
        <w:pStyle w:val="BodyText"/>
        <w:spacing w:line="240" w:lineRule="auto" w:before="56"/>
        <w:ind w:left="238" w:right="93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238" w:right="930"/>
        <w:jc w:val="left"/>
        <w:rPr>
          <w:b w:val="0"/>
          <w:bCs w:val="0"/>
        </w:rPr>
      </w:pPr>
      <w:r>
        <w:rPr>
          <w:rFonts w:ascii="宋体" w:hAnsi="宋体" w:cs="宋体" w:eastAsia="宋体" w:hint="default"/>
        </w:rPr>
        <w:t>20.</w:t>
      </w:r>
      <w:r>
        <w:rPr>
          <w:rFonts w:ascii="宋体" w:hAnsi="宋体" w:cs="宋体" w:eastAsia="宋体" w:hint="default"/>
          <w:spacing w:val="2"/>
        </w:rPr>
        <w:t> </w:t>
      </w:r>
      <w:r>
        <w:rPr/>
        <w:t>油气资产</w:t>
      </w:r>
      <w:r>
        <w:rPr>
          <w:b w:val="0"/>
          <w:bCs w:val="0"/>
        </w:rPr>
      </w:r>
    </w:p>
    <w:p>
      <w:pPr>
        <w:pStyle w:val="BodyText"/>
        <w:spacing w:line="240" w:lineRule="auto" w:before="58"/>
        <w:ind w:left="238" w:right="93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238" w:right="930"/>
        <w:jc w:val="left"/>
        <w:rPr>
          <w:b w:val="0"/>
          <w:bCs w:val="0"/>
        </w:rPr>
      </w:pPr>
      <w:r>
        <w:rPr>
          <w:rFonts w:ascii="宋体" w:hAnsi="宋体" w:cs="宋体" w:eastAsia="宋体" w:hint="default"/>
        </w:rPr>
        <w:t>21.</w:t>
      </w:r>
      <w:r>
        <w:rPr>
          <w:rFonts w:ascii="宋体" w:hAnsi="宋体" w:cs="宋体" w:eastAsia="宋体" w:hint="default"/>
          <w:spacing w:val="2"/>
        </w:rPr>
        <w:t> </w:t>
      </w:r>
      <w:r>
        <w:rPr/>
        <w:t>无形资产</w:t>
      </w:r>
      <w:r>
        <w:rPr>
          <w:b w:val="0"/>
          <w:bCs w:val="0"/>
        </w:rPr>
      </w:r>
    </w:p>
    <w:p>
      <w:pPr>
        <w:pStyle w:val="Heading2"/>
        <w:spacing w:line="240" w:lineRule="auto" w:before="56"/>
        <w:ind w:left="238" w:right="930"/>
        <w:jc w:val="left"/>
        <w:rPr>
          <w:b w:val="0"/>
          <w:bCs w:val="0"/>
        </w:rPr>
      </w:pPr>
      <w:r>
        <w:rPr>
          <w:rFonts w:ascii="宋体" w:hAnsi="宋体" w:cs="宋体" w:eastAsia="宋体" w:hint="default"/>
        </w:rPr>
        <w:t>(1).</w:t>
      </w:r>
      <w:r>
        <w:rPr>
          <w:rFonts w:ascii="宋体" w:hAnsi="宋体" w:cs="宋体" w:eastAsia="宋体" w:hint="default"/>
          <w:spacing w:val="-82"/>
        </w:rPr>
        <w:t> </w:t>
      </w:r>
      <w:r>
        <w:rPr/>
        <w:t>计价方法、使用寿命、减值测试</w:t>
      </w:r>
      <w:r>
        <w:rPr>
          <w:b w:val="0"/>
          <w:bCs w:val="0"/>
        </w:rPr>
      </w:r>
    </w:p>
    <w:p>
      <w:pPr>
        <w:pStyle w:val="BodyText"/>
        <w:spacing w:line="273" w:lineRule="exact" w:before="58"/>
        <w:ind w:left="238" w:right="930"/>
        <w:jc w:val="left"/>
      </w:pPr>
      <w:r>
        <w:rPr/>
        <w:t>√适用</w:t>
      </w:r>
      <w:r>
        <w:rPr>
          <w:spacing w:val="-1"/>
        </w:rPr>
        <w:t> </w:t>
      </w:r>
      <w:r>
        <w:rPr/>
        <w:t>□不适用</w:t>
      </w:r>
    </w:p>
    <w:p>
      <w:pPr>
        <w:spacing w:line="357" w:lineRule="auto" w:before="0"/>
        <w:ind w:left="658" w:right="611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）无形资产的计价方法</w:t>
      </w:r>
      <w:r>
        <w:rPr>
          <w:rFonts w:ascii="宋体" w:hAnsi="宋体" w:cs="宋体" w:eastAsia="宋体" w:hint="default"/>
          <w:b/>
          <w:bCs/>
          <w:w w:val="100"/>
          <w:sz w:val="21"/>
          <w:szCs w:val="21"/>
        </w:rPr>
        <w:t> </w:t>
      </w:r>
      <w:r>
        <w:rPr>
          <w:rFonts w:ascii="宋体" w:hAnsi="宋体" w:cs="宋体" w:eastAsia="宋体" w:hint="default"/>
          <w:spacing w:val="-2"/>
          <w:sz w:val="21"/>
          <w:szCs w:val="21"/>
        </w:rPr>
        <w:t>按取得时的实际成本入账。</w:t>
      </w:r>
    </w:p>
    <w:p>
      <w:pPr>
        <w:pStyle w:val="Heading2"/>
        <w:spacing w:line="240" w:lineRule="auto" w:before="32"/>
        <w:ind w:left="660" w:right="930"/>
        <w:jc w:val="left"/>
        <w:rPr>
          <w:b w:val="0"/>
          <w:bCs w:val="0"/>
        </w:rPr>
      </w:pPr>
      <w:r>
        <w:rPr/>
        <w:t>（</w:t>
      </w:r>
      <w:r>
        <w:rPr>
          <w:rFonts w:ascii="宋体" w:hAnsi="宋体" w:cs="宋体" w:eastAsia="宋体" w:hint="default"/>
        </w:rPr>
        <w:t>2</w:t>
      </w:r>
      <w:r>
        <w:rPr/>
        <w:t>）无形资产使用寿命及摊销</w:t>
      </w:r>
      <w:r>
        <w:rPr>
          <w:b w:val="0"/>
          <w:bCs w:val="0"/>
        </w:rPr>
      </w:r>
    </w:p>
    <w:p>
      <w:pPr>
        <w:pStyle w:val="BodyText"/>
        <w:spacing w:line="240" w:lineRule="auto" w:before="133"/>
        <w:ind w:left="658" w:right="930"/>
        <w:jc w:val="left"/>
      </w:pPr>
      <w:r>
        <w:rPr/>
        <w:t>①使用寿命有限的无形资产的使用寿命估计情况：</w:t>
      </w:r>
    </w:p>
    <w:p>
      <w:pPr>
        <w:spacing w:line="240" w:lineRule="auto" w:before="10"/>
        <w:rPr>
          <w:rFonts w:ascii="宋体" w:hAnsi="宋体" w:cs="宋体" w:eastAsia="宋体"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2018"/>
        <w:gridCol w:w="1820"/>
        <w:gridCol w:w="5226"/>
      </w:tblGrid>
      <w:tr>
        <w:trPr>
          <w:trHeight w:val="427" w:hRule="exact"/>
        </w:trPr>
        <w:tc>
          <w:tcPr>
            <w:tcW w:w="2018" w:type="dxa"/>
            <w:tcBorders>
              <w:top w:val="single" w:sz="12" w:space="0" w:color="000000"/>
              <w:left w:val="nil" w:sz="6" w:space="0" w:color="auto"/>
              <w:bottom w:val="single" w:sz="2" w:space="0" w:color="000000"/>
              <w:right w:val="single" w:sz="2" w:space="0" w:color="000000"/>
            </w:tcBorders>
          </w:tcPr>
          <w:p>
            <w:pPr>
              <w:pStyle w:val="TableParagraph"/>
              <w:spacing w:line="243" w:lineRule="exact"/>
              <w:ind w:right="785"/>
              <w:jc w:val="right"/>
              <w:rPr>
                <w:rFonts w:ascii="宋体" w:hAnsi="宋体" w:cs="宋体" w:eastAsia="宋体" w:hint="default"/>
                <w:sz w:val="21"/>
                <w:szCs w:val="21"/>
              </w:rPr>
            </w:pPr>
            <w:r>
              <w:rPr>
                <w:rFonts w:ascii="宋体" w:hAnsi="宋体" w:cs="宋体" w:eastAsia="宋体" w:hint="default"/>
                <w:sz w:val="21"/>
                <w:szCs w:val="21"/>
              </w:rPr>
              <w:t>项目</w:t>
            </w:r>
          </w:p>
        </w:tc>
        <w:tc>
          <w:tcPr>
            <w:tcW w:w="1820" w:type="dxa"/>
            <w:tcBorders>
              <w:top w:val="single" w:sz="12" w:space="0" w:color="000000"/>
              <w:left w:val="single" w:sz="2" w:space="0" w:color="000000"/>
              <w:bottom w:val="single" w:sz="2" w:space="0" w:color="000000"/>
              <w:right w:val="single" w:sz="2"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预计使用寿命</w:t>
            </w:r>
          </w:p>
        </w:tc>
        <w:tc>
          <w:tcPr>
            <w:tcW w:w="5226" w:type="dxa"/>
            <w:tcBorders>
              <w:top w:val="single" w:sz="12" w:space="0" w:color="000000"/>
              <w:left w:val="single" w:sz="2" w:space="0" w:color="000000"/>
              <w:bottom w:val="single" w:sz="2" w:space="0" w:color="000000"/>
              <w:right w:val="nil" w:sz="6" w:space="0" w:color="auto"/>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依据</w:t>
            </w:r>
          </w:p>
        </w:tc>
      </w:tr>
      <w:tr>
        <w:trPr>
          <w:trHeight w:val="413" w:hRule="exact"/>
        </w:trPr>
        <w:tc>
          <w:tcPr>
            <w:tcW w:w="2018" w:type="dxa"/>
            <w:tcBorders>
              <w:top w:val="single" w:sz="2" w:space="0" w:color="000000"/>
              <w:left w:val="nil" w:sz="6" w:space="0" w:color="auto"/>
              <w:bottom w:val="single" w:sz="2" w:space="0" w:color="000000"/>
              <w:right w:val="single" w:sz="2" w:space="0" w:color="000000"/>
            </w:tcBorders>
          </w:tcPr>
          <w:p>
            <w:pPr>
              <w:pStyle w:val="TableParagraph"/>
              <w:spacing w:line="241" w:lineRule="exact"/>
              <w:ind w:right="837"/>
              <w:jc w:val="right"/>
              <w:rPr>
                <w:rFonts w:ascii="宋体" w:hAnsi="宋体" w:cs="宋体" w:eastAsia="宋体" w:hint="default"/>
                <w:sz w:val="21"/>
                <w:szCs w:val="21"/>
              </w:rPr>
            </w:pPr>
            <w:r>
              <w:rPr>
                <w:rFonts w:ascii="宋体" w:hAnsi="宋体" w:cs="宋体" w:eastAsia="宋体" w:hint="default"/>
                <w:spacing w:val="-1"/>
                <w:sz w:val="21"/>
                <w:szCs w:val="21"/>
              </w:rPr>
              <w:t>土地使用权</w:t>
            </w:r>
          </w:p>
        </w:tc>
        <w:tc>
          <w:tcPr>
            <w:tcW w:w="1820"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48</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5226" w:type="dxa"/>
            <w:tcBorders>
              <w:top w:val="single" w:sz="2" w:space="0" w:color="000000"/>
              <w:left w:val="single" w:sz="2" w:space="0" w:color="000000"/>
              <w:bottom w:val="single" w:sz="2" w:space="0" w:color="000000"/>
              <w:right w:val="nil" w:sz="6" w:space="0" w:color="auto"/>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剩余法定使用权</w:t>
            </w:r>
          </w:p>
        </w:tc>
      </w:tr>
      <w:tr>
        <w:trPr>
          <w:trHeight w:val="427" w:hRule="exact"/>
        </w:trPr>
        <w:tc>
          <w:tcPr>
            <w:tcW w:w="2018" w:type="dxa"/>
            <w:tcBorders>
              <w:top w:val="single" w:sz="2" w:space="0" w:color="000000"/>
              <w:left w:val="nil" w:sz="6" w:space="0" w:color="auto"/>
              <w:bottom w:val="single" w:sz="12" w:space="0" w:color="000000"/>
              <w:right w:val="single" w:sz="2" w:space="0" w:color="000000"/>
            </w:tcBorders>
          </w:tcPr>
          <w:p>
            <w:pPr>
              <w:pStyle w:val="TableParagraph"/>
              <w:spacing w:line="241" w:lineRule="exact"/>
              <w:ind w:right="837"/>
              <w:jc w:val="right"/>
              <w:rPr>
                <w:rFonts w:ascii="宋体" w:hAnsi="宋体" w:cs="宋体" w:eastAsia="宋体" w:hint="default"/>
                <w:sz w:val="21"/>
                <w:szCs w:val="21"/>
              </w:rPr>
            </w:pPr>
            <w:r>
              <w:rPr>
                <w:rFonts w:ascii="宋体" w:hAnsi="宋体" w:cs="宋体" w:eastAsia="宋体" w:hint="default"/>
                <w:spacing w:val="-1"/>
                <w:sz w:val="21"/>
                <w:szCs w:val="21"/>
              </w:rPr>
              <w:t>计算机软件</w:t>
            </w:r>
          </w:p>
        </w:tc>
        <w:tc>
          <w:tcPr>
            <w:tcW w:w="1820" w:type="dxa"/>
            <w:tcBorders>
              <w:top w:val="single" w:sz="2" w:space="0" w:color="000000"/>
              <w:left w:val="single" w:sz="2" w:space="0" w:color="000000"/>
              <w:bottom w:val="single" w:sz="12" w:space="0" w:color="000000"/>
              <w:right w:val="single" w:sz="2"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5-10</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5226" w:type="dxa"/>
            <w:tcBorders>
              <w:top w:val="single" w:sz="2" w:space="0" w:color="000000"/>
              <w:left w:val="single" w:sz="2" w:space="0" w:color="000000"/>
              <w:bottom w:val="single" w:sz="12" w:space="0" w:color="000000"/>
              <w:right w:val="nil" w:sz="6" w:space="0" w:color="auto"/>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参考能为公司带来经济利益的期限确定使用寿命</w:t>
            </w:r>
          </w:p>
        </w:tc>
      </w:tr>
    </w:tbl>
    <w:p>
      <w:pPr>
        <w:pStyle w:val="BodyText"/>
        <w:spacing w:line="241" w:lineRule="exact"/>
        <w:ind w:left="658" w:right="0"/>
        <w:jc w:val="left"/>
      </w:pPr>
      <w:r>
        <w:rPr/>
        <w:t>每年年度终了，公司对使用寿命有限的无形资产的使用寿命及摊销方法进行复核。经复核，</w:t>
      </w:r>
    </w:p>
    <w:p>
      <w:pPr>
        <w:pStyle w:val="BodyText"/>
        <w:spacing w:line="240" w:lineRule="auto" w:before="133"/>
        <w:ind w:left="238" w:right="930"/>
        <w:jc w:val="left"/>
      </w:pPr>
      <w:r>
        <w:rPr/>
        <w:t>本期末无形资产的使用寿命及摊销方法与以前估计未有不同。</w:t>
      </w:r>
    </w:p>
    <w:p>
      <w:pPr>
        <w:pStyle w:val="BodyText"/>
        <w:spacing w:line="357" w:lineRule="auto" w:before="133"/>
        <w:ind w:left="238" w:right="257" w:firstLine="419"/>
        <w:jc w:val="both"/>
      </w:pPr>
      <w:r>
        <w:rPr>
          <w:spacing w:val="-2"/>
        </w:rPr>
        <w:t>②无法预见无形资产为企业带来经济利益期限的，视为使用寿命不确定的无形资产。对于使</w:t>
      </w:r>
      <w:r>
        <w:rPr>
          <w:w w:val="100"/>
        </w:rPr>
        <w:t> </w:t>
      </w:r>
      <w:r>
        <w:rPr>
          <w:spacing w:val="-2"/>
        </w:rPr>
        <w:t>用寿命不确定的无形资产，公司在每年年度终了对使用寿命不确定的无形资产的使用寿命进行复</w:t>
      </w:r>
      <w:r>
        <w:rPr>
          <w:spacing w:val="-25"/>
        </w:rPr>
        <w:t> </w:t>
      </w:r>
      <w:r>
        <w:rPr>
          <w:spacing w:val="-25"/>
        </w:rPr>
      </w:r>
      <w:r>
        <w:rPr/>
        <w:t>核，如果重新复核后仍为不确定的，于在资产负债表日进行减值测试。</w:t>
      </w:r>
    </w:p>
    <w:p>
      <w:pPr>
        <w:pStyle w:val="BodyText"/>
        <w:spacing w:line="355" w:lineRule="auto" w:before="30"/>
        <w:ind w:left="658" w:right="0"/>
        <w:jc w:val="left"/>
      </w:pPr>
      <w:r>
        <w:rPr/>
        <w:t>③无形资产的摊销</w:t>
      </w:r>
      <w:r>
        <w:rPr>
          <w:w w:val="100"/>
        </w:rPr>
        <w:t> </w:t>
      </w:r>
      <w:r>
        <w:rPr>
          <w:spacing w:val="-2"/>
        </w:rPr>
        <w:t>对于使用寿命有限的无形资产，本公司在取得时判定其使用寿命，在使用寿命内采用直线法</w:t>
      </w:r>
    </w:p>
    <w:p>
      <w:pPr>
        <w:pStyle w:val="BodyText"/>
        <w:spacing w:line="357" w:lineRule="auto" w:before="32"/>
        <w:ind w:left="238" w:right="0"/>
        <w:jc w:val="left"/>
      </w:pPr>
      <w:r>
        <w:rPr>
          <w:spacing w:val="-2"/>
        </w:rPr>
        <w:t>系统合理摊销，摊销金额按受益项目计入当期损益。具体摊销金额为其成本扣除预计残值后的金</w:t>
      </w:r>
      <w:r>
        <w:rPr>
          <w:spacing w:val="-25"/>
        </w:rPr>
        <w:t> </w:t>
      </w:r>
      <w:r>
        <w:rPr>
          <w:spacing w:val="-25"/>
        </w:rPr>
      </w:r>
      <w:r>
        <w:rPr>
          <w:spacing w:val="-2"/>
        </w:rPr>
        <w:t>额。已计提减值准备的无形资产，还扣除已计提的无形资产减值准备累计金额，残值为零。但下</w:t>
      </w:r>
      <w:r>
        <w:rPr>
          <w:spacing w:val="-25"/>
        </w:rPr>
        <w:t> </w:t>
      </w:r>
      <w:r>
        <w:rPr>
          <w:spacing w:val="-25"/>
        </w:rPr>
      </w:r>
      <w:r>
        <w:rPr>
          <w:spacing w:val="-2"/>
        </w:rPr>
        <w:t>列情况除外：有第三方承诺在无形资产使用寿命结束时购买该无形资产或可以根据活跃市场得到</w:t>
      </w:r>
      <w:r>
        <w:rPr>
          <w:spacing w:val="-25"/>
        </w:rPr>
        <w:t> </w:t>
      </w:r>
      <w:r>
        <w:rPr>
          <w:spacing w:val="-25"/>
        </w:rPr>
      </w:r>
      <w:r>
        <w:rPr/>
        <w:t>预计残值信息，并且该市场在无形资产使用寿命结束时很可能存在。</w:t>
      </w:r>
      <w:r>
        <w:rPr>
          <w:w w:val="100"/>
        </w:rPr>
        <w:t> </w:t>
      </w:r>
      <w:r>
        <w:rPr>
          <w:spacing w:val="-2"/>
        </w:rPr>
        <w:t>对使用寿命不确定的无形资产，不予摊销。每年年度终了对使用寿命不确定的无形资产的使用寿</w:t>
      </w:r>
      <w:r>
        <w:rPr>
          <w:spacing w:val="-26"/>
        </w:rPr>
        <w:t> </w:t>
      </w:r>
      <w:r>
        <w:rPr>
          <w:spacing w:val="-26"/>
        </w:rPr>
      </w:r>
      <w:r>
        <w:rPr>
          <w:spacing w:val="-2"/>
        </w:rPr>
        <w:t>命进行复核，如果有证据表明无形资产的使用寿命是有限的，估计其使用寿命并在预计使用年限</w:t>
      </w:r>
      <w:r>
        <w:rPr>
          <w:spacing w:val="-25"/>
        </w:rPr>
        <w:t> </w:t>
      </w:r>
      <w:r>
        <w:rPr>
          <w:spacing w:val="-25"/>
        </w:rPr>
      </w:r>
      <w:r>
        <w:rPr/>
        <w:t>内系统合理摊销。</w:t>
      </w:r>
    </w:p>
    <w:p>
      <w:pPr>
        <w:spacing w:line="240" w:lineRule="auto" w:before="8"/>
        <w:rPr>
          <w:rFonts w:ascii="宋体" w:hAnsi="宋体" w:cs="宋体" w:eastAsia="宋体" w:hint="default"/>
          <w:sz w:val="27"/>
          <w:szCs w:val="27"/>
        </w:rPr>
      </w:pPr>
    </w:p>
    <w:p>
      <w:pPr>
        <w:pStyle w:val="Heading2"/>
        <w:spacing w:line="240" w:lineRule="auto"/>
        <w:ind w:left="238" w:right="930"/>
        <w:jc w:val="left"/>
        <w:rPr>
          <w:b w:val="0"/>
          <w:bCs w:val="0"/>
        </w:rPr>
      </w:pPr>
      <w:r>
        <w:rPr>
          <w:rFonts w:ascii="宋体" w:hAnsi="宋体" w:cs="宋体" w:eastAsia="宋体" w:hint="default"/>
        </w:rPr>
        <w:t>(2).</w:t>
      </w:r>
      <w:r>
        <w:rPr>
          <w:rFonts w:ascii="宋体" w:hAnsi="宋体" w:cs="宋体" w:eastAsia="宋体" w:hint="default"/>
          <w:spacing w:val="-83"/>
        </w:rPr>
        <w:t> </w:t>
      </w:r>
      <w:r>
        <w:rPr/>
        <w:t>内部研究开发支出会计政策</w:t>
      </w:r>
      <w:r>
        <w:rPr>
          <w:b w:val="0"/>
          <w:bCs w:val="0"/>
        </w:rPr>
      </w:r>
    </w:p>
    <w:p>
      <w:pPr>
        <w:pStyle w:val="BodyText"/>
        <w:spacing w:line="240" w:lineRule="auto" w:before="58"/>
        <w:ind w:left="238" w:right="93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238" w:right="930"/>
        <w:jc w:val="left"/>
        <w:rPr>
          <w:b w:val="0"/>
          <w:bCs w:val="0"/>
        </w:rPr>
      </w:pPr>
      <w:r>
        <w:rPr>
          <w:rFonts w:ascii="宋体" w:hAnsi="宋体" w:cs="宋体" w:eastAsia="宋体" w:hint="default"/>
        </w:rPr>
        <w:t>22.</w:t>
      </w:r>
      <w:r>
        <w:rPr>
          <w:rFonts w:ascii="宋体" w:hAnsi="宋体" w:cs="宋体" w:eastAsia="宋体" w:hint="default"/>
          <w:spacing w:val="3"/>
        </w:rPr>
        <w:t> </w:t>
      </w:r>
      <w:r>
        <w:rPr/>
        <w:t>长期资产减值</w:t>
      </w:r>
      <w:r>
        <w:rPr>
          <w:b w:val="0"/>
          <w:bCs w:val="0"/>
        </w:rPr>
      </w:r>
    </w:p>
    <w:p>
      <w:pPr>
        <w:pStyle w:val="BodyText"/>
        <w:spacing w:line="240" w:lineRule="auto" w:before="56"/>
        <w:ind w:left="238" w:right="930"/>
        <w:jc w:val="left"/>
      </w:pPr>
      <w:r>
        <w:rPr/>
        <w:t>√适用</w:t>
      </w:r>
      <w:r>
        <w:rPr>
          <w:spacing w:val="-1"/>
        </w:rPr>
        <w:t> </w:t>
      </w:r>
      <w:r>
        <w:rPr/>
        <w:t>□不适用</w:t>
      </w:r>
    </w:p>
    <w:p>
      <w:pPr>
        <w:spacing w:after="0" w:line="240" w:lineRule="auto"/>
        <w:jc w:val="left"/>
        <w:sectPr>
          <w:footerReference w:type="default" r:id="rId39"/>
          <w:pgSz w:w="11910" w:h="16840"/>
          <w:pgMar w:footer="1195" w:header="882" w:top="1120" w:bottom="1380" w:left="1560" w:right="1020"/>
          <w:pgNumType w:start="96"/>
        </w:sectPr>
      </w:pPr>
    </w:p>
    <w:p>
      <w:pPr>
        <w:spacing w:line="240" w:lineRule="auto" w:before="1"/>
        <w:rPr>
          <w:rFonts w:ascii="宋体" w:hAnsi="宋体" w:cs="宋体" w:eastAsia="宋体" w:hint="default"/>
          <w:sz w:val="25"/>
          <w:szCs w:val="25"/>
        </w:rPr>
      </w:pPr>
    </w:p>
    <w:p>
      <w:pPr>
        <w:spacing w:line="357" w:lineRule="auto" w:before="36"/>
        <w:ind w:left="558" w:right="10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）长期股权投资减值测试方法及会计处理方法</w:t>
      </w:r>
      <w:r>
        <w:rPr>
          <w:rFonts w:ascii="宋体" w:hAnsi="宋体" w:cs="宋体" w:eastAsia="宋体" w:hint="default"/>
          <w:b/>
          <w:bCs/>
          <w:w w:val="100"/>
          <w:sz w:val="21"/>
          <w:szCs w:val="21"/>
        </w:rPr>
        <w:t> </w:t>
      </w:r>
      <w:r>
        <w:rPr>
          <w:rFonts w:ascii="宋体" w:hAnsi="宋体" w:cs="宋体" w:eastAsia="宋体" w:hint="default"/>
          <w:spacing w:val="-7"/>
          <w:w w:val="100"/>
          <w:sz w:val="21"/>
          <w:szCs w:val="21"/>
        </w:rPr>
        <w:t>本公司在资产负债表日对长期股权投资进行逐项检查，根据被投资单位经营政策、法律环境、</w:t>
      </w:r>
    </w:p>
    <w:p>
      <w:pPr>
        <w:pStyle w:val="BodyText"/>
        <w:spacing w:line="355" w:lineRule="auto" w:before="30"/>
        <w:ind w:left="138" w:right="217"/>
        <w:jc w:val="both"/>
      </w:pPr>
      <w:r>
        <w:rPr>
          <w:spacing w:val="-2"/>
        </w:rPr>
        <w:t>市场需求、行业及盈利能力等的各种变化判断长期股权投资是否存在减值迹象。当长期股权投资</w:t>
      </w:r>
      <w:r>
        <w:rPr>
          <w:spacing w:val="-25"/>
        </w:rPr>
        <w:t> </w:t>
      </w:r>
      <w:r>
        <w:rPr>
          <w:spacing w:val="-25"/>
        </w:rPr>
      </w:r>
      <w:r>
        <w:rPr>
          <w:spacing w:val="-2"/>
        </w:rPr>
        <w:t>可收回金额低于账面价值时，将可收回金额低于长期股权投资账面价值的差额作为长期股权投资</w:t>
      </w:r>
      <w:r>
        <w:rPr>
          <w:spacing w:val="-25"/>
        </w:rPr>
        <w:t> </w:t>
      </w:r>
      <w:r>
        <w:rPr>
          <w:spacing w:val="-25"/>
        </w:rPr>
      </w:r>
      <w:r>
        <w:rPr/>
        <w:t>减值准备予以计提。资产减值损失一经确认，在以后会计期间不再转回。</w:t>
      </w:r>
    </w:p>
    <w:p>
      <w:pPr>
        <w:spacing w:line="357" w:lineRule="auto" w:before="32"/>
        <w:ind w:left="558" w:right="104"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）固定资产的减值测试方法及会计处理方法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本公司在资产负债表日对各项固定资产进行判断，当存在减值迹象，估计可收回金额低于其</w:t>
      </w:r>
    </w:p>
    <w:p>
      <w:pPr>
        <w:pStyle w:val="BodyText"/>
        <w:spacing w:line="357" w:lineRule="auto" w:before="30"/>
        <w:ind w:left="138" w:right="217"/>
        <w:jc w:val="both"/>
      </w:pPr>
      <w:r>
        <w:rPr>
          <w:spacing w:val="-2"/>
        </w:rPr>
        <w:t>账面价值时，账面价值减记至可收回金额，减记的金额确认为资产减值损失，计入当期损益，同</w:t>
      </w:r>
      <w:r>
        <w:rPr>
          <w:spacing w:val="-25"/>
        </w:rPr>
        <w:t> </w:t>
      </w:r>
      <w:r>
        <w:rPr>
          <w:spacing w:val="-25"/>
        </w:rPr>
      </w:r>
      <w:r>
        <w:rPr>
          <w:spacing w:val="-2"/>
        </w:rPr>
        <w:t>时计提相应的资产减值准备。资产减值损失一经确认，在以后会计期间不再转回。当存在下列迹</w:t>
      </w:r>
      <w:r>
        <w:rPr>
          <w:spacing w:val="-25"/>
        </w:rPr>
        <w:t> </w:t>
      </w:r>
      <w:r>
        <w:rPr>
          <w:spacing w:val="-25"/>
        </w:rPr>
      </w:r>
      <w:r>
        <w:rPr/>
        <w:t>象的，按固定资产单项项目全额计提减值准备：</w:t>
      </w:r>
    </w:p>
    <w:p>
      <w:pPr>
        <w:pStyle w:val="BodyText"/>
        <w:spacing w:line="240" w:lineRule="auto" w:before="32"/>
        <w:ind w:left="558" w:right="104"/>
        <w:jc w:val="left"/>
      </w:pPr>
      <w:r>
        <w:rPr/>
        <w:t>①长期闲置不用，在可预见的未来不会再使用，且已无转让价值的固定资产。</w:t>
      </w:r>
    </w:p>
    <w:p>
      <w:pPr>
        <w:pStyle w:val="BodyText"/>
        <w:spacing w:line="240" w:lineRule="auto" w:before="133"/>
        <w:ind w:left="558" w:right="104"/>
        <w:jc w:val="left"/>
      </w:pPr>
      <w:r>
        <w:rPr/>
        <w:t>②由于技术进步等原因，已不可使用的固定资产。</w:t>
      </w:r>
    </w:p>
    <w:p>
      <w:pPr>
        <w:pStyle w:val="BodyText"/>
        <w:spacing w:line="240" w:lineRule="auto" w:before="133"/>
        <w:ind w:left="558" w:right="104"/>
        <w:jc w:val="left"/>
      </w:pPr>
      <w:r>
        <w:rPr/>
        <w:t>③虽然固定资产尚可使用，但使用后产生大量不合格品的固定资产。</w:t>
      </w:r>
    </w:p>
    <w:p>
      <w:pPr>
        <w:pStyle w:val="BodyText"/>
        <w:spacing w:line="240" w:lineRule="auto" w:before="133"/>
        <w:ind w:left="558" w:right="104"/>
        <w:jc w:val="left"/>
      </w:pPr>
      <w:r>
        <w:rPr/>
        <w:t>④已遭毁损，以至于不再具有使用价值和转让价值的固定资产。</w:t>
      </w:r>
    </w:p>
    <w:p>
      <w:pPr>
        <w:pStyle w:val="BodyText"/>
        <w:spacing w:line="240" w:lineRule="auto" w:before="133"/>
        <w:ind w:left="558" w:right="104"/>
        <w:jc w:val="left"/>
      </w:pPr>
      <w:r>
        <w:rPr/>
        <w:t>⑤其他实质上已经不能再给公司带来经济利益的固定资产。</w:t>
      </w:r>
    </w:p>
    <w:p>
      <w:pPr>
        <w:spacing w:line="357" w:lineRule="auto" w:before="135"/>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）在建工程减值测试方法及会计处理方法</w:t>
      </w:r>
      <w:r>
        <w:rPr>
          <w:rFonts w:ascii="宋体" w:hAnsi="宋体" w:cs="宋体" w:eastAsia="宋体" w:hint="default"/>
          <w:b/>
          <w:bCs/>
          <w:w w:val="100"/>
          <w:sz w:val="21"/>
          <w:szCs w:val="21"/>
        </w:rPr>
        <w:t> </w:t>
      </w:r>
      <w:r>
        <w:rPr>
          <w:rFonts w:ascii="宋体" w:hAnsi="宋体" w:cs="宋体" w:eastAsia="宋体" w:hint="default"/>
          <w:spacing w:val="-4"/>
          <w:w w:val="100"/>
          <w:sz w:val="21"/>
          <w:szCs w:val="21"/>
        </w:rPr>
        <w:t>本公司于资产负债表日对在建工程进行全面检查，如果有证据表明在建工程已经发生了减值，</w:t>
      </w:r>
    </w:p>
    <w:p>
      <w:pPr>
        <w:pStyle w:val="BodyText"/>
        <w:spacing w:line="355" w:lineRule="auto" w:before="30"/>
        <w:ind w:left="138" w:right="217"/>
        <w:jc w:val="both"/>
      </w:pPr>
      <w:r>
        <w:rPr>
          <w:spacing w:val="-2"/>
        </w:rPr>
        <w:t>估计可收回金额低于其账面价值时，账面价值减记至可收回金额，减记的金额确认为资产减值损</w:t>
      </w:r>
      <w:r>
        <w:rPr>
          <w:spacing w:val="-25"/>
        </w:rPr>
        <w:t> </w:t>
      </w:r>
      <w:r>
        <w:rPr>
          <w:spacing w:val="-25"/>
        </w:rPr>
      </w:r>
      <w:r>
        <w:rPr>
          <w:spacing w:val="-2"/>
        </w:rPr>
        <w:t>失，计入当期损益，同时计提相应的资产减值准备。资产减值损失一经确认，在以后会计期间不</w:t>
      </w:r>
      <w:r>
        <w:rPr>
          <w:spacing w:val="-25"/>
        </w:rPr>
        <w:t> </w:t>
      </w:r>
      <w:r>
        <w:rPr>
          <w:spacing w:val="-25"/>
        </w:rPr>
      </w:r>
      <w:r>
        <w:rPr/>
        <w:t>再转回。存在下列一项或若干项情况的，对在建工程进行减值测试：</w:t>
      </w:r>
    </w:p>
    <w:p>
      <w:pPr>
        <w:pStyle w:val="BodyText"/>
        <w:spacing w:line="240" w:lineRule="auto" w:before="34"/>
        <w:ind w:left="558" w:right="104"/>
        <w:jc w:val="left"/>
      </w:pPr>
      <w:r>
        <w:rPr/>
        <w:t>①长期停建并且预计在未来</w:t>
      </w:r>
      <w:r>
        <w:rPr>
          <w:spacing w:val="-53"/>
        </w:rPr>
        <w:t> </w:t>
      </w:r>
      <w:r>
        <w:rPr>
          <w:rFonts w:ascii="宋体" w:hAnsi="宋体" w:cs="宋体" w:eastAsia="宋体" w:hint="default"/>
        </w:rPr>
        <w:t>3</w:t>
      </w:r>
      <w:r>
        <w:rPr>
          <w:rFonts w:ascii="宋体" w:hAnsi="宋体" w:cs="宋体" w:eastAsia="宋体" w:hint="default"/>
          <w:spacing w:val="-54"/>
        </w:rPr>
        <w:t> </w:t>
      </w:r>
      <w:r>
        <w:rPr/>
        <w:t>年内不会重新开工的在建工程。</w:t>
      </w:r>
    </w:p>
    <w:p>
      <w:pPr>
        <w:pStyle w:val="BodyText"/>
        <w:spacing w:line="355" w:lineRule="auto" w:before="133"/>
        <w:ind w:left="138" w:right="104" w:firstLine="419"/>
        <w:jc w:val="left"/>
      </w:pPr>
      <w:r>
        <w:rPr>
          <w:spacing w:val="-2"/>
        </w:rPr>
        <w:t>②所建项目无论在性能上，还是在技术上已经落后，并且给企业带来的经济利益具有很大的</w:t>
      </w:r>
      <w:r>
        <w:rPr>
          <w:w w:val="100"/>
        </w:rPr>
        <w:t> </w:t>
      </w:r>
      <w:r>
        <w:rPr/>
        <w:t>不确定性。</w:t>
      </w:r>
    </w:p>
    <w:p>
      <w:pPr>
        <w:pStyle w:val="BodyText"/>
        <w:spacing w:line="240" w:lineRule="auto" w:before="32"/>
        <w:ind w:left="558" w:right="104"/>
        <w:jc w:val="left"/>
      </w:pPr>
      <w:r>
        <w:rPr/>
        <w:t>③其他足以证明在建工程已经发生减值的情形。</w:t>
      </w:r>
    </w:p>
    <w:p>
      <w:pPr>
        <w:spacing w:line="355" w:lineRule="auto" w:before="136"/>
        <w:ind w:left="558" w:right="104"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4</w:t>
      </w:r>
      <w:r>
        <w:rPr>
          <w:rFonts w:ascii="宋体" w:hAnsi="宋体" w:cs="宋体" w:eastAsia="宋体" w:hint="default"/>
          <w:b/>
          <w:bCs/>
          <w:sz w:val="21"/>
          <w:szCs w:val="21"/>
        </w:rPr>
        <w:t>）无形资产减值测试方法及会计处理方法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当无形资产的可收回金额低于其账面价值时，将资产的账面价值减记至可收回金额，减记的</w:t>
      </w:r>
    </w:p>
    <w:p>
      <w:pPr>
        <w:pStyle w:val="BodyText"/>
        <w:spacing w:line="355" w:lineRule="auto" w:before="32"/>
        <w:ind w:left="138" w:right="217"/>
        <w:jc w:val="both"/>
      </w:pPr>
      <w:r>
        <w:rPr>
          <w:spacing w:val="-2"/>
        </w:rPr>
        <w:t>金额确认为资产减值损失，计入当期损益，同时计提相应的无形资产减值准备。无形资产减值损</w:t>
      </w:r>
      <w:r>
        <w:rPr>
          <w:spacing w:val="-25"/>
        </w:rPr>
        <w:t> </w:t>
      </w:r>
      <w:r>
        <w:rPr>
          <w:spacing w:val="-25"/>
        </w:rPr>
      </w:r>
      <w:r>
        <w:rPr>
          <w:spacing w:val="-2"/>
        </w:rPr>
        <w:t>失一经确认，在以后会计期间不再转回。存在下列一项或多项以下情况的，对无形资产进行减值</w:t>
      </w:r>
      <w:r>
        <w:rPr>
          <w:spacing w:val="-25"/>
        </w:rPr>
        <w:t> </w:t>
      </w:r>
      <w:r>
        <w:rPr>
          <w:spacing w:val="-25"/>
        </w:rPr>
      </w:r>
      <w:r>
        <w:rPr/>
        <w:t>测试：</w:t>
      </w:r>
    </w:p>
    <w:p>
      <w:pPr>
        <w:pStyle w:val="BodyText"/>
        <w:spacing w:line="240" w:lineRule="auto" w:before="34"/>
        <w:ind w:left="558" w:right="0"/>
        <w:jc w:val="left"/>
      </w:pPr>
      <w:r>
        <w:rPr>
          <w:w w:val="100"/>
        </w:rPr>
        <w:t>①该</w:t>
      </w:r>
      <w:r>
        <w:rPr>
          <w:spacing w:val="-3"/>
          <w:w w:val="100"/>
        </w:rPr>
        <w:t>无</w:t>
      </w:r>
      <w:r>
        <w:rPr>
          <w:w w:val="100"/>
        </w:rPr>
        <w:t>形</w:t>
      </w:r>
      <w:r>
        <w:rPr>
          <w:spacing w:val="-3"/>
          <w:w w:val="100"/>
        </w:rPr>
        <w:t>资</w:t>
      </w:r>
      <w:r>
        <w:rPr>
          <w:w w:val="100"/>
        </w:rPr>
        <w:t>产</w:t>
      </w:r>
      <w:r>
        <w:rPr>
          <w:spacing w:val="-3"/>
          <w:w w:val="100"/>
        </w:rPr>
        <w:t>已</w:t>
      </w:r>
      <w:r>
        <w:rPr>
          <w:w w:val="100"/>
        </w:rPr>
        <w:t>被</w:t>
      </w:r>
      <w:r>
        <w:rPr>
          <w:spacing w:val="-3"/>
          <w:w w:val="100"/>
        </w:rPr>
        <w:t>其</w:t>
      </w:r>
      <w:r>
        <w:rPr>
          <w:w w:val="100"/>
        </w:rPr>
        <w:t>他</w:t>
      </w:r>
      <w:r>
        <w:rPr>
          <w:spacing w:val="-3"/>
          <w:w w:val="100"/>
        </w:rPr>
        <w:t>新</w:t>
      </w:r>
      <w:r>
        <w:rPr>
          <w:w w:val="100"/>
        </w:rPr>
        <w:t>技术</w:t>
      </w:r>
      <w:r>
        <w:rPr>
          <w:spacing w:val="-3"/>
          <w:w w:val="100"/>
        </w:rPr>
        <w:t>等</w:t>
      </w:r>
      <w:r>
        <w:rPr>
          <w:w w:val="100"/>
        </w:rPr>
        <w:t>所</w:t>
      </w:r>
      <w:r>
        <w:rPr>
          <w:spacing w:val="-3"/>
          <w:w w:val="100"/>
        </w:rPr>
        <w:t>替代</w:t>
      </w:r>
      <w:r>
        <w:rPr>
          <w:spacing w:val="-92"/>
          <w:w w:val="100"/>
        </w:rPr>
        <w:t>，</w:t>
      </w:r>
      <w:r>
        <w:rPr>
          <w:spacing w:val="-3"/>
          <w:w w:val="100"/>
        </w:rPr>
        <w:t>使</w:t>
      </w:r>
      <w:r>
        <w:rPr>
          <w:w w:val="100"/>
        </w:rPr>
        <w:t>其</w:t>
      </w:r>
      <w:r>
        <w:rPr>
          <w:spacing w:val="-3"/>
          <w:w w:val="100"/>
        </w:rPr>
        <w:t>为</w:t>
      </w:r>
      <w:r>
        <w:rPr>
          <w:w w:val="100"/>
        </w:rPr>
        <w:t>企</w:t>
      </w:r>
      <w:r>
        <w:rPr>
          <w:spacing w:val="-3"/>
          <w:w w:val="100"/>
        </w:rPr>
        <w:t>业</w:t>
      </w:r>
      <w:r>
        <w:rPr>
          <w:w w:val="100"/>
        </w:rPr>
        <w:t>创造</w:t>
      </w:r>
      <w:r>
        <w:rPr>
          <w:spacing w:val="-3"/>
          <w:w w:val="100"/>
        </w:rPr>
        <w:t>经</w:t>
      </w:r>
      <w:r>
        <w:rPr>
          <w:w w:val="100"/>
        </w:rPr>
        <w:t>济</w:t>
      </w:r>
      <w:r>
        <w:rPr>
          <w:spacing w:val="-3"/>
          <w:w w:val="100"/>
        </w:rPr>
        <w:t>利</w:t>
      </w:r>
      <w:r>
        <w:rPr>
          <w:w w:val="100"/>
        </w:rPr>
        <w:t>益</w:t>
      </w:r>
      <w:r>
        <w:rPr>
          <w:spacing w:val="-3"/>
          <w:w w:val="100"/>
        </w:rPr>
        <w:t>的</w:t>
      </w:r>
      <w:r>
        <w:rPr>
          <w:w w:val="100"/>
        </w:rPr>
        <w:t>能</w:t>
      </w:r>
      <w:r>
        <w:rPr>
          <w:spacing w:val="-3"/>
          <w:w w:val="100"/>
        </w:rPr>
        <w:t>力</w:t>
      </w:r>
      <w:r>
        <w:rPr>
          <w:w w:val="100"/>
        </w:rPr>
        <w:t>受</w:t>
      </w:r>
      <w:r>
        <w:rPr>
          <w:spacing w:val="-3"/>
          <w:w w:val="100"/>
        </w:rPr>
        <w:t>到</w:t>
      </w:r>
      <w:r>
        <w:rPr>
          <w:w w:val="100"/>
        </w:rPr>
        <w:t>重大</w:t>
      </w:r>
      <w:r>
        <w:rPr>
          <w:spacing w:val="-3"/>
          <w:w w:val="100"/>
        </w:rPr>
        <w:t>不利影响</w:t>
      </w:r>
      <w:r>
        <w:rPr>
          <w:w w:val="100"/>
        </w:rPr>
        <w:t>。</w:t>
      </w:r>
    </w:p>
    <w:p>
      <w:pPr>
        <w:pStyle w:val="BodyText"/>
        <w:spacing w:line="240" w:lineRule="auto" w:before="133"/>
        <w:ind w:left="558" w:right="104"/>
        <w:jc w:val="left"/>
      </w:pPr>
      <w:r>
        <w:rPr/>
        <w:t>②该无形资产的市价在当期大幅下跌，并在剩余年限内可能不会回升。</w:t>
      </w:r>
    </w:p>
    <w:p>
      <w:pPr>
        <w:pStyle w:val="BodyText"/>
        <w:spacing w:line="240" w:lineRule="auto" w:before="133"/>
        <w:ind w:left="558" w:right="104"/>
        <w:jc w:val="left"/>
      </w:pPr>
      <w:r>
        <w:rPr/>
        <w:t>③其他足以表明该无形资产的账面价值已超过可收回金额的情况。</w:t>
      </w:r>
    </w:p>
    <w:p>
      <w:pPr>
        <w:pStyle w:val="Heading2"/>
        <w:spacing w:line="240" w:lineRule="auto" w:before="133"/>
        <w:ind w:left="560" w:right="104"/>
        <w:jc w:val="left"/>
        <w:rPr>
          <w:b w:val="0"/>
          <w:bCs w:val="0"/>
        </w:rPr>
      </w:pPr>
      <w:r>
        <w:rPr/>
        <w:t>（</w:t>
      </w:r>
      <w:r>
        <w:rPr>
          <w:rFonts w:ascii="宋体" w:hAnsi="宋体" w:cs="宋体" w:eastAsia="宋体" w:hint="default"/>
        </w:rPr>
        <w:t>5</w:t>
      </w:r>
      <w:r>
        <w:rPr/>
        <w:t>）商誉减值测试</w:t>
      </w:r>
      <w:r>
        <w:rPr>
          <w:b w:val="0"/>
          <w:bCs w:val="0"/>
        </w:rPr>
      </w:r>
    </w:p>
    <w:p>
      <w:pPr>
        <w:spacing w:after="0" w:line="240" w:lineRule="auto"/>
        <w:jc w:val="left"/>
        <w:sectPr>
          <w:pgSz w:w="11910" w:h="16840"/>
          <w:pgMar w:header="882" w:footer="1195" w:top="1120" w:bottom="1380" w:left="1660" w:right="1060"/>
        </w:sectPr>
      </w:pPr>
    </w:p>
    <w:p>
      <w:pPr>
        <w:spacing w:line="240" w:lineRule="auto" w:before="1"/>
        <w:rPr>
          <w:rFonts w:ascii="宋体" w:hAnsi="宋体" w:cs="宋体" w:eastAsia="宋体" w:hint="default"/>
          <w:b/>
          <w:bCs/>
          <w:sz w:val="25"/>
          <w:szCs w:val="25"/>
        </w:rPr>
      </w:pPr>
    </w:p>
    <w:p>
      <w:pPr>
        <w:pStyle w:val="BodyText"/>
        <w:spacing w:line="357" w:lineRule="auto" w:before="36"/>
        <w:ind w:left="238" w:right="257" w:firstLine="419"/>
        <w:jc w:val="both"/>
      </w:pPr>
      <w:r>
        <w:rPr>
          <w:spacing w:val="-2"/>
        </w:rPr>
        <w:t>企业合并形成的商誉，至少在每年年度终了进行减值测试。本公司在对包含商誉的相关资产</w:t>
      </w:r>
      <w:r>
        <w:rPr>
          <w:w w:val="100"/>
        </w:rPr>
        <w:t> </w:t>
      </w:r>
      <w:r>
        <w:rPr>
          <w:spacing w:val="-2"/>
        </w:rPr>
        <w:t>组或者资产组组合进行减值测试时，如与商誉相关的资产组或者资产组组合存在减值迹象的，按</w:t>
      </w:r>
      <w:r>
        <w:rPr>
          <w:spacing w:val="-25"/>
        </w:rPr>
        <w:t> </w:t>
      </w:r>
      <w:r>
        <w:rPr>
          <w:spacing w:val="-25"/>
        </w:rPr>
      </w:r>
      <w:r>
        <w:rPr/>
        <w:t>以下步骤处理：</w:t>
      </w:r>
    </w:p>
    <w:p>
      <w:pPr>
        <w:pStyle w:val="BodyText"/>
        <w:spacing w:line="357" w:lineRule="auto" w:before="30"/>
        <w:ind w:left="238" w:right="257" w:firstLine="419"/>
        <w:jc w:val="both"/>
      </w:pPr>
      <w:r>
        <w:rPr>
          <w:spacing w:val="-2"/>
        </w:rPr>
        <w:t>首先对不包含商誉的资产组或者资产组组合进行减值测试，计算可收回金额，并与相关资产</w:t>
      </w:r>
      <w:r>
        <w:rPr>
          <w:w w:val="100"/>
        </w:rPr>
        <w:t> </w:t>
      </w:r>
      <w:r>
        <w:rPr>
          <w:spacing w:val="-2"/>
        </w:rPr>
        <w:t>账面价值比较，确认相应的减值损失；然后再对包含商誉的资产组或者资产组这组合进行减值测</w:t>
      </w:r>
      <w:r>
        <w:rPr>
          <w:spacing w:val="-25"/>
        </w:rPr>
        <w:t> </w:t>
      </w:r>
      <w:r>
        <w:rPr>
          <w:spacing w:val="-25"/>
        </w:rPr>
      </w:r>
      <w:r>
        <w:rPr>
          <w:spacing w:val="-2"/>
        </w:rPr>
        <w:t>试，比较这些相关资产组或者资产组组合的账面价值（包括所分摊的商誉的账面价值部分）与其</w:t>
      </w:r>
      <w:r>
        <w:rPr>
          <w:spacing w:val="-25"/>
        </w:rPr>
        <w:t> </w:t>
      </w:r>
      <w:r>
        <w:rPr>
          <w:spacing w:val="-25"/>
        </w:rPr>
      </w:r>
      <w:r>
        <w:rPr>
          <w:spacing w:val="-2"/>
        </w:rPr>
        <w:t>可收回金额，如相关资产组或者资产组组合的可收回金额低于其账面价值的，就其差额确认减值</w:t>
      </w:r>
      <w:r>
        <w:rPr>
          <w:spacing w:val="-25"/>
        </w:rPr>
        <w:t> </w:t>
      </w:r>
      <w:r>
        <w:rPr>
          <w:spacing w:val="-25"/>
        </w:rPr>
      </w:r>
      <w:r>
        <w:rPr>
          <w:spacing w:val="-2"/>
        </w:rPr>
        <w:t>损失。减值损失金额首先抵减分摊至资产组或者资产组组合中商誉的账面价值；再根据资产组或</w:t>
      </w:r>
      <w:r>
        <w:rPr>
          <w:spacing w:val="-25"/>
        </w:rPr>
        <w:t> </w:t>
      </w:r>
      <w:r>
        <w:rPr>
          <w:spacing w:val="-25"/>
        </w:rPr>
      </w:r>
      <w:r>
        <w:rPr>
          <w:spacing w:val="-2"/>
        </w:rPr>
        <w:t>者资产组组合中除商誉之外的其他各项资产的账面价值所占比重，按比例抵减其他各项资产的账</w:t>
      </w:r>
      <w:r>
        <w:rPr>
          <w:spacing w:val="-25"/>
        </w:rPr>
        <w:t> </w:t>
      </w:r>
      <w:r>
        <w:rPr>
          <w:spacing w:val="-25"/>
        </w:rPr>
      </w:r>
      <w:r>
        <w:rPr/>
        <w:t>面价值。</w:t>
      </w:r>
    </w:p>
    <w:p>
      <w:pPr>
        <w:spacing w:line="240" w:lineRule="auto" w:before="11"/>
        <w:rPr>
          <w:rFonts w:ascii="宋体" w:hAnsi="宋体" w:cs="宋体" w:eastAsia="宋体" w:hint="default"/>
          <w:sz w:val="27"/>
          <w:szCs w:val="27"/>
        </w:rPr>
      </w:pPr>
    </w:p>
    <w:p>
      <w:pPr>
        <w:pStyle w:val="Heading2"/>
        <w:spacing w:line="240" w:lineRule="auto"/>
        <w:ind w:left="238" w:right="930"/>
        <w:jc w:val="left"/>
        <w:rPr>
          <w:b w:val="0"/>
          <w:bCs w:val="0"/>
        </w:rPr>
      </w:pPr>
      <w:r>
        <w:rPr>
          <w:rFonts w:ascii="宋体" w:hAnsi="宋体" w:cs="宋体" w:eastAsia="宋体" w:hint="default"/>
        </w:rPr>
        <w:t>23.</w:t>
      </w:r>
      <w:r>
        <w:rPr>
          <w:rFonts w:ascii="宋体" w:hAnsi="宋体" w:cs="宋体" w:eastAsia="宋体" w:hint="default"/>
          <w:spacing w:val="3"/>
        </w:rPr>
        <w:t> </w:t>
      </w:r>
      <w:r>
        <w:rPr/>
        <w:t>长期待摊费用</w:t>
      </w:r>
      <w:r>
        <w:rPr>
          <w:b w:val="0"/>
          <w:bCs w:val="0"/>
        </w:rPr>
      </w:r>
    </w:p>
    <w:p>
      <w:pPr>
        <w:pStyle w:val="BodyText"/>
        <w:spacing w:line="272" w:lineRule="exact" w:before="86"/>
        <w:ind w:left="658" w:right="0" w:hanging="420"/>
        <w:jc w:val="left"/>
      </w:pPr>
      <w:r>
        <w:rPr/>
        <w:t>√适用</w:t>
      </w:r>
      <w:r>
        <w:rPr>
          <w:spacing w:val="-2"/>
        </w:rPr>
        <w:t> </w:t>
      </w:r>
      <w:r>
        <w:rPr/>
        <w:t>□不适用</w:t>
      </w:r>
      <w:r>
        <w:rPr>
          <w:w w:val="100"/>
        </w:rPr>
        <w:t> </w:t>
      </w:r>
      <w:r>
        <w:rPr>
          <w:spacing w:val="-2"/>
        </w:rPr>
        <w:t>长期待摊费用核算本公司已经发生但由本期和以后各期负担的分摊期限在一年以上的各项费</w:t>
      </w:r>
    </w:p>
    <w:p>
      <w:pPr>
        <w:pStyle w:val="BodyText"/>
        <w:spacing w:line="240" w:lineRule="auto" w:before="108"/>
        <w:ind w:left="238" w:right="930"/>
        <w:jc w:val="left"/>
      </w:pPr>
      <w:r>
        <w:rPr/>
        <w:t>用。</w:t>
      </w:r>
    </w:p>
    <w:p>
      <w:pPr>
        <w:pStyle w:val="BodyText"/>
        <w:spacing w:line="240" w:lineRule="auto" w:before="133"/>
        <w:ind w:left="658" w:right="930"/>
        <w:jc w:val="left"/>
      </w:pPr>
      <w:r>
        <w:rPr/>
        <w:t>本公司长期待摊费用在受益期内平均摊销，各项费用摊销的年限如下：</w:t>
      </w:r>
    </w:p>
    <w:p>
      <w:pPr>
        <w:spacing w:line="240" w:lineRule="auto" w:before="13"/>
        <w:rPr>
          <w:rFonts w:ascii="宋体" w:hAnsi="宋体" w:cs="宋体" w:eastAsia="宋体"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4597"/>
        <w:gridCol w:w="4467"/>
      </w:tblGrid>
      <w:tr>
        <w:trPr>
          <w:trHeight w:val="425" w:hRule="exact"/>
        </w:trPr>
        <w:tc>
          <w:tcPr>
            <w:tcW w:w="4597" w:type="dxa"/>
            <w:tcBorders>
              <w:top w:val="single" w:sz="12" w:space="0" w:color="000000"/>
              <w:left w:val="nil" w:sz="6" w:space="0" w:color="auto"/>
              <w:bottom w:val="single" w:sz="2" w:space="0" w:color="000000"/>
              <w:right w:val="single" w:sz="2" w:space="0" w:color="000000"/>
            </w:tcBorders>
          </w:tcPr>
          <w:p>
            <w:pPr>
              <w:pStyle w:val="TableParagraph"/>
              <w:spacing w:line="241" w:lineRule="exact"/>
              <w:ind w:left="18"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467" w:type="dxa"/>
            <w:tcBorders>
              <w:top w:val="single" w:sz="12" w:space="0" w:color="000000"/>
              <w:left w:val="single" w:sz="2" w:space="0" w:color="000000"/>
              <w:bottom w:val="single" w:sz="2" w:space="0" w:color="000000"/>
              <w:right w:val="nil" w:sz="6" w:space="0" w:color="auto"/>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摊销年限</w:t>
            </w:r>
          </w:p>
        </w:tc>
      </w:tr>
      <w:tr>
        <w:trPr>
          <w:trHeight w:val="415" w:hRule="exact"/>
        </w:trPr>
        <w:tc>
          <w:tcPr>
            <w:tcW w:w="4597" w:type="dxa"/>
            <w:tcBorders>
              <w:top w:val="single" w:sz="2" w:space="0" w:color="000000"/>
              <w:left w:val="nil" w:sz="6" w:space="0" w:color="auto"/>
              <w:bottom w:val="single" w:sz="2" w:space="0" w:color="000000"/>
              <w:right w:val="single" w:sz="2"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装修费</w:t>
            </w:r>
          </w:p>
        </w:tc>
        <w:tc>
          <w:tcPr>
            <w:tcW w:w="4467" w:type="dxa"/>
            <w:tcBorders>
              <w:top w:val="single" w:sz="2" w:space="0" w:color="000000"/>
              <w:left w:val="single" w:sz="2" w:space="0" w:color="000000"/>
              <w:bottom w:val="single" w:sz="2" w:space="0" w:color="000000"/>
              <w:right w:val="nil" w:sz="6" w:space="0" w:color="auto"/>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425" w:hRule="exact"/>
        </w:trPr>
        <w:tc>
          <w:tcPr>
            <w:tcW w:w="4597" w:type="dxa"/>
            <w:tcBorders>
              <w:top w:val="single" w:sz="2" w:space="0" w:color="000000"/>
              <w:left w:val="nil" w:sz="6" w:space="0" w:color="auto"/>
              <w:bottom w:val="single" w:sz="12" w:space="0" w:color="000000"/>
              <w:right w:val="single" w:sz="2"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船舶坞修支出</w:t>
            </w:r>
          </w:p>
        </w:tc>
        <w:tc>
          <w:tcPr>
            <w:tcW w:w="4467" w:type="dxa"/>
            <w:tcBorders>
              <w:top w:val="single" w:sz="2" w:space="0" w:color="000000"/>
              <w:left w:val="single" w:sz="2" w:space="0" w:color="000000"/>
              <w:bottom w:val="single" w:sz="12" w:space="0" w:color="000000"/>
              <w:right w:val="nil" w:sz="6" w:space="0" w:color="auto"/>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按两次坞修间隔时间与</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5"/>
                <w:sz w:val="21"/>
                <w:szCs w:val="21"/>
              </w:rPr>
              <w:t> </w:t>
            </w:r>
            <w:r>
              <w:rPr>
                <w:rFonts w:ascii="宋体" w:hAnsi="宋体" w:cs="宋体" w:eastAsia="宋体" w:hint="default"/>
                <w:sz w:val="21"/>
                <w:szCs w:val="21"/>
              </w:rPr>
              <w:t>个月孰短摊销</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spacing w:line="290" w:lineRule="auto" w:before="36"/>
        <w:ind w:left="238" w:right="6221"/>
        <w:jc w:val="left"/>
        <w:rPr>
          <w:b w:val="0"/>
          <w:bCs w:val="0"/>
        </w:rPr>
      </w:pPr>
      <w:r>
        <w:rPr>
          <w:rFonts w:ascii="宋体" w:hAnsi="宋体" w:cs="宋体" w:eastAsia="宋体" w:hint="default"/>
        </w:rPr>
        <w:t>24.</w:t>
      </w:r>
      <w:r>
        <w:rPr>
          <w:rFonts w:ascii="宋体" w:hAnsi="宋体" w:cs="宋体" w:eastAsia="宋体" w:hint="default"/>
          <w:spacing w:val="2"/>
        </w:rPr>
        <w:t> </w:t>
      </w:r>
      <w:r>
        <w:rPr/>
        <w:t>职工薪酬</w:t>
      </w:r>
      <w:r>
        <w:rPr>
          <w:w w:val="100"/>
        </w:rPr>
        <w:t> </w:t>
      </w:r>
      <w:r>
        <w:rPr>
          <w:rFonts w:ascii="宋体" w:hAnsi="宋体" w:cs="宋体" w:eastAsia="宋体" w:hint="default"/>
        </w:rPr>
        <w:t>(1)</w:t>
      </w:r>
      <w:r>
        <w:rPr/>
        <w:t>、短期薪酬的会计处理方法</w:t>
      </w:r>
      <w:r>
        <w:rPr>
          <w:b w:val="0"/>
          <w:bCs w:val="0"/>
        </w:rPr>
      </w:r>
    </w:p>
    <w:p>
      <w:pPr>
        <w:pStyle w:val="BodyText"/>
        <w:spacing w:line="274" w:lineRule="exact" w:before="12"/>
        <w:ind w:left="238" w:right="930"/>
        <w:jc w:val="left"/>
      </w:pPr>
      <w:r>
        <w:rPr/>
        <w:t>√适用</w:t>
      </w:r>
      <w:r>
        <w:rPr>
          <w:spacing w:val="-1"/>
        </w:rPr>
        <w:t> </w:t>
      </w:r>
      <w:r>
        <w:rPr/>
        <w:t>□不适用</w:t>
      </w:r>
    </w:p>
    <w:p>
      <w:pPr>
        <w:pStyle w:val="BodyText"/>
        <w:spacing w:line="355" w:lineRule="auto"/>
        <w:ind w:left="658" w:right="0"/>
        <w:jc w:val="left"/>
      </w:pPr>
      <w:r>
        <w:rPr/>
        <w:t>①职工基本薪酬（工资、奖金、津贴、补贴）</w:t>
      </w:r>
      <w:r>
        <w:rPr>
          <w:w w:val="100"/>
        </w:rPr>
        <w:t> </w:t>
      </w:r>
      <w:r>
        <w:rPr>
          <w:spacing w:val="-2"/>
        </w:rPr>
        <w:t>本公司在职工为其提供服务的会计期间，将实际发生的短期薪酬确认为负债，并计入当期损</w:t>
      </w:r>
    </w:p>
    <w:p>
      <w:pPr>
        <w:pStyle w:val="BodyText"/>
        <w:spacing w:line="240" w:lineRule="auto" w:before="33"/>
        <w:ind w:left="238" w:right="930"/>
        <w:jc w:val="left"/>
      </w:pPr>
      <w:r>
        <w:rPr/>
        <w:t>益，其他会计准则要求或允许计入资产成本的除外。</w:t>
      </w:r>
    </w:p>
    <w:p>
      <w:pPr>
        <w:pStyle w:val="BodyText"/>
        <w:spacing w:line="357" w:lineRule="auto" w:before="133"/>
        <w:ind w:left="658" w:right="0"/>
        <w:jc w:val="left"/>
      </w:pPr>
      <w:r>
        <w:rPr/>
        <w:t>②职工福利费</w:t>
      </w:r>
      <w:r>
        <w:rPr>
          <w:w w:val="100"/>
        </w:rPr>
        <w:t> </w:t>
      </w:r>
      <w:r>
        <w:rPr>
          <w:spacing w:val="-2"/>
        </w:rPr>
        <w:t>本公司发生的职工福利费，在实际发生时根据实际发生额计入当期损益或相关资产成本。职</w:t>
      </w:r>
    </w:p>
    <w:p>
      <w:pPr>
        <w:pStyle w:val="BodyText"/>
        <w:spacing w:line="240" w:lineRule="auto" w:before="30"/>
        <w:ind w:left="238" w:right="930"/>
        <w:jc w:val="left"/>
      </w:pPr>
      <w:r>
        <w:rPr/>
        <w:t>工福利费为非货币性福利的，按照公允价值计量。</w:t>
      </w:r>
    </w:p>
    <w:p>
      <w:pPr>
        <w:pStyle w:val="BodyText"/>
        <w:spacing w:line="355" w:lineRule="auto" w:before="133"/>
        <w:ind w:left="238" w:right="257" w:firstLine="419"/>
        <w:jc w:val="both"/>
      </w:pPr>
      <w:r>
        <w:rPr>
          <w:spacing w:val="-2"/>
        </w:rPr>
        <w:t>③医疗保险费、工伤保险费、生育保险费等社会保险费和住房公积金，以及工会经费和职工</w:t>
      </w:r>
      <w:r>
        <w:rPr>
          <w:w w:val="100"/>
        </w:rPr>
        <w:t> </w:t>
      </w:r>
      <w:r>
        <w:rPr/>
        <w:t>教育经费</w:t>
      </w:r>
    </w:p>
    <w:p>
      <w:pPr>
        <w:pStyle w:val="BodyText"/>
        <w:spacing w:line="357" w:lineRule="auto" w:before="34"/>
        <w:ind w:left="238" w:right="257" w:firstLine="419"/>
        <w:jc w:val="both"/>
      </w:pPr>
      <w:r>
        <w:rPr>
          <w:spacing w:val="-2"/>
        </w:rPr>
        <w:t>本公司为职工缴纳的医疗保险费、工伤保险费、生育保险费等社会保险费和住房公积金，以</w:t>
      </w:r>
      <w:r>
        <w:rPr>
          <w:w w:val="100"/>
        </w:rPr>
        <w:t> </w:t>
      </w:r>
      <w:r>
        <w:rPr>
          <w:spacing w:val="-2"/>
        </w:rPr>
        <w:t>及按规定提取的工会经费和职工教育经费，在职工为其提供服务的会计期间，根据规定的计提基</w:t>
      </w:r>
      <w:r>
        <w:rPr>
          <w:spacing w:val="-25"/>
        </w:rPr>
        <w:t> </w:t>
      </w:r>
      <w:r>
        <w:rPr>
          <w:spacing w:val="-25"/>
        </w:rPr>
      </w:r>
      <w:r>
        <w:rPr>
          <w:spacing w:val="-2"/>
        </w:rPr>
        <w:t>础和计提比例计算确定相应的职工薪酬金额，并确认相应负债，计入当期损益或相关资产成本。</w:t>
      </w:r>
    </w:p>
    <w:p>
      <w:pPr>
        <w:pStyle w:val="BodyText"/>
        <w:spacing w:line="240" w:lineRule="auto" w:before="30"/>
        <w:ind w:left="658" w:right="930"/>
        <w:jc w:val="left"/>
      </w:pPr>
      <w:r>
        <w:rPr/>
        <w:t>④短期带薪缺勤</w:t>
      </w:r>
    </w:p>
    <w:p>
      <w:pPr>
        <w:spacing w:after="0" w:line="240" w:lineRule="auto"/>
        <w:jc w:val="left"/>
        <w:sectPr>
          <w:pgSz w:w="11910" w:h="16840"/>
          <w:pgMar w:header="882" w:footer="1195" w:top="1120" w:bottom="1380" w:left="1560" w:right="1020"/>
        </w:sectPr>
      </w:pPr>
    </w:p>
    <w:p>
      <w:pPr>
        <w:spacing w:line="240" w:lineRule="auto" w:before="1"/>
        <w:rPr>
          <w:rFonts w:ascii="宋体" w:hAnsi="宋体" w:cs="宋体" w:eastAsia="宋体" w:hint="default"/>
          <w:sz w:val="25"/>
          <w:szCs w:val="25"/>
        </w:rPr>
      </w:pPr>
    </w:p>
    <w:p>
      <w:pPr>
        <w:pStyle w:val="BodyText"/>
        <w:spacing w:line="357" w:lineRule="auto" w:before="36"/>
        <w:ind w:left="138" w:right="217" w:firstLine="419"/>
        <w:jc w:val="both"/>
      </w:pPr>
      <w:r>
        <w:rPr>
          <w:spacing w:val="-2"/>
        </w:rPr>
        <w:t>本公司在职工提供服务从而增加了其未来享有的带薪缺勤权利时，确认与累积带薪缺勤相关</w:t>
      </w:r>
      <w:r>
        <w:rPr>
          <w:w w:val="100"/>
        </w:rPr>
        <w:t> </w:t>
      </w:r>
      <w:r>
        <w:rPr>
          <w:spacing w:val="-2"/>
        </w:rPr>
        <w:t>的职工薪酬，并以累积未行使权利而增加的预期支付金额计量。本公司在职工实际发生缺勤的会</w:t>
      </w:r>
      <w:r>
        <w:rPr>
          <w:spacing w:val="-25"/>
        </w:rPr>
        <w:t> </w:t>
      </w:r>
      <w:r>
        <w:rPr>
          <w:spacing w:val="-25"/>
        </w:rPr>
      </w:r>
      <w:r>
        <w:rPr/>
        <w:t>计期间确认与非累积带薪缺勤相关的职工薪酬。</w:t>
      </w:r>
    </w:p>
    <w:p>
      <w:pPr>
        <w:pStyle w:val="BodyText"/>
        <w:spacing w:line="355" w:lineRule="auto" w:before="30"/>
        <w:ind w:left="558" w:right="377"/>
        <w:jc w:val="left"/>
      </w:pPr>
      <w:r>
        <w:rPr/>
        <w:t>⑤短期利润分享计划</w:t>
      </w:r>
      <w:r>
        <w:rPr>
          <w:w w:val="100"/>
        </w:rPr>
        <w:t> </w:t>
      </w:r>
      <w:r>
        <w:rPr>
          <w:spacing w:val="-2"/>
        </w:rPr>
        <w:t>利润分享计划同时满足下列条件的，本公司确认相关的应付职工薪酬：</w:t>
      </w:r>
      <w:r>
        <w:rPr>
          <w:spacing w:val="-45"/>
        </w:rPr>
        <w:t> </w:t>
      </w:r>
      <w:r>
        <w:rPr>
          <w:spacing w:val="-45"/>
        </w:rPr>
      </w:r>
      <w:r>
        <w:rPr>
          <w:rFonts w:ascii="宋体" w:hAnsi="宋体" w:cs="宋体" w:eastAsia="宋体" w:hint="default"/>
          <w:spacing w:val="-2"/>
        </w:rPr>
        <w:t>A.</w:t>
      </w:r>
      <w:r>
        <w:rPr>
          <w:spacing w:val="-2"/>
        </w:rPr>
        <w:t>企业因过去事项导致现在具有支付职工薪酬的法定义务或推定义务。</w:t>
      </w:r>
    </w:p>
    <w:p>
      <w:pPr>
        <w:pStyle w:val="BodyText"/>
        <w:spacing w:line="240" w:lineRule="auto" w:before="34"/>
        <w:ind w:left="138" w:right="104"/>
        <w:jc w:val="left"/>
      </w:pPr>
      <w:r>
        <w:rPr>
          <w:rFonts w:ascii="宋体" w:hAnsi="宋体" w:cs="宋体" w:eastAsia="宋体" w:hint="default"/>
        </w:rPr>
        <w:t>B.</w:t>
      </w:r>
      <w:r>
        <w:rPr/>
        <w:t>因利润分享计划所产生的应付职工薪酬义务金额能够可靠估计。</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pStyle w:val="Heading2"/>
        <w:spacing w:line="240" w:lineRule="auto"/>
        <w:ind w:left="138" w:right="104"/>
        <w:jc w:val="left"/>
        <w:rPr>
          <w:b w:val="0"/>
          <w:bCs w:val="0"/>
        </w:rPr>
      </w:pPr>
      <w:r>
        <w:rPr>
          <w:rFonts w:ascii="宋体" w:hAnsi="宋体" w:cs="宋体" w:eastAsia="宋体" w:hint="default"/>
        </w:rPr>
        <w:t>(2)</w:t>
      </w:r>
      <w:r>
        <w:rPr/>
        <w:t>、离职后福利的会计处理方法</w:t>
      </w:r>
      <w:r>
        <w:rPr>
          <w:b w:val="0"/>
          <w:bCs w:val="0"/>
        </w:rPr>
      </w:r>
    </w:p>
    <w:p>
      <w:pPr>
        <w:pStyle w:val="BodyText"/>
        <w:spacing w:line="273" w:lineRule="exact" w:before="58"/>
        <w:ind w:left="138" w:right="104"/>
        <w:jc w:val="left"/>
      </w:pPr>
      <w:r>
        <w:rPr/>
        <w:t>√适用</w:t>
      </w:r>
      <w:r>
        <w:rPr>
          <w:spacing w:val="-1"/>
        </w:rPr>
        <w:t> </w:t>
      </w:r>
      <w:r>
        <w:rPr/>
        <w:t>□不适用</w:t>
      </w:r>
    </w:p>
    <w:p>
      <w:pPr>
        <w:pStyle w:val="BodyText"/>
        <w:spacing w:line="357" w:lineRule="auto"/>
        <w:ind w:left="558" w:right="0"/>
        <w:jc w:val="left"/>
      </w:pPr>
      <w:r>
        <w:rPr/>
        <w:t>①设定提存计划</w:t>
      </w:r>
      <w:r>
        <w:rPr>
          <w:spacing w:val="-103"/>
        </w:rPr>
        <w:t> </w:t>
      </w:r>
      <w:r>
        <w:rPr>
          <w:spacing w:val="-103"/>
        </w:rPr>
      </w:r>
      <w:r>
        <w:rPr>
          <w:spacing w:val="-4"/>
          <w:w w:val="100"/>
        </w:rPr>
        <w:t>本公司在职工为其提供服务的会计期间，将根据设定提存计划计算的应缴存金额确认为负债，</w:t>
      </w:r>
    </w:p>
    <w:p>
      <w:pPr>
        <w:pStyle w:val="BodyText"/>
        <w:spacing w:line="355" w:lineRule="auto" w:before="30"/>
        <w:ind w:left="558" w:right="104" w:hanging="420"/>
        <w:jc w:val="left"/>
      </w:pPr>
      <w:r>
        <w:rPr/>
        <w:t>并计入当期损益或相关资产成本。</w:t>
      </w:r>
      <w:r>
        <w:rPr>
          <w:w w:val="100"/>
        </w:rPr>
        <w:t> </w:t>
      </w:r>
      <w:r>
        <w:rPr>
          <w:spacing w:val="-2"/>
        </w:rPr>
        <w:t>根据设定提存计划，预期不会在职工提供相关服务的年度报告期结束后十二个月内支付全部</w:t>
      </w:r>
    </w:p>
    <w:p>
      <w:pPr>
        <w:pStyle w:val="BodyText"/>
        <w:spacing w:line="357" w:lineRule="auto" w:before="32"/>
        <w:ind w:left="138" w:right="217"/>
        <w:jc w:val="both"/>
      </w:pPr>
      <w:r>
        <w:rPr>
          <w:spacing w:val="-2"/>
        </w:rPr>
        <w:t>应缴存金额的，本公司参照相应的折现率（根据资产负债表日与设定受益计划义务期限和币种相</w:t>
      </w:r>
      <w:r>
        <w:rPr>
          <w:spacing w:val="-25"/>
        </w:rPr>
        <w:t> </w:t>
      </w:r>
      <w:r>
        <w:rPr>
          <w:spacing w:val="-25"/>
        </w:rPr>
      </w:r>
      <w:r>
        <w:rPr>
          <w:spacing w:val="-2"/>
        </w:rPr>
        <w:t>匹配的国债或活跃市场上的高质量公司债券的市场收益率确定），将全部应缴存金额以折现后的</w:t>
      </w:r>
      <w:r>
        <w:rPr>
          <w:spacing w:val="-26"/>
        </w:rPr>
        <w:t> </w:t>
      </w:r>
      <w:r>
        <w:rPr>
          <w:spacing w:val="-26"/>
        </w:rPr>
      </w:r>
      <w:r>
        <w:rPr/>
        <w:t>金额计量应付职工薪酬。</w:t>
      </w:r>
    </w:p>
    <w:p>
      <w:pPr>
        <w:pStyle w:val="BodyText"/>
        <w:spacing w:line="355" w:lineRule="auto" w:before="30"/>
        <w:ind w:left="558" w:right="3646"/>
        <w:jc w:val="left"/>
      </w:pPr>
      <w:r>
        <w:rPr/>
        <w:t>②设定受益计划</w:t>
      </w:r>
      <w:r>
        <w:rPr>
          <w:spacing w:val="-103"/>
        </w:rPr>
        <w:t> </w:t>
      </w:r>
      <w:r>
        <w:rPr>
          <w:spacing w:val="-103"/>
        </w:rPr>
      </w:r>
      <w:r>
        <w:rPr>
          <w:rFonts w:ascii="宋体" w:hAnsi="宋体" w:cs="宋体" w:eastAsia="宋体" w:hint="default"/>
          <w:spacing w:val="-2"/>
        </w:rPr>
        <w:t>A.</w:t>
      </w:r>
      <w:r>
        <w:rPr>
          <w:spacing w:val="-2"/>
        </w:rPr>
        <w:t>确定设定受益计划义务的现值和当期服务成本</w:t>
      </w:r>
    </w:p>
    <w:p>
      <w:pPr>
        <w:pStyle w:val="BodyText"/>
        <w:spacing w:line="357" w:lineRule="auto" w:before="32"/>
        <w:ind w:left="138" w:right="217" w:firstLine="419"/>
        <w:jc w:val="both"/>
      </w:pPr>
      <w:r>
        <w:rPr>
          <w:spacing w:val="-2"/>
        </w:rPr>
        <w:t>根据预期累计福利单位法，采用无偏且相互一致的精算假设对有关人口统计变量和财务变量</w:t>
      </w:r>
      <w:r>
        <w:rPr>
          <w:w w:val="100"/>
        </w:rPr>
        <w:t> </w:t>
      </w:r>
      <w:r>
        <w:rPr>
          <w:spacing w:val="-2"/>
        </w:rPr>
        <w:t>等做出估计，计量设定受益计划所产生的义务，并确定相关义务的归属期间。本公司按照相应的</w:t>
      </w:r>
      <w:r>
        <w:rPr>
          <w:spacing w:val="-25"/>
        </w:rPr>
        <w:t> </w:t>
      </w:r>
      <w:r>
        <w:rPr>
          <w:spacing w:val="-25"/>
        </w:rPr>
      </w:r>
      <w:r>
        <w:rPr>
          <w:spacing w:val="-2"/>
        </w:rPr>
        <w:t>折现率（根据资产负债表日与设定受益计划义务期限和币种相匹配的国债或活跃市场上的高质量</w:t>
      </w:r>
      <w:r>
        <w:rPr>
          <w:spacing w:val="-25"/>
        </w:rPr>
        <w:t> </w:t>
      </w:r>
      <w:r>
        <w:rPr>
          <w:spacing w:val="-25"/>
        </w:rPr>
      </w:r>
      <w:r>
        <w:rPr>
          <w:spacing w:val="-2"/>
        </w:rPr>
        <w:t>公司债券的市场收益率确定）将设定受益计划所产生的义务予以折现，以确定设定受益计划义务</w:t>
      </w:r>
      <w:r>
        <w:rPr>
          <w:spacing w:val="-25"/>
        </w:rPr>
        <w:t> </w:t>
      </w:r>
      <w:r>
        <w:rPr>
          <w:spacing w:val="-25"/>
        </w:rPr>
      </w:r>
      <w:r>
        <w:rPr/>
        <w:t>的现值和当期服务成本。</w:t>
      </w:r>
    </w:p>
    <w:p>
      <w:pPr>
        <w:pStyle w:val="BodyText"/>
        <w:spacing w:line="360" w:lineRule="auto" w:before="30"/>
        <w:ind w:left="558" w:right="104"/>
        <w:jc w:val="left"/>
      </w:pPr>
      <w:r>
        <w:rPr>
          <w:rFonts w:ascii="宋体" w:hAnsi="宋体" w:cs="宋体" w:eastAsia="宋体" w:hint="default"/>
        </w:rPr>
        <w:t>B.</w:t>
      </w:r>
      <w:r>
        <w:rPr/>
        <w:t>确认设定受益计划净负债或净资产</w:t>
      </w:r>
      <w:r>
        <w:rPr>
          <w:w w:val="100"/>
        </w:rPr>
        <w:t> </w:t>
      </w:r>
      <w:r>
        <w:rPr>
          <w:spacing w:val="-2"/>
        </w:rPr>
        <w:t>设定受益计划存在资产的，本公司将设定受益计划义务现值减去设定受益计划资产公允价值</w:t>
      </w:r>
    </w:p>
    <w:p>
      <w:pPr>
        <w:pStyle w:val="BodyText"/>
        <w:spacing w:line="355" w:lineRule="auto" w:before="28"/>
        <w:ind w:left="558" w:right="104" w:hanging="420"/>
        <w:jc w:val="left"/>
      </w:pPr>
      <w:r>
        <w:rPr/>
        <w:t>所形成的赤字或盈余确认为一项设定受益计划净负债或净资产。</w:t>
      </w:r>
      <w:r>
        <w:rPr>
          <w:w w:val="100"/>
        </w:rPr>
        <w:t> </w:t>
      </w:r>
      <w:r>
        <w:rPr>
          <w:spacing w:val="-2"/>
        </w:rPr>
        <w:t>设定受益计划存在盈余的，本公司以设定受益计划的盈余和资产上限两项的孰低者计量设定</w:t>
      </w:r>
    </w:p>
    <w:p>
      <w:pPr>
        <w:pStyle w:val="BodyText"/>
        <w:spacing w:line="355" w:lineRule="auto" w:before="32"/>
        <w:ind w:left="558" w:right="3646" w:hanging="420"/>
        <w:jc w:val="left"/>
      </w:pPr>
      <w:r>
        <w:rPr/>
        <w:t>受益计划净资产。</w:t>
      </w:r>
      <w:r>
        <w:rPr>
          <w:w w:val="100"/>
        </w:rPr>
        <w:t> </w:t>
      </w:r>
      <w:r>
        <w:rPr>
          <w:rFonts w:ascii="宋体" w:hAnsi="宋体" w:cs="宋体" w:eastAsia="宋体" w:hint="default"/>
          <w:spacing w:val="-2"/>
        </w:rPr>
        <w:t>C.</w:t>
      </w:r>
      <w:r>
        <w:rPr>
          <w:spacing w:val="-2"/>
        </w:rPr>
        <w:t>确定应计入资产成本或当期损益的金额</w:t>
      </w:r>
    </w:p>
    <w:p>
      <w:pPr>
        <w:pStyle w:val="BodyText"/>
        <w:spacing w:line="355" w:lineRule="auto" w:before="34"/>
        <w:ind w:left="138" w:right="217" w:firstLine="419"/>
        <w:jc w:val="both"/>
      </w:pPr>
      <w:r>
        <w:rPr>
          <w:spacing w:val="-2"/>
        </w:rPr>
        <w:t>服务成本，包括当期服务成本、过去服务成本和结算利得或损失。其中，除了其他会计准则</w:t>
      </w:r>
      <w:r>
        <w:rPr>
          <w:w w:val="100"/>
        </w:rPr>
        <w:t> </w:t>
      </w:r>
      <w:r>
        <w:rPr/>
        <w:t>要求或允许计入资产成本的当期服务成本之外，其他服务成本均计入当期损益。</w:t>
      </w:r>
    </w:p>
    <w:p>
      <w:pPr>
        <w:pStyle w:val="BodyText"/>
        <w:spacing w:line="357" w:lineRule="auto" w:before="32"/>
        <w:ind w:left="138" w:right="217" w:firstLine="419"/>
        <w:jc w:val="both"/>
      </w:pPr>
      <w:r>
        <w:rPr>
          <w:spacing w:val="-2"/>
        </w:rPr>
        <w:t>设定受益计划净负债或净资产的利息净额，包括计划资产的利息收益、设定受益计划义务的</w:t>
      </w:r>
      <w:r>
        <w:rPr>
          <w:w w:val="100"/>
        </w:rPr>
        <w:t> </w:t>
      </w:r>
      <w:r>
        <w:rPr/>
        <w:t>利息费用以及资产上限影响的利息，均计入当期损益。</w:t>
      </w:r>
    </w:p>
    <w:p>
      <w:pPr>
        <w:spacing w:after="0" w:line="357" w:lineRule="auto"/>
        <w:jc w:val="both"/>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BodyText"/>
        <w:spacing w:line="357" w:lineRule="auto" w:before="36"/>
        <w:ind w:left="558" w:right="104"/>
        <w:jc w:val="left"/>
      </w:pPr>
      <w:r>
        <w:rPr>
          <w:rFonts w:ascii="宋体" w:hAnsi="宋体" w:cs="宋体" w:eastAsia="宋体" w:hint="default"/>
        </w:rPr>
        <w:t>D.</w:t>
      </w:r>
      <w:r>
        <w:rPr/>
        <w:t>确定应计入其他综合收益的金额</w:t>
      </w:r>
      <w:r>
        <w:rPr>
          <w:w w:val="100"/>
        </w:rPr>
        <w:t> </w:t>
      </w:r>
      <w:r>
        <w:rPr>
          <w:spacing w:val="-2"/>
        </w:rPr>
        <w:t>重新计量设定受益计划净负债或净资产所产生的变动，包括：</w:t>
      </w:r>
    </w:p>
    <w:p>
      <w:pPr>
        <w:pStyle w:val="BodyText"/>
        <w:spacing w:line="355" w:lineRule="auto" w:before="30"/>
        <w:ind w:left="138" w:right="104" w:firstLine="419"/>
        <w:jc w:val="left"/>
      </w:pPr>
      <w:r>
        <w:rPr>
          <w:spacing w:val="-4"/>
        </w:rPr>
        <w:t>（</w:t>
      </w:r>
      <w:r>
        <w:rPr>
          <w:rFonts w:ascii="宋体" w:hAnsi="宋体" w:cs="宋体" w:eastAsia="宋体" w:hint="default"/>
          <w:spacing w:val="-4"/>
        </w:rPr>
        <w:t>a</w:t>
      </w:r>
      <w:r>
        <w:rPr>
          <w:spacing w:val="-4"/>
        </w:rPr>
        <w:t>）精算利得或损失，即由于精算假设和经验调整导致之前所计量的设定受益计划义务现值</w:t>
      </w:r>
      <w:r>
        <w:rPr>
          <w:w w:val="100"/>
        </w:rPr>
        <w:t> </w:t>
      </w:r>
      <w:r>
        <w:rPr/>
        <w:t>的增加或减少。</w:t>
      </w:r>
    </w:p>
    <w:p>
      <w:pPr>
        <w:pStyle w:val="BodyText"/>
        <w:spacing w:line="240" w:lineRule="auto" w:before="32"/>
        <w:ind w:left="558" w:right="104"/>
        <w:jc w:val="left"/>
      </w:pPr>
      <w:r>
        <w:rPr/>
        <w:t>（</w:t>
      </w:r>
      <w:r>
        <w:rPr>
          <w:rFonts w:ascii="宋体" w:hAnsi="宋体" w:cs="宋体" w:eastAsia="宋体" w:hint="default"/>
        </w:rPr>
        <w:t>b</w:t>
      </w:r>
      <w:r>
        <w:rPr/>
        <w:t>）计划资产回报，扣除包括在设定受益计划净负债或净资产的利息净额中的金额。</w:t>
      </w:r>
    </w:p>
    <w:p>
      <w:pPr>
        <w:pStyle w:val="BodyText"/>
        <w:spacing w:line="357" w:lineRule="auto" w:before="133"/>
        <w:ind w:left="558" w:right="104"/>
        <w:jc w:val="left"/>
      </w:pPr>
      <w:r>
        <w:rPr>
          <w:spacing w:val="-2"/>
        </w:rPr>
        <w:t>（</w:t>
      </w:r>
      <w:r>
        <w:rPr>
          <w:rFonts w:ascii="宋体" w:hAnsi="宋体" w:cs="宋体" w:eastAsia="宋体" w:hint="default"/>
          <w:spacing w:val="-2"/>
        </w:rPr>
        <w:t>c</w:t>
      </w:r>
      <w:r>
        <w:rPr>
          <w:spacing w:val="-2"/>
        </w:rPr>
        <w:t>）资产上限影响的变动，扣除包括在设定受益计划净负债或净资产的利息净额中的金额。</w:t>
      </w:r>
      <w:r>
        <w:rPr>
          <w:spacing w:val="-22"/>
        </w:rPr>
        <w:t> </w:t>
      </w:r>
      <w:r>
        <w:rPr>
          <w:spacing w:val="-22"/>
        </w:rPr>
      </w:r>
      <w:r>
        <w:rPr/>
        <w:t>上述重新计量设定受益计划净负债或净资产所产生的变动直接计入其他综合收益</w:t>
      </w:r>
      <w:r>
        <w:rPr>
          <w:rFonts w:ascii="宋体" w:hAnsi="宋体" w:cs="宋体" w:eastAsia="宋体" w:hint="default"/>
        </w:rPr>
        <w:t>,</w:t>
      </w:r>
      <w:r>
        <w:rPr>
          <w:rFonts w:ascii="宋体" w:hAnsi="宋体" w:cs="宋体" w:eastAsia="宋体" w:hint="default"/>
          <w:spacing w:val="-3"/>
        </w:rPr>
        <w:t> </w:t>
      </w:r>
      <w:r>
        <w:rPr/>
        <w:t>并且在后</w:t>
      </w:r>
    </w:p>
    <w:p>
      <w:pPr>
        <w:pStyle w:val="BodyText"/>
        <w:spacing w:line="357" w:lineRule="auto" w:before="30"/>
        <w:ind w:left="138" w:right="104"/>
        <w:jc w:val="left"/>
      </w:pPr>
      <w:r>
        <w:rPr>
          <w:spacing w:val="-2"/>
        </w:rPr>
        <w:t>续会计期间不允许转回至损益，但本公司可以在权益范围内转移这些在其他综合收益中确认的金</w:t>
      </w:r>
      <w:r>
        <w:rPr>
          <w:spacing w:val="-25"/>
        </w:rPr>
        <w:t> </w:t>
      </w:r>
      <w:r>
        <w:rPr>
          <w:spacing w:val="-25"/>
        </w:rPr>
      </w:r>
      <w:r>
        <w:rPr/>
        <w:t>额。</w:t>
      </w:r>
    </w:p>
    <w:p>
      <w:pPr>
        <w:spacing w:line="240" w:lineRule="auto" w:before="11"/>
        <w:rPr>
          <w:rFonts w:ascii="宋体" w:hAnsi="宋体" w:cs="宋体" w:eastAsia="宋体" w:hint="default"/>
          <w:sz w:val="27"/>
          <w:szCs w:val="27"/>
        </w:rPr>
      </w:pPr>
    </w:p>
    <w:p>
      <w:pPr>
        <w:pStyle w:val="Heading2"/>
        <w:spacing w:line="240" w:lineRule="auto"/>
        <w:ind w:left="138" w:right="104"/>
        <w:jc w:val="left"/>
        <w:rPr>
          <w:b w:val="0"/>
          <w:bCs w:val="0"/>
        </w:rPr>
      </w:pPr>
      <w:r>
        <w:rPr>
          <w:rFonts w:ascii="宋体" w:hAnsi="宋体" w:cs="宋体" w:eastAsia="宋体" w:hint="default"/>
        </w:rPr>
        <w:t>(3)</w:t>
      </w:r>
      <w:r>
        <w:rPr/>
        <w:t>、辞退福利的会计处理方法</w:t>
      </w:r>
      <w:r>
        <w:rPr>
          <w:b w:val="0"/>
          <w:bCs w:val="0"/>
        </w:rPr>
      </w:r>
    </w:p>
    <w:p>
      <w:pPr>
        <w:pStyle w:val="BodyText"/>
        <w:spacing w:line="240" w:lineRule="auto" w:before="56"/>
        <w:ind w:left="558" w:right="104" w:hanging="420"/>
        <w:jc w:val="left"/>
      </w:pPr>
      <w:r>
        <w:rPr/>
        <w:t>√适用</w:t>
      </w:r>
      <w:r>
        <w:rPr>
          <w:spacing w:val="-2"/>
        </w:rPr>
        <w:t> </w:t>
      </w:r>
      <w:r>
        <w:rPr/>
        <w:t>□不适用</w:t>
      </w:r>
      <w:r>
        <w:rPr>
          <w:w w:val="100"/>
        </w:rPr>
        <w:t> </w:t>
      </w:r>
      <w:r>
        <w:rPr>
          <w:spacing w:val="-2"/>
        </w:rPr>
        <w:t>本公司向职工提供辞退福利的，在下列两者孰早日确认辞退福利产生的职工薪酬负债，并计</w:t>
      </w:r>
    </w:p>
    <w:p>
      <w:pPr>
        <w:pStyle w:val="BodyText"/>
        <w:spacing w:line="240" w:lineRule="auto" w:before="133"/>
        <w:ind w:left="138" w:right="104"/>
        <w:jc w:val="left"/>
      </w:pPr>
      <w:r>
        <w:rPr/>
        <w:t>入当期损益：</w:t>
      </w:r>
    </w:p>
    <w:p>
      <w:pPr>
        <w:pStyle w:val="BodyText"/>
        <w:spacing w:line="240" w:lineRule="auto" w:before="133"/>
        <w:ind w:left="558" w:right="104"/>
        <w:jc w:val="left"/>
      </w:pPr>
      <w:r>
        <w:rPr/>
        <w:t>①企业不能单方面撤回因解除劳动关系计划或裁减建议所提供的辞退福利时。</w:t>
      </w:r>
    </w:p>
    <w:p>
      <w:pPr>
        <w:pStyle w:val="BodyText"/>
        <w:spacing w:line="357" w:lineRule="auto" w:before="133"/>
        <w:ind w:left="138" w:right="104" w:firstLine="419"/>
        <w:jc w:val="left"/>
      </w:pPr>
      <w:r>
        <w:rPr/>
        <w:t>②企业确认与涉及支付辞退福利的重组相关的成本或费用时。</w:t>
      </w:r>
      <w:r>
        <w:rPr>
          <w:w w:val="100"/>
        </w:rPr>
        <w:t> </w:t>
      </w:r>
      <w:r>
        <w:rPr>
          <w:spacing w:val="-2"/>
        </w:rPr>
        <w:t>辞退福利预期在年度报告期结束后十二个月内不能完全支付的，参照相应的折现率（根据资产负</w:t>
      </w:r>
      <w:r>
        <w:rPr>
          <w:spacing w:val="-25"/>
        </w:rPr>
        <w:t> </w:t>
      </w:r>
      <w:r>
        <w:rPr>
          <w:spacing w:val="-25"/>
        </w:rPr>
      </w:r>
      <w:r>
        <w:rPr>
          <w:spacing w:val="-2"/>
        </w:rPr>
        <w:t>债表日与设定受益计划义务期限和币种相匹配的国债或活跃市场上的高质量公司债券的市场收益</w:t>
      </w:r>
      <w:r>
        <w:rPr>
          <w:spacing w:val="-25"/>
        </w:rPr>
        <w:t> </w:t>
      </w:r>
      <w:r>
        <w:rPr>
          <w:spacing w:val="-25"/>
        </w:rPr>
      </w:r>
      <w:r>
        <w:rPr/>
        <w:t>率确定）将辞退福利金额予以折现，以折现后的金额计量应付职工薪酬。</w:t>
      </w:r>
    </w:p>
    <w:p>
      <w:pPr>
        <w:spacing w:line="240" w:lineRule="auto" w:before="11"/>
        <w:rPr>
          <w:rFonts w:ascii="宋体" w:hAnsi="宋体" w:cs="宋体" w:eastAsia="宋体" w:hint="default"/>
          <w:sz w:val="27"/>
          <w:szCs w:val="27"/>
        </w:rPr>
      </w:pPr>
    </w:p>
    <w:p>
      <w:pPr>
        <w:pStyle w:val="Heading2"/>
        <w:spacing w:line="240" w:lineRule="auto"/>
        <w:ind w:left="138" w:right="104"/>
        <w:jc w:val="left"/>
        <w:rPr>
          <w:b w:val="0"/>
          <w:bCs w:val="0"/>
        </w:rPr>
      </w:pPr>
      <w:r>
        <w:rPr>
          <w:rFonts w:ascii="宋体" w:hAnsi="宋体" w:cs="宋体" w:eastAsia="宋体" w:hint="default"/>
        </w:rPr>
        <w:t>(4)</w:t>
      </w:r>
      <w:r>
        <w:rPr/>
        <w:t>、其他长期职工福利的会计处理方法</w:t>
      </w:r>
      <w:r>
        <w:rPr>
          <w:b w:val="0"/>
          <w:bCs w:val="0"/>
        </w:rPr>
      </w:r>
    </w:p>
    <w:p>
      <w:pPr>
        <w:pStyle w:val="BodyText"/>
        <w:spacing w:line="274" w:lineRule="exact" w:before="56"/>
        <w:ind w:left="138" w:right="104"/>
        <w:jc w:val="left"/>
      </w:pPr>
      <w:r>
        <w:rPr/>
        <w:t>√适用</w:t>
      </w:r>
      <w:r>
        <w:rPr>
          <w:spacing w:val="-1"/>
        </w:rPr>
        <w:t> </w:t>
      </w:r>
      <w:r>
        <w:rPr/>
        <w:t>□不适用</w:t>
      </w:r>
    </w:p>
    <w:p>
      <w:pPr>
        <w:pStyle w:val="BodyText"/>
        <w:spacing w:line="355" w:lineRule="auto"/>
        <w:ind w:left="558" w:right="104"/>
        <w:jc w:val="left"/>
      </w:pPr>
      <w:r>
        <w:rPr/>
        <w:t>①符合设定提存计划条件的</w:t>
      </w:r>
      <w:r>
        <w:rPr>
          <w:w w:val="100"/>
        </w:rPr>
        <w:t> </w:t>
      </w:r>
      <w:r>
        <w:rPr>
          <w:spacing w:val="-2"/>
        </w:rPr>
        <w:t>本公司向职工提供的其他长期职工福利，符合设定提存计划条件的，将全部应缴存金额以折</w:t>
      </w:r>
    </w:p>
    <w:p>
      <w:pPr>
        <w:pStyle w:val="BodyText"/>
        <w:spacing w:line="240" w:lineRule="auto" w:before="32"/>
        <w:ind w:left="138" w:right="104"/>
        <w:jc w:val="left"/>
      </w:pPr>
      <w:r>
        <w:rPr/>
        <w:t>现后的金额计量应付职工薪酬。</w:t>
      </w:r>
    </w:p>
    <w:p>
      <w:pPr>
        <w:pStyle w:val="BodyText"/>
        <w:spacing w:line="357" w:lineRule="auto" w:before="133"/>
        <w:ind w:left="558" w:right="104"/>
        <w:jc w:val="left"/>
      </w:pPr>
      <w:r>
        <w:rPr/>
        <w:t>②符合设定受益计划条件的</w:t>
      </w:r>
      <w:r>
        <w:rPr>
          <w:w w:val="100"/>
        </w:rPr>
        <w:t> </w:t>
      </w:r>
      <w:r>
        <w:rPr>
          <w:spacing w:val="-2"/>
        </w:rPr>
        <w:t>在报告期末，本公司将其他长期职工福利产生的职工薪酬成本确认为下列组成部分：</w:t>
      </w:r>
      <w:r>
        <w:rPr>
          <w:spacing w:val="-35"/>
        </w:rPr>
        <w:t> </w:t>
      </w:r>
      <w:r>
        <w:rPr>
          <w:spacing w:val="-35"/>
        </w:rPr>
      </w:r>
      <w:r>
        <w:rPr>
          <w:rFonts w:ascii="宋体" w:hAnsi="宋体" w:cs="宋体" w:eastAsia="宋体" w:hint="default"/>
        </w:rPr>
        <w:t>A.</w:t>
      </w:r>
      <w:r>
        <w:rPr/>
        <w:t>服务成本。</w:t>
      </w:r>
    </w:p>
    <w:p>
      <w:pPr>
        <w:pStyle w:val="BodyText"/>
        <w:spacing w:line="355" w:lineRule="auto" w:before="30"/>
        <w:ind w:left="558" w:right="104"/>
        <w:jc w:val="left"/>
      </w:pPr>
      <w:r>
        <w:rPr>
          <w:rFonts w:ascii="宋体" w:hAnsi="宋体" w:cs="宋体" w:eastAsia="宋体" w:hint="default"/>
        </w:rPr>
        <w:t>B.</w:t>
      </w:r>
      <w:r>
        <w:rPr/>
        <w:t>其他长期职工福利净负债或净资产的利息净额。</w:t>
      </w:r>
      <w:r>
        <w:rPr>
          <w:w w:val="100"/>
        </w:rPr>
        <w:t> </w:t>
      </w:r>
      <w:r>
        <w:rPr>
          <w:rFonts w:ascii="宋体" w:hAnsi="宋体" w:cs="宋体" w:eastAsia="宋体" w:hint="default"/>
        </w:rPr>
        <w:t>C.</w:t>
      </w:r>
      <w:r>
        <w:rPr/>
        <w:t>重新计量其他长期职工福利净负债或净资产所产生的变动。</w:t>
      </w:r>
      <w:r>
        <w:rPr>
          <w:w w:val="100"/>
        </w:rPr>
        <w:t> </w:t>
      </w:r>
      <w:r>
        <w:rPr>
          <w:spacing w:val="-2"/>
        </w:rPr>
        <w:t>为简化相关会计处理，上述项目的总净额计入当期损益或相关资产成本。</w:t>
      </w:r>
    </w:p>
    <w:p>
      <w:pPr>
        <w:pStyle w:val="Heading2"/>
        <w:spacing w:line="240" w:lineRule="auto" w:before="94"/>
        <w:ind w:left="138" w:right="104"/>
        <w:jc w:val="left"/>
        <w:rPr>
          <w:b w:val="0"/>
          <w:bCs w:val="0"/>
        </w:rPr>
      </w:pPr>
      <w:r>
        <w:rPr>
          <w:rFonts w:ascii="宋体" w:hAnsi="宋体" w:cs="宋体" w:eastAsia="宋体" w:hint="default"/>
        </w:rPr>
        <w:t>25.</w:t>
      </w:r>
      <w:r>
        <w:rPr>
          <w:rFonts w:ascii="宋体" w:hAnsi="宋体" w:cs="宋体" w:eastAsia="宋体" w:hint="default"/>
          <w:spacing w:val="2"/>
        </w:rPr>
        <w:t> </w:t>
      </w:r>
      <w:r>
        <w:rPr/>
        <w:t>预计负债</w:t>
      </w:r>
      <w:r>
        <w:rPr>
          <w:b w:val="0"/>
          <w:bCs w:val="0"/>
        </w:rPr>
      </w:r>
    </w:p>
    <w:p>
      <w:pPr>
        <w:pStyle w:val="BodyText"/>
        <w:spacing w:line="274" w:lineRule="exact" w:before="56"/>
        <w:ind w:left="138" w:right="104"/>
        <w:jc w:val="left"/>
      </w:pPr>
      <w:r>
        <w:rPr/>
        <w:t>√适用</w:t>
      </w:r>
      <w:r>
        <w:rPr>
          <w:spacing w:val="-1"/>
        </w:rPr>
        <w:t> </w:t>
      </w:r>
      <w:r>
        <w:rPr/>
        <w:t>□不适用</w:t>
      </w:r>
    </w:p>
    <w:p>
      <w:pPr>
        <w:spacing w:line="357" w:lineRule="auto" w:before="0"/>
        <w:ind w:left="558" w:right="10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）预计负债的确认标准</w:t>
      </w:r>
      <w:r>
        <w:rPr>
          <w:rFonts w:ascii="宋体" w:hAnsi="宋体" w:cs="宋体" w:eastAsia="宋体" w:hint="default"/>
          <w:b/>
          <w:bCs/>
          <w:w w:val="100"/>
          <w:sz w:val="21"/>
          <w:szCs w:val="21"/>
        </w:rPr>
        <w:t> </w:t>
      </w:r>
      <w:r>
        <w:rPr>
          <w:rFonts w:ascii="宋体" w:hAnsi="宋体" w:cs="宋体" w:eastAsia="宋体" w:hint="default"/>
          <w:spacing w:val="-2"/>
          <w:sz w:val="21"/>
          <w:szCs w:val="21"/>
        </w:rPr>
        <w:t>如果与或有事项相关的义务同时符合以下条件，本公司将其确认为预计负债：</w:t>
      </w:r>
    </w:p>
    <w:p>
      <w:pPr>
        <w:pStyle w:val="BodyText"/>
        <w:spacing w:line="240" w:lineRule="auto" w:before="30"/>
        <w:ind w:left="558" w:right="104"/>
        <w:jc w:val="left"/>
      </w:pPr>
      <w:r>
        <w:rPr/>
        <w:t>①该义务是本公司承担的现时义务。</w:t>
      </w:r>
    </w:p>
    <w:p>
      <w:pPr>
        <w:spacing w:after="0" w:line="240" w:lineRule="auto"/>
        <w:jc w:val="left"/>
        <w:sectPr>
          <w:footerReference w:type="default" r:id="rId40"/>
          <w:pgSz w:w="11910" w:h="16840"/>
          <w:pgMar w:footer="1195" w:header="882" w:top="1120" w:bottom="1380" w:left="1660" w:right="1060"/>
        </w:sectPr>
      </w:pPr>
    </w:p>
    <w:p>
      <w:pPr>
        <w:spacing w:line="240" w:lineRule="auto" w:before="1"/>
        <w:rPr>
          <w:rFonts w:ascii="宋体" w:hAnsi="宋体" w:cs="宋体" w:eastAsia="宋体" w:hint="default"/>
          <w:sz w:val="25"/>
          <w:szCs w:val="25"/>
        </w:rPr>
      </w:pPr>
    </w:p>
    <w:p>
      <w:pPr>
        <w:pStyle w:val="BodyText"/>
        <w:spacing w:line="240" w:lineRule="auto" w:before="36"/>
        <w:ind w:left="558" w:right="104"/>
        <w:jc w:val="left"/>
      </w:pPr>
      <w:r>
        <w:rPr/>
        <w:t>②该义务的履行很可能导致经济利益流出本公司。</w:t>
      </w:r>
    </w:p>
    <w:p>
      <w:pPr>
        <w:pStyle w:val="BodyText"/>
        <w:spacing w:line="240" w:lineRule="auto" w:before="135"/>
        <w:ind w:left="558" w:right="104"/>
        <w:jc w:val="left"/>
      </w:pPr>
      <w:r>
        <w:rPr/>
        <w:t>③该义务的金额能够可靠地计量。</w:t>
      </w:r>
    </w:p>
    <w:p>
      <w:pPr>
        <w:spacing w:line="355" w:lineRule="auto" w:before="133"/>
        <w:ind w:left="558" w:right="104"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）预计负债的计量方法</w:t>
      </w:r>
      <w:r>
        <w:rPr>
          <w:rFonts w:ascii="宋体" w:hAnsi="宋体" w:cs="宋体" w:eastAsia="宋体" w:hint="default"/>
          <w:b/>
          <w:bCs/>
          <w:w w:val="100"/>
          <w:sz w:val="21"/>
          <w:szCs w:val="21"/>
        </w:rPr>
        <w:t> </w:t>
      </w:r>
      <w:r>
        <w:rPr>
          <w:rFonts w:ascii="宋体" w:hAnsi="宋体" w:cs="宋体" w:eastAsia="宋体" w:hint="default"/>
          <w:spacing w:val="-2"/>
          <w:sz w:val="21"/>
          <w:szCs w:val="21"/>
        </w:rPr>
        <w:t>预计负债按照履行相关现时义务所需支出的最佳估计数进行初始计量，并综合考虑与或事项</w:t>
      </w:r>
    </w:p>
    <w:p>
      <w:pPr>
        <w:pStyle w:val="BodyText"/>
        <w:spacing w:line="357" w:lineRule="auto" w:before="32"/>
        <w:ind w:left="138" w:right="217"/>
        <w:jc w:val="both"/>
      </w:pPr>
      <w:r>
        <w:rPr>
          <w:spacing w:val="-2"/>
        </w:rPr>
        <w:t>有关的风险、不确定性和货币时间价值等因素。每个资产负债表日对预计负债的账面价值进行复</w:t>
      </w:r>
      <w:r>
        <w:rPr>
          <w:spacing w:val="-25"/>
        </w:rPr>
        <w:t> </w:t>
      </w:r>
      <w:r>
        <w:rPr>
          <w:spacing w:val="-25"/>
        </w:rPr>
      </w:r>
      <w:r>
        <w:rPr>
          <w:spacing w:val="-2"/>
        </w:rPr>
        <w:t>核。有确凿证据表明该账面价值不能反映当前最佳估计数的，按照当前最佳估计数对该账面价值</w:t>
      </w:r>
      <w:r>
        <w:rPr>
          <w:spacing w:val="-25"/>
        </w:rPr>
        <w:t> </w:t>
      </w:r>
      <w:r>
        <w:rPr>
          <w:spacing w:val="-25"/>
        </w:rPr>
      </w:r>
      <w:r>
        <w:rPr/>
        <w:t>进行调整。</w:t>
      </w:r>
    </w:p>
    <w:p>
      <w:pPr>
        <w:spacing w:line="240" w:lineRule="auto" w:before="9"/>
        <w:rPr>
          <w:rFonts w:ascii="宋体" w:hAnsi="宋体" w:cs="宋体" w:eastAsia="宋体" w:hint="default"/>
          <w:sz w:val="27"/>
          <w:szCs w:val="27"/>
        </w:rPr>
      </w:pPr>
    </w:p>
    <w:p>
      <w:pPr>
        <w:pStyle w:val="Heading2"/>
        <w:spacing w:line="240" w:lineRule="auto"/>
        <w:ind w:left="138" w:right="0"/>
        <w:jc w:val="both"/>
        <w:rPr>
          <w:b w:val="0"/>
          <w:bCs w:val="0"/>
        </w:rPr>
      </w:pPr>
      <w:r>
        <w:rPr>
          <w:rFonts w:ascii="宋体" w:hAnsi="宋体" w:cs="宋体" w:eastAsia="宋体" w:hint="default"/>
        </w:rPr>
        <w:t>26.</w:t>
      </w:r>
      <w:r>
        <w:rPr>
          <w:rFonts w:ascii="宋体" w:hAnsi="宋体" w:cs="宋体" w:eastAsia="宋体" w:hint="default"/>
          <w:spacing w:val="2"/>
        </w:rPr>
        <w:t> </w:t>
      </w:r>
      <w:r>
        <w:rPr/>
        <w:t>股份支付</w:t>
      </w:r>
      <w:r>
        <w:rPr>
          <w:b w:val="0"/>
          <w:bCs w:val="0"/>
        </w:rPr>
      </w:r>
    </w:p>
    <w:p>
      <w:pPr>
        <w:pStyle w:val="BodyText"/>
        <w:spacing w:line="273" w:lineRule="exact" w:before="58"/>
        <w:ind w:left="138" w:right="0"/>
        <w:jc w:val="both"/>
      </w:pPr>
      <w:r>
        <w:rPr/>
        <w:t>√适用</w:t>
      </w:r>
      <w:r>
        <w:rPr>
          <w:spacing w:val="-1"/>
        </w:rPr>
        <w:t> </w:t>
      </w:r>
      <w:r>
        <w:rPr/>
        <w:t>□不适用</w:t>
      </w:r>
    </w:p>
    <w:p>
      <w:pPr>
        <w:spacing w:line="357" w:lineRule="auto" w:before="0"/>
        <w:ind w:left="663" w:right="220" w:hanging="106"/>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）股份支付的种类</w:t>
      </w:r>
      <w:r>
        <w:rPr>
          <w:rFonts w:ascii="宋体" w:hAnsi="宋体" w:cs="宋体" w:eastAsia="宋体" w:hint="default"/>
          <w:b/>
          <w:bCs/>
          <w:spacing w:val="-103"/>
          <w:sz w:val="21"/>
          <w:szCs w:val="21"/>
        </w:rPr>
        <w:t> </w:t>
      </w:r>
      <w:r>
        <w:rPr>
          <w:rFonts w:ascii="宋体" w:hAnsi="宋体" w:cs="宋体" w:eastAsia="宋体" w:hint="default"/>
          <w:spacing w:val="-2"/>
          <w:sz w:val="21"/>
          <w:szCs w:val="21"/>
        </w:rPr>
        <w:t>本公司股份支付包括以现金结算的股份支付和以权益结算的股份支付。</w:t>
      </w:r>
    </w:p>
    <w:p>
      <w:pPr>
        <w:pStyle w:val="Heading2"/>
        <w:spacing w:line="240" w:lineRule="auto" w:before="30"/>
        <w:ind w:left="560" w:right="104"/>
        <w:jc w:val="left"/>
        <w:rPr>
          <w:b w:val="0"/>
          <w:bCs w:val="0"/>
        </w:rPr>
      </w:pPr>
      <w:r>
        <w:rPr/>
        <w:t>（</w:t>
      </w:r>
      <w:r>
        <w:rPr>
          <w:rFonts w:ascii="宋体" w:hAnsi="宋体" w:cs="宋体" w:eastAsia="宋体" w:hint="default"/>
        </w:rPr>
        <w:t>2</w:t>
      </w:r>
      <w:r>
        <w:rPr/>
        <w:t>）权益工具公允价值的确定方法</w:t>
      </w:r>
      <w:r>
        <w:rPr>
          <w:b w:val="0"/>
          <w:bCs w:val="0"/>
        </w:rPr>
      </w:r>
    </w:p>
    <w:p>
      <w:pPr>
        <w:pStyle w:val="BodyText"/>
        <w:spacing w:line="355" w:lineRule="auto" w:before="133"/>
        <w:ind w:left="138" w:right="104" w:firstLine="419"/>
        <w:jc w:val="left"/>
      </w:pPr>
      <w:r>
        <w:rPr>
          <w:spacing w:val="-2"/>
        </w:rPr>
        <w:t>①对于授予职工的股份，其公允价值按公司股份的市场价格计量，同时考虑授予股份所依据</w:t>
      </w:r>
      <w:r>
        <w:rPr>
          <w:w w:val="100"/>
        </w:rPr>
        <w:t> </w:t>
      </w:r>
      <w:r>
        <w:rPr/>
        <w:t>的条款和条件（不包括市场条件之外的可行权条件）进行调整。</w:t>
      </w:r>
    </w:p>
    <w:p>
      <w:pPr>
        <w:pStyle w:val="BodyText"/>
        <w:spacing w:line="357" w:lineRule="auto" w:before="32"/>
        <w:ind w:left="138" w:right="104" w:firstLine="419"/>
        <w:jc w:val="left"/>
      </w:pPr>
      <w:r>
        <w:rPr>
          <w:spacing w:val="-2"/>
        </w:rPr>
        <w:t>②对于授予职工的股票期权，在许多情况下难以获得其市场价格。如果不存在条款和条件相</w:t>
      </w:r>
      <w:r>
        <w:rPr>
          <w:w w:val="100"/>
        </w:rPr>
        <w:t> </w:t>
      </w:r>
      <w:r>
        <w:rPr/>
        <w:t>似的交易期权，公司选择适用的期权定价模型估计所授予的期权的公允价值。</w:t>
      </w:r>
    </w:p>
    <w:p>
      <w:pPr>
        <w:spacing w:line="355" w:lineRule="auto" w:before="30"/>
        <w:ind w:left="558" w:right="104"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）确认可行权权益工具最佳估计的依据</w:t>
      </w:r>
      <w:r>
        <w:rPr>
          <w:rFonts w:ascii="宋体" w:hAnsi="宋体" w:cs="宋体" w:eastAsia="宋体" w:hint="default"/>
          <w:b/>
          <w:bCs/>
          <w:w w:val="100"/>
          <w:sz w:val="21"/>
          <w:szCs w:val="21"/>
        </w:rPr>
        <w:t> </w:t>
      </w:r>
      <w:r>
        <w:rPr>
          <w:rFonts w:ascii="宋体" w:hAnsi="宋体" w:cs="宋体" w:eastAsia="宋体" w:hint="default"/>
          <w:spacing w:val="-2"/>
          <w:sz w:val="21"/>
          <w:szCs w:val="21"/>
        </w:rPr>
        <w:t>在等待期内每个资产负债表日，公司根据最新取得的可行权职工人数变动等后续信息作出最</w:t>
      </w:r>
    </w:p>
    <w:p>
      <w:pPr>
        <w:pStyle w:val="BodyText"/>
        <w:spacing w:line="240" w:lineRule="auto" w:before="32"/>
        <w:ind w:left="138" w:right="0"/>
        <w:jc w:val="both"/>
      </w:pPr>
      <w:r>
        <w:rPr/>
        <w:t>佳估计，修正预计可行权的权益工具数量，以作出可行权权益工具的最佳估计。</w:t>
      </w:r>
    </w:p>
    <w:p>
      <w:pPr>
        <w:pStyle w:val="Heading2"/>
        <w:spacing w:line="240" w:lineRule="auto" w:before="133"/>
        <w:ind w:left="560" w:right="104"/>
        <w:jc w:val="left"/>
        <w:rPr>
          <w:b w:val="0"/>
          <w:bCs w:val="0"/>
        </w:rPr>
      </w:pPr>
      <w:r>
        <w:rPr/>
        <w:t>（</w:t>
      </w:r>
      <w:r>
        <w:rPr>
          <w:rFonts w:ascii="宋体" w:hAnsi="宋体" w:cs="宋体" w:eastAsia="宋体" w:hint="default"/>
        </w:rPr>
        <w:t>4</w:t>
      </w:r>
      <w:r>
        <w:rPr/>
        <w:t>）股份支付计划实施的会计处理</w:t>
      </w:r>
      <w:r>
        <w:rPr>
          <w:b w:val="0"/>
          <w:bCs w:val="0"/>
        </w:rPr>
      </w:r>
    </w:p>
    <w:p>
      <w:pPr>
        <w:pStyle w:val="BodyText"/>
        <w:spacing w:line="355" w:lineRule="auto" w:before="135"/>
        <w:ind w:left="138" w:right="208" w:firstLine="525"/>
        <w:jc w:val="both"/>
      </w:pPr>
      <w:r>
        <w:rPr>
          <w:spacing w:val="-4"/>
          <w:w w:val="100"/>
        </w:rPr>
        <w:t>①授予后立即可行权的以现金结算的股份支付，在授予日以本公司承担负债的公允价值计入</w:t>
      </w:r>
      <w:r>
        <w:rPr>
          <w:w w:val="100"/>
        </w:rPr>
        <w:t> </w:t>
      </w:r>
      <w:r>
        <w:rPr>
          <w:spacing w:val="-2"/>
        </w:rPr>
        <w:t>相关成本或费用，相应增加负债。并在结算前的每个资产负债表日和结算日对负债的公允价值重</w:t>
      </w:r>
      <w:r>
        <w:rPr>
          <w:spacing w:val="-25"/>
        </w:rPr>
        <w:t> </w:t>
      </w:r>
      <w:r>
        <w:rPr>
          <w:spacing w:val="-25"/>
        </w:rPr>
      </w:r>
      <w:r>
        <w:rPr/>
        <w:t>新计量，将其变动计入损益。</w:t>
      </w:r>
    </w:p>
    <w:p>
      <w:pPr>
        <w:pStyle w:val="BodyText"/>
        <w:spacing w:line="357" w:lineRule="auto" w:before="32"/>
        <w:ind w:left="138" w:right="0" w:firstLine="525"/>
        <w:jc w:val="left"/>
      </w:pPr>
      <w:r>
        <w:rPr>
          <w:spacing w:val="-4"/>
          <w:w w:val="100"/>
        </w:rPr>
        <w:t>②完成等待期内的服务或达到规定业绩条件以后才可行权的以现金结算的股份支付，在等待</w:t>
      </w:r>
      <w:r>
        <w:rPr>
          <w:w w:val="100"/>
        </w:rPr>
        <w:t> </w:t>
      </w:r>
      <w:r>
        <w:rPr>
          <w:spacing w:val="-4"/>
          <w:w w:val="100"/>
        </w:rPr>
        <w:t>期内的每个资产负债表日以对可行权情况的最佳估计为基础，按本公司承担负债的公允价值金额，</w:t>
      </w:r>
      <w:r>
        <w:rPr>
          <w:spacing w:val="-86"/>
          <w:w w:val="100"/>
        </w:rPr>
        <w:t> </w:t>
      </w:r>
      <w:r>
        <w:rPr>
          <w:spacing w:val="-86"/>
          <w:w w:val="100"/>
        </w:rPr>
      </w:r>
      <w:r>
        <w:rPr/>
        <w:t>将当期取得的服务计入成本或费用和相应的负债。</w:t>
      </w:r>
    </w:p>
    <w:p>
      <w:pPr>
        <w:pStyle w:val="BodyText"/>
        <w:spacing w:line="355" w:lineRule="auto" w:before="30"/>
        <w:ind w:left="138" w:right="104" w:firstLine="525"/>
        <w:jc w:val="left"/>
      </w:pPr>
      <w:r>
        <w:rPr>
          <w:spacing w:val="-4"/>
          <w:w w:val="100"/>
        </w:rPr>
        <w:t>③授予后立即可行权的换取职工服务的以权益结算的股份支付，在授予日以权益工具的公允</w:t>
      </w:r>
      <w:r>
        <w:rPr>
          <w:w w:val="100"/>
        </w:rPr>
        <w:t> </w:t>
      </w:r>
      <w:r>
        <w:rPr/>
        <w:t>价值计入相关成本或费用，相应增加资本公积。</w:t>
      </w:r>
    </w:p>
    <w:p>
      <w:pPr>
        <w:pStyle w:val="BodyText"/>
        <w:spacing w:line="357" w:lineRule="auto" w:before="32"/>
        <w:ind w:left="138" w:right="104" w:firstLine="525"/>
        <w:jc w:val="left"/>
      </w:pPr>
      <w:r>
        <w:rPr/>
        <w:t>④完成等待期内的服务或达到规定业绩条件以后才可行权换取职工服务的以权益结算的股</w:t>
      </w:r>
      <w:r>
        <w:rPr>
          <w:w w:val="100"/>
        </w:rPr>
        <w:t> </w:t>
      </w:r>
      <w:r>
        <w:rPr>
          <w:spacing w:val="-2"/>
        </w:rPr>
        <w:t>份支付，在等待期内的每个资产负债表日，以对可行权权益工具数量的最佳估计为基础，按权益</w:t>
      </w:r>
      <w:r>
        <w:rPr>
          <w:spacing w:val="-25"/>
        </w:rPr>
        <w:t> </w:t>
      </w:r>
      <w:r>
        <w:rPr>
          <w:spacing w:val="-25"/>
        </w:rPr>
      </w:r>
      <w:r>
        <w:rPr/>
        <w:t>工具授予日的公允价值，将当期取得的服务计入成本或费用和资本公积。</w:t>
      </w:r>
    </w:p>
    <w:p>
      <w:pPr>
        <w:pStyle w:val="Heading2"/>
        <w:spacing w:line="240" w:lineRule="auto" w:before="30"/>
        <w:ind w:left="560" w:right="104"/>
        <w:jc w:val="left"/>
        <w:rPr>
          <w:b w:val="0"/>
          <w:bCs w:val="0"/>
        </w:rPr>
      </w:pPr>
      <w:r>
        <w:rPr/>
        <w:t>（</w:t>
      </w:r>
      <w:r>
        <w:rPr>
          <w:rFonts w:ascii="宋体" w:hAnsi="宋体" w:cs="宋体" w:eastAsia="宋体" w:hint="default"/>
        </w:rPr>
        <w:t>5</w:t>
      </w:r>
      <w:r>
        <w:rPr/>
        <w:t>）股份支付计划修改的会计处理</w:t>
      </w:r>
      <w:r>
        <w:rPr>
          <w:b w:val="0"/>
          <w:bCs w:val="0"/>
        </w:rPr>
      </w:r>
    </w:p>
    <w:p>
      <w:pPr>
        <w:spacing w:after="0" w:line="240" w:lineRule="auto"/>
        <w:jc w:val="left"/>
        <w:sectPr>
          <w:footerReference w:type="default" r:id="rId41"/>
          <w:pgSz w:w="11910" w:h="16840"/>
          <w:pgMar w:footer="1195" w:header="882" w:top="1120" w:bottom="1380" w:left="1660" w:right="1060"/>
          <w:pgNumType w:start="101"/>
        </w:sectPr>
      </w:pPr>
    </w:p>
    <w:p>
      <w:pPr>
        <w:spacing w:line="240" w:lineRule="auto" w:before="1"/>
        <w:rPr>
          <w:rFonts w:ascii="宋体" w:hAnsi="宋体" w:cs="宋体" w:eastAsia="宋体" w:hint="default"/>
          <w:b/>
          <w:bCs/>
          <w:sz w:val="25"/>
          <w:szCs w:val="25"/>
        </w:rPr>
      </w:pPr>
    </w:p>
    <w:p>
      <w:pPr>
        <w:pStyle w:val="BodyText"/>
        <w:spacing w:line="357" w:lineRule="auto" w:before="36"/>
        <w:ind w:left="138" w:right="217" w:firstLine="419"/>
        <w:jc w:val="both"/>
      </w:pPr>
      <w:r>
        <w:rPr>
          <w:spacing w:val="-2"/>
        </w:rPr>
        <w:t>本公司对股份支付计划进行修改时，若修改增加了所授予权益工具的公允价值，按照权益工</w:t>
      </w:r>
      <w:r>
        <w:rPr>
          <w:w w:val="100"/>
        </w:rPr>
        <w:t> </w:t>
      </w:r>
      <w:r>
        <w:rPr>
          <w:spacing w:val="-2"/>
        </w:rPr>
        <w:t>具公允价值的增加相应地确认取得服务的增加；若修改增加了所授予权益工具的数量，则将增加</w:t>
      </w:r>
      <w:r>
        <w:rPr>
          <w:spacing w:val="-25"/>
        </w:rPr>
        <w:t> </w:t>
      </w:r>
      <w:r>
        <w:rPr>
          <w:spacing w:val="-25"/>
        </w:rPr>
      </w:r>
      <w:r>
        <w:rPr>
          <w:spacing w:val="-2"/>
        </w:rPr>
        <w:t>的权益工具的公允价值相应地确认为取得服务的增加。权益工具公允价值的增加是指修改前后的</w:t>
      </w:r>
      <w:r>
        <w:rPr>
          <w:spacing w:val="-25"/>
        </w:rPr>
        <w:t> </w:t>
      </w:r>
      <w:r>
        <w:rPr>
          <w:spacing w:val="-25"/>
        </w:rPr>
      </w:r>
      <w:r>
        <w:rPr>
          <w:spacing w:val="-2"/>
        </w:rPr>
        <w:t>权益工具在修改日的公允价值之间的差额。若修改减少了股份支付公允价值总额或采用了其他不</w:t>
      </w:r>
      <w:r>
        <w:rPr>
          <w:spacing w:val="-25"/>
        </w:rPr>
        <w:t> </w:t>
      </w:r>
      <w:r>
        <w:rPr>
          <w:spacing w:val="-25"/>
        </w:rPr>
      </w:r>
      <w:r>
        <w:rPr>
          <w:spacing w:val="-2"/>
        </w:rPr>
        <w:t>利于职工的方式修改股份支付计划的条款和条件，则仍继续对取得的服务进行会计处理，视同该</w:t>
      </w:r>
      <w:r>
        <w:rPr>
          <w:spacing w:val="-25"/>
        </w:rPr>
        <w:t> </w:t>
      </w:r>
      <w:r>
        <w:rPr>
          <w:spacing w:val="-25"/>
        </w:rPr>
      </w:r>
      <w:r>
        <w:rPr/>
        <w:t>变更从未发生，除非本公司取消了部分或全部已授予的权益工具。</w:t>
      </w:r>
    </w:p>
    <w:p>
      <w:pPr>
        <w:spacing w:line="355" w:lineRule="auto" w:before="32"/>
        <w:ind w:left="558" w:right="104"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6</w:t>
      </w:r>
      <w:r>
        <w:rPr>
          <w:rFonts w:ascii="宋体" w:hAnsi="宋体" w:cs="宋体" w:eastAsia="宋体" w:hint="default"/>
          <w:b/>
          <w:bCs/>
          <w:sz w:val="21"/>
          <w:szCs w:val="21"/>
        </w:rPr>
        <w:t>）股份支付计划终止的会计处理</w:t>
      </w:r>
      <w:r>
        <w:rPr>
          <w:rFonts w:ascii="宋体" w:hAnsi="宋体" w:cs="宋体" w:eastAsia="宋体" w:hint="default"/>
          <w:b/>
          <w:bCs/>
          <w:w w:val="100"/>
          <w:sz w:val="21"/>
          <w:szCs w:val="21"/>
        </w:rPr>
        <w:t> </w:t>
      </w:r>
      <w:r>
        <w:rPr>
          <w:rFonts w:ascii="宋体" w:hAnsi="宋体" w:cs="宋体" w:eastAsia="宋体" w:hint="default"/>
          <w:spacing w:val="-2"/>
          <w:sz w:val="21"/>
          <w:szCs w:val="21"/>
        </w:rPr>
        <w:t>如果在等待期内取消了所授予的权益工具或结算了所授予的权益工具（因未满足可行权条件</w:t>
      </w:r>
    </w:p>
    <w:p>
      <w:pPr>
        <w:pStyle w:val="BodyText"/>
        <w:spacing w:line="240" w:lineRule="auto" w:before="33"/>
        <w:ind w:left="138" w:right="104"/>
        <w:jc w:val="left"/>
      </w:pPr>
      <w:r>
        <w:rPr/>
        <w:t>而被取消的除外），本公司：</w:t>
      </w:r>
    </w:p>
    <w:p>
      <w:pPr>
        <w:pStyle w:val="BodyText"/>
        <w:spacing w:line="240" w:lineRule="auto" w:before="133"/>
        <w:ind w:left="558" w:right="104"/>
        <w:jc w:val="left"/>
      </w:pPr>
      <w:r>
        <w:rPr/>
        <w:t>①将取消或结算作为加速可行权处理，立即确认原本应在剩余等待期内确认的金额。</w:t>
      </w:r>
    </w:p>
    <w:p>
      <w:pPr>
        <w:pStyle w:val="BodyText"/>
        <w:spacing w:line="355" w:lineRule="auto" w:before="135"/>
        <w:ind w:left="138" w:right="104" w:firstLine="419"/>
        <w:jc w:val="left"/>
      </w:pPr>
      <w:r>
        <w:rPr>
          <w:spacing w:val="-2"/>
        </w:rPr>
        <w:t>②在取消或结算时支付给职工的所有款项均作为权益的回购处理，回购支付的金额高于该权</w:t>
      </w:r>
      <w:r>
        <w:rPr>
          <w:w w:val="100"/>
        </w:rPr>
        <w:t> </w:t>
      </w:r>
      <w:r>
        <w:rPr/>
        <w:t>益工具在回购日公允价值的部分，计入当期费用。</w:t>
      </w:r>
      <w:r>
        <w:rPr>
          <w:w w:val="100"/>
        </w:rPr>
        <w:t> </w:t>
      </w:r>
      <w:r>
        <w:rPr>
          <w:spacing w:val="-2"/>
        </w:rPr>
        <w:t>本公司如果回购其职工已可行权的权益工具，冲减企业的所有者权益；回购支付的款项高于该权</w:t>
      </w:r>
      <w:r>
        <w:rPr>
          <w:spacing w:val="-25"/>
        </w:rPr>
        <w:t> </w:t>
      </w:r>
      <w:r>
        <w:rPr>
          <w:spacing w:val="-25"/>
        </w:rPr>
      </w:r>
      <w:r>
        <w:rPr/>
        <w:t>益工具在回购日公允价值的部分，计入当期损益。</w:t>
      </w:r>
    </w:p>
    <w:p>
      <w:pPr>
        <w:spacing w:line="240" w:lineRule="auto" w:before="13"/>
        <w:rPr>
          <w:rFonts w:ascii="宋体" w:hAnsi="宋体" w:cs="宋体" w:eastAsia="宋体" w:hint="default"/>
          <w:sz w:val="27"/>
          <w:szCs w:val="27"/>
        </w:rPr>
      </w:pPr>
    </w:p>
    <w:p>
      <w:pPr>
        <w:pStyle w:val="Heading2"/>
        <w:spacing w:line="240" w:lineRule="auto"/>
        <w:ind w:left="138" w:right="104"/>
        <w:jc w:val="left"/>
        <w:rPr>
          <w:b w:val="0"/>
          <w:bCs w:val="0"/>
        </w:rPr>
      </w:pPr>
      <w:r>
        <w:rPr>
          <w:rFonts w:ascii="宋体" w:hAnsi="宋体" w:cs="宋体" w:eastAsia="宋体" w:hint="default"/>
        </w:rPr>
        <w:t>27. </w:t>
      </w:r>
      <w:r>
        <w:rPr/>
        <w:t>优先股、永续债等其他金融工具</w:t>
      </w:r>
      <w:r>
        <w:rPr>
          <w:b w:val="0"/>
          <w:bCs w:val="0"/>
        </w:rPr>
      </w:r>
    </w:p>
    <w:p>
      <w:pPr>
        <w:pStyle w:val="BodyText"/>
        <w:spacing w:line="240" w:lineRule="auto" w:before="56"/>
        <w:ind w:left="138" w:right="104"/>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104"/>
        <w:jc w:val="left"/>
        <w:rPr>
          <w:b w:val="0"/>
          <w:bCs w:val="0"/>
        </w:rPr>
      </w:pPr>
      <w:r>
        <w:rPr>
          <w:rFonts w:ascii="宋体" w:hAnsi="宋体" w:cs="宋体" w:eastAsia="宋体" w:hint="default"/>
        </w:rPr>
        <w:t>28.</w:t>
      </w:r>
      <w:r>
        <w:rPr>
          <w:rFonts w:ascii="宋体" w:hAnsi="宋体" w:cs="宋体" w:eastAsia="宋体" w:hint="default"/>
          <w:spacing w:val="2"/>
        </w:rPr>
        <w:t> </w:t>
      </w:r>
      <w:r>
        <w:rPr/>
        <w:t>收入</w:t>
      </w:r>
      <w:r>
        <w:rPr>
          <w:b w:val="0"/>
          <w:bCs w:val="0"/>
        </w:rPr>
      </w:r>
    </w:p>
    <w:p>
      <w:pPr>
        <w:pStyle w:val="BodyText"/>
        <w:spacing w:line="274" w:lineRule="exact" w:before="58"/>
        <w:ind w:left="138" w:right="104"/>
        <w:jc w:val="left"/>
      </w:pPr>
      <w:r>
        <w:rPr/>
        <w:t>√适用</w:t>
      </w:r>
      <w:r>
        <w:rPr>
          <w:spacing w:val="-1"/>
        </w:rPr>
        <w:t> </w:t>
      </w:r>
      <w:r>
        <w:rPr/>
        <w:t>□不适用</w:t>
      </w:r>
    </w:p>
    <w:p>
      <w:pPr>
        <w:spacing w:line="357" w:lineRule="auto" w:before="0"/>
        <w:ind w:left="538" w:right="104" w:firstLine="19"/>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z w:val="20"/>
          <w:szCs w:val="20"/>
        </w:rPr>
        <w:t>1</w:t>
      </w:r>
      <w:r>
        <w:rPr>
          <w:rFonts w:ascii="宋体" w:hAnsi="宋体" w:cs="宋体" w:eastAsia="宋体" w:hint="default"/>
          <w:b/>
          <w:bCs/>
          <w:sz w:val="20"/>
          <w:szCs w:val="20"/>
        </w:rPr>
        <w:t>）销售商品收入</w:t>
      </w:r>
      <w:r>
        <w:rPr>
          <w:rFonts w:ascii="宋体" w:hAnsi="宋体" w:cs="宋体" w:eastAsia="宋体" w:hint="default"/>
          <w:b/>
          <w:bCs/>
          <w:w w:val="99"/>
          <w:sz w:val="20"/>
          <w:szCs w:val="20"/>
        </w:rPr>
        <w:t> </w:t>
      </w:r>
      <w:r>
        <w:rPr>
          <w:rFonts w:ascii="宋体" w:hAnsi="宋体" w:cs="宋体" w:eastAsia="宋体" w:hint="default"/>
          <w:w w:val="95"/>
          <w:sz w:val="20"/>
          <w:szCs w:val="20"/>
        </w:rPr>
        <w:t>公司已将商品所有权上的主要风险和报酬转移给购买方；公司既没有保留与所有权相联系的继续</w:t>
      </w:r>
      <w:r>
        <w:rPr>
          <w:rFonts w:ascii="宋体" w:hAnsi="宋体" w:cs="宋体" w:eastAsia="宋体" w:hint="default"/>
          <w:sz w:val="20"/>
          <w:szCs w:val="20"/>
        </w:rPr>
      </w:r>
    </w:p>
    <w:p>
      <w:pPr>
        <w:spacing w:line="357" w:lineRule="auto" w:before="31"/>
        <w:ind w:left="138" w:right="104" w:firstLine="0"/>
        <w:jc w:val="left"/>
        <w:rPr>
          <w:rFonts w:ascii="宋体" w:hAnsi="宋体" w:cs="宋体" w:eastAsia="宋体" w:hint="default"/>
          <w:sz w:val="20"/>
          <w:szCs w:val="20"/>
        </w:rPr>
      </w:pPr>
      <w:r>
        <w:rPr>
          <w:rFonts w:ascii="宋体" w:hAnsi="宋体" w:cs="宋体" w:eastAsia="宋体" w:hint="default"/>
          <w:w w:val="95"/>
          <w:sz w:val="20"/>
          <w:szCs w:val="20"/>
        </w:rPr>
        <w:t>管理权，也没有对已售出的商品实施有效控制；收入的金额能够可靠地计量；相关的经济利益很可能</w:t>
      </w:r>
      <w:r>
        <w:rPr>
          <w:rFonts w:ascii="宋体" w:hAnsi="宋体" w:cs="宋体" w:eastAsia="宋体" w:hint="default"/>
          <w:spacing w:val="52"/>
          <w:w w:val="95"/>
          <w:sz w:val="20"/>
          <w:szCs w:val="20"/>
        </w:rPr>
        <w:t> </w:t>
      </w:r>
      <w:r>
        <w:rPr>
          <w:rFonts w:ascii="宋体" w:hAnsi="宋体" w:cs="宋体" w:eastAsia="宋体" w:hint="default"/>
          <w:spacing w:val="52"/>
          <w:w w:val="95"/>
          <w:sz w:val="20"/>
          <w:szCs w:val="20"/>
        </w:rPr>
      </w:r>
      <w:r>
        <w:rPr>
          <w:rFonts w:ascii="宋体" w:hAnsi="宋体" w:cs="宋体" w:eastAsia="宋体" w:hint="default"/>
          <w:sz w:val="20"/>
          <w:szCs w:val="20"/>
        </w:rPr>
        <w:t>流入企业；相关的已发生或将发生的成本能够可靠地计量时，确认商品销售收入实现。</w:t>
      </w:r>
    </w:p>
    <w:p>
      <w:pPr>
        <w:spacing w:line="357" w:lineRule="auto" w:before="29"/>
        <w:ind w:left="538" w:right="104" w:firstLine="2"/>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z w:val="20"/>
          <w:szCs w:val="20"/>
        </w:rPr>
        <w:t>2</w:t>
      </w:r>
      <w:r>
        <w:rPr>
          <w:rFonts w:ascii="宋体" w:hAnsi="宋体" w:cs="宋体" w:eastAsia="宋体" w:hint="default"/>
          <w:b/>
          <w:bCs/>
          <w:sz w:val="20"/>
          <w:szCs w:val="20"/>
        </w:rPr>
        <w:t>）提供劳务收入</w:t>
      </w:r>
      <w:r>
        <w:rPr>
          <w:rFonts w:ascii="宋体" w:hAnsi="宋体" w:cs="宋体" w:eastAsia="宋体" w:hint="default"/>
          <w:b/>
          <w:bCs/>
          <w:w w:val="99"/>
          <w:sz w:val="20"/>
          <w:szCs w:val="20"/>
        </w:rPr>
        <w:t> </w:t>
      </w:r>
      <w:r>
        <w:rPr>
          <w:rFonts w:ascii="宋体" w:hAnsi="宋体" w:cs="宋体" w:eastAsia="宋体" w:hint="default"/>
          <w:w w:val="95"/>
          <w:sz w:val="20"/>
          <w:szCs w:val="20"/>
        </w:rPr>
        <w:t>本公司在资产负债表日以劳务总收入和总成本能够可靠的计量，以交易相关的经济利益能够流入</w:t>
      </w:r>
      <w:r>
        <w:rPr>
          <w:rFonts w:ascii="宋体" w:hAnsi="宋体" w:cs="宋体" w:eastAsia="宋体" w:hint="default"/>
          <w:sz w:val="20"/>
          <w:szCs w:val="20"/>
        </w:rPr>
      </w:r>
    </w:p>
    <w:p>
      <w:pPr>
        <w:spacing w:line="357" w:lineRule="auto" w:before="29"/>
        <w:ind w:left="538" w:right="104" w:hanging="401"/>
        <w:jc w:val="left"/>
        <w:rPr>
          <w:rFonts w:ascii="宋体" w:hAnsi="宋体" w:cs="宋体" w:eastAsia="宋体" w:hint="default"/>
          <w:sz w:val="20"/>
          <w:szCs w:val="20"/>
        </w:rPr>
      </w:pPr>
      <w:r>
        <w:rPr>
          <w:rFonts w:ascii="宋体" w:hAnsi="宋体" w:cs="宋体" w:eastAsia="宋体" w:hint="default"/>
          <w:sz w:val="20"/>
          <w:szCs w:val="20"/>
        </w:rPr>
        <w:t>本公司，确认劳务收入的实现。</w:t>
      </w:r>
      <w:r>
        <w:rPr>
          <w:rFonts w:ascii="宋体" w:hAnsi="宋体" w:cs="宋体" w:eastAsia="宋体" w:hint="default"/>
          <w:w w:val="99"/>
          <w:sz w:val="20"/>
          <w:szCs w:val="20"/>
        </w:rPr>
        <w:t> </w:t>
      </w:r>
      <w:r>
        <w:rPr>
          <w:rFonts w:ascii="宋体" w:hAnsi="宋体" w:cs="宋体" w:eastAsia="宋体" w:hint="default"/>
          <w:spacing w:val="-1"/>
          <w:w w:val="95"/>
          <w:sz w:val="20"/>
          <w:szCs w:val="20"/>
        </w:rPr>
        <w:t>本公司对外提供物流辅助服务业务在船舶航次运行结束，并将货物卸载取得确认后进行会计计量。</w:t>
      </w:r>
      <w:r>
        <w:rPr>
          <w:rFonts w:ascii="宋体" w:hAnsi="宋体" w:cs="宋体" w:eastAsia="宋体" w:hint="default"/>
          <w:w w:val="99"/>
          <w:sz w:val="20"/>
          <w:szCs w:val="20"/>
        </w:rPr>
        <w:t> </w:t>
      </w:r>
      <w:r>
        <w:rPr>
          <w:rFonts w:ascii="宋体" w:hAnsi="宋体" w:cs="宋体" w:eastAsia="宋体" w:hint="default"/>
          <w:sz w:val="20"/>
          <w:szCs w:val="20"/>
        </w:rPr>
        <w:t>在资产负债表日提供劳务交易结果不能够可靠估计的，分别下列情况处理：</w:t>
      </w:r>
    </w:p>
    <w:p>
      <w:pPr>
        <w:spacing w:line="357" w:lineRule="auto" w:before="29"/>
        <w:ind w:left="138" w:right="104" w:firstLine="400"/>
        <w:jc w:val="left"/>
        <w:rPr>
          <w:rFonts w:ascii="宋体" w:hAnsi="宋体" w:cs="宋体" w:eastAsia="宋体" w:hint="default"/>
          <w:sz w:val="20"/>
          <w:szCs w:val="20"/>
        </w:rPr>
      </w:pPr>
      <w:r>
        <w:rPr>
          <w:rFonts w:ascii="宋体" w:hAnsi="宋体" w:cs="宋体" w:eastAsia="宋体" w:hint="default"/>
          <w:w w:val="95"/>
          <w:sz w:val="20"/>
          <w:szCs w:val="20"/>
        </w:rPr>
        <w:t>①已经发生的劳务成本预计能够得到补偿的，按照已经发生的劳务成本金额确认提供劳务收入，</w:t>
      </w:r>
      <w:r>
        <w:rPr>
          <w:rFonts w:ascii="宋体" w:hAnsi="宋体" w:cs="宋体" w:eastAsia="宋体" w:hint="default"/>
          <w:spacing w:val="-83"/>
          <w:w w:val="95"/>
          <w:sz w:val="20"/>
          <w:szCs w:val="20"/>
        </w:rPr>
        <w:t> </w:t>
      </w:r>
      <w:r>
        <w:rPr>
          <w:rFonts w:ascii="宋体" w:hAnsi="宋体" w:cs="宋体" w:eastAsia="宋体" w:hint="default"/>
          <w:spacing w:val="-83"/>
          <w:w w:val="95"/>
          <w:sz w:val="20"/>
          <w:szCs w:val="20"/>
        </w:rPr>
      </w:r>
      <w:r>
        <w:rPr>
          <w:rFonts w:ascii="宋体" w:hAnsi="宋体" w:cs="宋体" w:eastAsia="宋体" w:hint="default"/>
          <w:sz w:val="20"/>
          <w:szCs w:val="20"/>
        </w:rPr>
        <w:t>并按相同金额结转劳务成本。</w:t>
      </w:r>
    </w:p>
    <w:p>
      <w:pPr>
        <w:spacing w:line="357" w:lineRule="auto" w:before="29"/>
        <w:ind w:left="138" w:right="104" w:firstLine="400"/>
        <w:jc w:val="left"/>
        <w:rPr>
          <w:rFonts w:ascii="宋体" w:hAnsi="宋体" w:cs="宋体" w:eastAsia="宋体" w:hint="default"/>
          <w:sz w:val="20"/>
          <w:szCs w:val="20"/>
        </w:rPr>
      </w:pPr>
      <w:r>
        <w:rPr>
          <w:rFonts w:ascii="宋体" w:hAnsi="宋体" w:cs="宋体" w:eastAsia="宋体" w:hint="default"/>
          <w:w w:val="95"/>
          <w:sz w:val="20"/>
          <w:szCs w:val="20"/>
        </w:rPr>
        <w:t>②已经发生的劳务成本预计不能够得到补偿的，将已经发生的劳务成本计入当期损益，不确认提</w:t>
      </w:r>
      <w:r>
        <w:rPr>
          <w:rFonts w:ascii="宋体" w:hAnsi="宋体" w:cs="宋体" w:eastAsia="宋体" w:hint="default"/>
          <w:spacing w:val="-83"/>
          <w:w w:val="95"/>
          <w:sz w:val="20"/>
          <w:szCs w:val="20"/>
        </w:rPr>
        <w:t> </w:t>
      </w:r>
      <w:r>
        <w:rPr>
          <w:rFonts w:ascii="宋体" w:hAnsi="宋体" w:cs="宋体" w:eastAsia="宋体" w:hint="default"/>
          <w:spacing w:val="-83"/>
          <w:w w:val="95"/>
          <w:sz w:val="20"/>
          <w:szCs w:val="20"/>
        </w:rPr>
      </w:r>
      <w:r>
        <w:rPr>
          <w:rFonts w:ascii="宋体" w:hAnsi="宋体" w:cs="宋体" w:eastAsia="宋体" w:hint="default"/>
          <w:sz w:val="20"/>
          <w:szCs w:val="20"/>
        </w:rPr>
        <w:t>供劳务收入。</w:t>
      </w:r>
    </w:p>
    <w:p>
      <w:pPr>
        <w:spacing w:line="357" w:lineRule="auto" w:before="29"/>
        <w:ind w:left="538" w:right="104" w:firstLine="2"/>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z w:val="20"/>
          <w:szCs w:val="20"/>
        </w:rPr>
        <w:t>3</w:t>
      </w:r>
      <w:r>
        <w:rPr>
          <w:rFonts w:ascii="宋体" w:hAnsi="宋体" w:cs="宋体" w:eastAsia="宋体" w:hint="default"/>
          <w:b/>
          <w:bCs/>
          <w:sz w:val="20"/>
          <w:szCs w:val="20"/>
        </w:rPr>
        <w:t>）让渡资产使用权收入</w:t>
      </w:r>
      <w:r>
        <w:rPr>
          <w:rFonts w:ascii="宋体" w:hAnsi="宋体" w:cs="宋体" w:eastAsia="宋体" w:hint="default"/>
          <w:b/>
          <w:bCs/>
          <w:w w:val="99"/>
          <w:sz w:val="20"/>
          <w:szCs w:val="20"/>
        </w:rPr>
        <w:t> </w:t>
      </w:r>
      <w:r>
        <w:rPr>
          <w:rFonts w:ascii="宋体" w:hAnsi="宋体" w:cs="宋体" w:eastAsia="宋体" w:hint="default"/>
          <w:w w:val="95"/>
          <w:sz w:val="20"/>
          <w:szCs w:val="20"/>
        </w:rPr>
        <w:t>与交易相关的经济利益很可能流入企业，收入的金额能够可靠地计量时，分别下列情况确定让渡</w:t>
      </w:r>
      <w:r>
        <w:rPr>
          <w:rFonts w:ascii="宋体" w:hAnsi="宋体" w:cs="宋体" w:eastAsia="宋体" w:hint="default"/>
          <w:sz w:val="20"/>
          <w:szCs w:val="20"/>
        </w:rPr>
      </w:r>
    </w:p>
    <w:p>
      <w:pPr>
        <w:spacing w:before="29"/>
        <w:ind w:left="138" w:right="104" w:firstLine="0"/>
        <w:jc w:val="left"/>
        <w:rPr>
          <w:rFonts w:ascii="宋体" w:hAnsi="宋体" w:cs="宋体" w:eastAsia="宋体" w:hint="default"/>
          <w:sz w:val="20"/>
          <w:szCs w:val="20"/>
        </w:rPr>
      </w:pPr>
      <w:r>
        <w:rPr>
          <w:rFonts w:ascii="宋体" w:hAnsi="宋体" w:cs="宋体" w:eastAsia="宋体" w:hint="default"/>
          <w:sz w:val="20"/>
          <w:szCs w:val="20"/>
        </w:rPr>
        <w:t>资产使用权收入金额：</w:t>
      </w:r>
    </w:p>
    <w:p>
      <w:pPr>
        <w:spacing w:after="0"/>
        <w:jc w:val="left"/>
        <w:rPr>
          <w:rFonts w:ascii="宋体" w:hAnsi="宋体" w:cs="宋体" w:eastAsia="宋体" w:hint="default"/>
          <w:sz w:val="20"/>
          <w:szCs w:val="20"/>
        </w:rPr>
        <w:sectPr>
          <w:pgSz w:w="11910" w:h="16840"/>
          <w:pgMar w:header="882" w:footer="1195" w:top="1120" w:bottom="1380" w:left="1660" w:right="1060"/>
        </w:sectPr>
      </w:pPr>
    </w:p>
    <w:p>
      <w:pPr>
        <w:spacing w:line="240" w:lineRule="auto" w:before="2"/>
        <w:rPr>
          <w:rFonts w:ascii="宋体" w:hAnsi="宋体" w:cs="宋体" w:eastAsia="宋体" w:hint="default"/>
          <w:sz w:val="25"/>
          <w:szCs w:val="25"/>
        </w:rPr>
      </w:pPr>
    </w:p>
    <w:p>
      <w:pPr>
        <w:spacing w:before="37"/>
        <w:ind w:left="337" w:right="104" w:firstLine="0"/>
        <w:jc w:val="left"/>
        <w:rPr>
          <w:rFonts w:ascii="宋体" w:hAnsi="宋体" w:cs="宋体" w:eastAsia="宋体" w:hint="default"/>
          <w:sz w:val="20"/>
          <w:szCs w:val="20"/>
        </w:rPr>
      </w:pPr>
      <w:r>
        <w:rPr>
          <w:rFonts w:ascii="宋体" w:hAnsi="宋体" w:cs="宋体" w:eastAsia="宋体" w:hint="default"/>
          <w:sz w:val="20"/>
          <w:szCs w:val="20"/>
        </w:rPr>
        <w:t>①</w:t>
      </w:r>
      <w:r>
        <w:rPr>
          <w:rFonts w:ascii="宋体" w:hAnsi="宋体" w:cs="宋体" w:eastAsia="宋体" w:hint="default"/>
          <w:spacing w:val="52"/>
          <w:sz w:val="20"/>
          <w:szCs w:val="20"/>
        </w:rPr>
        <w:t> </w:t>
      </w:r>
      <w:r>
        <w:rPr>
          <w:rFonts w:ascii="宋体" w:hAnsi="宋体" w:cs="宋体" w:eastAsia="宋体" w:hint="default"/>
          <w:sz w:val="20"/>
          <w:szCs w:val="20"/>
        </w:rPr>
        <w:t>利息收入金额，按照他人使用本企业货币资金的时间和实际利率计算确定。</w:t>
      </w:r>
    </w:p>
    <w:p>
      <w:pPr>
        <w:spacing w:before="118"/>
        <w:ind w:left="337" w:right="104" w:firstLine="0"/>
        <w:jc w:val="left"/>
        <w:rPr>
          <w:rFonts w:ascii="宋体" w:hAnsi="宋体" w:cs="宋体" w:eastAsia="宋体" w:hint="default"/>
          <w:sz w:val="20"/>
          <w:szCs w:val="20"/>
        </w:rPr>
      </w:pPr>
      <w:r>
        <w:rPr>
          <w:rFonts w:ascii="宋体" w:hAnsi="宋体" w:cs="宋体" w:eastAsia="宋体" w:hint="default"/>
          <w:sz w:val="21"/>
          <w:szCs w:val="21"/>
        </w:rPr>
        <w:t>②</w:t>
      </w:r>
      <w:r>
        <w:rPr>
          <w:rFonts w:ascii="宋体" w:hAnsi="宋体" w:cs="宋体" w:eastAsia="宋体" w:hint="default"/>
          <w:spacing w:val="38"/>
          <w:sz w:val="21"/>
          <w:szCs w:val="21"/>
        </w:rPr>
        <w:t> </w:t>
      </w:r>
      <w:r>
        <w:rPr>
          <w:rFonts w:ascii="宋体" w:hAnsi="宋体" w:cs="宋体" w:eastAsia="宋体" w:hint="default"/>
          <w:sz w:val="20"/>
          <w:szCs w:val="20"/>
        </w:rPr>
        <w:t>使用费收入金额，按照有关合同或协议约定的收费时间和方法计算确定。</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Heading2"/>
        <w:spacing w:line="240" w:lineRule="auto"/>
        <w:ind w:left="138" w:right="104"/>
        <w:jc w:val="left"/>
        <w:rPr>
          <w:rFonts w:ascii="宋体" w:hAnsi="宋体" w:cs="宋体" w:eastAsia="宋体" w:hint="default"/>
          <w:b w:val="0"/>
          <w:bCs w:val="0"/>
        </w:rPr>
      </w:pPr>
      <w:r>
        <w:rPr>
          <w:rFonts w:ascii="宋体"/>
        </w:rPr>
        <w:t>29.</w:t>
      </w:r>
      <w:r>
        <w:rPr>
          <w:rFonts w:ascii="宋体"/>
          <w:b w:val="0"/>
        </w:rPr>
      </w:r>
    </w:p>
    <w:p>
      <w:pPr>
        <w:pStyle w:val="Heading2"/>
        <w:spacing w:line="240" w:lineRule="auto" w:before="56"/>
        <w:ind w:left="138" w:right="104"/>
        <w:jc w:val="left"/>
        <w:rPr>
          <w:b w:val="0"/>
          <w:bCs w:val="0"/>
        </w:rPr>
      </w:pPr>
      <w:r>
        <w:rPr>
          <w:rFonts w:ascii="宋体" w:hAnsi="宋体" w:cs="宋体" w:eastAsia="宋体" w:hint="default"/>
        </w:rPr>
        <w:t>(1)</w:t>
      </w:r>
      <w:r>
        <w:rPr/>
        <w:t>、与资产相关的政府补助判断依据及会计处理方法</w:t>
      </w:r>
      <w:r>
        <w:rPr>
          <w:b w:val="0"/>
          <w:bCs w:val="0"/>
        </w:rPr>
      </w:r>
    </w:p>
    <w:p>
      <w:pPr>
        <w:pStyle w:val="BodyText"/>
        <w:spacing w:line="240" w:lineRule="auto" w:before="56"/>
        <w:ind w:left="558" w:right="0" w:hanging="420"/>
        <w:jc w:val="left"/>
      </w:pPr>
      <w:r>
        <w:rPr/>
        <w:t>√适用</w:t>
      </w:r>
      <w:r>
        <w:rPr>
          <w:spacing w:val="-2"/>
        </w:rPr>
        <w:t> </w:t>
      </w:r>
      <w:r>
        <w:rPr/>
        <w:t>□不适用</w:t>
      </w:r>
      <w:r>
        <w:rPr>
          <w:w w:val="100"/>
        </w:rPr>
        <w:t> </w:t>
      </w:r>
      <w:r>
        <w:rPr>
          <w:spacing w:val="-4"/>
          <w:w w:val="100"/>
        </w:rPr>
        <w:t>公司取得的、用于购建或以其他方式形成长期资产的政府补助划分为与资产相关的政府补助。</w:t>
      </w:r>
    </w:p>
    <w:p>
      <w:pPr>
        <w:pStyle w:val="BodyText"/>
        <w:spacing w:line="357" w:lineRule="auto" w:before="133"/>
        <w:ind w:left="138" w:right="217"/>
        <w:jc w:val="both"/>
      </w:pPr>
      <w:r>
        <w:rPr>
          <w:spacing w:val="-2"/>
        </w:rPr>
        <w:t>与资产相关的政府补助确认为递延收益，在相关资产使用期限内按照合理、系统的方法分期计入</w:t>
      </w:r>
      <w:r>
        <w:rPr>
          <w:spacing w:val="-25"/>
        </w:rPr>
        <w:t> </w:t>
      </w:r>
      <w:r>
        <w:rPr>
          <w:spacing w:val="-25"/>
        </w:rPr>
      </w:r>
      <w:r>
        <w:rPr>
          <w:spacing w:val="-2"/>
        </w:rPr>
        <w:t>损益。按照名义金额计量的政府补助，直接计入当期损益。相关资产在使用寿命结束前被出售、</w:t>
      </w:r>
      <w:r>
        <w:rPr>
          <w:spacing w:val="-25"/>
        </w:rPr>
        <w:t> </w:t>
      </w:r>
      <w:r>
        <w:rPr>
          <w:spacing w:val="-25"/>
        </w:rPr>
      </w:r>
      <w:r>
        <w:rPr/>
        <w:t>转让、报废或发生毁损的，将尚未分配的相关递延收益余额转入资产处置当期的损益。</w:t>
      </w:r>
    </w:p>
    <w:p>
      <w:pPr>
        <w:spacing w:line="240" w:lineRule="auto" w:before="11"/>
        <w:rPr>
          <w:rFonts w:ascii="宋体" w:hAnsi="宋体" w:cs="宋体" w:eastAsia="宋体" w:hint="default"/>
          <w:sz w:val="27"/>
          <w:szCs w:val="27"/>
        </w:rPr>
      </w:pPr>
    </w:p>
    <w:p>
      <w:pPr>
        <w:pStyle w:val="Heading2"/>
        <w:spacing w:line="240" w:lineRule="auto"/>
        <w:ind w:left="138" w:right="104"/>
        <w:jc w:val="left"/>
        <w:rPr>
          <w:b w:val="0"/>
          <w:bCs w:val="0"/>
        </w:rPr>
      </w:pPr>
      <w:r>
        <w:rPr>
          <w:rFonts w:ascii="宋体" w:hAnsi="宋体" w:cs="宋体" w:eastAsia="宋体" w:hint="default"/>
        </w:rPr>
        <w:t>(2)</w:t>
      </w:r>
      <w:r>
        <w:rPr/>
        <w:t>、与收益相关的政府补助判断依据及会计处理方法</w:t>
      </w:r>
      <w:r>
        <w:rPr>
          <w:b w:val="0"/>
          <w:bCs w:val="0"/>
        </w:rPr>
      </w:r>
    </w:p>
    <w:p>
      <w:pPr>
        <w:pStyle w:val="BodyText"/>
        <w:spacing w:line="272" w:lineRule="exact" w:before="86"/>
        <w:ind w:left="558" w:right="104" w:hanging="420"/>
        <w:jc w:val="left"/>
      </w:pPr>
      <w:r>
        <w:rPr/>
        <w:t>√适用</w:t>
      </w:r>
      <w:r>
        <w:rPr>
          <w:spacing w:val="-2"/>
        </w:rPr>
        <w:t> </w:t>
      </w:r>
      <w:r>
        <w:rPr/>
        <w:t>□不适用</w:t>
      </w:r>
      <w:r>
        <w:rPr>
          <w:w w:val="100"/>
        </w:rPr>
        <w:t> </w:t>
      </w:r>
      <w:r>
        <w:rPr>
          <w:spacing w:val="-2"/>
        </w:rPr>
        <w:t>除与资产相关的政府补助之外的政府补助划分为与收益相关的政府补助。与收益相关的政府</w:t>
      </w:r>
    </w:p>
    <w:p>
      <w:pPr>
        <w:pStyle w:val="BodyText"/>
        <w:spacing w:line="355" w:lineRule="auto" w:before="108"/>
        <w:ind w:left="558" w:right="104" w:hanging="420"/>
        <w:jc w:val="left"/>
      </w:pPr>
      <w:r>
        <w:rPr/>
        <w:t>补助，分情况按照以下规定进行会计处理：</w:t>
      </w:r>
      <w:r>
        <w:rPr>
          <w:w w:val="100"/>
        </w:rPr>
        <w:t> </w:t>
      </w:r>
      <w:r>
        <w:rPr>
          <w:spacing w:val="-2"/>
        </w:rPr>
        <w:t>用于补偿本公司以后期间的相关成本费用或损失的，确认为递延收益，并在确认相关成本费</w:t>
      </w:r>
    </w:p>
    <w:p>
      <w:pPr>
        <w:pStyle w:val="BodyText"/>
        <w:spacing w:line="357" w:lineRule="auto" w:before="34"/>
        <w:ind w:left="558" w:right="104" w:hanging="420"/>
        <w:jc w:val="left"/>
      </w:pPr>
      <w:r>
        <w:rPr/>
        <w:t>用或损失的期间，计入当期损益；</w:t>
      </w:r>
      <w:r>
        <w:rPr>
          <w:w w:val="100"/>
        </w:rPr>
        <w:t> </w:t>
      </w:r>
      <w:r>
        <w:rPr/>
        <w:t>用于补偿本公司已发生的相关成本费用或损失的，直接计入当期损益。</w:t>
      </w:r>
      <w:r>
        <w:rPr>
          <w:w w:val="100"/>
        </w:rPr>
        <w:t> </w:t>
      </w:r>
      <w:r>
        <w:rPr>
          <w:spacing w:val="-2"/>
        </w:rPr>
        <w:t>对于同时包含与资产相关部分和与收益相关部分的政府补助，区分不同部分分别进行会计处</w:t>
      </w:r>
    </w:p>
    <w:p>
      <w:pPr>
        <w:pStyle w:val="BodyText"/>
        <w:spacing w:line="357" w:lineRule="auto" w:before="30"/>
        <w:ind w:left="138" w:right="104"/>
        <w:jc w:val="left"/>
      </w:pPr>
      <w:r>
        <w:rPr/>
        <w:t>理；难以区分的，整体归类为与收益相关的政府补助。</w:t>
      </w:r>
      <w:r>
        <w:rPr>
          <w:w w:val="100"/>
        </w:rPr>
        <w:t> </w:t>
      </w:r>
      <w:r>
        <w:rPr>
          <w:spacing w:val="-2"/>
        </w:rPr>
        <w:t>与本公司日常活动相关的政府补助，按照经济业务实质，计入其他收益。与本公司日常活动无关</w:t>
      </w:r>
      <w:r>
        <w:rPr>
          <w:spacing w:val="-25"/>
        </w:rPr>
        <w:t> </w:t>
      </w:r>
      <w:r>
        <w:rPr>
          <w:spacing w:val="-25"/>
        </w:rPr>
      </w:r>
      <w:r>
        <w:rPr/>
        <w:t>的政府补助，计入营业外收支。</w:t>
      </w:r>
    </w:p>
    <w:p>
      <w:pPr>
        <w:spacing w:line="240" w:lineRule="auto" w:before="8"/>
        <w:rPr>
          <w:rFonts w:ascii="宋体" w:hAnsi="宋体" w:cs="宋体" w:eastAsia="宋体" w:hint="default"/>
          <w:sz w:val="27"/>
          <w:szCs w:val="27"/>
        </w:rPr>
      </w:pPr>
    </w:p>
    <w:p>
      <w:pPr>
        <w:pStyle w:val="Heading2"/>
        <w:spacing w:line="240" w:lineRule="auto"/>
        <w:ind w:left="138" w:right="104"/>
        <w:jc w:val="left"/>
        <w:rPr>
          <w:b w:val="0"/>
          <w:bCs w:val="0"/>
        </w:rPr>
      </w:pPr>
      <w:r>
        <w:rPr>
          <w:rFonts w:ascii="宋体" w:hAnsi="宋体" w:cs="宋体" w:eastAsia="宋体" w:hint="default"/>
        </w:rPr>
        <w:t>30.</w:t>
      </w:r>
      <w:r>
        <w:rPr>
          <w:rFonts w:ascii="宋体" w:hAnsi="宋体" w:cs="宋体" w:eastAsia="宋体" w:hint="default"/>
          <w:spacing w:val="2"/>
        </w:rPr>
        <w:t> </w:t>
      </w:r>
      <w:r>
        <w:rPr/>
        <w:t>递延所得税资产</w:t>
      </w:r>
      <w:r>
        <w:rPr>
          <w:rFonts w:ascii="Calibri" w:hAnsi="Calibri" w:cs="Calibri" w:eastAsia="Calibri" w:hint="default"/>
        </w:rPr>
        <w:t>/</w:t>
      </w:r>
      <w:r>
        <w:rPr/>
        <w:t>递延所得税负债</w:t>
      </w:r>
      <w:r>
        <w:rPr>
          <w:b w:val="0"/>
          <w:bCs w:val="0"/>
        </w:rPr>
      </w:r>
    </w:p>
    <w:p>
      <w:pPr>
        <w:pStyle w:val="BodyText"/>
        <w:spacing w:line="272" w:lineRule="exact" w:before="59"/>
        <w:ind w:left="558" w:right="104" w:hanging="420"/>
        <w:jc w:val="left"/>
      </w:pPr>
      <w:r>
        <w:rPr/>
        <w:t>√适用</w:t>
      </w:r>
      <w:r>
        <w:rPr>
          <w:spacing w:val="-2"/>
        </w:rPr>
        <w:t> </w:t>
      </w:r>
      <w:r>
        <w:rPr/>
        <w:t>□不适用</w:t>
      </w:r>
      <w:r>
        <w:rPr>
          <w:w w:val="100"/>
        </w:rPr>
        <w:t> </w:t>
      </w:r>
      <w:r>
        <w:rPr>
          <w:spacing w:val="-2"/>
        </w:rPr>
        <w:t>本公司通常根据资产与负债在资产负债表日的账面价值与计税基础之间的暂时性差异，采用</w:t>
      </w:r>
    </w:p>
    <w:p>
      <w:pPr>
        <w:pStyle w:val="BodyText"/>
        <w:spacing w:line="357" w:lineRule="auto" w:before="110"/>
        <w:ind w:left="138" w:right="104"/>
        <w:jc w:val="left"/>
      </w:pPr>
      <w:r>
        <w:rPr>
          <w:spacing w:val="-2"/>
        </w:rPr>
        <w:t>资产负债表债务法将应纳税暂时性差异或可抵扣暂时性差异对所得税的影响额确认和计量递延所</w:t>
      </w:r>
      <w:r>
        <w:rPr>
          <w:spacing w:val="-25"/>
        </w:rPr>
        <w:t> </w:t>
      </w:r>
      <w:r>
        <w:rPr>
          <w:spacing w:val="-25"/>
        </w:rPr>
      </w:r>
      <w:r>
        <w:rPr/>
        <w:t>得税负债或递延所得税资产。本公司不对递延所得税资产和递延所得税负债进行折现。</w:t>
      </w:r>
    </w:p>
    <w:p>
      <w:pPr>
        <w:spacing w:line="355" w:lineRule="auto" w:before="30"/>
        <w:ind w:left="558" w:right="104"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）递延所得税资产的确认</w:t>
      </w:r>
      <w:r>
        <w:rPr>
          <w:rFonts w:ascii="宋体" w:hAnsi="宋体" w:cs="宋体" w:eastAsia="宋体" w:hint="default"/>
          <w:b/>
          <w:bCs/>
          <w:w w:val="100"/>
          <w:sz w:val="21"/>
          <w:szCs w:val="21"/>
        </w:rPr>
        <w:t> </w:t>
      </w:r>
      <w:r>
        <w:rPr>
          <w:rFonts w:ascii="宋体" w:hAnsi="宋体" w:cs="宋体" w:eastAsia="宋体" w:hint="default"/>
          <w:spacing w:val="-2"/>
          <w:sz w:val="21"/>
          <w:szCs w:val="21"/>
        </w:rPr>
        <w:t>对于可抵扣暂时性差异，其对所得税的影响额按预计转回期间的所得税税率计算，并将该影</w:t>
      </w:r>
    </w:p>
    <w:p>
      <w:pPr>
        <w:pStyle w:val="BodyText"/>
        <w:spacing w:line="357" w:lineRule="auto" w:before="32"/>
        <w:ind w:left="138" w:right="104"/>
        <w:jc w:val="left"/>
      </w:pPr>
      <w:r>
        <w:rPr>
          <w:spacing w:val="-2"/>
        </w:rPr>
        <w:t>响额确认为递延所得税资产，但是以本公司很可能取得用来抵扣可抵扣暂时性差异、可抵扣亏损</w:t>
      </w:r>
      <w:r>
        <w:rPr>
          <w:spacing w:val="-25"/>
        </w:rPr>
        <w:t> </w:t>
      </w:r>
      <w:r>
        <w:rPr>
          <w:spacing w:val="-25"/>
        </w:rPr>
      </w:r>
      <w:r>
        <w:rPr/>
        <w:t>和税款抵减的未来应纳税所得额为限。</w:t>
      </w:r>
    </w:p>
    <w:p>
      <w:pPr>
        <w:pStyle w:val="BodyText"/>
        <w:spacing w:line="355" w:lineRule="auto" w:before="30"/>
        <w:ind w:left="138" w:right="104" w:firstLine="419"/>
        <w:jc w:val="left"/>
      </w:pPr>
      <w:r>
        <w:rPr>
          <w:spacing w:val="-2"/>
        </w:rPr>
        <w:t>同时具有下列特征的交易或事项中因资产或负债的初始确认所产生的可抵扣暂时性差异对所</w:t>
      </w:r>
      <w:r>
        <w:rPr>
          <w:w w:val="100"/>
        </w:rPr>
        <w:t> </w:t>
      </w:r>
      <w:r>
        <w:rPr/>
        <w:t>得税的影响额不确认为递延所得税资产：</w:t>
      </w:r>
    </w:p>
    <w:p>
      <w:pPr>
        <w:pStyle w:val="BodyText"/>
        <w:spacing w:line="240" w:lineRule="auto" w:before="32"/>
        <w:ind w:left="558" w:right="104"/>
        <w:jc w:val="left"/>
      </w:pPr>
      <w:r>
        <w:rPr>
          <w:rFonts w:ascii="宋体" w:hAnsi="宋体" w:cs="宋体" w:eastAsia="宋体" w:hint="default"/>
        </w:rPr>
        <w:t>A.</w:t>
      </w:r>
      <w:r>
        <w:rPr>
          <w:rFonts w:ascii="宋体" w:hAnsi="宋体" w:cs="宋体" w:eastAsia="宋体" w:hint="default"/>
          <w:spacing w:val="-4"/>
        </w:rPr>
        <w:t> </w:t>
      </w:r>
      <w:r>
        <w:rPr/>
        <w:t>该项交易不是企业合并。</w:t>
      </w:r>
    </w:p>
    <w:p>
      <w:pPr>
        <w:pStyle w:val="BodyText"/>
        <w:spacing w:line="240" w:lineRule="auto" w:before="136"/>
        <w:ind w:left="558" w:right="104"/>
        <w:jc w:val="left"/>
      </w:pPr>
      <w:r>
        <w:rPr>
          <w:rFonts w:ascii="宋体" w:hAnsi="宋体" w:cs="宋体" w:eastAsia="宋体" w:hint="default"/>
        </w:rPr>
        <w:t>B.</w:t>
      </w:r>
      <w:r>
        <w:rPr>
          <w:rFonts w:ascii="宋体" w:hAnsi="宋体" w:cs="宋体" w:eastAsia="宋体" w:hint="default"/>
          <w:spacing w:val="-6"/>
        </w:rPr>
        <w:t> </w:t>
      </w:r>
      <w:r>
        <w:rPr/>
        <w:t>交易发生时既不影响会计利润也不影响应纳税所得额（或可抵扣亏损）。</w:t>
      </w:r>
    </w:p>
    <w:p>
      <w:pPr>
        <w:spacing w:after="0" w:line="240" w:lineRule="auto"/>
        <w:jc w:val="left"/>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BodyText"/>
        <w:spacing w:line="357" w:lineRule="auto" w:before="36"/>
        <w:ind w:left="138" w:right="125" w:firstLine="419"/>
        <w:jc w:val="left"/>
      </w:pPr>
      <w:r>
        <w:rPr>
          <w:spacing w:val="-2"/>
        </w:rPr>
        <w:t>本公司对与子公司、联营公司及合营企业投资相关的可抵扣暂时性差异，同时满足下列两项</w:t>
      </w:r>
      <w:r>
        <w:rPr>
          <w:w w:val="100"/>
        </w:rPr>
        <w:t> </w:t>
      </w:r>
      <w:r>
        <w:rPr/>
        <w:t>条件的，其对所得税的影响额（才能）确认为递延所得税资产：</w:t>
      </w:r>
    </w:p>
    <w:p>
      <w:pPr>
        <w:pStyle w:val="BodyText"/>
        <w:spacing w:line="240" w:lineRule="auto" w:before="30"/>
        <w:ind w:left="558" w:right="125"/>
        <w:jc w:val="left"/>
      </w:pPr>
      <w:r>
        <w:rPr>
          <w:rFonts w:ascii="宋体" w:hAnsi="宋体" w:cs="宋体" w:eastAsia="宋体" w:hint="default"/>
        </w:rPr>
        <w:t>A.</w:t>
      </w:r>
      <w:r>
        <w:rPr>
          <w:rFonts w:ascii="宋体" w:hAnsi="宋体" w:cs="宋体" w:eastAsia="宋体" w:hint="default"/>
          <w:spacing w:val="-5"/>
        </w:rPr>
        <w:t> </w:t>
      </w:r>
      <w:r>
        <w:rPr/>
        <w:t>暂时性差异在可预见的未来很可能转回。</w:t>
      </w:r>
    </w:p>
    <w:p>
      <w:pPr>
        <w:pStyle w:val="BodyText"/>
        <w:spacing w:line="355" w:lineRule="auto" w:before="133"/>
        <w:ind w:left="558" w:right="125"/>
        <w:jc w:val="left"/>
      </w:pPr>
      <w:r>
        <w:rPr>
          <w:rFonts w:ascii="宋体" w:hAnsi="宋体" w:cs="宋体" w:eastAsia="宋体" w:hint="default"/>
        </w:rPr>
        <w:t>B.</w:t>
      </w:r>
      <w:r>
        <w:rPr>
          <w:rFonts w:ascii="宋体" w:hAnsi="宋体" w:cs="宋体" w:eastAsia="宋体" w:hint="default"/>
          <w:spacing w:val="-1"/>
        </w:rPr>
        <w:t> </w:t>
      </w:r>
      <w:r>
        <w:rPr/>
        <w:t>未来很可能获得用来抵扣可抵扣暂时性差异的应纳税所得额。</w:t>
      </w:r>
      <w:r>
        <w:rPr>
          <w:w w:val="100"/>
        </w:rPr>
        <w:t> </w:t>
      </w:r>
      <w:r>
        <w:rPr>
          <w:spacing w:val="-2"/>
        </w:rPr>
        <w:t>资产负债表日，有确凿证据表明未来期间很可能获得足够的应纳税所得额用来抵扣可抵扣暂</w:t>
      </w:r>
    </w:p>
    <w:p>
      <w:pPr>
        <w:pStyle w:val="BodyText"/>
        <w:spacing w:line="357" w:lineRule="auto" w:before="32"/>
        <w:ind w:left="558" w:right="125" w:hanging="420"/>
        <w:jc w:val="left"/>
      </w:pPr>
      <w:r>
        <w:rPr/>
        <w:t>时性差异的，确认以前期间未确认的递延所得税资产。</w:t>
      </w:r>
      <w:r>
        <w:rPr>
          <w:w w:val="100"/>
        </w:rPr>
        <w:t> </w:t>
      </w:r>
      <w:r>
        <w:rPr>
          <w:spacing w:val="-2"/>
        </w:rPr>
        <w:t>在资产负债表日，本公司对递延所得税资产的账面价值进行复核。如果未来期间很可能无法</w:t>
      </w:r>
    </w:p>
    <w:p>
      <w:pPr>
        <w:pStyle w:val="BodyText"/>
        <w:spacing w:line="357" w:lineRule="auto" w:before="30"/>
        <w:ind w:left="138" w:right="137"/>
        <w:jc w:val="both"/>
      </w:pPr>
      <w:r>
        <w:rPr>
          <w:spacing w:val="-2"/>
        </w:rPr>
        <w:t>获得足够的应纳税所得额用以抵扣递延所得税资产的利益，减记递延所得税资产的账面价值。在</w:t>
      </w:r>
      <w:r>
        <w:rPr>
          <w:spacing w:val="-25"/>
        </w:rPr>
        <w:t> </w:t>
      </w:r>
      <w:r>
        <w:rPr>
          <w:spacing w:val="-25"/>
        </w:rPr>
      </w:r>
      <w:r>
        <w:rPr/>
        <w:t>很可能获得足够的应纳税所得额时，减记的金额予以转回。</w:t>
      </w:r>
    </w:p>
    <w:p>
      <w:pPr>
        <w:spacing w:line="357" w:lineRule="auto" w:before="30"/>
        <w:ind w:left="558" w:right="125"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）递延所得税负债的确认</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本公司所有应纳税暂时性差异均按预计转回期间的所得税税率计量对所得税的影响，并将该</w:t>
      </w:r>
    </w:p>
    <w:p>
      <w:pPr>
        <w:pStyle w:val="BodyText"/>
        <w:spacing w:line="240" w:lineRule="auto" w:before="30"/>
        <w:ind w:left="138" w:right="0"/>
        <w:jc w:val="both"/>
      </w:pPr>
      <w:r>
        <w:rPr/>
        <w:t>影响额确认为递延所得税负债，但下列情况的除外：</w:t>
      </w:r>
    </w:p>
    <w:p>
      <w:pPr>
        <w:pStyle w:val="BodyText"/>
        <w:spacing w:line="355" w:lineRule="auto" w:before="133"/>
        <w:ind w:left="558" w:right="125"/>
        <w:jc w:val="left"/>
      </w:pPr>
      <w:r>
        <w:rPr>
          <w:spacing w:val="-2"/>
        </w:rPr>
        <w:t>①因下列交易或事项中产生的应纳税暂时性差异对所得税的影响不确认为递延所得税负债：</w:t>
      </w:r>
      <w:r>
        <w:rPr>
          <w:spacing w:val="-28"/>
        </w:rPr>
        <w:t> </w:t>
      </w:r>
      <w:r>
        <w:rPr>
          <w:spacing w:val="-28"/>
        </w:rPr>
      </w:r>
      <w:r>
        <w:rPr>
          <w:rFonts w:ascii="宋体" w:hAnsi="宋体" w:cs="宋体" w:eastAsia="宋体" w:hint="default"/>
        </w:rPr>
        <w:t>A.</w:t>
      </w:r>
      <w:r>
        <w:rPr/>
        <w:t>商誉的初始确认。</w:t>
      </w:r>
      <w:r>
        <w:rPr>
          <w:w w:val="100"/>
        </w:rPr>
        <w:t> </w:t>
      </w:r>
      <w:r>
        <w:rPr>
          <w:rFonts w:ascii="宋体" w:hAnsi="宋体" w:cs="宋体" w:eastAsia="宋体" w:hint="default"/>
          <w:spacing w:val="-2"/>
        </w:rPr>
        <w:t>B.</w:t>
      </w:r>
      <w:r>
        <w:rPr>
          <w:spacing w:val="-2"/>
        </w:rPr>
        <w:t>具有以下特征的交易中产生的资产或负债的初始确认：该交易不是企业合并，并且交易发</w:t>
      </w:r>
    </w:p>
    <w:p>
      <w:pPr>
        <w:pStyle w:val="BodyText"/>
        <w:spacing w:line="240" w:lineRule="auto" w:before="34"/>
        <w:ind w:left="138" w:right="0"/>
        <w:jc w:val="both"/>
      </w:pPr>
      <w:r>
        <w:rPr/>
        <w:t>生时既不影响会计利润也不影响应纳税所得额或可抵扣亏损。</w:t>
      </w:r>
    </w:p>
    <w:p>
      <w:pPr>
        <w:pStyle w:val="BodyText"/>
        <w:spacing w:line="355" w:lineRule="auto" w:before="133"/>
        <w:ind w:left="138" w:right="125" w:firstLine="419"/>
        <w:jc w:val="left"/>
      </w:pPr>
      <w:r>
        <w:rPr>
          <w:spacing w:val="-2"/>
        </w:rPr>
        <w:t>②本公司对与子公司、合营企业及联营企业投资相关的应纳税暂时性差异，其对所得税的影</w:t>
      </w:r>
      <w:r>
        <w:rPr>
          <w:w w:val="100"/>
        </w:rPr>
        <w:t> </w:t>
      </w:r>
      <w:r>
        <w:rPr/>
        <w:t>响额一般确认为递延所得税负债，但同时满足以下两项条件的除外：</w:t>
      </w:r>
    </w:p>
    <w:p>
      <w:pPr>
        <w:pStyle w:val="BodyText"/>
        <w:spacing w:line="355" w:lineRule="auto" w:before="32"/>
        <w:ind w:left="558" w:right="125"/>
        <w:jc w:val="left"/>
      </w:pPr>
      <w:r>
        <w:rPr>
          <w:rFonts w:ascii="宋体" w:hAnsi="宋体" w:cs="宋体" w:eastAsia="宋体" w:hint="default"/>
        </w:rPr>
        <w:t>A.</w:t>
      </w:r>
      <w:r>
        <w:rPr/>
        <w:t>本公司能够控制暂时性差异转回的时间。</w:t>
      </w:r>
      <w:r>
        <w:rPr>
          <w:w w:val="100"/>
        </w:rPr>
        <w:t> </w:t>
      </w:r>
      <w:r>
        <w:rPr>
          <w:rFonts w:ascii="宋体" w:hAnsi="宋体" w:cs="宋体" w:eastAsia="宋体" w:hint="default"/>
          <w:spacing w:val="-2"/>
        </w:rPr>
        <w:t>B.</w:t>
      </w:r>
      <w:r>
        <w:rPr>
          <w:spacing w:val="-2"/>
        </w:rPr>
        <w:t>该暂时性差异在可预见的未来很可能不会转回。</w:t>
      </w:r>
    </w:p>
    <w:p>
      <w:pPr>
        <w:pStyle w:val="Heading2"/>
        <w:spacing w:line="240" w:lineRule="auto" w:before="34"/>
        <w:ind w:left="447" w:right="125"/>
        <w:jc w:val="left"/>
        <w:rPr>
          <w:b w:val="0"/>
          <w:bCs w:val="0"/>
        </w:rPr>
      </w:pPr>
      <w:r>
        <w:rPr/>
        <w:t>（</w:t>
      </w:r>
      <w:r>
        <w:rPr>
          <w:rFonts w:ascii="宋体" w:hAnsi="宋体" w:cs="宋体" w:eastAsia="宋体" w:hint="default"/>
        </w:rPr>
        <w:t>3</w:t>
      </w:r>
      <w:r>
        <w:rPr/>
        <w:t>）特定交易或事项所涉及的递延所得税负债或资产的确认</w:t>
      </w:r>
      <w:r>
        <w:rPr>
          <w:b w:val="0"/>
          <w:bCs w:val="0"/>
        </w:rPr>
      </w:r>
    </w:p>
    <w:p>
      <w:pPr>
        <w:pStyle w:val="BodyText"/>
        <w:spacing w:line="355" w:lineRule="auto" w:before="133"/>
        <w:ind w:left="558" w:right="125"/>
        <w:jc w:val="left"/>
      </w:pPr>
      <w:r>
        <w:rPr/>
        <w:t>①与企业合并相关的递延所得税负债或资产</w:t>
      </w:r>
      <w:r>
        <w:rPr>
          <w:w w:val="100"/>
        </w:rPr>
        <w:t> </w:t>
      </w:r>
      <w:r>
        <w:rPr>
          <w:spacing w:val="-2"/>
        </w:rPr>
        <w:t>非同一控制下企业合并产生的应纳税暂时性差异或可抵扣暂时性差异，在确认递延所得税负</w:t>
      </w:r>
    </w:p>
    <w:p>
      <w:pPr>
        <w:pStyle w:val="BodyText"/>
        <w:spacing w:line="360" w:lineRule="auto" w:before="32"/>
        <w:ind w:left="138" w:right="137"/>
        <w:jc w:val="both"/>
      </w:pPr>
      <w:r>
        <w:rPr>
          <w:spacing w:val="-2"/>
        </w:rPr>
        <w:t>债或递延所得税资产的同时，相关的递延所得税费用（或收益），通常调整企业合并中所确认的</w:t>
      </w:r>
      <w:r>
        <w:rPr>
          <w:spacing w:val="-25"/>
        </w:rPr>
        <w:t> </w:t>
      </w:r>
      <w:r>
        <w:rPr>
          <w:spacing w:val="-25"/>
        </w:rPr>
      </w:r>
      <w:r>
        <w:rPr/>
        <w:t>商誉。</w:t>
      </w:r>
    </w:p>
    <w:p>
      <w:pPr>
        <w:pStyle w:val="BodyText"/>
        <w:spacing w:line="355" w:lineRule="auto" w:before="28"/>
        <w:ind w:left="558" w:right="125"/>
        <w:jc w:val="left"/>
      </w:pPr>
      <w:r>
        <w:rPr/>
        <w:t>②直接计入所有者权益的项目</w:t>
      </w:r>
      <w:r>
        <w:rPr>
          <w:w w:val="100"/>
        </w:rPr>
        <w:t> </w:t>
      </w:r>
      <w:r>
        <w:rPr>
          <w:spacing w:val="-2"/>
        </w:rPr>
        <w:t>与直接计入所有者权益的交易或者事项相关的当期所得税和递延所得税，计入所有者权益。</w:t>
      </w:r>
    </w:p>
    <w:p>
      <w:pPr>
        <w:pStyle w:val="BodyText"/>
        <w:spacing w:line="357" w:lineRule="auto" w:before="32"/>
        <w:ind w:left="138" w:right="137"/>
        <w:jc w:val="both"/>
      </w:pPr>
      <w:r>
        <w:rPr>
          <w:spacing w:val="-2"/>
        </w:rPr>
        <w:t>暂时性差异对所得税的影响计入所有者权益的交易或事项包括：可供出售金融资产公允价值变动</w:t>
      </w:r>
      <w:r>
        <w:rPr>
          <w:spacing w:val="-25"/>
        </w:rPr>
        <w:t> </w:t>
      </w:r>
      <w:r>
        <w:rPr>
          <w:spacing w:val="-25"/>
        </w:rPr>
      </w:r>
      <w:r>
        <w:rPr>
          <w:spacing w:val="-2"/>
        </w:rPr>
        <w:t>等形成的其他综合收益、会计政策变更采用追溯调整法或对前期（重要）会计差错更正差异追溯</w:t>
      </w:r>
      <w:r>
        <w:rPr>
          <w:spacing w:val="-25"/>
        </w:rPr>
        <w:t> </w:t>
      </w:r>
      <w:r>
        <w:rPr>
          <w:spacing w:val="-25"/>
        </w:rPr>
      </w:r>
      <w:r>
        <w:rPr>
          <w:spacing w:val="-2"/>
        </w:rPr>
        <w:t>重述法调整期初留存收益、同时包含负债成份及权益成份的混合金融工具在初始确认时计入所有</w:t>
      </w:r>
      <w:r>
        <w:rPr>
          <w:spacing w:val="-25"/>
        </w:rPr>
        <w:t> </w:t>
      </w:r>
      <w:r>
        <w:rPr>
          <w:spacing w:val="-25"/>
        </w:rPr>
      </w:r>
      <w:r>
        <w:rPr/>
        <w:t>者权益等。</w:t>
      </w:r>
    </w:p>
    <w:p>
      <w:pPr>
        <w:pStyle w:val="BodyText"/>
        <w:spacing w:line="357" w:lineRule="auto" w:before="30"/>
        <w:ind w:left="558" w:right="3467"/>
        <w:jc w:val="left"/>
      </w:pPr>
      <w:r>
        <w:rPr/>
        <w:t>③可弥补亏损和税款抵减</w:t>
      </w:r>
      <w:r>
        <w:rPr>
          <w:w w:val="100"/>
        </w:rPr>
        <w:t> </w:t>
      </w:r>
      <w:r>
        <w:rPr>
          <w:rFonts w:ascii="宋体" w:hAnsi="宋体" w:cs="宋体" w:eastAsia="宋体" w:hint="default"/>
          <w:spacing w:val="-2"/>
        </w:rPr>
        <w:t>A.</w:t>
      </w:r>
      <w:r>
        <w:rPr>
          <w:spacing w:val="-2"/>
        </w:rPr>
        <w:t>本公司自身经营产生的可弥补亏损以及税款抵减</w:t>
      </w:r>
    </w:p>
    <w:p>
      <w:pPr>
        <w:spacing w:after="0" w:line="357" w:lineRule="auto"/>
        <w:jc w:val="left"/>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BodyText"/>
        <w:spacing w:line="357" w:lineRule="auto" w:before="36"/>
        <w:ind w:left="138" w:right="217" w:firstLine="419"/>
        <w:jc w:val="both"/>
      </w:pPr>
      <w:r>
        <w:rPr>
          <w:spacing w:val="-2"/>
        </w:rPr>
        <w:t>可抵扣亏损是指按照税法规定计算确定的准予用以后年度的应纳税所得额弥补的亏损。对于</w:t>
      </w:r>
      <w:r>
        <w:rPr>
          <w:w w:val="100"/>
        </w:rPr>
        <w:t> </w:t>
      </w:r>
      <w:r>
        <w:rPr>
          <w:spacing w:val="-2"/>
        </w:rPr>
        <w:t>按照税法规定可以结转以后年度的未弥补亏损（可抵扣亏损）和税款抵减，视同可抵扣暂时性差</w:t>
      </w:r>
      <w:r>
        <w:rPr>
          <w:spacing w:val="-26"/>
        </w:rPr>
        <w:t> </w:t>
      </w:r>
      <w:r>
        <w:rPr>
          <w:spacing w:val="-26"/>
        </w:rPr>
      </w:r>
      <w:r>
        <w:rPr>
          <w:spacing w:val="-2"/>
        </w:rPr>
        <w:t>异处理。在预计可利用可弥补亏损或税款抵减的未来期间内很可能取得足够的应纳税所得额时，</w:t>
      </w:r>
      <w:r>
        <w:rPr>
          <w:spacing w:val="-25"/>
        </w:rPr>
        <w:t> </w:t>
      </w:r>
      <w:r>
        <w:rPr>
          <w:spacing w:val="-25"/>
        </w:rPr>
      </w:r>
      <w:r>
        <w:rPr>
          <w:spacing w:val="-2"/>
        </w:rPr>
        <w:t>以很可能取得的应纳税所得额为限，确认相应的递延所得税资产，同时减少当期利润表中的所得</w:t>
      </w:r>
      <w:r>
        <w:rPr>
          <w:spacing w:val="-25"/>
        </w:rPr>
        <w:t> </w:t>
      </w:r>
      <w:r>
        <w:rPr>
          <w:spacing w:val="-25"/>
        </w:rPr>
      </w:r>
      <w:r>
        <w:rPr/>
        <w:t>税费用。</w:t>
      </w:r>
    </w:p>
    <w:p>
      <w:pPr>
        <w:pStyle w:val="BodyText"/>
        <w:spacing w:line="357" w:lineRule="auto" w:before="30"/>
        <w:ind w:left="558" w:right="104"/>
        <w:jc w:val="left"/>
      </w:pPr>
      <w:r>
        <w:rPr>
          <w:rFonts w:ascii="宋体" w:hAnsi="宋体" w:cs="宋体" w:eastAsia="宋体" w:hint="default"/>
        </w:rPr>
        <w:t>B.</w:t>
      </w:r>
      <w:r>
        <w:rPr/>
        <w:t>因企业合并而形成的可弥补的被合并企业的未弥补亏损</w:t>
      </w:r>
      <w:r>
        <w:rPr>
          <w:w w:val="100"/>
        </w:rPr>
        <w:t> </w:t>
      </w:r>
      <w:r>
        <w:rPr>
          <w:spacing w:val="-2"/>
        </w:rPr>
        <w:t>在企业合并中，本公司取得被购买方的可抵扣暂时性差异，在购买日不符合递延所得税资产</w:t>
      </w:r>
    </w:p>
    <w:p>
      <w:pPr>
        <w:pStyle w:val="BodyText"/>
        <w:spacing w:line="357" w:lineRule="auto" w:before="30"/>
        <w:ind w:left="138" w:right="208"/>
        <w:jc w:val="both"/>
      </w:pPr>
      <w:r>
        <w:rPr>
          <w:spacing w:val="-6"/>
        </w:rPr>
        <w:t>确认条件的，不予以确认。购买日后</w:t>
      </w:r>
      <w:r>
        <w:rPr>
          <w:spacing w:val="-26"/>
        </w:rPr>
        <w:t> </w:t>
      </w:r>
      <w:r>
        <w:rPr>
          <w:rFonts w:ascii="宋体" w:hAnsi="宋体" w:cs="宋体" w:eastAsia="宋体" w:hint="default"/>
        </w:rPr>
        <w:t>12</w:t>
      </w:r>
      <w:r>
        <w:rPr>
          <w:rFonts w:ascii="宋体" w:hAnsi="宋体" w:cs="宋体" w:eastAsia="宋体" w:hint="default"/>
          <w:spacing w:val="-23"/>
        </w:rPr>
        <w:t> </w:t>
      </w:r>
      <w:r>
        <w:rPr>
          <w:spacing w:val="-3"/>
        </w:rPr>
        <w:t>个月内，如取得新的或进一步的信息表明购买日的相关情</w:t>
      </w:r>
      <w:r>
        <w:rPr>
          <w:spacing w:val="-93"/>
        </w:rPr>
        <w:t> </w:t>
      </w:r>
      <w:r>
        <w:rPr>
          <w:spacing w:val="-93"/>
        </w:rPr>
      </w:r>
      <w:r>
        <w:rPr>
          <w:spacing w:val="-2"/>
        </w:rPr>
        <w:t>况已经存在，预期被购买方在购买日可抵扣暂时性差异带来的经济利益能够实现的，确认相关的</w:t>
      </w:r>
      <w:r>
        <w:rPr>
          <w:spacing w:val="-25"/>
        </w:rPr>
        <w:t> </w:t>
      </w:r>
      <w:r>
        <w:rPr>
          <w:spacing w:val="-25"/>
        </w:rPr>
      </w:r>
      <w:r>
        <w:rPr>
          <w:spacing w:val="-6"/>
        </w:rPr>
        <w:t>递延所得税资产，同时减少商誉，商誉不足冲减的，差额部分确认为当期损益；除上述情况以外，</w:t>
      </w:r>
      <w:r>
        <w:rPr>
          <w:spacing w:val="-51"/>
        </w:rPr>
        <w:t> </w:t>
      </w:r>
      <w:r>
        <w:rPr>
          <w:spacing w:val="-51"/>
        </w:rPr>
      </w:r>
      <w:r>
        <w:rPr/>
        <w:t>确认与企业合并相关的递延所得税资产，计入当期损益。</w:t>
      </w:r>
    </w:p>
    <w:p>
      <w:pPr>
        <w:pStyle w:val="BodyText"/>
        <w:spacing w:line="355" w:lineRule="auto" w:before="30"/>
        <w:ind w:left="558" w:right="104"/>
        <w:jc w:val="left"/>
      </w:pPr>
      <w:r>
        <w:rPr/>
        <w:t>④合并抵销形成的暂时性差异</w:t>
      </w:r>
      <w:r>
        <w:rPr>
          <w:w w:val="100"/>
        </w:rPr>
        <w:t> </w:t>
      </w:r>
      <w:r>
        <w:rPr>
          <w:spacing w:val="-2"/>
        </w:rPr>
        <w:t>本公司在编制合并财务报表时，因抵销未实现内部销售损益导致合并资产负债表中资产、负</w:t>
      </w:r>
    </w:p>
    <w:p>
      <w:pPr>
        <w:pStyle w:val="BodyText"/>
        <w:spacing w:line="357" w:lineRule="auto" w:before="32"/>
        <w:ind w:left="138" w:right="217"/>
        <w:jc w:val="both"/>
      </w:pPr>
      <w:r>
        <w:rPr>
          <w:spacing w:val="-2"/>
        </w:rPr>
        <w:t>债的账面价值与其在所属纳税主体的计税基础之间产生暂时性差异的，在合并资产负债表中确认</w:t>
      </w:r>
      <w:r>
        <w:rPr>
          <w:spacing w:val="-25"/>
        </w:rPr>
        <w:t> </w:t>
      </w:r>
      <w:r>
        <w:rPr>
          <w:spacing w:val="-25"/>
        </w:rPr>
      </w:r>
      <w:r>
        <w:rPr>
          <w:spacing w:val="-2"/>
        </w:rPr>
        <w:t>递延所得税资产或递延所得税负债，同时调整合并利润表中的所得税费用，但与直接计入所有者</w:t>
      </w:r>
      <w:r>
        <w:rPr>
          <w:spacing w:val="-25"/>
        </w:rPr>
        <w:t> </w:t>
      </w:r>
      <w:r>
        <w:rPr>
          <w:spacing w:val="-25"/>
        </w:rPr>
      </w:r>
      <w:r>
        <w:rPr/>
        <w:t>权益的交易或事项及企业合并相关的递延所得税除外。</w:t>
      </w:r>
    </w:p>
    <w:p>
      <w:pPr>
        <w:pStyle w:val="BodyText"/>
        <w:spacing w:line="355" w:lineRule="auto" w:before="30"/>
        <w:ind w:left="558" w:right="104" w:firstLine="60"/>
        <w:jc w:val="left"/>
      </w:pPr>
      <w:r>
        <w:rPr/>
        <w:t>⑤以权益结算的股份支付</w:t>
      </w:r>
      <w:r>
        <w:rPr>
          <w:w w:val="100"/>
        </w:rPr>
        <w:t> </w:t>
      </w:r>
      <w:r>
        <w:rPr>
          <w:spacing w:val="-2"/>
        </w:rPr>
        <w:t>如果税法规定与股份支付相关的支出允许税前扣除，在按照会计准则规定确认成本费用的期</w:t>
      </w:r>
    </w:p>
    <w:p>
      <w:pPr>
        <w:pStyle w:val="BodyText"/>
        <w:spacing w:line="357" w:lineRule="auto" w:before="32"/>
        <w:ind w:left="138" w:right="217"/>
        <w:jc w:val="both"/>
      </w:pPr>
      <w:r>
        <w:rPr>
          <w:spacing w:val="-2"/>
        </w:rPr>
        <w:t>间内，本公司根据会计期末取得信息估计可税前扣除的金额计算确定其计税基础及由此产生的暂</w:t>
      </w:r>
      <w:r>
        <w:rPr>
          <w:spacing w:val="-25"/>
        </w:rPr>
        <w:t> </w:t>
      </w:r>
      <w:r>
        <w:rPr>
          <w:spacing w:val="-25"/>
        </w:rPr>
      </w:r>
      <w:r>
        <w:rPr>
          <w:spacing w:val="-2"/>
        </w:rPr>
        <w:t>时性差异，符合确认条件的情况下确认相关的递延所得税。其中预计未来期间可税前扣除的金额</w:t>
      </w:r>
      <w:r>
        <w:rPr>
          <w:spacing w:val="-25"/>
        </w:rPr>
        <w:t> </w:t>
      </w:r>
      <w:r>
        <w:rPr>
          <w:spacing w:val="-25"/>
        </w:rPr>
      </w:r>
      <w:r>
        <w:rPr>
          <w:spacing w:val="-2"/>
        </w:rPr>
        <w:t>超过按照会计准则规定确认的与股份支付相关的成本费用，超过部分的所得税影响应直接计入所</w:t>
      </w:r>
      <w:r>
        <w:rPr>
          <w:spacing w:val="-25"/>
        </w:rPr>
        <w:t> </w:t>
      </w:r>
      <w:r>
        <w:rPr>
          <w:spacing w:val="-25"/>
        </w:rPr>
      </w:r>
      <w:r>
        <w:rPr/>
        <w:t>得税权益。</w:t>
      </w:r>
    </w:p>
    <w:p>
      <w:pPr>
        <w:spacing w:line="240" w:lineRule="auto" w:before="11"/>
        <w:rPr>
          <w:rFonts w:ascii="宋体" w:hAnsi="宋体" w:cs="宋体" w:eastAsia="宋体" w:hint="default"/>
          <w:sz w:val="27"/>
          <w:szCs w:val="27"/>
        </w:rPr>
      </w:pPr>
    </w:p>
    <w:p>
      <w:pPr>
        <w:pStyle w:val="Heading2"/>
        <w:spacing w:line="290" w:lineRule="auto"/>
        <w:ind w:left="138" w:right="6181"/>
        <w:jc w:val="left"/>
        <w:rPr>
          <w:b w:val="0"/>
          <w:bCs w:val="0"/>
        </w:rPr>
      </w:pPr>
      <w:r>
        <w:rPr>
          <w:rFonts w:ascii="宋体" w:hAnsi="宋体" w:cs="宋体" w:eastAsia="宋体" w:hint="default"/>
        </w:rPr>
        <w:t>31.</w:t>
      </w:r>
      <w:r>
        <w:rPr>
          <w:rFonts w:ascii="宋体" w:hAnsi="宋体" w:cs="宋体" w:eastAsia="宋体" w:hint="default"/>
          <w:spacing w:val="2"/>
        </w:rPr>
        <w:t> </w:t>
      </w:r>
      <w:r>
        <w:rPr/>
        <w:t>租赁</w:t>
      </w:r>
      <w:r>
        <w:rPr>
          <w:w w:val="100"/>
        </w:rPr>
        <w:t> </w:t>
      </w:r>
      <w:r>
        <w:rPr>
          <w:rFonts w:ascii="宋体" w:hAnsi="宋体" w:cs="宋体" w:eastAsia="宋体" w:hint="default"/>
        </w:rPr>
        <w:t>(1)</w:t>
      </w:r>
      <w:r>
        <w:rPr/>
        <w:t>、经营租赁的会计处理方法</w:t>
      </w:r>
      <w:r>
        <w:rPr>
          <w:b w:val="0"/>
          <w:bCs w:val="0"/>
        </w:rPr>
      </w:r>
    </w:p>
    <w:p>
      <w:pPr>
        <w:pStyle w:val="BodyText"/>
        <w:spacing w:line="273" w:lineRule="exact" w:before="15"/>
        <w:ind w:left="138" w:right="0"/>
        <w:jc w:val="both"/>
      </w:pPr>
      <w:r>
        <w:rPr/>
        <w:t>√适用</w:t>
      </w:r>
      <w:r>
        <w:rPr>
          <w:spacing w:val="-1"/>
        </w:rPr>
        <w:t> </w:t>
      </w:r>
      <w:r>
        <w:rPr/>
        <w:t>□不适用</w:t>
      </w:r>
    </w:p>
    <w:p>
      <w:pPr>
        <w:pStyle w:val="BodyText"/>
        <w:spacing w:line="357" w:lineRule="auto"/>
        <w:ind w:left="138" w:right="104" w:firstLine="419"/>
        <w:jc w:val="both"/>
      </w:pPr>
      <w:r>
        <w:rPr/>
        <w:t>①本公司作为经营租赁承租人时，将经营租赁的租金支出，在租赁期内各个期间按照直线法</w:t>
      </w:r>
      <w:r>
        <w:rPr>
          <w:w w:val="100"/>
        </w:rPr>
        <w:t> </w:t>
      </w:r>
      <w:r>
        <w:rPr/>
        <w:t>或根据租赁资产的使用量计入当期损益。出租人提供免租期的，本公司将租金总额在不扣除免租</w:t>
      </w:r>
      <w:r>
        <w:rPr>
          <w:w w:val="100"/>
        </w:rPr>
        <w:t> </w:t>
      </w:r>
      <w:r>
        <w:rPr/>
        <w:t>期的整个租赁期内，按直线法进行分摊，免租期内确认租金费用及相应的负债。出租人承担了承</w:t>
      </w:r>
      <w:r>
        <w:rPr>
          <w:w w:val="100"/>
        </w:rPr>
        <w:t> </w:t>
      </w:r>
      <w:r>
        <w:rPr>
          <w:spacing w:val="-4"/>
          <w:w w:val="100"/>
        </w:rPr>
        <w:t>租人某些费用的，本公司按该费用从租金费用总额中扣除后的租金费用余额在租赁期内进行分摊。</w:t>
      </w:r>
    </w:p>
    <w:p>
      <w:pPr>
        <w:pStyle w:val="BodyText"/>
        <w:spacing w:line="240" w:lineRule="auto" w:before="30"/>
        <w:ind w:left="558" w:right="104"/>
        <w:jc w:val="left"/>
      </w:pPr>
      <w:r>
        <w:rPr/>
        <w:t>初始直接费用，计入当期损益。如协议约定或有租金的在实际发生时计入当期损益。</w:t>
      </w:r>
    </w:p>
    <w:p>
      <w:pPr>
        <w:pStyle w:val="BodyText"/>
        <w:spacing w:line="357" w:lineRule="auto" w:before="133"/>
        <w:ind w:left="138" w:right="217" w:firstLine="419"/>
        <w:jc w:val="both"/>
      </w:pPr>
      <w:r>
        <w:rPr>
          <w:spacing w:val="-2"/>
        </w:rPr>
        <w:t>②本公司作为经营租赁出租人时，采用直线法将收到的租金在租赁期内确认为收益。出租人</w:t>
      </w:r>
      <w:r>
        <w:rPr>
          <w:w w:val="100"/>
        </w:rPr>
        <w:t> </w:t>
      </w:r>
      <w:r>
        <w:rPr>
          <w:spacing w:val="-2"/>
        </w:rPr>
        <w:t>提供免租期的，出租人将租金总额在不扣除免租期的整个租赁期内，按直线法进行分配，免租期</w:t>
      </w:r>
      <w:r>
        <w:rPr>
          <w:spacing w:val="-25"/>
        </w:rPr>
        <w:t> </w:t>
      </w:r>
      <w:r>
        <w:rPr>
          <w:spacing w:val="-25"/>
        </w:rPr>
      </w:r>
      <w:r>
        <w:rPr>
          <w:spacing w:val="-2"/>
        </w:rPr>
        <w:t>内出租人也确认租金收入。承担了承租人某些费用的，本公司按该费用自租金收入总额中扣除后</w:t>
      </w:r>
      <w:r>
        <w:rPr>
          <w:spacing w:val="-25"/>
        </w:rPr>
        <w:t> </w:t>
      </w:r>
      <w:r>
        <w:rPr>
          <w:spacing w:val="-25"/>
        </w:rPr>
      </w:r>
      <w:r>
        <w:rPr/>
        <w:t>的租金收入余额在租赁期内进行分配。</w:t>
      </w:r>
    </w:p>
    <w:p>
      <w:pPr>
        <w:spacing w:after="0" w:line="357" w:lineRule="auto"/>
        <w:jc w:val="both"/>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BodyText"/>
        <w:spacing w:line="357" w:lineRule="auto" w:before="36"/>
        <w:ind w:left="138" w:right="137" w:firstLine="419"/>
        <w:jc w:val="both"/>
      </w:pPr>
      <w:r>
        <w:rPr>
          <w:spacing w:val="-2"/>
        </w:rPr>
        <w:t>初始直接费用，计入当期损益。金额较大的予以资本化，在整个经营租赁期内按照与确认租</w:t>
      </w:r>
      <w:r>
        <w:rPr>
          <w:w w:val="100"/>
        </w:rPr>
        <w:t> </w:t>
      </w:r>
      <w:r>
        <w:rPr/>
        <w:t>金收入相同的基础分期计入当期损益。如协议约定或有租金的在实际发生时计入当期收益。</w:t>
      </w:r>
    </w:p>
    <w:p>
      <w:pPr>
        <w:spacing w:line="240" w:lineRule="auto" w:before="8"/>
        <w:rPr>
          <w:rFonts w:ascii="宋体" w:hAnsi="宋体" w:cs="宋体" w:eastAsia="宋体" w:hint="default"/>
          <w:sz w:val="27"/>
          <w:szCs w:val="27"/>
        </w:rPr>
      </w:pPr>
    </w:p>
    <w:p>
      <w:pPr>
        <w:pStyle w:val="Heading2"/>
        <w:spacing w:line="240" w:lineRule="auto"/>
        <w:ind w:left="138" w:right="0"/>
        <w:jc w:val="both"/>
        <w:rPr>
          <w:b w:val="0"/>
          <w:bCs w:val="0"/>
        </w:rPr>
      </w:pPr>
      <w:r>
        <w:rPr>
          <w:rFonts w:ascii="宋体" w:hAnsi="宋体" w:cs="宋体" w:eastAsia="宋体" w:hint="default"/>
        </w:rPr>
        <w:t>(2)</w:t>
      </w:r>
      <w:r>
        <w:rPr/>
        <w:t>、融资租赁的会计处理方法</w:t>
      </w:r>
      <w:r>
        <w:rPr>
          <w:b w:val="0"/>
          <w:bCs w:val="0"/>
        </w:rPr>
      </w:r>
    </w:p>
    <w:p>
      <w:pPr>
        <w:pStyle w:val="BodyText"/>
        <w:spacing w:line="273" w:lineRule="exact" w:before="58"/>
        <w:ind w:left="138" w:right="0"/>
        <w:jc w:val="both"/>
      </w:pPr>
      <w:r>
        <w:rPr/>
        <w:t>√适用</w:t>
      </w:r>
      <w:r>
        <w:rPr>
          <w:spacing w:val="-1"/>
        </w:rPr>
        <w:t> </w:t>
      </w:r>
      <w:r>
        <w:rPr/>
        <w:t>□不适用</w:t>
      </w:r>
    </w:p>
    <w:p>
      <w:pPr>
        <w:pStyle w:val="BodyText"/>
        <w:spacing w:line="357" w:lineRule="auto"/>
        <w:ind w:left="138" w:right="137" w:firstLine="419"/>
        <w:jc w:val="both"/>
      </w:pPr>
      <w:r>
        <w:rPr>
          <w:spacing w:val="-2"/>
        </w:rPr>
        <w:t>①本公司作为融资租赁承租人时，在租赁期开始日，将租赁开始日租赁资产公允价值与最低</w:t>
      </w:r>
      <w:r>
        <w:rPr>
          <w:w w:val="100"/>
        </w:rPr>
        <w:t> </w:t>
      </w:r>
      <w:r>
        <w:rPr>
          <w:spacing w:val="-2"/>
        </w:rPr>
        <w:t>租赁付款额现值两者中较低者作为租入资产的入账价值，将最低租赁付款额作为长期应付款的入</w:t>
      </w:r>
      <w:r>
        <w:rPr>
          <w:spacing w:val="-25"/>
        </w:rPr>
        <w:t> </w:t>
      </w:r>
      <w:r>
        <w:rPr>
          <w:spacing w:val="-25"/>
        </w:rPr>
      </w:r>
      <w:r>
        <w:rPr>
          <w:spacing w:val="-2"/>
        </w:rPr>
        <w:t>账价值，其差额作为未确认融资费用。在租赁期内各个期间采用实际利率法进行分摊，确认为当</w:t>
      </w:r>
      <w:r>
        <w:rPr>
          <w:spacing w:val="-25"/>
        </w:rPr>
        <w:t> </w:t>
      </w:r>
      <w:r>
        <w:rPr>
          <w:spacing w:val="-25"/>
        </w:rPr>
      </w:r>
      <w:r>
        <w:rPr/>
        <w:t>期融资费用，计入财务费用。</w:t>
      </w:r>
    </w:p>
    <w:p>
      <w:pPr>
        <w:pStyle w:val="BodyText"/>
        <w:spacing w:line="355" w:lineRule="auto" w:before="31"/>
        <w:ind w:left="558" w:right="125"/>
        <w:jc w:val="left"/>
      </w:pPr>
      <w:r>
        <w:rPr/>
        <w:t>发生的初始直接费用，计入租入资产价值。</w:t>
      </w:r>
      <w:r>
        <w:rPr>
          <w:w w:val="100"/>
        </w:rPr>
        <w:t> </w:t>
      </w:r>
      <w:r>
        <w:rPr>
          <w:spacing w:val="-2"/>
        </w:rPr>
        <w:t>在计提融资租赁资产折旧时，本公司采用与自有应折旧资产相一致的折旧政策，折旧期间以</w:t>
      </w:r>
    </w:p>
    <w:p>
      <w:pPr>
        <w:pStyle w:val="BodyText"/>
        <w:spacing w:line="355" w:lineRule="auto" w:before="34"/>
        <w:ind w:left="138" w:right="137"/>
        <w:jc w:val="both"/>
      </w:pPr>
      <w:r>
        <w:rPr>
          <w:spacing w:val="-2"/>
        </w:rPr>
        <w:t>租赁合同而定。如果能够合理确定租赁期届满时本公司将会取得租赁资产所有权，以租赁期开始</w:t>
      </w:r>
      <w:r>
        <w:rPr>
          <w:spacing w:val="-25"/>
        </w:rPr>
        <w:t> </w:t>
      </w:r>
      <w:r>
        <w:rPr>
          <w:spacing w:val="-25"/>
        </w:rPr>
      </w:r>
      <w:r>
        <w:rPr>
          <w:spacing w:val="-2"/>
        </w:rPr>
        <w:t>日租赁资产的寿命作为折旧期间；如果无法合理确定租赁期届满后本公司是否能够取得租赁资产</w:t>
      </w:r>
      <w:r>
        <w:rPr>
          <w:spacing w:val="-25"/>
        </w:rPr>
        <w:t> </w:t>
      </w:r>
      <w:r>
        <w:rPr>
          <w:spacing w:val="-25"/>
        </w:rPr>
      </w:r>
      <w:r>
        <w:rPr/>
        <w:t>的所有权，以租赁期与租赁资产寿命两者中较短者作为折旧期间。</w:t>
      </w:r>
    </w:p>
    <w:p>
      <w:pPr>
        <w:pStyle w:val="BodyText"/>
        <w:spacing w:line="357" w:lineRule="auto" w:before="32"/>
        <w:ind w:left="138" w:right="137" w:firstLine="419"/>
        <w:jc w:val="both"/>
      </w:pPr>
      <w:r>
        <w:rPr>
          <w:spacing w:val="-2"/>
        </w:rPr>
        <w:t>②本公司作为融资租赁出租人时，于租赁期开始日将租赁开始日最低租赁应收款额与初始直</w:t>
      </w:r>
      <w:r>
        <w:rPr>
          <w:w w:val="100"/>
        </w:rPr>
        <w:t> </w:t>
      </w:r>
      <w:r>
        <w:rPr>
          <w:spacing w:val="-2"/>
        </w:rPr>
        <w:t>接费用之和作为应收融资租赁款的入账价值，计入资产负债表的长期应收款，同时记录未担保余</w:t>
      </w:r>
      <w:r>
        <w:rPr>
          <w:spacing w:val="-25"/>
        </w:rPr>
        <w:t> </w:t>
      </w:r>
      <w:r>
        <w:rPr>
          <w:spacing w:val="-25"/>
        </w:rPr>
      </w:r>
      <w:r>
        <w:rPr>
          <w:spacing w:val="-2"/>
        </w:rPr>
        <w:t>值；将最低租赁应收款额、初始直接费用及未担保余值之和与其现值之和的差额作为未实现融资</w:t>
      </w:r>
      <w:r>
        <w:rPr>
          <w:spacing w:val="-25"/>
        </w:rPr>
        <w:t> </w:t>
      </w:r>
      <w:r>
        <w:rPr>
          <w:spacing w:val="-25"/>
        </w:rPr>
      </w:r>
      <w:r>
        <w:rPr/>
        <w:t>收益，在租赁期内各个期间采用实际利率法确认为租赁收入，计入其他业务收入。</w:t>
      </w:r>
    </w:p>
    <w:p>
      <w:pPr>
        <w:spacing w:line="240" w:lineRule="auto" w:before="11"/>
        <w:rPr>
          <w:rFonts w:ascii="宋体" w:hAnsi="宋体" w:cs="宋体" w:eastAsia="宋体" w:hint="default"/>
          <w:sz w:val="27"/>
          <w:szCs w:val="27"/>
        </w:rPr>
      </w:pPr>
    </w:p>
    <w:p>
      <w:pPr>
        <w:pStyle w:val="Heading2"/>
        <w:spacing w:line="240" w:lineRule="auto"/>
        <w:ind w:left="138" w:right="0"/>
        <w:jc w:val="both"/>
        <w:rPr>
          <w:b w:val="0"/>
          <w:bCs w:val="0"/>
        </w:rPr>
      </w:pPr>
      <w:r>
        <w:rPr>
          <w:rFonts w:ascii="宋体" w:hAnsi="宋体" w:cs="宋体" w:eastAsia="宋体" w:hint="default"/>
        </w:rPr>
        <w:t>32. </w:t>
      </w:r>
      <w:r>
        <w:rPr/>
        <w:t>其他重要的会计政策和会计估计</w:t>
      </w:r>
      <w:r>
        <w:rPr>
          <w:b w:val="0"/>
          <w:bCs w:val="0"/>
        </w:rPr>
      </w:r>
    </w:p>
    <w:p>
      <w:pPr>
        <w:pStyle w:val="BodyText"/>
        <w:spacing w:line="273" w:lineRule="exact" w:before="56"/>
        <w:ind w:left="138" w:right="0"/>
        <w:jc w:val="both"/>
      </w:pPr>
      <w:r>
        <w:rPr/>
        <w:t>√适用</w:t>
      </w:r>
      <w:r>
        <w:rPr>
          <w:spacing w:val="-1"/>
        </w:rPr>
        <w:t> </w:t>
      </w:r>
      <w:r>
        <w:rPr/>
        <w:t>□不适用</w:t>
      </w:r>
    </w:p>
    <w:p>
      <w:pPr>
        <w:spacing w:line="357" w:lineRule="auto" w:before="0"/>
        <w:ind w:left="558" w:right="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）售后租回的会计处理</w:t>
      </w:r>
      <w:r>
        <w:rPr>
          <w:rFonts w:ascii="宋体" w:hAnsi="宋体" w:cs="宋体" w:eastAsia="宋体" w:hint="default"/>
          <w:b/>
          <w:bCs/>
          <w:w w:val="100"/>
          <w:sz w:val="21"/>
          <w:szCs w:val="21"/>
        </w:rPr>
        <w:t> </w:t>
      </w:r>
      <w:r>
        <w:rPr>
          <w:rFonts w:ascii="宋体" w:hAnsi="宋体" w:cs="宋体" w:eastAsia="宋体" w:hint="default"/>
          <w:spacing w:val="-2"/>
          <w:sz w:val="21"/>
          <w:szCs w:val="21"/>
        </w:rPr>
        <w:t>售后租回交易的会计处理应根据其所形成的租赁类型而定，可按融资租赁和经营租赁分别进</w:t>
      </w:r>
    </w:p>
    <w:p>
      <w:pPr>
        <w:pStyle w:val="BodyText"/>
        <w:spacing w:line="240" w:lineRule="auto" w:before="30"/>
        <w:ind w:left="138" w:right="0"/>
        <w:jc w:val="both"/>
      </w:pPr>
      <w:r>
        <w:rPr/>
        <w:t>行会计处理。</w:t>
      </w:r>
    </w:p>
    <w:p>
      <w:pPr>
        <w:pStyle w:val="BodyText"/>
        <w:spacing w:line="357" w:lineRule="auto" w:before="133"/>
        <w:ind w:left="138" w:right="128" w:firstLine="419"/>
        <w:jc w:val="both"/>
      </w:pPr>
      <w:r>
        <w:rPr/>
        <w:t>①售后租回交易形成融资租赁</w:t>
      </w:r>
      <w:r>
        <w:rPr>
          <w:spacing w:val="28"/>
        </w:rPr>
        <w:t> </w:t>
      </w:r>
      <w:r>
        <w:rPr>
          <w:spacing w:val="-5"/>
        </w:rPr>
        <w:t>卖主（即承租人）应将售价与资产账面价值的差额（无论是售</w:t>
      </w:r>
      <w:r>
        <w:rPr>
          <w:w w:val="100"/>
        </w:rPr>
        <w:t> </w:t>
      </w:r>
      <w:r>
        <w:rPr>
          <w:spacing w:val="-2"/>
        </w:rPr>
        <w:t>价高于资产账面价值还是售价低于资产账面价值）予以递延，并按该项租赁资产的折旧进度进行</w:t>
      </w:r>
      <w:r>
        <w:rPr>
          <w:spacing w:val="-25"/>
        </w:rPr>
        <w:t> </w:t>
      </w:r>
      <w:r>
        <w:rPr>
          <w:spacing w:val="-25"/>
        </w:rPr>
      </w:r>
      <w:r>
        <w:rPr>
          <w:spacing w:val="-2"/>
        </w:rPr>
        <w:t>分摊，作为折旧费用的调整。按折旧进度进行分摊是指在对该项租赁资产计提折旧时，按与该项</w:t>
      </w:r>
      <w:r>
        <w:rPr>
          <w:spacing w:val="-25"/>
        </w:rPr>
        <w:t> </w:t>
      </w:r>
      <w:r>
        <w:rPr>
          <w:spacing w:val="-25"/>
        </w:rPr>
      </w:r>
      <w:r>
        <w:rPr/>
        <w:t>资产计提折旧所采用的折旧率相同的比例对未实现售后租回损益进行分摊。</w:t>
      </w:r>
    </w:p>
    <w:p>
      <w:pPr>
        <w:pStyle w:val="BodyText"/>
        <w:spacing w:line="355" w:lineRule="auto" w:before="30"/>
        <w:ind w:left="558" w:right="125"/>
        <w:jc w:val="left"/>
      </w:pPr>
      <w:r>
        <w:rPr/>
        <w:t>②售后租回交易形成经营租赁售后租回交易认定为经营租赁的，应当分别情况处理：</w:t>
      </w:r>
      <w:r>
        <w:rPr>
          <w:w w:val="100"/>
        </w:rPr>
        <w:t> </w:t>
      </w:r>
      <w:r>
        <w:rPr>
          <w:spacing w:val="-2"/>
        </w:rPr>
        <w:t>在有确凿证据表明售后租回交易是按照公允价值达成的，售价与资产账面价值的差额应当记</w:t>
      </w:r>
    </w:p>
    <w:p>
      <w:pPr>
        <w:pStyle w:val="BodyText"/>
        <w:spacing w:line="240" w:lineRule="auto" w:before="32"/>
        <w:ind w:left="138" w:right="0"/>
        <w:jc w:val="both"/>
      </w:pPr>
      <w:r>
        <w:rPr/>
        <w:t>入当期损益。</w:t>
      </w:r>
    </w:p>
    <w:p>
      <w:pPr>
        <w:pStyle w:val="BodyText"/>
        <w:spacing w:line="357" w:lineRule="auto" w:before="135"/>
        <w:ind w:left="138" w:right="128" w:firstLine="419"/>
        <w:jc w:val="both"/>
      </w:pPr>
      <w:r>
        <w:rPr>
          <w:spacing w:val="-7"/>
          <w:w w:val="100"/>
        </w:rPr>
        <w:t>如果售后租回交易不是按照公允价值达成的：售价低于公允价值的，有关损益应于当期确认；</w:t>
      </w:r>
      <w:r>
        <w:rPr>
          <w:w w:val="100"/>
        </w:rPr>
        <w:t> </w:t>
      </w:r>
      <w:r>
        <w:rPr>
          <w:spacing w:val="-2"/>
        </w:rPr>
        <w:t>但若该损失将由低于市价的未来租赁付款额补偿的，应将其递延，并按与确认租金费用相一致的</w:t>
      </w:r>
      <w:r>
        <w:rPr>
          <w:spacing w:val="-25"/>
        </w:rPr>
        <w:t> </w:t>
      </w:r>
      <w:r>
        <w:rPr>
          <w:spacing w:val="-25"/>
        </w:rPr>
      </w:r>
      <w:r>
        <w:rPr>
          <w:spacing w:val="-2"/>
        </w:rPr>
        <w:t>方法分摊于预计的资产使用期限内。售价高于公允价值的，其高出公允价值的部分应予递延，并</w:t>
      </w:r>
      <w:r>
        <w:rPr>
          <w:spacing w:val="-25"/>
        </w:rPr>
        <w:t> </w:t>
      </w:r>
      <w:r>
        <w:rPr>
          <w:spacing w:val="-25"/>
        </w:rPr>
      </w:r>
      <w:r>
        <w:rPr/>
        <w:t>在预计的使用期限内摊销。</w:t>
      </w:r>
    </w:p>
    <w:p>
      <w:pPr>
        <w:spacing w:after="0" w:line="357" w:lineRule="auto"/>
        <w:jc w:val="both"/>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BodyText"/>
        <w:spacing w:line="357" w:lineRule="auto" w:before="36"/>
        <w:ind w:left="638" w:right="227" w:firstLine="2"/>
        <w:jc w:val="left"/>
      </w:pPr>
      <w:r>
        <w:rPr>
          <w:rFonts w:ascii="宋体" w:hAnsi="宋体" w:cs="宋体" w:eastAsia="宋体" w:hint="default"/>
          <w:b/>
          <w:bCs/>
        </w:rPr>
        <w:t>(2)</w:t>
      </w:r>
      <w:r>
        <w:rPr>
          <w:rFonts w:ascii="宋体" w:hAnsi="宋体" w:cs="宋体" w:eastAsia="宋体" w:hint="default"/>
          <w:b/>
          <w:bCs/>
          <w:spacing w:val="-1"/>
        </w:rPr>
        <w:t> </w:t>
      </w:r>
      <w:r>
        <w:rPr>
          <w:rFonts w:ascii="宋体" w:hAnsi="宋体" w:cs="宋体" w:eastAsia="宋体" w:hint="default"/>
          <w:b/>
          <w:bCs/>
        </w:rPr>
        <w:t>安全生产费用</w:t>
      </w:r>
      <w:r>
        <w:rPr>
          <w:rFonts w:ascii="宋体" w:hAnsi="宋体" w:cs="宋体" w:eastAsia="宋体" w:hint="default"/>
          <w:b/>
          <w:bCs/>
          <w:w w:val="100"/>
        </w:rPr>
        <w:t> </w:t>
      </w:r>
      <w:r>
        <w:rPr/>
        <w:t>本公司根据有关规定，按上年度水路运输业务营业收入的</w:t>
      </w:r>
      <w:r>
        <w:rPr>
          <w:rFonts w:ascii="宋体" w:hAnsi="宋体" w:cs="宋体" w:eastAsia="宋体" w:hint="default"/>
        </w:rPr>
        <w:t>1%</w:t>
      </w:r>
      <w:r>
        <w:rPr/>
        <w:t>提取安全生产费用。</w:t>
      </w:r>
      <w:r>
        <w:rPr>
          <w:w w:val="100"/>
        </w:rPr>
        <w:t> </w:t>
      </w:r>
      <w:r>
        <w:rPr/>
        <w:t>安全生产费用于提取时计入营业成本或当期损益，同时计入“专项储备”科目。</w:t>
      </w:r>
      <w:r>
        <w:rPr>
          <w:w w:val="100"/>
        </w:rPr>
        <w:t> </w:t>
      </w:r>
      <w:r>
        <w:rPr>
          <w:spacing w:val="-2"/>
        </w:rPr>
        <w:t>提取的安全生产费按规定范围使用时，属于费用性支出的，直接冲减专项储备；形成固定资</w:t>
      </w:r>
    </w:p>
    <w:p>
      <w:pPr>
        <w:pStyle w:val="BodyText"/>
        <w:spacing w:line="357" w:lineRule="auto" w:before="30"/>
        <w:ind w:right="237"/>
        <w:jc w:val="both"/>
      </w:pPr>
      <w:r>
        <w:rPr>
          <w:spacing w:val="-2"/>
        </w:rPr>
        <w:t>产的，先通过“在建工程”科目归集所发生的支出，待安全项目完工达到预定可使用状态时确认</w:t>
      </w:r>
      <w:r>
        <w:rPr>
          <w:spacing w:val="-25"/>
        </w:rPr>
        <w:t> </w:t>
      </w:r>
      <w:r>
        <w:rPr>
          <w:spacing w:val="-25"/>
        </w:rPr>
      </w:r>
      <w:r>
        <w:rPr>
          <w:spacing w:val="-2"/>
        </w:rPr>
        <w:t>为固定资产；同时，按照形成固定资产的成本冲减专项储备，并确认相同金额的累计折旧。该固</w:t>
      </w:r>
      <w:r>
        <w:rPr>
          <w:spacing w:val="-25"/>
        </w:rPr>
        <w:t> </w:t>
      </w:r>
      <w:r>
        <w:rPr>
          <w:spacing w:val="-25"/>
        </w:rPr>
      </w:r>
      <w:r>
        <w:rPr/>
        <w:t>定资产在以后期间不再计提折旧。</w:t>
      </w:r>
    </w:p>
    <w:p>
      <w:pPr>
        <w:spacing w:line="240" w:lineRule="auto" w:before="9"/>
        <w:rPr>
          <w:rFonts w:ascii="宋体" w:hAnsi="宋体" w:cs="宋体" w:eastAsia="宋体" w:hint="default"/>
          <w:sz w:val="27"/>
          <w:szCs w:val="27"/>
        </w:rPr>
      </w:pPr>
    </w:p>
    <w:p>
      <w:pPr>
        <w:pStyle w:val="Heading2"/>
        <w:spacing w:line="290" w:lineRule="auto"/>
        <w:ind w:right="5673"/>
        <w:jc w:val="left"/>
        <w:rPr>
          <w:b w:val="0"/>
          <w:bCs w:val="0"/>
        </w:rPr>
      </w:pPr>
      <w:r>
        <w:rPr>
          <w:rFonts w:ascii="宋体" w:hAnsi="宋体" w:cs="宋体" w:eastAsia="宋体" w:hint="default"/>
        </w:rPr>
        <w:t>33. </w:t>
      </w:r>
      <w:r>
        <w:rPr/>
        <w:t>重要会计政策和会计估计的变更</w:t>
      </w:r>
      <w:r>
        <w:rPr>
          <w:w w:val="100"/>
        </w:rPr>
        <w:t> </w:t>
      </w:r>
      <w:r>
        <w:rPr>
          <w:rFonts w:ascii="宋体" w:hAnsi="宋体" w:cs="宋体" w:eastAsia="宋体" w:hint="default"/>
        </w:rPr>
        <w:t>(1)</w:t>
      </w:r>
      <w:r>
        <w:rPr/>
        <w:t>、重要会计政策变更</w:t>
      </w:r>
      <w:r>
        <w:rPr>
          <w:b w:val="0"/>
          <w:bCs w:val="0"/>
        </w:rPr>
      </w:r>
    </w:p>
    <w:p>
      <w:pPr>
        <w:pStyle w:val="BodyText"/>
        <w:spacing w:line="240" w:lineRule="auto" w:before="12"/>
        <w:ind w:right="0"/>
        <w:jc w:val="both"/>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57"/>
        <w:gridCol w:w="3053"/>
        <w:gridCol w:w="3039"/>
      </w:tblGrid>
      <w:tr>
        <w:trPr>
          <w:trHeight w:val="554"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1" w:right="0"/>
              <w:jc w:val="left"/>
              <w:rPr>
                <w:rFonts w:ascii="宋体" w:hAnsi="宋体" w:cs="宋体" w:eastAsia="宋体" w:hint="default"/>
                <w:sz w:val="21"/>
                <w:szCs w:val="21"/>
              </w:rPr>
            </w:pPr>
            <w:r>
              <w:rPr>
                <w:rFonts w:ascii="宋体" w:hAnsi="宋体" w:cs="宋体" w:eastAsia="宋体" w:hint="default"/>
                <w:sz w:val="21"/>
                <w:szCs w:val="21"/>
              </w:rPr>
              <w:t>会计政策变更的内容和原因</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审批程序</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备注</w:t>
            </w:r>
            <w:r>
              <w:rPr>
                <w:rFonts w:ascii="宋体" w:hAnsi="宋体" w:cs="宋体" w:eastAsia="宋体" w:hint="default"/>
                <w:sz w:val="21"/>
                <w:szCs w:val="21"/>
              </w:rPr>
              <w:t>(</w:t>
            </w:r>
            <w:r>
              <w:rPr>
                <w:rFonts w:ascii="宋体" w:hAnsi="宋体" w:cs="宋体" w:eastAsia="宋体" w:hint="default"/>
                <w:sz w:val="21"/>
                <w:szCs w:val="21"/>
              </w:rPr>
              <w:t>受重要影响的报表项目</w:t>
            </w:r>
          </w:p>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名称和金额</w:t>
            </w:r>
            <w:r>
              <w:rPr>
                <w:rFonts w:ascii="宋体" w:hAnsi="宋体" w:cs="宋体" w:eastAsia="宋体" w:hint="default"/>
                <w:sz w:val="21"/>
                <w:szCs w:val="21"/>
              </w:rPr>
              <w:t>)</w:t>
            </w:r>
          </w:p>
        </w:tc>
      </w:tr>
      <w:tr>
        <w:trPr>
          <w:trHeight w:val="3824"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为进一步规范增值税会计处</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z w:val="21"/>
                <w:szCs w:val="21"/>
              </w:rPr>
              <w:t>理，财政部于</w:t>
            </w:r>
            <w:r>
              <w:rPr>
                <w:rFonts w:ascii="宋体" w:hAnsi="宋体" w:cs="宋体" w:eastAsia="宋体" w:hint="default"/>
                <w:spacing w:val="-53"/>
                <w:sz w:val="21"/>
                <w:szCs w:val="21"/>
              </w:rPr>
              <w:t> </w:t>
            </w:r>
            <w:r>
              <w:rPr>
                <w:rFonts w:ascii="宋体" w:hAnsi="宋体" w:cs="宋体" w:eastAsia="宋体" w:hint="default"/>
                <w:sz w:val="21"/>
                <w:szCs w:val="21"/>
              </w:rPr>
              <w:t>2016</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w w:val="100"/>
                <w:sz w:val="21"/>
                <w:szCs w:val="21"/>
              </w:rPr>
              <w:t> </w:t>
            </w:r>
            <w:r>
              <w:rPr>
                <w:rFonts w:ascii="宋体" w:hAnsi="宋体" w:cs="宋体" w:eastAsia="宋体" w:hint="default"/>
                <w:spacing w:val="-14"/>
                <w:w w:val="100"/>
                <w:sz w:val="21"/>
                <w:szCs w:val="21"/>
              </w:rPr>
              <w:t>日发布了《增值税</w:t>
            </w:r>
            <w:r>
              <w:rPr>
                <w:rFonts w:ascii="宋体" w:hAnsi="宋体" w:cs="宋体" w:eastAsia="宋体" w:hint="default"/>
                <w:spacing w:val="8"/>
                <w:w w:val="100"/>
                <w:sz w:val="21"/>
                <w:szCs w:val="21"/>
              </w:rPr>
              <w:t> </w:t>
            </w:r>
            <w:r>
              <w:rPr>
                <w:rFonts w:ascii="宋体" w:hAnsi="宋体" w:cs="宋体" w:eastAsia="宋体" w:hint="default"/>
                <w:spacing w:val="-2"/>
                <w:w w:val="100"/>
                <w:sz w:val="21"/>
                <w:szCs w:val="21"/>
              </w:rPr>
              <w:t>会计处理规</w:t>
            </w:r>
            <w:r>
              <w:rPr>
                <w:rFonts w:ascii="宋体" w:hAnsi="宋体" w:cs="宋体" w:eastAsia="宋体" w:hint="default"/>
                <w:w w:val="100"/>
                <w:sz w:val="21"/>
                <w:szCs w:val="21"/>
              </w:rPr>
              <w:t> </w:t>
            </w:r>
            <w:r>
              <w:rPr>
                <w:rFonts w:ascii="宋体" w:hAnsi="宋体" w:cs="宋体" w:eastAsia="宋体" w:hint="default"/>
                <w:spacing w:val="-3"/>
                <w:sz w:val="21"/>
                <w:szCs w:val="21"/>
              </w:rPr>
              <w:t>定》（财会</w:t>
            </w:r>
            <w:r>
              <w:rPr>
                <w:rFonts w:ascii="宋体" w:hAnsi="宋体" w:cs="宋体" w:eastAsia="宋体" w:hint="default"/>
                <w:spacing w:val="-3"/>
                <w:sz w:val="21"/>
                <w:szCs w:val="21"/>
              </w:rPr>
              <w:t>[2016]22</w:t>
            </w:r>
            <w:r>
              <w:rPr>
                <w:rFonts w:ascii="宋体" w:hAnsi="宋体" w:cs="宋体" w:eastAsia="宋体" w:hint="default"/>
                <w:spacing w:val="-37"/>
                <w:sz w:val="21"/>
                <w:szCs w:val="21"/>
              </w:rPr>
              <w:t> </w:t>
            </w:r>
            <w:r>
              <w:rPr>
                <w:rFonts w:ascii="宋体" w:hAnsi="宋体" w:cs="宋体" w:eastAsia="宋体" w:hint="default"/>
                <w:spacing w:val="-7"/>
                <w:sz w:val="21"/>
                <w:szCs w:val="21"/>
              </w:rPr>
              <w:t>号），该</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规定自发布之日起实施。对于</w:t>
            </w:r>
            <w:r>
              <w:rPr>
                <w:rFonts w:ascii="宋体" w:hAnsi="宋体" w:cs="宋体" w:eastAsia="宋体" w:hint="default"/>
                <w:w w:val="100"/>
                <w:sz w:val="21"/>
                <w:szCs w:val="21"/>
              </w:rPr>
              <w:t> </w:t>
            </w:r>
            <w:r>
              <w:rPr>
                <w:rFonts w:ascii="宋体" w:hAnsi="宋体" w:cs="宋体" w:eastAsia="宋体" w:hint="default"/>
                <w:sz w:val="21"/>
                <w:szCs w:val="21"/>
              </w:rPr>
              <w:t>2016</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5</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1</w:t>
            </w:r>
            <w:r>
              <w:rPr>
                <w:rFonts w:ascii="宋体" w:hAnsi="宋体" w:cs="宋体" w:eastAsia="宋体" w:hint="default"/>
                <w:spacing w:val="-61"/>
                <w:sz w:val="21"/>
                <w:szCs w:val="21"/>
              </w:rPr>
              <w:t> </w:t>
            </w:r>
            <w:r>
              <w:rPr>
                <w:rFonts w:ascii="宋体" w:hAnsi="宋体" w:cs="宋体" w:eastAsia="宋体" w:hint="default"/>
                <w:sz w:val="21"/>
                <w:szCs w:val="21"/>
              </w:rPr>
              <w:t>日至规定施行之</w:t>
            </w:r>
            <w:r>
              <w:rPr>
                <w:rFonts w:ascii="宋体" w:hAnsi="宋体" w:cs="宋体" w:eastAsia="宋体" w:hint="default"/>
                <w:w w:val="100"/>
                <w:sz w:val="21"/>
                <w:szCs w:val="21"/>
              </w:rPr>
              <w:t> </w:t>
            </w:r>
            <w:r>
              <w:rPr>
                <w:rFonts w:ascii="宋体" w:hAnsi="宋体" w:cs="宋体" w:eastAsia="宋体" w:hint="default"/>
                <w:sz w:val="21"/>
                <w:szCs w:val="21"/>
              </w:rPr>
              <w:t>间发生的交易由于规定而影响</w:t>
            </w:r>
            <w:r>
              <w:rPr>
                <w:rFonts w:ascii="宋体" w:hAnsi="宋体" w:cs="宋体" w:eastAsia="宋体" w:hint="default"/>
                <w:w w:val="100"/>
                <w:sz w:val="21"/>
                <w:szCs w:val="21"/>
              </w:rPr>
              <w:t> </w:t>
            </w:r>
            <w:r>
              <w:rPr>
                <w:rFonts w:ascii="宋体" w:hAnsi="宋体" w:cs="宋体" w:eastAsia="宋体" w:hint="default"/>
                <w:sz w:val="21"/>
                <w:szCs w:val="21"/>
              </w:rPr>
              <w:t>资产、负债和损益等财务报表</w:t>
            </w:r>
            <w:r>
              <w:rPr>
                <w:rFonts w:ascii="宋体" w:hAnsi="宋体" w:cs="宋体" w:eastAsia="宋体" w:hint="default"/>
                <w:w w:val="100"/>
                <w:sz w:val="21"/>
                <w:szCs w:val="21"/>
              </w:rPr>
              <w:t> </w:t>
            </w:r>
            <w:r>
              <w:rPr>
                <w:rFonts w:ascii="宋体" w:hAnsi="宋体" w:cs="宋体" w:eastAsia="宋体" w:hint="default"/>
                <w:sz w:val="21"/>
                <w:szCs w:val="21"/>
              </w:rPr>
              <w:t>列报项目金额的，应按规定调</w:t>
            </w:r>
            <w:r>
              <w:rPr>
                <w:rFonts w:ascii="宋体" w:hAnsi="宋体" w:cs="宋体" w:eastAsia="宋体" w:hint="default"/>
                <w:w w:val="100"/>
                <w:sz w:val="21"/>
                <w:szCs w:val="21"/>
              </w:rPr>
              <w:t> </w:t>
            </w:r>
            <w:r>
              <w:rPr>
                <w:rFonts w:ascii="宋体" w:hAnsi="宋体" w:cs="宋体" w:eastAsia="宋体" w:hint="default"/>
                <w:spacing w:val="-12"/>
                <w:sz w:val="21"/>
                <w:szCs w:val="21"/>
              </w:rPr>
              <w:t>整；对于</w:t>
            </w:r>
            <w:r>
              <w:rPr>
                <w:rFonts w:ascii="宋体" w:hAnsi="宋体" w:cs="宋体" w:eastAsia="宋体" w:hint="default"/>
                <w:spacing w:val="-52"/>
                <w:sz w:val="21"/>
                <w:szCs w:val="21"/>
              </w:rPr>
              <w:t> </w:t>
            </w: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日至</w:t>
            </w:r>
            <w:r>
              <w:rPr>
                <w:rFonts w:ascii="宋体" w:hAnsi="宋体" w:cs="宋体" w:eastAsia="宋体" w:hint="default"/>
                <w:spacing w:val="-52"/>
                <w:sz w:val="21"/>
                <w:szCs w:val="21"/>
              </w:rPr>
              <w:t> </w:t>
            </w:r>
            <w:r>
              <w:rPr>
                <w:rFonts w:ascii="宋体" w:hAnsi="宋体" w:cs="宋体" w:eastAsia="宋体" w:hint="default"/>
                <w:sz w:val="21"/>
                <w:szCs w:val="21"/>
              </w:rPr>
              <w:t>4</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月</w:t>
            </w:r>
            <w:r>
              <w:rPr>
                <w:rFonts w:ascii="宋体" w:hAnsi="宋体" w:cs="宋体" w:eastAsia="宋体" w:hint="default"/>
                <w:spacing w:val="-53"/>
                <w:sz w:val="21"/>
                <w:szCs w:val="21"/>
              </w:rPr>
              <w:t> </w:t>
            </w:r>
            <w:r>
              <w:rPr>
                <w:rFonts w:ascii="宋体" w:hAnsi="宋体" w:cs="宋体" w:eastAsia="宋体" w:hint="default"/>
                <w:w w:val="100"/>
                <w:sz w:val="21"/>
                <w:szCs w:val="21"/>
              </w:rPr>
              <w:t>30</w:t>
            </w:r>
            <w:r>
              <w:rPr>
                <w:rFonts w:ascii="宋体" w:hAnsi="宋体" w:cs="宋体" w:eastAsia="宋体" w:hint="default"/>
                <w:spacing w:val="-55"/>
                <w:sz w:val="21"/>
                <w:szCs w:val="21"/>
              </w:rPr>
              <w:t> </w:t>
            </w:r>
            <w:r>
              <w:rPr>
                <w:rFonts w:ascii="宋体" w:hAnsi="宋体" w:cs="宋体" w:eastAsia="宋体" w:hint="default"/>
                <w:w w:val="100"/>
                <w:sz w:val="21"/>
                <w:szCs w:val="21"/>
              </w:rPr>
              <w:t>日</w:t>
            </w:r>
            <w:r>
              <w:rPr>
                <w:rFonts w:ascii="宋体" w:hAnsi="宋体" w:cs="宋体" w:eastAsia="宋体" w:hint="default"/>
                <w:spacing w:val="-3"/>
                <w:w w:val="100"/>
                <w:sz w:val="21"/>
                <w:szCs w:val="21"/>
              </w:rPr>
              <w:t>期</w:t>
            </w:r>
            <w:r>
              <w:rPr>
                <w:rFonts w:ascii="宋体" w:hAnsi="宋体" w:cs="宋体" w:eastAsia="宋体" w:hint="default"/>
                <w:w w:val="100"/>
                <w:sz w:val="21"/>
                <w:szCs w:val="21"/>
              </w:rPr>
              <w:t>间</w:t>
            </w:r>
            <w:r>
              <w:rPr>
                <w:rFonts w:ascii="宋体" w:hAnsi="宋体" w:cs="宋体" w:eastAsia="宋体" w:hint="default"/>
                <w:spacing w:val="-3"/>
                <w:w w:val="100"/>
                <w:sz w:val="21"/>
                <w:szCs w:val="21"/>
              </w:rPr>
              <w:t>发</w:t>
            </w:r>
            <w:r>
              <w:rPr>
                <w:rFonts w:ascii="宋体" w:hAnsi="宋体" w:cs="宋体" w:eastAsia="宋体" w:hint="default"/>
                <w:w w:val="100"/>
                <w:sz w:val="21"/>
                <w:szCs w:val="21"/>
              </w:rPr>
              <w:t>生</w:t>
            </w:r>
            <w:r>
              <w:rPr>
                <w:rFonts w:ascii="宋体" w:hAnsi="宋体" w:cs="宋体" w:eastAsia="宋体" w:hint="default"/>
                <w:spacing w:val="-3"/>
                <w:w w:val="100"/>
                <w:sz w:val="21"/>
                <w:szCs w:val="21"/>
              </w:rPr>
              <w:t>的</w:t>
            </w:r>
            <w:r>
              <w:rPr>
                <w:rFonts w:ascii="宋体" w:hAnsi="宋体" w:cs="宋体" w:eastAsia="宋体" w:hint="default"/>
                <w:w w:val="100"/>
                <w:sz w:val="21"/>
                <w:szCs w:val="21"/>
              </w:rPr>
              <w:t>交易</w:t>
            </w:r>
            <w:r>
              <w:rPr>
                <w:rFonts w:ascii="宋体" w:hAnsi="宋体" w:cs="宋体" w:eastAsia="宋体" w:hint="default"/>
                <w:spacing w:val="-99"/>
                <w:w w:val="100"/>
                <w:sz w:val="21"/>
                <w:szCs w:val="21"/>
              </w:rPr>
              <w:t>，</w:t>
            </w:r>
            <w:r>
              <w:rPr>
                <w:rFonts w:ascii="宋体" w:hAnsi="宋体" w:cs="宋体" w:eastAsia="宋体" w:hint="default"/>
                <w:w w:val="100"/>
                <w:sz w:val="21"/>
                <w:szCs w:val="21"/>
              </w:rPr>
              <w:t>不予</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pacing w:val="-15"/>
                <w:w w:val="100"/>
                <w:sz w:val="21"/>
                <w:szCs w:val="21"/>
              </w:rPr>
              <w:t>追溯调整；对于</w:t>
            </w:r>
            <w:r>
              <w:rPr>
                <w:rFonts w:ascii="宋体" w:hAnsi="宋体" w:cs="宋体" w:eastAsia="宋体" w:hint="default"/>
                <w:spacing w:val="-52"/>
                <w:w w:val="100"/>
                <w:sz w:val="21"/>
                <w:szCs w:val="21"/>
              </w:rPr>
              <w:t> </w:t>
            </w:r>
            <w:r>
              <w:rPr>
                <w:rFonts w:ascii="宋体" w:hAnsi="宋体" w:cs="宋体" w:eastAsia="宋体" w:hint="default"/>
                <w:spacing w:val="-1"/>
                <w:w w:val="100"/>
                <w:sz w:val="21"/>
                <w:szCs w:val="21"/>
              </w:rPr>
              <w:t>2016</w:t>
            </w:r>
            <w:r>
              <w:rPr>
                <w:rFonts w:ascii="宋体" w:hAnsi="宋体" w:cs="宋体" w:eastAsia="宋体" w:hint="default"/>
                <w:spacing w:val="-54"/>
                <w:w w:val="100"/>
                <w:sz w:val="21"/>
                <w:szCs w:val="21"/>
              </w:rPr>
              <w:t> </w:t>
            </w:r>
            <w:r>
              <w:rPr>
                <w:rFonts w:ascii="宋体" w:hAnsi="宋体" w:cs="宋体" w:eastAsia="宋体" w:hint="default"/>
                <w:spacing w:val="-1"/>
                <w:w w:val="100"/>
                <w:sz w:val="21"/>
                <w:szCs w:val="21"/>
              </w:rPr>
              <w:t>年财务报</w:t>
            </w:r>
            <w:r>
              <w:rPr>
                <w:rFonts w:ascii="宋体" w:hAnsi="宋体" w:cs="宋体" w:eastAsia="宋体" w:hint="default"/>
                <w:w w:val="100"/>
                <w:sz w:val="21"/>
                <w:szCs w:val="21"/>
              </w:rPr>
              <w:t> </w:t>
            </w:r>
            <w:r>
              <w:rPr>
                <w:rFonts w:ascii="宋体" w:hAnsi="宋体" w:cs="宋体" w:eastAsia="宋体" w:hint="default"/>
                <w:sz w:val="21"/>
                <w:szCs w:val="21"/>
              </w:rPr>
              <w:t>表中可比期间的财务报表也不</w:t>
            </w:r>
            <w:r>
              <w:rPr>
                <w:rFonts w:ascii="宋体" w:hAnsi="宋体" w:cs="宋体" w:eastAsia="宋体" w:hint="default"/>
                <w:w w:val="100"/>
                <w:sz w:val="21"/>
                <w:szCs w:val="21"/>
              </w:rPr>
              <w:t> </w:t>
            </w:r>
            <w:r>
              <w:rPr>
                <w:rFonts w:ascii="宋体" w:hAnsi="宋体" w:cs="宋体" w:eastAsia="宋体" w:hint="default"/>
                <w:sz w:val="21"/>
                <w:szCs w:val="21"/>
              </w:rPr>
              <w:t>予追溯调整。</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经公司</w:t>
            </w:r>
            <w:r>
              <w:rPr>
                <w:rFonts w:ascii="宋体" w:hAnsi="宋体" w:cs="宋体" w:eastAsia="宋体" w:hint="default"/>
                <w:spacing w:val="-53"/>
                <w:sz w:val="21"/>
                <w:szCs w:val="21"/>
              </w:rPr>
              <w:t> </w:t>
            </w: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日召开第</w:t>
            </w:r>
          </w:p>
          <w:p>
            <w:pPr>
              <w:pStyle w:val="TableParagraph"/>
              <w:spacing w:line="272" w:lineRule="exact" w:before="27"/>
              <w:ind w:left="100" w:right="206"/>
              <w:jc w:val="left"/>
              <w:rPr>
                <w:rFonts w:ascii="宋体" w:hAnsi="宋体" w:cs="宋体" w:eastAsia="宋体" w:hint="default"/>
                <w:sz w:val="21"/>
                <w:szCs w:val="21"/>
              </w:rPr>
            </w:pPr>
            <w:r>
              <w:rPr>
                <w:rFonts w:ascii="宋体" w:hAnsi="宋体" w:cs="宋体" w:eastAsia="宋体" w:hint="default"/>
                <w:spacing w:val="-2"/>
                <w:sz w:val="21"/>
                <w:szCs w:val="21"/>
              </w:rPr>
              <w:t>六届董事会第五次会议审议通</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过了</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本次会计政策变更对公司</w:t>
            </w:r>
          </w:p>
          <w:p>
            <w:pPr>
              <w:pStyle w:val="TableParagraph"/>
              <w:spacing w:line="237" w:lineRule="auto" w:before="2"/>
              <w:ind w:left="103" w:right="87"/>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2"/>
                <w:sz w:val="21"/>
                <w:szCs w:val="21"/>
              </w:rPr>
              <w:t> </w:t>
            </w:r>
            <w:r>
              <w:rPr>
                <w:rFonts w:ascii="宋体" w:hAnsi="宋体" w:cs="宋体" w:eastAsia="宋体" w:hint="default"/>
                <w:sz w:val="21"/>
                <w:szCs w:val="21"/>
              </w:rPr>
              <w:t>年财务报表累计影响为：</w:t>
            </w:r>
            <w:r>
              <w:rPr>
                <w:rFonts w:ascii="宋体" w:hAnsi="宋体" w:cs="宋体" w:eastAsia="宋体" w:hint="default"/>
                <w:w w:val="100"/>
                <w:sz w:val="21"/>
                <w:szCs w:val="21"/>
              </w:rPr>
              <w:t> </w:t>
            </w:r>
            <w:r>
              <w:rPr>
                <w:rFonts w:ascii="宋体" w:hAnsi="宋体" w:cs="宋体" w:eastAsia="宋体" w:hint="default"/>
                <w:sz w:val="21"/>
                <w:szCs w:val="21"/>
              </w:rPr>
              <w:t>“税金及附加”科目 </w:t>
            </w:r>
            <w:r>
              <w:rPr>
                <w:rFonts w:ascii="宋体" w:hAnsi="宋体" w:cs="宋体" w:eastAsia="宋体" w:hint="default"/>
                <w:spacing w:val="-3"/>
                <w:sz w:val="21"/>
                <w:szCs w:val="21"/>
              </w:rPr>
              <w:t>本年金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额增加 </w:t>
            </w:r>
            <w:r>
              <w:rPr>
                <w:rFonts w:ascii="宋体" w:hAnsi="宋体" w:cs="宋体" w:eastAsia="宋体" w:hint="default"/>
                <w:sz w:val="21"/>
                <w:szCs w:val="21"/>
              </w:rPr>
              <w:t>5,281,776.83 </w:t>
            </w:r>
            <w:r>
              <w:rPr>
                <w:rFonts w:ascii="宋体" w:hAnsi="宋体" w:cs="宋体" w:eastAsia="宋体" w:hint="default"/>
                <w:sz w:val="21"/>
                <w:szCs w:val="21"/>
              </w:rPr>
              <w:t>元</w:t>
            </w:r>
            <w:r>
              <w:rPr>
                <w:rFonts w:ascii="宋体" w:hAnsi="宋体" w:cs="宋体" w:eastAsia="宋体" w:hint="default"/>
                <w:spacing w:val="-3"/>
                <w:sz w:val="21"/>
                <w:szCs w:val="21"/>
              </w:rPr>
              <w:t> </w:t>
            </w:r>
            <w:r>
              <w:rPr>
                <w:rFonts w:ascii="宋体" w:hAnsi="宋体" w:cs="宋体" w:eastAsia="宋体" w:hint="default"/>
                <w:sz w:val="21"/>
                <w:szCs w:val="21"/>
              </w:rPr>
              <w:t>，</w:t>
            </w:r>
          </w:p>
          <w:p>
            <w:pPr>
              <w:pStyle w:val="TableParagraph"/>
              <w:spacing w:line="272" w:lineRule="exact" w:before="24"/>
              <w:ind w:left="103" w:right="189"/>
              <w:jc w:val="left"/>
              <w:rPr>
                <w:rFonts w:ascii="宋体" w:hAnsi="宋体" w:cs="宋体" w:eastAsia="宋体" w:hint="default"/>
                <w:sz w:val="21"/>
                <w:szCs w:val="21"/>
              </w:rPr>
            </w:pPr>
            <w:r>
              <w:rPr>
                <w:rFonts w:ascii="宋体" w:hAnsi="宋体" w:cs="宋体" w:eastAsia="宋体" w:hint="default"/>
                <w:spacing w:val="-2"/>
                <w:sz w:val="21"/>
                <w:szCs w:val="21"/>
              </w:rPr>
              <w:t>“管理费用”科目本年金额减</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少 </w:t>
            </w:r>
            <w:r>
              <w:rPr>
                <w:rFonts w:ascii="宋体" w:hAnsi="宋体" w:cs="宋体" w:eastAsia="宋体" w:hint="default"/>
                <w:sz w:val="21"/>
                <w:szCs w:val="21"/>
              </w:rPr>
              <w:t>5,281,776.83</w:t>
            </w:r>
            <w:r>
              <w:rPr>
                <w:rFonts w:ascii="宋体" w:hAnsi="宋体" w:cs="宋体" w:eastAsia="宋体" w:hint="default"/>
                <w:spacing w:val="-1"/>
                <w:sz w:val="21"/>
                <w:szCs w:val="21"/>
              </w:rPr>
              <w:t> </w:t>
            </w:r>
            <w:r>
              <w:rPr>
                <w:rFonts w:ascii="宋体" w:hAnsi="宋体" w:cs="宋体" w:eastAsia="宋体" w:hint="default"/>
                <w:sz w:val="21"/>
                <w:szCs w:val="21"/>
              </w:rPr>
              <w:t>元，合计调</w:t>
            </w:r>
          </w:p>
          <w:p>
            <w:pPr>
              <w:pStyle w:val="TableParagraph"/>
              <w:spacing w:line="272" w:lineRule="exact" w:before="1"/>
              <w:ind w:left="103" w:right="86"/>
              <w:jc w:val="left"/>
              <w:rPr>
                <w:rFonts w:ascii="宋体" w:hAnsi="宋体" w:cs="宋体" w:eastAsia="宋体" w:hint="default"/>
                <w:sz w:val="21"/>
                <w:szCs w:val="21"/>
              </w:rPr>
            </w:pPr>
            <w:r>
              <w:rPr>
                <w:rFonts w:ascii="宋体" w:hAnsi="宋体" w:cs="宋体" w:eastAsia="宋体" w:hint="default"/>
                <w:sz w:val="21"/>
                <w:szCs w:val="21"/>
              </w:rPr>
              <w:t>整净利润 </w:t>
            </w:r>
            <w:r>
              <w:rPr>
                <w:rFonts w:ascii="宋体" w:hAnsi="宋体" w:cs="宋体" w:eastAsia="宋体" w:hint="default"/>
                <w:sz w:val="21"/>
                <w:szCs w:val="21"/>
              </w:rPr>
              <w:t>0</w:t>
            </w:r>
            <w:r>
              <w:rPr>
                <w:rFonts w:ascii="宋体" w:hAnsi="宋体" w:cs="宋体" w:eastAsia="宋体" w:hint="default"/>
                <w:spacing w:val="11"/>
                <w:sz w:val="21"/>
                <w:szCs w:val="21"/>
              </w:rPr>
              <w:t> </w:t>
            </w:r>
            <w:r>
              <w:rPr>
                <w:rFonts w:ascii="宋体" w:hAnsi="宋体" w:cs="宋体" w:eastAsia="宋体" w:hint="default"/>
                <w:spacing w:val="-3"/>
                <w:sz w:val="21"/>
                <w:szCs w:val="21"/>
              </w:rPr>
              <w:t>元。此会计政策调</w:t>
            </w:r>
            <w:r>
              <w:rPr>
                <w:rFonts w:ascii="宋体" w:hAnsi="宋体" w:cs="宋体" w:eastAsia="宋体" w:hint="default"/>
                <w:w w:val="100"/>
                <w:sz w:val="21"/>
                <w:szCs w:val="21"/>
              </w:rPr>
              <w:t> </w:t>
            </w:r>
            <w:r>
              <w:rPr>
                <w:rFonts w:ascii="宋体" w:hAnsi="宋体" w:cs="宋体" w:eastAsia="宋体" w:hint="default"/>
                <w:sz w:val="21"/>
                <w:szCs w:val="21"/>
              </w:rPr>
              <w:t>整为会计核算科目之间的调</w:t>
            </w:r>
          </w:p>
          <w:p>
            <w:pPr>
              <w:pStyle w:val="TableParagraph"/>
              <w:spacing w:line="272" w:lineRule="exact" w:before="1"/>
              <w:ind w:left="103" w:right="86"/>
              <w:jc w:val="left"/>
              <w:rPr>
                <w:rFonts w:ascii="宋体" w:hAnsi="宋体" w:cs="宋体" w:eastAsia="宋体" w:hint="default"/>
                <w:sz w:val="21"/>
                <w:szCs w:val="21"/>
              </w:rPr>
            </w:pPr>
            <w:r>
              <w:rPr>
                <w:rFonts w:ascii="宋体" w:hAnsi="宋体" w:cs="宋体" w:eastAsia="宋体" w:hint="default"/>
                <w:sz w:val="21"/>
                <w:szCs w:val="21"/>
              </w:rPr>
              <w:t>整，对公司</w:t>
            </w:r>
            <w:r>
              <w:rPr>
                <w:rFonts w:ascii="宋体" w:hAnsi="宋体" w:cs="宋体" w:eastAsia="宋体" w:hint="default"/>
                <w:spacing w:val="-2"/>
                <w:sz w:val="21"/>
                <w:szCs w:val="21"/>
              </w:rPr>
              <w:t> </w:t>
            </w:r>
            <w:r>
              <w:rPr>
                <w:rFonts w:ascii="宋体" w:hAnsi="宋体" w:cs="宋体" w:eastAsia="宋体" w:hint="default"/>
                <w:sz w:val="21"/>
                <w:szCs w:val="21"/>
              </w:rPr>
              <w:t>无其他重大影响，</w:t>
            </w:r>
            <w:r>
              <w:rPr>
                <w:rFonts w:ascii="宋体" w:hAnsi="宋体" w:cs="宋体" w:eastAsia="宋体" w:hint="default"/>
                <w:w w:val="100"/>
                <w:sz w:val="21"/>
                <w:szCs w:val="21"/>
              </w:rPr>
              <w:t> </w:t>
            </w:r>
            <w:r>
              <w:rPr>
                <w:rFonts w:ascii="宋体" w:hAnsi="宋体" w:cs="宋体" w:eastAsia="宋体" w:hint="default"/>
                <w:sz w:val="21"/>
                <w:szCs w:val="21"/>
              </w:rPr>
              <w:t>对当期及前期列报净损益亦无</w:t>
            </w:r>
          </w:p>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z w:val="21"/>
                <w:szCs w:val="21"/>
              </w:rPr>
              <w:t>影响。</w:t>
            </w:r>
          </w:p>
        </w:tc>
      </w:tr>
      <w:tr>
        <w:trPr>
          <w:trHeight w:val="2461"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日，财政部颁</w:t>
            </w:r>
          </w:p>
          <w:p>
            <w:pPr>
              <w:pStyle w:val="TableParagraph"/>
              <w:spacing w:line="240" w:lineRule="auto"/>
              <w:ind w:left="103" w:right="269"/>
              <w:jc w:val="left"/>
              <w:rPr>
                <w:rFonts w:ascii="宋体" w:hAnsi="宋体" w:cs="宋体" w:eastAsia="宋体" w:hint="default"/>
                <w:sz w:val="21"/>
                <w:szCs w:val="21"/>
              </w:rPr>
            </w:pPr>
            <w:r>
              <w:rPr>
                <w:rFonts w:ascii="宋体" w:hAnsi="宋体" w:cs="宋体" w:eastAsia="宋体" w:hint="default"/>
                <w:sz w:val="21"/>
                <w:szCs w:val="21"/>
              </w:rPr>
              <w:t>布了财会</w:t>
            </w:r>
            <w:r>
              <w:rPr>
                <w:rFonts w:ascii="宋体" w:hAnsi="宋体" w:cs="宋体" w:eastAsia="宋体" w:hint="default"/>
                <w:sz w:val="21"/>
                <w:szCs w:val="21"/>
              </w:rPr>
              <w:t>[2017]15</w:t>
            </w:r>
            <w:r>
              <w:rPr>
                <w:rFonts w:ascii="宋体" w:hAnsi="宋体" w:cs="宋体" w:eastAsia="宋体" w:hint="default"/>
                <w:spacing w:val="-57"/>
                <w:sz w:val="21"/>
                <w:szCs w:val="21"/>
              </w:rPr>
              <w:t> </w:t>
            </w:r>
            <w:r>
              <w:rPr>
                <w:rFonts w:ascii="宋体" w:hAnsi="宋体" w:cs="宋体" w:eastAsia="宋体" w:hint="default"/>
                <w:sz w:val="21"/>
                <w:szCs w:val="21"/>
              </w:rPr>
              <w:t>号关于印</w:t>
            </w:r>
            <w:r>
              <w:rPr>
                <w:rFonts w:ascii="宋体" w:hAnsi="宋体" w:cs="宋体" w:eastAsia="宋体" w:hint="default"/>
                <w:w w:val="100"/>
                <w:sz w:val="21"/>
                <w:szCs w:val="21"/>
              </w:rPr>
              <w:t> </w:t>
            </w:r>
            <w:r>
              <w:rPr>
                <w:rFonts w:ascii="宋体" w:hAnsi="宋体" w:cs="宋体" w:eastAsia="宋体" w:hint="default"/>
                <w:sz w:val="21"/>
                <w:szCs w:val="21"/>
              </w:rPr>
              <w:t>发修订《企业会计准则第</w:t>
            </w:r>
            <w:r>
              <w:rPr>
                <w:rFonts w:ascii="宋体" w:hAnsi="宋体" w:cs="宋体" w:eastAsia="宋体" w:hint="default"/>
                <w:spacing w:val="-56"/>
                <w:sz w:val="21"/>
                <w:szCs w:val="21"/>
              </w:rPr>
              <w:t> </w:t>
            </w:r>
            <w:r>
              <w:rPr>
                <w:rFonts w:ascii="宋体" w:hAnsi="宋体" w:cs="宋体" w:eastAsia="宋体" w:hint="default"/>
                <w:sz w:val="21"/>
                <w:szCs w:val="21"/>
              </w:rPr>
              <w:t>16</w:t>
            </w:r>
          </w:p>
          <w:p>
            <w:pPr>
              <w:pStyle w:val="TableParagraph"/>
              <w:spacing w:line="271" w:lineRule="exact"/>
              <w:ind w:left="103" w:right="0"/>
              <w:jc w:val="both"/>
              <w:rPr>
                <w:rFonts w:ascii="宋体" w:hAnsi="宋体" w:cs="宋体" w:eastAsia="宋体" w:hint="default"/>
                <w:sz w:val="21"/>
                <w:szCs w:val="21"/>
              </w:rPr>
            </w:pPr>
            <w:r>
              <w:rPr>
                <w:rFonts w:ascii="宋体" w:hAnsi="宋体" w:cs="宋体" w:eastAsia="宋体" w:hint="default"/>
                <w:spacing w:val="-14"/>
                <w:sz w:val="21"/>
                <w:szCs w:val="21"/>
              </w:rPr>
              <w:t>号</w:t>
            </w:r>
            <w:r>
              <w:rPr>
                <w:rFonts w:ascii="宋体" w:hAnsi="宋体" w:cs="宋体" w:eastAsia="宋体" w:hint="default"/>
                <w:spacing w:val="-14"/>
                <w:sz w:val="21"/>
                <w:szCs w:val="21"/>
              </w:rPr>
              <w:t>-</w:t>
            </w:r>
            <w:r>
              <w:rPr>
                <w:rFonts w:ascii="宋体" w:hAnsi="宋体" w:cs="宋体" w:eastAsia="宋体" w:hint="default"/>
                <w:spacing w:val="-14"/>
                <w:sz w:val="21"/>
                <w:szCs w:val="21"/>
              </w:rPr>
              <w:t>政府补助》的通知，自</w:t>
            </w:r>
            <w:r>
              <w:rPr>
                <w:rFonts w:ascii="宋体" w:hAnsi="宋体" w:cs="宋体" w:eastAsia="宋体" w:hint="default"/>
                <w:spacing w:val="-37"/>
                <w:sz w:val="21"/>
                <w:szCs w:val="21"/>
              </w:rPr>
              <w:t> </w:t>
            </w:r>
            <w:r>
              <w:rPr>
                <w:rFonts w:ascii="宋体" w:hAnsi="宋体" w:cs="宋体" w:eastAsia="宋体" w:hint="default"/>
                <w:sz w:val="21"/>
                <w:szCs w:val="21"/>
              </w:rPr>
              <w:t>2017</w:t>
            </w:r>
          </w:p>
          <w:p>
            <w:pPr>
              <w:pStyle w:val="TableParagraph"/>
              <w:spacing w:line="237" w:lineRule="auto" w:before="2"/>
              <w:ind w:left="103" w:right="99"/>
              <w:jc w:val="both"/>
              <w:rPr>
                <w:rFonts w:ascii="宋体" w:hAnsi="宋体" w:cs="宋体" w:eastAsia="宋体" w:hint="default"/>
                <w:sz w:val="21"/>
                <w:szCs w:val="21"/>
              </w:rPr>
            </w:pPr>
            <w:r>
              <w:rPr>
                <w:rFonts w:ascii="宋体" w:hAnsi="宋体" w:cs="宋体" w:eastAsia="宋体" w:hint="default"/>
                <w:w w:val="100"/>
                <w:sz w:val="21"/>
                <w:szCs w:val="21"/>
              </w:rPr>
              <w:t>年</w:t>
            </w:r>
            <w:r>
              <w:rPr>
                <w:rFonts w:ascii="宋体" w:hAnsi="宋体" w:cs="宋体" w:eastAsia="宋体" w:hint="default"/>
                <w:spacing w:val="-53"/>
                <w:w w:val="100"/>
                <w:sz w:val="21"/>
                <w:szCs w:val="21"/>
              </w:rPr>
              <w:t> </w:t>
            </w:r>
            <w:r>
              <w:rPr>
                <w:rFonts w:ascii="宋体" w:hAnsi="宋体" w:cs="宋体" w:eastAsia="宋体" w:hint="default"/>
                <w:w w:val="100"/>
                <w:sz w:val="21"/>
                <w:szCs w:val="21"/>
              </w:rPr>
              <w:t>6</w:t>
            </w:r>
            <w:r>
              <w:rPr>
                <w:rFonts w:ascii="宋体" w:hAnsi="宋体" w:cs="宋体" w:eastAsia="宋体" w:hint="default"/>
                <w:spacing w:val="-55"/>
                <w:w w:val="100"/>
                <w:sz w:val="21"/>
                <w:szCs w:val="21"/>
              </w:rPr>
              <w:t> </w:t>
            </w:r>
            <w:r>
              <w:rPr>
                <w:rFonts w:ascii="宋体" w:hAnsi="宋体" w:cs="宋体" w:eastAsia="宋体" w:hint="default"/>
                <w:w w:val="100"/>
                <w:sz w:val="21"/>
                <w:szCs w:val="21"/>
              </w:rPr>
              <w:t>月</w:t>
            </w:r>
            <w:r>
              <w:rPr>
                <w:rFonts w:ascii="宋体" w:hAnsi="宋体" w:cs="宋体" w:eastAsia="宋体" w:hint="default"/>
                <w:spacing w:val="-53"/>
                <w:w w:val="100"/>
                <w:sz w:val="21"/>
                <w:szCs w:val="21"/>
              </w:rPr>
              <w:t> </w:t>
            </w:r>
            <w:r>
              <w:rPr>
                <w:rFonts w:ascii="宋体" w:hAnsi="宋体" w:cs="宋体" w:eastAsia="宋体" w:hint="default"/>
                <w:w w:val="100"/>
                <w:sz w:val="21"/>
                <w:szCs w:val="21"/>
              </w:rPr>
              <w:t>12</w:t>
            </w:r>
            <w:r>
              <w:rPr>
                <w:rFonts w:ascii="宋体" w:hAnsi="宋体" w:cs="宋体" w:eastAsia="宋体" w:hint="default"/>
                <w:spacing w:val="-55"/>
                <w:w w:val="100"/>
                <w:sz w:val="21"/>
                <w:szCs w:val="21"/>
              </w:rPr>
              <w:t> </w:t>
            </w:r>
            <w:r>
              <w:rPr>
                <w:rFonts w:ascii="宋体" w:hAnsi="宋体" w:cs="宋体" w:eastAsia="宋体" w:hint="default"/>
                <w:spacing w:val="-12"/>
                <w:w w:val="100"/>
                <w:sz w:val="21"/>
                <w:szCs w:val="21"/>
              </w:rPr>
              <w:t>日起执行。由于上述</w:t>
            </w:r>
            <w:r>
              <w:rPr>
                <w:rFonts w:ascii="宋体" w:hAnsi="宋体" w:cs="宋体" w:eastAsia="宋体" w:hint="default"/>
                <w:w w:val="100"/>
                <w:sz w:val="21"/>
                <w:szCs w:val="21"/>
              </w:rPr>
              <w:t> </w:t>
            </w:r>
            <w:r>
              <w:rPr>
                <w:rFonts w:ascii="宋体" w:hAnsi="宋体" w:cs="宋体" w:eastAsia="宋体" w:hint="default"/>
                <w:sz w:val="21"/>
                <w:szCs w:val="21"/>
              </w:rPr>
              <w:t>会计准则的修订，公司需对原</w:t>
            </w:r>
            <w:r>
              <w:rPr>
                <w:rFonts w:ascii="宋体" w:hAnsi="宋体" w:cs="宋体" w:eastAsia="宋体" w:hint="default"/>
                <w:w w:val="100"/>
                <w:sz w:val="21"/>
                <w:szCs w:val="21"/>
              </w:rPr>
              <w:t> </w:t>
            </w:r>
            <w:r>
              <w:rPr>
                <w:rFonts w:ascii="宋体" w:hAnsi="宋体" w:cs="宋体" w:eastAsia="宋体" w:hint="default"/>
                <w:sz w:val="21"/>
                <w:szCs w:val="21"/>
              </w:rPr>
              <w:t>会计政策进行相应变更，并按</w:t>
            </w:r>
            <w:r>
              <w:rPr>
                <w:rFonts w:ascii="宋体" w:hAnsi="宋体" w:cs="宋体" w:eastAsia="宋体" w:hint="default"/>
                <w:w w:val="100"/>
                <w:sz w:val="21"/>
                <w:szCs w:val="21"/>
              </w:rPr>
              <w:t> </w:t>
            </w:r>
            <w:r>
              <w:rPr>
                <w:rFonts w:ascii="宋体" w:hAnsi="宋体" w:cs="宋体" w:eastAsia="宋体" w:hint="default"/>
                <w:sz w:val="21"/>
                <w:szCs w:val="21"/>
              </w:rPr>
              <w:t>以上文件规定的起始日开始执</w:t>
            </w:r>
            <w:r>
              <w:rPr>
                <w:rFonts w:ascii="宋体" w:hAnsi="宋体" w:cs="宋体" w:eastAsia="宋体" w:hint="default"/>
                <w:w w:val="100"/>
                <w:sz w:val="21"/>
                <w:szCs w:val="21"/>
              </w:rPr>
              <w:t> </w:t>
            </w:r>
            <w:r>
              <w:rPr>
                <w:rFonts w:ascii="宋体" w:hAnsi="宋体" w:cs="宋体" w:eastAsia="宋体" w:hint="default"/>
                <w:sz w:val="21"/>
                <w:szCs w:val="21"/>
              </w:rPr>
              <w:t>行上述会计准则。</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经公司</w:t>
            </w:r>
            <w:r>
              <w:rPr>
                <w:rFonts w:ascii="宋体" w:hAnsi="宋体" w:cs="宋体" w:eastAsia="宋体" w:hint="default"/>
                <w:spacing w:val="-70"/>
                <w:sz w:val="21"/>
                <w:szCs w:val="21"/>
              </w:rPr>
              <w:t> </w:t>
            </w:r>
            <w:r>
              <w:rPr>
                <w:rFonts w:ascii="宋体" w:hAnsi="宋体" w:cs="宋体" w:eastAsia="宋体" w:hint="default"/>
                <w:sz w:val="21"/>
                <w:szCs w:val="21"/>
              </w:rPr>
              <w:t>2017</w:t>
            </w:r>
            <w:r>
              <w:rPr>
                <w:rFonts w:ascii="宋体" w:hAnsi="宋体" w:cs="宋体" w:eastAsia="宋体" w:hint="default"/>
                <w:spacing w:val="-72"/>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宋体" w:hAnsi="宋体" w:cs="宋体" w:eastAsia="宋体" w:hint="default"/>
                <w:sz w:val="21"/>
                <w:szCs w:val="21"/>
              </w:rPr>
              <w:t>8</w:t>
            </w:r>
            <w:r>
              <w:rPr>
                <w:rFonts w:ascii="宋体" w:hAnsi="宋体" w:cs="宋体" w:eastAsia="宋体" w:hint="default"/>
                <w:spacing w:val="-72"/>
                <w:sz w:val="21"/>
                <w:szCs w:val="21"/>
              </w:rPr>
              <w:t> </w:t>
            </w:r>
            <w:r>
              <w:rPr>
                <w:rFonts w:ascii="宋体" w:hAnsi="宋体" w:cs="宋体" w:eastAsia="宋体" w:hint="default"/>
                <w:sz w:val="21"/>
                <w:szCs w:val="21"/>
              </w:rPr>
              <w:t>月</w:t>
            </w:r>
            <w:r>
              <w:rPr>
                <w:rFonts w:ascii="宋体" w:hAnsi="宋体" w:cs="宋体" w:eastAsia="宋体" w:hint="default"/>
                <w:spacing w:val="-69"/>
                <w:sz w:val="21"/>
                <w:szCs w:val="21"/>
              </w:rPr>
              <w:t> </w:t>
            </w:r>
            <w:r>
              <w:rPr>
                <w:rFonts w:ascii="宋体" w:hAnsi="宋体" w:cs="宋体" w:eastAsia="宋体" w:hint="default"/>
                <w:sz w:val="21"/>
                <w:szCs w:val="21"/>
              </w:rPr>
              <w:t>14</w:t>
            </w:r>
            <w:r>
              <w:rPr>
                <w:rFonts w:ascii="宋体" w:hAnsi="宋体" w:cs="宋体" w:eastAsia="宋体" w:hint="default"/>
                <w:spacing w:val="-69"/>
                <w:sz w:val="21"/>
                <w:szCs w:val="21"/>
              </w:rPr>
              <w:t> </w:t>
            </w:r>
            <w:r>
              <w:rPr>
                <w:rFonts w:ascii="宋体" w:hAnsi="宋体" w:cs="宋体" w:eastAsia="宋体" w:hint="default"/>
                <w:sz w:val="21"/>
                <w:szCs w:val="21"/>
              </w:rPr>
              <w:t>日召开第</w:t>
            </w:r>
          </w:p>
          <w:p>
            <w:pPr>
              <w:pStyle w:val="TableParagraph"/>
              <w:spacing w:line="240" w:lineRule="auto"/>
              <w:ind w:left="100" w:right="206"/>
              <w:jc w:val="left"/>
              <w:rPr>
                <w:rFonts w:ascii="宋体" w:hAnsi="宋体" w:cs="宋体" w:eastAsia="宋体" w:hint="default"/>
                <w:sz w:val="21"/>
                <w:szCs w:val="21"/>
              </w:rPr>
            </w:pPr>
            <w:r>
              <w:rPr>
                <w:rFonts w:ascii="宋体" w:hAnsi="宋体" w:cs="宋体" w:eastAsia="宋体" w:hint="default"/>
                <w:spacing w:val="-2"/>
                <w:sz w:val="21"/>
                <w:szCs w:val="21"/>
              </w:rPr>
              <w:t>六届董事会第七次会议审议通</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过</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公司将与企业日常活动相关的</w:t>
            </w:r>
          </w:p>
          <w:p>
            <w:pPr>
              <w:pStyle w:val="TableParagraph"/>
              <w:spacing w:line="237" w:lineRule="auto"/>
              <w:ind w:left="103" w:right="189"/>
              <w:jc w:val="left"/>
              <w:rPr>
                <w:rFonts w:ascii="宋体" w:hAnsi="宋体" w:cs="宋体" w:eastAsia="宋体" w:hint="default"/>
                <w:sz w:val="21"/>
                <w:szCs w:val="21"/>
              </w:rPr>
            </w:pPr>
            <w:r>
              <w:rPr>
                <w:rFonts w:ascii="宋体" w:hAnsi="宋体" w:cs="宋体" w:eastAsia="宋体" w:hint="default"/>
                <w:sz w:val="21"/>
                <w:szCs w:val="21"/>
              </w:rPr>
              <w:t>政府补助，按照经济业</w:t>
            </w:r>
            <w:r>
              <w:rPr>
                <w:rFonts w:ascii="宋体" w:hAnsi="宋体" w:cs="宋体" w:eastAsia="宋体" w:hint="default"/>
                <w:spacing w:val="-1"/>
                <w:sz w:val="21"/>
                <w:szCs w:val="21"/>
              </w:rPr>
              <w:t> </w:t>
            </w:r>
            <w:r>
              <w:rPr>
                <w:rFonts w:ascii="宋体" w:hAnsi="宋体" w:cs="宋体" w:eastAsia="宋体" w:hint="default"/>
                <w:spacing w:val="-3"/>
                <w:sz w:val="21"/>
                <w:szCs w:val="21"/>
              </w:rPr>
              <w:t>务实</w:t>
            </w:r>
            <w:r>
              <w:rPr>
                <w:rFonts w:ascii="宋体" w:hAnsi="宋体" w:cs="宋体" w:eastAsia="宋体" w:hint="default"/>
                <w:spacing w:val="-3"/>
                <w:w w:val="100"/>
                <w:sz w:val="21"/>
                <w:szCs w:val="21"/>
              </w:rPr>
              <w:t> </w:t>
            </w:r>
            <w:r>
              <w:rPr>
                <w:rFonts w:ascii="宋体" w:hAnsi="宋体" w:cs="宋体" w:eastAsia="宋体" w:hint="default"/>
                <w:spacing w:val="-2"/>
                <w:sz w:val="21"/>
                <w:szCs w:val="21"/>
              </w:rPr>
              <w:t>质，计入其他收益或冲减相关</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成本费用；同时，在利润表中</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2"/>
                <w:sz w:val="21"/>
                <w:szCs w:val="21"/>
              </w:rPr>
              <w:t>的“营业利润”项目之上单独</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列报“其他收益”项目，计入</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2"/>
                <w:sz w:val="21"/>
                <w:szCs w:val="21"/>
              </w:rPr>
              <w:t>其他收益的政府补助在该项目</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中反映。</w:t>
            </w:r>
          </w:p>
        </w:tc>
      </w:tr>
    </w:tbl>
    <w:p>
      <w:pPr>
        <w:pStyle w:val="BodyText"/>
        <w:spacing w:line="240" w:lineRule="exact"/>
        <w:ind w:right="2497"/>
        <w:jc w:val="left"/>
      </w:pPr>
      <w:r>
        <w:rPr/>
        <w:t>其他说明</w:t>
      </w:r>
    </w:p>
    <w:p>
      <w:pPr>
        <w:pStyle w:val="BodyText"/>
        <w:spacing w:line="274" w:lineRule="exact"/>
        <w:ind w:right="2497"/>
        <w:jc w:val="left"/>
      </w:pPr>
      <w:r>
        <w:rPr/>
        <w:t>除上述事项外，本报告期内公司无其他重要会计政策变更。</w:t>
      </w:r>
    </w:p>
    <w:p>
      <w:pPr>
        <w:spacing w:line="240" w:lineRule="auto" w:before="3"/>
        <w:rPr>
          <w:rFonts w:ascii="宋体" w:hAnsi="宋体" w:cs="宋体" w:eastAsia="宋体" w:hint="default"/>
          <w:sz w:val="25"/>
          <w:szCs w:val="25"/>
        </w:rPr>
      </w:pPr>
    </w:p>
    <w:p>
      <w:pPr>
        <w:pStyle w:val="Heading2"/>
        <w:spacing w:line="240" w:lineRule="auto"/>
        <w:ind w:right="2497"/>
        <w:jc w:val="left"/>
        <w:rPr>
          <w:b w:val="0"/>
          <w:bCs w:val="0"/>
        </w:rPr>
      </w:pPr>
      <w:r>
        <w:rPr>
          <w:rFonts w:ascii="宋体" w:hAnsi="宋体" w:cs="宋体" w:eastAsia="宋体" w:hint="default"/>
        </w:rPr>
        <w:t>(2)</w:t>
      </w:r>
      <w:r>
        <w:rPr/>
        <w:t>、重要会计估计变更</w:t>
      </w:r>
      <w:r>
        <w:rPr>
          <w:b w:val="0"/>
          <w:bCs w:val="0"/>
        </w:rPr>
      </w:r>
    </w:p>
    <w:p>
      <w:pPr>
        <w:pStyle w:val="BodyText"/>
        <w:spacing w:line="240" w:lineRule="auto" w:before="56"/>
        <w:ind w:right="249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497"/>
        <w:jc w:val="left"/>
        <w:rPr>
          <w:b w:val="0"/>
          <w:bCs w:val="0"/>
        </w:rPr>
      </w:pPr>
      <w:r>
        <w:rPr>
          <w:rFonts w:ascii="宋体" w:hAnsi="宋体" w:cs="宋体" w:eastAsia="宋体" w:hint="default"/>
        </w:rPr>
        <w:t>34.</w:t>
      </w:r>
      <w:r>
        <w:rPr>
          <w:rFonts w:ascii="宋体" w:hAnsi="宋体" w:cs="宋体" w:eastAsia="宋体" w:hint="default"/>
          <w:spacing w:val="2"/>
        </w:rPr>
        <w:t> </w:t>
      </w:r>
      <w:r>
        <w:rPr/>
        <w:t>其他</w:t>
      </w:r>
      <w:r>
        <w:rPr>
          <w:b w:val="0"/>
          <w:bCs w:val="0"/>
        </w:rPr>
      </w:r>
    </w:p>
    <w:p>
      <w:pPr>
        <w:pStyle w:val="BodyText"/>
        <w:spacing w:line="240" w:lineRule="auto" w:before="59"/>
        <w:ind w:right="2497"/>
        <w:jc w:val="left"/>
      </w:pPr>
      <w:r>
        <w:rPr/>
        <w:t>□适用</w:t>
      </w:r>
      <w:r>
        <w:rPr>
          <w:spacing w:val="-1"/>
        </w:rPr>
        <w:t> </w:t>
      </w:r>
      <w:r>
        <w:rPr/>
        <w:t>√不适用</w:t>
      </w:r>
    </w:p>
    <w:p>
      <w:pPr>
        <w:spacing w:after="0" w:line="240" w:lineRule="auto"/>
        <w:jc w:val="left"/>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pStyle w:val="Heading2"/>
        <w:spacing w:line="240" w:lineRule="auto" w:before="36"/>
        <w:ind w:right="2497"/>
        <w:jc w:val="left"/>
        <w:rPr>
          <w:b w:val="0"/>
          <w:bCs w:val="0"/>
        </w:rPr>
      </w:pPr>
      <w:r>
        <w:rPr/>
        <w:t>六、税项</w:t>
      </w:r>
      <w:r>
        <w:rPr>
          <w:b w:val="0"/>
          <w:bCs w:val="0"/>
        </w:rPr>
      </w:r>
    </w:p>
    <w:p>
      <w:pPr>
        <w:tabs>
          <w:tab w:pos="642" w:val="left" w:leader="none"/>
        </w:tabs>
        <w:spacing w:line="290" w:lineRule="auto" w:before="58"/>
        <w:ind w:left="218" w:right="7163"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主要税种及税率</w:t>
      </w:r>
      <w:r>
        <w:rPr>
          <w:rFonts w:ascii="宋体" w:hAnsi="宋体" w:cs="宋体" w:eastAsia="宋体" w:hint="default"/>
          <w:b/>
          <w:bCs/>
          <w:spacing w:val="-104"/>
          <w:sz w:val="21"/>
          <w:szCs w:val="21"/>
        </w:rPr>
        <w:t> </w:t>
      </w:r>
      <w:r>
        <w:rPr>
          <w:rFonts w:ascii="宋体" w:hAnsi="宋体" w:cs="宋体" w:eastAsia="宋体" w:hint="default"/>
          <w:sz w:val="21"/>
          <w:szCs w:val="21"/>
        </w:rPr>
        <w:t>主要税种及税率情况</w:t>
      </w:r>
    </w:p>
    <w:p>
      <w:pPr>
        <w:pStyle w:val="BodyText"/>
        <w:spacing w:line="230" w:lineRule="exact"/>
        <w:ind w:right="2497"/>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782"/>
        <w:gridCol w:w="3147"/>
        <w:gridCol w:w="3121"/>
      </w:tblGrid>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增值额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w:t>
            </w:r>
            <w:r>
              <w:rPr>
                <w:rFonts w:ascii="宋体" w:hAnsi="宋体" w:cs="宋体" w:eastAsia="宋体" w:hint="default"/>
                <w:sz w:val="21"/>
                <w:szCs w:val="21"/>
              </w:rPr>
              <w:t>11%</w:t>
            </w:r>
          </w:p>
        </w:tc>
      </w:tr>
      <w:tr>
        <w:trPr>
          <w:trHeight w:val="281"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流转税额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7%</w:t>
            </w:r>
          </w:p>
        </w:tc>
      </w:tr>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应纳税所得额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25%</w:t>
            </w:r>
          </w:p>
        </w:tc>
      </w:tr>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房产余值或租金收入</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z w:val="21"/>
                <w:szCs w:val="21"/>
              </w:rPr>
              <w:t>、</w:t>
            </w:r>
            <w:r>
              <w:rPr>
                <w:rFonts w:ascii="宋体" w:hAnsi="宋体" w:cs="宋体" w:eastAsia="宋体" w:hint="default"/>
                <w:sz w:val="21"/>
                <w:szCs w:val="21"/>
              </w:rPr>
              <w:t>12%</w:t>
            </w:r>
          </w:p>
        </w:tc>
      </w:tr>
      <w:tr>
        <w:trPr>
          <w:trHeight w:val="281"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其他税项</w:t>
            </w:r>
          </w:p>
        </w:tc>
        <w:tc>
          <w:tcPr>
            <w:tcW w:w="3147" w:type="dxa"/>
            <w:tcBorders>
              <w:top w:val="single" w:sz="4" w:space="0" w:color="000000"/>
              <w:left w:val="single" w:sz="4" w:space="0" w:color="000000"/>
              <w:bottom w:val="single" w:sz="4" w:space="0" w:color="000000"/>
              <w:right w:val="single" w:sz="4" w:space="0" w:color="000000"/>
            </w:tcBorders>
          </w:tcPr>
          <w:p>
            <w:pP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按国家或地方政府相关规定</w:t>
            </w:r>
          </w:p>
        </w:tc>
      </w:tr>
    </w:tbl>
    <w:p>
      <w:pPr>
        <w:spacing w:line="240" w:lineRule="auto" w:before="8"/>
        <w:rPr>
          <w:rFonts w:ascii="宋体" w:hAnsi="宋体" w:cs="宋体" w:eastAsia="宋体" w:hint="default"/>
          <w:sz w:val="15"/>
          <w:szCs w:val="15"/>
        </w:rPr>
      </w:pPr>
    </w:p>
    <w:p>
      <w:pPr>
        <w:pStyle w:val="BodyText"/>
        <w:spacing w:line="273" w:lineRule="exact" w:before="36"/>
        <w:ind w:right="2497"/>
        <w:jc w:val="left"/>
      </w:pPr>
      <w:r>
        <w:rPr/>
        <w:t>存在不同企业所得税税率纳税主体的，披露情况说明</w:t>
      </w:r>
    </w:p>
    <w:p>
      <w:pPr>
        <w:tabs>
          <w:tab w:pos="642" w:val="left" w:leader="none"/>
        </w:tabs>
        <w:spacing w:line="290" w:lineRule="auto" w:before="0"/>
        <w:ind w:left="218" w:right="748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w w:val="95"/>
          <w:sz w:val="21"/>
          <w:szCs w:val="21"/>
        </w:rPr>
        <w:t>2.</w:t>
        <w:tab/>
      </w:r>
      <w:r>
        <w:rPr>
          <w:rFonts w:ascii="宋体" w:hAnsi="宋体" w:cs="宋体" w:eastAsia="宋体" w:hint="default"/>
          <w:b/>
          <w:bCs/>
          <w:sz w:val="21"/>
          <w:szCs w:val="21"/>
        </w:rPr>
        <w:t>税收优惠</w:t>
      </w:r>
      <w:r>
        <w:rPr>
          <w:rFonts w:ascii="宋体" w:hAnsi="宋体" w:cs="宋体" w:eastAsia="宋体" w:hint="default"/>
          <w:sz w:val="21"/>
          <w:szCs w:val="21"/>
        </w:rPr>
      </w:r>
    </w:p>
    <w:p>
      <w:pPr>
        <w:pStyle w:val="BodyText"/>
        <w:spacing w:line="240" w:lineRule="auto" w:before="12"/>
        <w:ind w:right="249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tabs>
          <w:tab w:pos="642" w:val="left" w:leader="none"/>
        </w:tabs>
        <w:spacing w:line="240" w:lineRule="auto"/>
        <w:ind w:right="2497"/>
        <w:jc w:val="left"/>
        <w:rPr>
          <w:b w:val="0"/>
          <w:bCs w:val="0"/>
        </w:rPr>
      </w:pPr>
      <w:r>
        <w:rPr>
          <w:rFonts w:ascii="宋体" w:hAnsi="宋体" w:cs="宋体" w:eastAsia="宋体" w:hint="default"/>
          <w:w w:val="95"/>
        </w:rPr>
        <w:t>3.</w:t>
        <w:tab/>
      </w:r>
      <w:r>
        <w:rPr/>
        <w:t>其他</w:t>
      </w:r>
      <w:r>
        <w:rPr>
          <w:b w:val="0"/>
          <w:bCs w:val="0"/>
        </w:rPr>
      </w:r>
    </w:p>
    <w:p>
      <w:pPr>
        <w:pStyle w:val="BodyText"/>
        <w:spacing w:line="240" w:lineRule="auto" w:before="58"/>
        <w:ind w:right="2497"/>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1040"/>
        </w:sectPr>
      </w:pPr>
    </w:p>
    <w:p>
      <w:pPr>
        <w:pStyle w:val="Heading2"/>
        <w:spacing w:line="290" w:lineRule="auto" w:before="36"/>
        <w:ind w:right="-16"/>
        <w:jc w:val="left"/>
        <w:rPr>
          <w:b w:val="0"/>
          <w:bCs w:val="0"/>
        </w:rPr>
      </w:pPr>
      <w:r>
        <w:rPr/>
        <w:t>七、合并财务报表项目注释</w:t>
      </w:r>
      <w:r>
        <w:rPr>
          <w:spacing w:val="-103"/>
        </w:rPr>
        <w:t> </w:t>
      </w:r>
      <w:r>
        <w:rPr>
          <w:spacing w:val="-103"/>
        </w:rPr>
      </w:r>
      <w:r>
        <w:rPr>
          <w:rFonts w:ascii="宋体" w:hAnsi="宋体" w:cs="宋体" w:eastAsia="宋体" w:hint="default"/>
        </w:rPr>
        <w:t>1</w:t>
      </w:r>
      <w:r>
        <w:rPr/>
        <w:t>、</w:t>
      </w:r>
      <w:r>
        <w:rPr>
          <w:spacing w:val="-2"/>
        </w:rPr>
        <w:t> </w:t>
      </w:r>
      <w:r>
        <w:rPr/>
        <w:t>货币资金</w:t>
      </w:r>
      <w:r>
        <w:rPr>
          <w:b w:val="0"/>
          <w:bCs w:val="0"/>
        </w:rPr>
      </w:r>
    </w:p>
    <w:p>
      <w:pPr>
        <w:pStyle w:val="BodyText"/>
        <w:spacing w:line="240" w:lineRule="auto" w:before="14"/>
        <w:ind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753" w:space="3769"/>
            <w:col w:w="2768"/>
          </w:cols>
        </w:sectPr>
      </w:pPr>
    </w:p>
    <w:p>
      <w:pPr>
        <w:spacing w:line="240" w:lineRule="auto" w:before="7"/>
        <w:rPr>
          <w:rFonts w:ascii="宋体" w:hAnsi="宋体" w:cs="宋体" w:eastAsia="宋体" w:hint="default"/>
          <w:sz w:val="2"/>
          <w:szCs w:val="2"/>
        </w:rPr>
      </w:pPr>
    </w:p>
    <w:tbl>
      <w:tblPr>
        <w:tblW w:w="0" w:type="auto"/>
        <w:jc w:val="left"/>
        <w:tblInd w:w="208" w:type="dxa"/>
        <w:tblLayout w:type="fixed"/>
        <w:tblCellMar>
          <w:top w:w="0" w:type="dxa"/>
          <w:left w:w="0" w:type="dxa"/>
          <w:bottom w:w="0" w:type="dxa"/>
          <w:right w:w="0" w:type="dxa"/>
        </w:tblCellMar>
        <w:tblLook w:val="01E0"/>
      </w:tblPr>
      <w:tblGrid>
        <w:gridCol w:w="2223"/>
        <w:gridCol w:w="3298"/>
        <w:gridCol w:w="3325"/>
      </w:tblGrid>
      <w:tr>
        <w:trPr>
          <w:trHeight w:val="281"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库存现金</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58,108.00</w:t>
            </w:r>
          </w:p>
        </w:tc>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847.56</w:t>
            </w:r>
          </w:p>
        </w:tc>
      </w:tr>
      <w:tr>
        <w:trPr>
          <w:trHeight w:val="281"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821,224,481.31</w:t>
            </w:r>
          </w:p>
        </w:tc>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891,873,296.56</w:t>
            </w:r>
          </w:p>
        </w:tc>
      </w:tr>
      <w:tr>
        <w:trPr>
          <w:trHeight w:val="283"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65,828,427.51</w:t>
            </w:r>
          </w:p>
        </w:tc>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114,057,715.53</w:t>
            </w:r>
          </w:p>
        </w:tc>
      </w:tr>
      <w:tr>
        <w:trPr>
          <w:trHeight w:val="283"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887,111,016.82</w:t>
            </w:r>
          </w:p>
        </w:tc>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1,005,931,859.65</w:t>
            </w:r>
          </w:p>
        </w:tc>
      </w:tr>
      <w:tr>
        <w:trPr>
          <w:trHeight w:val="554"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11" w:right="-3"/>
              <w:jc w:val="left"/>
              <w:rPr>
                <w:rFonts w:ascii="宋体" w:hAnsi="宋体" w:cs="宋体" w:eastAsia="宋体" w:hint="default"/>
                <w:sz w:val="21"/>
                <w:szCs w:val="21"/>
              </w:rPr>
            </w:pPr>
            <w:r>
              <w:rPr>
                <w:rFonts w:ascii="宋体" w:hAnsi="宋体" w:cs="宋体" w:eastAsia="宋体" w:hint="default"/>
                <w:w w:val="100"/>
                <w:sz w:val="21"/>
                <w:szCs w:val="21"/>
              </w:rPr>
              <w:t>其中</w:t>
            </w:r>
            <w:r>
              <w:rPr>
                <w:rFonts w:ascii="宋体" w:hAnsi="宋体" w:cs="宋体" w:eastAsia="宋体" w:hint="default"/>
                <w:spacing w:val="-101"/>
                <w:w w:val="100"/>
                <w:sz w:val="21"/>
                <w:szCs w:val="21"/>
              </w:rPr>
              <w:t>：</w:t>
            </w:r>
            <w:r>
              <w:rPr>
                <w:rFonts w:ascii="宋体" w:hAnsi="宋体" w:cs="宋体" w:eastAsia="宋体" w:hint="default"/>
                <w:w w:val="100"/>
                <w:sz w:val="21"/>
                <w:szCs w:val="21"/>
              </w:rPr>
              <w:t>存</w:t>
            </w:r>
            <w:r>
              <w:rPr>
                <w:rFonts w:ascii="宋体" w:hAnsi="宋体" w:cs="宋体" w:eastAsia="宋体" w:hint="default"/>
                <w:spacing w:val="-3"/>
                <w:w w:val="100"/>
                <w:sz w:val="21"/>
                <w:szCs w:val="21"/>
              </w:rPr>
              <w:t>放</w:t>
            </w:r>
            <w:r>
              <w:rPr>
                <w:rFonts w:ascii="宋体" w:hAnsi="宋体" w:cs="宋体" w:eastAsia="宋体" w:hint="default"/>
                <w:w w:val="100"/>
                <w:sz w:val="21"/>
                <w:szCs w:val="21"/>
              </w:rPr>
              <w:t>在</w:t>
            </w:r>
            <w:r>
              <w:rPr>
                <w:rFonts w:ascii="宋体" w:hAnsi="宋体" w:cs="宋体" w:eastAsia="宋体" w:hint="default"/>
                <w:spacing w:val="-3"/>
                <w:w w:val="100"/>
                <w:sz w:val="21"/>
                <w:szCs w:val="21"/>
              </w:rPr>
              <w:t>境</w:t>
            </w:r>
            <w:r>
              <w:rPr>
                <w:rFonts w:ascii="宋体" w:hAnsi="宋体" w:cs="宋体" w:eastAsia="宋体" w:hint="default"/>
                <w:w w:val="100"/>
                <w:sz w:val="21"/>
                <w:szCs w:val="21"/>
              </w:rPr>
              <w:t>外</w:t>
            </w:r>
            <w:r>
              <w:rPr>
                <w:rFonts w:ascii="宋体" w:hAnsi="宋体" w:cs="宋体" w:eastAsia="宋体" w:hint="default"/>
                <w:spacing w:val="-3"/>
                <w:w w:val="100"/>
                <w:sz w:val="21"/>
                <w:szCs w:val="21"/>
              </w:rPr>
              <w:t>的</w:t>
            </w:r>
            <w:r>
              <w:rPr>
                <w:rFonts w:ascii="宋体" w:hAnsi="宋体" w:cs="宋体" w:eastAsia="宋体" w:hint="default"/>
                <w:w w:val="100"/>
                <w:sz w:val="21"/>
                <w:szCs w:val="21"/>
              </w:rPr>
              <w:t>款</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项总额</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31,755.62</w:t>
            </w:r>
          </w:p>
        </w:tc>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52,625.15</w:t>
            </w:r>
          </w:p>
        </w:tc>
      </w:tr>
    </w:tbl>
    <w:p>
      <w:pPr>
        <w:spacing w:line="240" w:lineRule="auto" w:before="7"/>
        <w:rPr>
          <w:rFonts w:ascii="宋体" w:hAnsi="宋体" w:cs="宋体" w:eastAsia="宋体" w:hint="default"/>
          <w:sz w:val="15"/>
          <w:szCs w:val="15"/>
        </w:rPr>
      </w:pPr>
    </w:p>
    <w:p>
      <w:pPr>
        <w:pStyle w:val="BodyText"/>
        <w:spacing w:line="273" w:lineRule="exact" w:before="36"/>
        <w:ind w:right="2497"/>
        <w:jc w:val="left"/>
      </w:pPr>
      <w:r>
        <w:rPr/>
        <w:t>其他说明</w:t>
      </w:r>
    </w:p>
    <w:p>
      <w:pPr>
        <w:pStyle w:val="BodyText"/>
        <w:spacing w:line="271" w:lineRule="exact"/>
        <w:ind w:left="638" w:right="227"/>
        <w:jc w:val="left"/>
      </w:pPr>
      <w:r>
        <w:rPr/>
        <w:t>期末其他货币资金中</w:t>
      </w:r>
      <w:r>
        <w:rPr>
          <w:spacing w:val="-54"/>
        </w:rPr>
        <w:t> </w:t>
      </w:r>
      <w:r>
        <w:rPr>
          <w:rFonts w:ascii="宋体" w:hAnsi="宋体" w:cs="宋体" w:eastAsia="宋体" w:hint="default"/>
        </w:rPr>
        <w:t>65,546,000.00</w:t>
      </w:r>
      <w:r>
        <w:rPr>
          <w:rFonts w:ascii="宋体" w:hAnsi="宋体" w:cs="宋体" w:eastAsia="宋体" w:hint="default"/>
          <w:spacing w:val="-57"/>
        </w:rPr>
        <w:t> </w:t>
      </w:r>
      <w:r>
        <w:rPr/>
        <w:t>元系公司为开具银行承兑汇票存入的保证金，</w:t>
      </w:r>
    </w:p>
    <w:p>
      <w:pPr>
        <w:pStyle w:val="BodyText"/>
        <w:spacing w:line="240" w:lineRule="auto"/>
        <w:ind w:right="227"/>
        <w:jc w:val="left"/>
      </w:pPr>
      <w:r>
        <w:rPr>
          <w:rFonts w:ascii="宋体" w:hAnsi="宋体" w:cs="宋体" w:eastAsia="宋体" w:hint="default"/>
        </w:rPr>
        <w:t>230,750.00</w:t>
      </w:r>
      <w:r>
        <w:rPr>
          <w:rFonts w:ascii="宋体" w:hAnsi="宋体" w:cs="宋体" w:eastAsia="宋体" w:hint="default"/>
          <w:spacing w:val="-40"/>
        </w:rPr>
        <w:t> </w:t>
      </w:r>
      <w:r>
        <w:rPr>
          <w:spacing w:val="-3"/>
        </w:rPr>
        <w:t>元系公司借款保证金，其余</w:t>
      </w:r>
      <w:r>
        <w:rPr>
          <w:spacing w:val="-40"/>
        </w:rPr>
        <w:t> </w:t>
      </w:r>
      <w:r>
        <w:rPr>
          <w:rFonts w:ascii="宋体" w:hAnsi="宋体" w:cs="宋体" w:eastAsia="宋体" w:hint="default"/>
        </w:rPr>
        <w:t>51,677.51</w:t>
      </w:r>
      <w:r>
        <w:rPr>
          <w:rFonts w:ascii="宋体" w:hAnsi="宋体" w:cs="宋体" w:eastAsia="宋体" w:hint="default"/>
          <w:spacing w:val="-42"/>
        </w:rPr>
        <w:t> </w:t>
      </w:r>
      <w:r>
        <w:rPr>
          <w:spacing w:val="-3"/>
        </w:rPr>
        <w:t>元为银行监管账户余额。除此之外，期末货币</w:t>
      </w:r>
      <w:r>
        <w:rPr>
          <w:spacing w:val="-100"/>
        </w:rPr>
        <w:t> </w:t>
      </w:r>
      <w:r>
        <w:rPr>
          <w:spacing w:val="-100"/>
        </w:rPr>
      </w:r>
      <w:r>
        <w:rPr/>
        <w:t>资金中无其他因抵押、质押或冻结等对使用有限制、有潜在回收风险的款项。</w:t>
      </w:r>
    </w:p>
    <w:p>
      <w:pPr>
        <w:spacing w:line="240" w:lineRule="auto" w:before="3"/>
        <w:rPr>
          <w:rFonts w:ascii="宋体" w:hAnsi="宋体" w:cs="宋体" w:eastAsia="宋体" w:hint="default"/>
          <w:sz w:val="25"/>
          <w:szCs w:val="25"/>
        </w:rPr>
      </w:pPr>
    </w:p>
    <w:p>
      <w:pPr>
        <w:pStyle w:val="Heading2"/>
        <w:spacing w:line="240" w:lineRule="auto"/>
        <w:ind w:right="2497"/>
        <w:jc w:val="left"/>
        <w:rPr>
          <w:b w:val="0"/>
          <w:bCs w:val="0"/>
        </w:rPr>
      </w:pPr>
      <w:r>
        <w:rPr>
          <w:rFonts w:ascii="宋体" w:hAnsi="宋体" w:cs="宋体" w:eastAsia="宋体" w:hint="default"/>
        </w:rPr>
        <w:t>2</w:t>
      </w:r>
      <w:r>
        <w:rPr/>
        <w:t>、</w:t>
      </w:r>
      <w:r>
        <w:rPr>
          <w:spacing w:val="-4"/>
        </w:rPr>
        <w:t> </w:t>
      </w:r>
      <w:r>
        <w:rPr/>
        <w:t>以公允价值计量且其变动计入当期损益的金融资产</w:t>
      </w:r>
      <w:r>
        <w:rPr>
          <w:b w:val="0"/>
          <w:bCs w:val="0"/>
        </w:rPr>
      </w:r>
    </w:p>
    <w:p>
      <w:pPr>
        <w:pStyle w:val="BodyText"/>
        <w:spacing w:line="240" w:lineRule="auto" w:before="56"/>
        <w:ind w:right="2497"/>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2"/>
        <w:spacing w:line="240" w:lineRule="auto"/>
        <w:ind w:right="2497"/>
        <w:jc w:val="left"/>
        <w:rPr>
          <w:b w:val="0"/>
          <w:bCs w:val="0"/>
        </w:rPr>
      </w:pPr>
      <w:r>
        <w:rPr>
          <w:rFonts w:ascii="宋体" w:hAnsi="宋体" w:cs="宋体" w:eastAsia="宋体" w:hint="default"/>
        </w:rPr>
        <w:t>3</w:t>
      </w:r>
      <w:r>
        <w:rPr/>
        <w:t>、</w:t>
      </w:r>
      <w:r>
        <w:rPr>
          <w:spacing w:val="-1"/>
        </w:rPr>
        <w:t> </w:t>
      </w:r>
      <w:r>
        <w:rPr/>
        <w:t>衍生金融资产</w:t>
      </w:r>
      <w:r>
        <w:rPr>
          <w:b w:val="0"/>
          <w:bCs w:val="0"/>
        </w:rPr>
      </w:r>
    </w:p>
    <w:p>
      <w:pPr>
        <w:pStyle w:val="BodyText"/>
        <w:spacing w:line="240" w:lineRule="auto" w:before="56"/>
        <w:ind w:right="2497"/>
        <w:jc w:val="left"/>
      </w:pPr>
      <w:r>
        <w:rPr/>
        <w:t>□适用</w:t>
      </w:r>
      <w:r>
        <w:rPr>
          <w:spacing w:val="-1"/>
        </w:rPr>
        <w:t> </w:t>
      </w:r>
      <w:r>
        <w:rPr/>
        <w:t>√不适用</w:t>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40" w:right="1040"/>
        </w:sectPr>
      </w:pPr>
    </w:p>
    <w:p>
      <w:pPr>
        <w:pStyle w:val="Heading2"/>
        <w:spacing w:line="240" w:lineRule="auto" w:before="36"/>
        <w:ind w:left="258" w:right="-20"/>
        <w:jc w:val="left"/>
        <w:rPr>
          <w:b w:val="0"/>
          <w:bCs w:val="0"/>
        </w:rPr>
      </w:pPr>
      <w:r>
        <w:rPr>
          <w:rFonts w:ascii="宋体" w:hAnsi="宋体" w:cs="宋体" w:eastAsia="宋体" w:hint="default"/>
        </w:rPr>
        <w:t>4</w:t>
      </w:r>
      <w:r>
        <w:rPr/>
        <w:t>、</w:t>
      </w:r>
      <w:r>
        <w:rPr>
          <w:spacing w:val="-2"/>
        </w:rPr>
        <w:t> </w:t>
      </w:r>
      <w:r>
        <w:rPr/>
        <w:t>应收票据</w:t>
      </w:r>
      <w:r>
        <w:rPr>
          <w:b w:val="0"/>
          <w:bCs w:val="0"/>
        </w:rPr>
      </w:r>
    </w:p>
    <w:p>
      <w:pPr>
        <w:pStyle w:val="Heading2"/>
        <w:spacing w:line="240" w:lineRule="auto" w:before="58"/>
        <w:ind w:left="258" w:right="-20"/>
        <w:jc w:val="left"/>
        <w:rPr>
          <w:b w:val="0"/>
          <w:bCs w:val="0"/>
        </w:rPr>
      </w:pPr>
      <w:r>
        <w:rPr>
          <w:rFonts w:ascii="宋体" w:hAnsi="宋体" w:cs="宋体" w:eastAsia="宋体" w:hint="default"/>
        </w:rPr>
        <w:t>(1).</w:t>
      </w:r>
      <w:r>
        <w:rPr>
          <w:rFonts w:ascii="宋体" w:hAnsi="宋体" w:cs="宋体" w:eastAsia="宋体" w:hint="default"/>
          <w:spacing w:val="1"/>
        </w:rPr>
        <w:t> </w:t>
      </w:r>
      <w:r>
        <w:rPr/>
        <w:t>应收票据分类列示</w:t>
      </w:r>
      <w:r>
        <w:rPr>
          <w:b w:val="0"/>
          <w:bCs w:val="0"/>
        </w:rPr>
      </w:r>
    </w:p>
    <w:p>
      <w:pPr>
        <w:pStyle w:val="BodyText"/>
        <w:spacing w:line="240" w:lineRule="auto" w:before="56"/>
        <w:ind w:left="258"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309" w:val="left" w:leader="none"/>
        </w:tabs>
        <w:spacing w:line="240" w:lineRule="auto"/>
        <w:ind w:left="258" w:right="0"/>
        <w:jc w:val="left"/>
      </w:pPr>
      <w:r>
        <w:rPr>
          <w:spacing w:val="-1"/>
        </w:rPr>
        <w:t>单位：元</w:t>
        <w:tab/>
      </w:r>
      <w:r>
        <w:rPr>
          <w:spacing w:val="-2"/>
        </w:rPr>
        <w:t>币种：人民币</w:t>
      </w:r>
    </w:p>
    <w:p>
      <w:pPr>
        <w:spacing w:after="0" w:line="240" w:lineRule="auto"/>
        <w:jc w:val="left"/>
        <w:sectPr>
          <w:type w:val="continuous"/>
          <w:pgSz w:w="11910" w:h="16840"/>
          <w:pgMar w:top="1120" w:bottom="1380" w:left="1540" w:right="1040"/>
          <w:cols w:num="2" w:equalWidth="0">
            <w:col w:w="2476" w:space="4046"/>
            <w:col w:w="2808"/>
          </w:cols>
        </w:sectPr>
      </w:pP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965"/>
        <w:gridCol w:w="3147"/>
        <w:gridCol w:w="2895"/>
      </w:tblGrid>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65"/>
              <w:jc w:val="right"/>
              <w:rPr>
                <w:rFonts w:ascii="宋体" w:hAnsi="宋体" w:cs="宋体" w:eastAsia="宋体" w:hint="default"/>
                <w:sz w:val="21"/>
                <w:szCs w:val="21"/>
              </w:rPr>
            </w:pPr>
            <w:r>
              <w:rPr>
                <w:rFonts w:ascii="宋体" w:hAnsi="宋体" w:cs="宋体" w:eastAsia="宋体" w:hint="default"/>
                <w:sz w:val="21"/>
                <w:szCs w:val="21"/>
              </w:rPr>
              <w:t>项目</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
              <w:jc w:val="right"/>
              <w:rPr>
                <w:rFonts w:ascii="宋体" w:hAnsi="宋体" w:cs="宋体" w:eastAsia="宋体" w:hint="default"/>
                <w:sz w:val="21"/>
                <w:szCs w:val="21"/>
              </w:rPr>
            </w:pPr>
            <w:r>
              <w:rPr>
                <w:rFonts w:ascii="宋体"/>
                <w:spacing w:val="-1"/>
                <w:sz w:val="21"/>
              </w:rPr>
              <w:t>50,390,616.22</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6"/>
              <w:jc w:val="right"/>
              <w:rPr>
                <w:rFonts w:ascii="宋体" w:hAnsi="宋体" w:cs="宋体" w:eastAsia="宋体" w:hint="default"/>
                <w:sz w:val="21"/>
                <w:szCs w:val="21"/>
              </w:rPr>
            </w:pPr>
            <w:r>
              <w:rPr>
                <w:rFonts w:ascii="宋体"/>
                <w:spacing w:val="-1"/>
                <w:sz w:val="21"/>
              </w:rPr>
              <w:t>59,426,908.77</w:t>
            </w:r>
          </w:p>
        </w:tc>
      </w:tr>
      <w:tr>
        <w:trPr>
          <w:trHeight w:val="281"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65"/>
              <w:jc w:val="right"/>
              <w:rPr>
                <w:rFonts w:ascii="宋体" w:hAnsi="宋体" w:cs="宋体" w:eastAsia="宋体" w:hint="default"/>
                <w:sz w:val="21"/>
                <w:szCs w:val="21"/>
              </w:rPr>
            </w:pPr>
            <w:r>
              <w:rPr>
                <w:rFonts w:ascii="宋体" w:hAnsi="宋体" w:cs="宋体" w:eastAsia="宋体" w:hint="default"/>
                <w:sz w:val="21"/>
                <w:szCs w:val="21"/>
              </w:rPr>
              <w:t>合计</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50,390,616.22</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59,426,908.77</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40" w:right="1040"/>
        </w:sectPr>
      </w:pPr>
    </w:p>
    <w:p>
      <w:pPr>
        <w:pStyle w:val="Heading2"/>
        <w:spacing w:line="240" w:lineRule="auto" w:before="36"/>
        <w:ind w:left="258" w:right="-16"/>
        <w:jc w:val="left"/>
        <w:rPr>
          <w:b w:val="0"/>
          <w:bCs w:val="0"/>
        </w:rPr>
      </w:pPr>
      <w:r>
        <w:rPr>
          <w:rFonts w:ascii="宋体" w:hAnsi="宋体" w:cs="宋体" w:eastAsia="宋体" w:hint="default"/>
        </w:rPr>
        <w:t>(2).</w:t>
      </w:r>
      <w:r>
        <w:rPr>
          <w:rFonts w:ascii="宋体" w:hAnsi="宋体" w:cs="宋体" w:eastAsia="宋体" w:hint="default"/>
          <w:spacing w:val="-4"/>
        </w:rPr>
        <w:t> </w:t>
      </w:r>
      <w:r>
        <w:rPr/>
        <w:t>期末公司已质押的应收票据</w:t>
      </w:r>
      <w:r>
        <w:rPr>
          <w:b w:val="0"/>
          <w:bCs w:val="0"/>
        </w:rPr>
      </w:r>
    </w:p>
    <w:p>
      <w:pPr>
        <w:pStyle w:val="BodyText"/>
        <w:spacing w:line="240" w:lineRule="auto" w:before="58"/>
        <w:ind w:left="258" w:right="-16"/>
        <w:jc w:val="left"/>
      </w:pPr>
      <w:r>
        <w:rPr/>
        <w:t>□适用</w:t>
      </w:r>
      <w:r>
        <w:rPr>
          <w:spacing w:val="-1"/>
        </w:rPr>
        <w:t> </w:t>
      </w:r>
      <w:r>
        <w:rPr/>
        <w:t>√不适用</w:t>
      </w:r>
    </w:p>
    <w:p>
      <w:pPr>
        <w:pStyle w:val="Heading2"/>
        <w:spacing w:line="240" w:lineRule="auto" w:before="57"/>
        <w:ind w:left="258" w:right="-16"/>
        <w:jc w:val="left"/>
        <w:rPr>
          <w:b w:val="0"/>
          <w:bCs w:val="0"/>
        </w:rPr>
      </w:pPr>
      <w:r>
        <w:rPr>
          <w:rFonts w:ascii="宋体" w:hAnsi="宋体" w:cs="宋体" w:eastAsia="宋体" w:hint="default"/>
        </w:rPr>
        <w:t>(3).</w:t>
      </w:r>
      <w:r>
        <w:rPr>
          <w:rFonts w:ascii="宋体" w:hAnsi="宋体" w:cs="宋体" w:eastAsia="宋体" w:hint="default"/>
          <w:spacing w:val="-4"/>
        </w:rPr>
        <w:t> </w:t>
      </w:r>
      <w:r>
        <w:rPr/>
        <w:t>期末公司已背书或贴现且在资产负债表日尚未到期的应收票据：</w:t>
      </w:r>
      <w:r>
        <w:rPr>
          <w:b w:val="0"/>
          <w:bCs w:val="0"/>
        </w:rPr>
      </w:r>
    </w:p>
    <w:p>
      <w:pPr>
        <w:pStyle w:val="BodyText"/>
        <w:spacing w:line="240" w:lineRule="auto" w:before="58"/>
        <w:ind w:left="258"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tabs>
          <w:tab w:pos="1101" w:val="left" w:leader="none"/>
        </w:tabs>
        <w:spacing w:line="240" w:lineRule="auto"/>
        <w:ind w:left="49" w:right="0"/>
        <w:jc w:val="left"/>
      </w:pPr>
      <w:r>
        <w:rPr>
          <w:spacing w:val="-1"/>
        </w:rPr>
        <w:t>单位：元</w:t>
        <w:tab/>
      </w:r>
      <w:r>
        <w:rPr>
          <w:spacing w:val="-2"/>
        </w:rPr>
        <w:t>币种：人民币</w:t>
      </w:r>
    </w:p>
    <w:p>
      <w:pPr>
        <w:spacing w:after="0" w:line="240" w:lineRule="auto"/>
        <w:jc w:val="left"/>
        <w:sectPr>
          <w:type w:val="continuous"/>
          <w:pgSz w:w="11910" w:h="16840"/>
          <w:pgMar w:top="1120" w:bottom="1380" w:left="1540" w:right="1040"/>
          <w:cols w:num="2" w:equalWidth="0">
            <w:col w:w="6691" w:space="40"/>
            <w:col w:w="2599"/>
          </w:cols>
        </w:sectPr>
      </w:pPr>
    </w:p>
    <w:p>
      <w:pPr>
        <w:spacing w:line="240" w:lineRule="auto" w:before="7"/>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2878"/>
        <w:gridCol w:w="3051"/>
        <w:gridCol w:w="3121"/>
      </w:tblGrid>
      <w:tr>
        <w:trPr>
          <w:trHeight w:val="281"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0"/>
              <w:jc w:val="right"/>
              <w:rPr>
                <w:rFonts w:ascii="宋体" w:hAnsi="宋体" w:cs="宋体" w:eastAsia="宋体" w:hint="default"/>
                <w:sz w:val="21"/>
                <w:szCs w:val="21"/>
              </w:rPr>
            </w:pPr>
            <w:r>
              <w:rPr>
                <w:rFonts w:ascii="宋体" w:hAnsi="宋体" w:cs="宋体" w:eastAsia="宋体" w:hint="default"/>
                <w:sz w:val="21"/>
                <w:szCs w:val="21"/>
              </w:rPr>
              <w:t>项目</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6" w:right="0"/>
              <w:jc w:val="left"/>
              <w:rPr>
                <w:rFonts w:ascii="宋体" w:hAnsi="宋体" w:cs="宋体" w:eastAsia="宋体" w:hint="default"/>
                <w:sz w:val="21"/>
                <w:szCs w:val="21"/>
              </w:rPr>
            </w:pPr>
            <w:r>
              <w:rPr>
                <w:rFonts w:ascii="宋体" w:hAnsi="宋体" w:cs="宋体" w:eastAsia="宋体" w:hint="default"/>
                <w:sz w:val="21"/>
                <w:szCs w:val="21"/>
              </w:rPr>
              <w:t>期末终止确认金额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7" w:right="0"/>
              <w:jc w:val="left"/>
              <w:rPr>
                <w:rFonts w:ascii="宋体" w:hAnsi="宋体" w:cs="宋体" w:eastAsia="宋体" w:hint="default"/>
                <w:sz w:val="21"/>
                <w:szCs w:val="21"/>
              </w:rPr>
            </w:pPr>
            <w:r>
              <w:rPr>
                <w:rFonts w:ascii="宋体" w:hAnsi="宋体" w:cs="宋体" w:eastAsia="宋体" w:hint="default"/>
                <w:sz w:val="21"/>
                <w:szCs w:val="21"/>
              </w:rPr>
              <w:t>期末未终止确认金额</w:t>
            </w:r>
          </w:p>
        </w:tc>
      </w:tr>
      <w:tr>
        <w:trPr>
          <w:trHeight w:val="283"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730,158,813.16</w:t>
            </w:r>
          </w:p>
        </w:tc>
        <w:tc>
          <w:tcPr>
            <w:tcW w:w="31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0"/>
              <w:jc w:val="right"/>
              <w:rPr>
                <w:rFonts w:ascii="宋体" w:hAnsi="宋体" w:cs="宋体" w:eastAsia="宋体" w:hint="default"/>
                <w:sz w:val="21"/>
                <w:szCs w:val="21"/>
              </w:rPr>
            </w:pPr>
            <w:r>
              <w:rPr>
                <w:rFonts w:ascii="宋体" w:hAnsi="宋体" w:cs="宋体" w:eastAsia="宋体" w:hint="default"/>
                <w:sz w:val="21"/>
                <w:szCs w:val="21"/>
              </w:rPr>
              <w:t>合计</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730,158,813.16</w:t>
            </w:r>
          </w:p>
        </w:tc>
        <w:tc>
          <w:tcPr>
            <w:tcW w:w="312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7"/>
          <w:szCs w:val="17"/>
        </w:rPr>
      </w:pPr>
    </w:p>
    <w:p>
      <w:pPr>
        <w:pStyle w:val="Heading2"/>
        <w:spacing w:line="240" w:lineRule="auto" w:before="36"/>
        <w:ind w:left="258" w:right="930"/>
        <w:jc w:val="left"/>
        <w:rPr>
          <w:b w:val="0"/>
          <w:bCs w:val="0"/>
        </w:rPr>
      </w:pPr>
      <w:r>
        <w:rPr>
          <w:rFonts w:ascii="宋体" w:hAnsi="宋体" w:cs="宋体" w:eastAsia="宋体" w:hint="default"/>
        </w:rPr>
        <w:t>(4).</w:t>
      </w:r>
      <w:r>
        <w:rPr>
          <w:rFonts w:ascii="宋体" w:hAnsi="宋体" w:cs="宋体" w:eastAsia="宋体" w:hint="default"/>
          <w:spacing w:val="-3"/>
        </w:rPr>
        <w:t> </w:t>
      </w:r>
      <w:r>
        <w:rPr/>
        <w:t>期末公司因出票人未履约而将其转应收账款的票据</w:t>
      </w:r>
      <w:r>
        <w:rPr>
          <w:b w:val="0"/>
          <w:bCs w:val="0"/>
        </w:rPr>
      </w:r>
    </w:p>
    <w:p>
      <w:pPr>
        <w:pStyle w:val="BodyText"/>
        <w:spacing w:line="272" w:lineRule="exact" w:before="86"/>
        <w:ind w:left="258" w:right="7474"/>
        <w:jc w:val="left"/>
      </w:pPr>
      <w:r>
        <w:rPr/>
        <w:t>□适用</w:t>
      </w:r>
      <w:r>
        <w:rPr>
          <w:spacing w:val="-1"/>
        </w:rPr>
        <w:t> </w:t>
      </w:r>
      <w:r>
        <w:rPr/>
        <w:t>√不适用</w:t>
      </w:r>
      <w:r>
        <w:rPr>
          <w:w w:val="100"/>
        </w:rPr>
        <w:t> </w:t>
      </w:r>
      <w:r>
        <w:rPr/>
        <w:t>其他说明</w:t>
      </w:r>
    </w:p>
    <w:p>
      <w:pPr>
        <w:pStyle w:val="BodyText"/>
        <w:spacing w:line="249" w:lineRule="exact"/>
        <w:ind w:left="258" w:right="93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40" w:right="1040"/>
        </w:sectPr>
      </w:pPr>
    </w:p>
    <w:p>
      <w:pPr>
        <w:pStyle w:val="Heading2"/>
        <w:spacing w:line="240" w:lineRule="auto" w:before="36"/>
        <w:ind w:left="258" w:right="-20"/>
        <w:jc w:val="left"/>
        <w:rPr>
          <w:b w:val="0"/>
          <w:bCs w:val="0"/>
        </w:rPr>
      </w:pPr>
      <w:r>
        <w:rPr>
          <w:rFonts w:ascii="宋体" w:hAnsi="宋体" w:cs="宋体" w:eastAsia="宋体" w:hint="default"/>
        </w:rPr>
        <w:t>5</w:t>
      </w:r>
      <w:r>
        <w:rPr/>
        <w:t>、</w:t>
      </w:r>
      <w:r>
        <w:rPr>
          <w:spacing w:val="-2"/>
        </w:rPr>
        <w:t> </w:t>
      </w:r>
      <w:r>
        <w:rPr/>
        <w:t>应收账款</w:t>
      </w:r>
      <w:r>
        <w:rPr>
          <w:b w:val="0"/>
          <w:bCs w:val="0"/>
        </w:rPr>
      </w:r>
    </w:p>
    <w:p>
      <w:pPr>
        <w:pStyle w:val="Heading2"/>
        <w:spacing w:line="240" w:lineRule="auto" w:before="56"/>
        <w:ind w:left="258" w:right="-20"/>
        <w:jc w:val="left"/>
        <w:rPr>
          <w:b w:val="0"/>
          <w:bCs w:val="0"/>
        </w:rPr>
      </w:pPr>
      <w:r>
        <w:rPr>
          <w:rFonts w:ascii="宋体" w:hAnsi="宋体" w:cs="宋体" w:eastAsia="宋体" w:hint="default"/>
        </w:rPr>
        <w:t>(1).</w:t>
      </w:r>
      <w:r>
        <w:rPr>
          <w:rFonts w:ascii="宋体" w:hAnsi="宋体" w:cs="宋体" w:eastAsia="宋体" w:hint="default"/>
          <w:spacing w:val="47"/>
        </w:rPr>
        <w:t> </w:t>
      </w:r>
      <w:r>
        <w:rPr/>
        <w:t>应收账款分类披露</w:t>
      </w:r>
      <w:r>
        <w:rPr>
          <w:b w:val="0"/>
          <w:bCs w:val="0"/>
        </w:rPr>
      </w:r>
    </w:p>
    <w:p>
      <w:pPr>
        <w:pStyle w:val="BodyText"/>
        <w:spacing w:line="240" w:lineRule="auto" w:before="58"/>
        <w:ind w:left="258"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309" w:val="left" w:leader="none"/>
        </w:tabs>
        <w:spacing w:line="240" w:lineRule="auto"/>
        <w:ind w:left="258" w:right="0"/>
        <w:jc w:val="left"/>
      </w:pPr>
      <w:r>
        <w:rPr>
          <w:spacing w:val="-1"/>
        </w:rPr>
        <w:t>单位：元</w:t>
        <w:tab/>
      </w:r>
      <w:r>
        <w:rPr>
          <w:spacing w:val="-2"/>
        </w:rPr>
        <w:t>币种：人民币</w:t>
      </w:r>
    </w:p>
    <w:p>
      <w:pPr>
        <w:spacing w:after="0" w:line="240" w:lineRule="auto"/>
        <w:jc w:val="left"/>
        <w:sectPr>
          <w:type w:val="continuous"/>
          <w:pgSz w:w="11910" w:h="16840"/>
          <w:pgMar w:top="1120" w:bottom="1380" w:left="1540" w:right="1040"/>
          <w:cols w:num="2" w:equalWidth="0">
            <w:col w:w="2522" w:space="3897"/>
            <w:col w:w="2911"/>
          </w:cols>
        </w:sectPr>
      </w:pPr>
    </w:p>
    <w:p>
      <w:pPr>
        <w:spacing w:line="240" w:lineRule="auto" w:before="7"/>
        <w:rPr>
          <w:rFonts w:ascii="宋体" w:hAnsi="宋体" w:cs="宋体" w:eastAsia="宋体" w:hint="default"/>
          <w:sz w:val="2"/>
          <w:szCs w:val="2"/>
        </w:rPr>
      </w:pPr>
    </w:p>
    <w:tbl>
      <w:tblPr>
        <w:tblW w:w="0" w:type="auto"/>
        <w:jc w:val="left"/>
        <w:tblInd w:w="222" w:type="dxa"/>
        <w:tblLayout w:type="fixed"/>
        <w:tblCellMar>
          <w:top w:w="0" w:type="dxa"/>
          <w:left w:w="0" w:type="dxa"/>
          <w:bottom w:w="0" w:type="dxa"/>
          <w:right w:w="0" w:type="dxa"/>
        </w:tblCellMar>
        <w:tblLook w:val="01E0"/>
      </w:tblPr>
      <w:tblGrid>
        <w:gridCol w:w="739"/>
        <w:gridCol w:w="994"/>
        <w:gridCol w:w="709"/>
        <w:gridCol w:w="852"/>
        <w:gridCol w:w="425"/>
        <w:gridCol w:w="1133"/>
        <w:gridCol w:w="1135"/>
        <w:gridCol w:w="566"/>
        <w:gridCol w:w="992"/>
        <w:gridCol w:w="427"/>
        <w:gridCol w:w="924"/>
      </w:tblGrid>
      <w:tr>
        <w:trPr>
          <w:trHeight w:val="281" w:hRule="exact"/>
        </w:trPr>
        <w:tc>
          <w:tcPr>
            <w:tcW w:w="73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类别</w:t>
            </w:r>
          </w:p>
        </w:tc>
        <w:tc>
          <w:tcPr>
            <w:tcW w:w="411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04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739" w:type="dxa"/>
            <w:vMerge/>
            <w:tcBorders>
              <w:left w:val="single" w:sz="4" w:space="0" w:color="000000"/>
              <w:right w:val="single" w:sz="4" w:space="0" w:color="000000"/>
            </w:tcBorders>
          </w:tcPr>
          <w:p>
            <w:pP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2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1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72" w:lineRule="exact"/>
              <w:ind w:left="352" w:right="346"/>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2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8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92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72" w:lineRule="exact"/>
              <w:ind w:left="244" w:right="245"/>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r>
      <w:tr>
        <w:trPr>
          <w:trHeight w:val="1373" w:hRule="exact"/>
        </w:trPr>
        <w:tc>
          <w:tcPr>
            <w:tcW w:w="739" w:type="dxa"/>
            <w:vMerge/>
            <w:tcBorders>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8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89" w:right="137"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1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8" w:right="0"/>
              <w:jc w:val="both"/>
              <w:rPr>
                <w:rFonts w:ascii="宋体" w:hAnsi="宋体" w:cs="宋体" w:eastAsia="宋体" w:hint="default"/>
                <w:sz w:val="21"/>
                <w:szCs w:val="21"/>
              </w:rPr>
            </w:pPr>
            <w:r>
              <w:rPr>
                <w:rFonts w:ascii="宋体" w:hAnsi="宋体" w:cs="宋体" w:eastAsia="宋体" w:hint="default"/>
                <w:w w:val="100"/>
                <w:sz w:val="21"/>
                <w:szCs w:val="21"/>
              </w:rPr>
              <w:t>计</w:t>
            </w:r>
          </w:p>
          <w:p>
            <w:pPr>
              <w:pStyle w:val="TableParagraph"/>
              <w:spacing w:line="237" w:lineRule="auto" w:before="2"/>
              <w:ind w:left="48" w:right="48" w:firstLine="50"/>
              <w:jc w:val="both"/>
              <w:rPr>
                <w:rFonts w:ascii="宋体" w:hAnsi="宋体" w:cs="宋体" w:eastAsia="宋体" w:hint="default"/>
                <w:sz w:val="21"/>
                <w:szCs w:val="21"/>
              </w:rPr>
            </w:pP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133" w:type="dxa"/>
            <w:vMerge/>
            <w:tcBorders>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5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19" w:right="65"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8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计</w:t>
            </w:r>
          </w:p>
          <w:p>
            <w:pPr>
              <w:pStyle w:val="TableParagraph"/>
              <w:spacing w:line="237" w:lineRule="auto" w:before="2"/>
              <w:ind w:left="50" w:right="48" w:firstLine="50"/>
              <w:jc w:val="both"/>
              <w:rPr>
                <w:rFonts w:ascii="宋体" w:hAnsi="宋体" w:cs="宋体" w:eastAsia="宋体" w:hint="default"/>
                <w:sz w:val="21"/>
                <w:szCs w:val="21"/>
              </w:rPr>
            </w:pP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924" w:type="dxa"/>
            <w:vMerge/>
            <w:tcBorders>
              <w:left w:val="single" w:sz="4" w:space="0" w:color="000000"/>
              <w:bottom w:val="single" w:sz="4" w:space="0" w:color="000000"/>
              <w:right w:val="single" w:sz="4" w:space="0" w:color="000000"/>
            </w:tcBorders>
          </w:tcPr>
          <w:p>
            <w:pPr/>
          </w:p>
        </w:tc>
      </w:tr>
      <w:tr>
        <w:trPr>
          <w:trHeight w:val="1915" w:hRule="exact"/>
        </w:trPr>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both"/>
              <w:rPr>
                <w:rFonts w:ascii="宋体" w:hAnsi="宋体" w:cs="宋体" w:eastAsia="宋体" w:hint="default"/>
                <w:sz w:val="21"/>
                <w:szCs w:val="21"/>
              </w:rPr>
            </w:pPr>
            <w:r>
              <w:rPr>
                <w:rFonts w:ascii="宋体" w:hAnsi="宋体" w:cs="宋体" w:eastAsia="宋体" w:hint="default"/>
                <w:sz w:val="21"/>
                <w:szCs w:val="21"/>
              </w:rPr>
              <w:t>单项金</w:t>
            </w:r>
          </w:p>
          <w:p>
            <w:pPr>
              <w:pStyle w:val="TableParagraph"/>
              <w:spacing w:line="237" w:lineRule="auto"/>
              <w:ind w:left="26" w:right="67"/>
              <w:jc w:val="both"/>
              <w:rPr>
                <w:rFonts w:ascii="宋体" w:hAnsi="宋体" w:cs="宋体" w:eastAsia="宋体" w:hint="default"/>
                <w:sz w:val="21"/>
                <w:szCs w:val="21"/>
              </w:rPr>
            </w:pPr>
            <w:r>
              <w:rPr>
                <w:rFonts w:ascii="宋体" w:hAnsi="宋体" w:cs="宋体" w:eastAsia="宋体" w:hint="default"/>
                <w:sz w:val="21"/>
                <w:szCs w:val="21"/>
              </w:rPr>
              <w:t>额重大</w:t>
            </w:r>
            <w:r>
              <w:rPr>
                <w:rFonts w:ascii="宋体" w:hAnsi="宋体" w:cs="宋体" w:eastAsia="宋体" w:hint="default"/>
                <w:spacing w:val="-102"/>
                <w:sz w:val="21"/>
                <w:szCs w:val="21"/>
              </w:rPr>
              <w:t> </w:t>
            </w:r>
            <w:r>
              <w:rPr>
                <w:rFonts w:ascii="宋体" w:hAnsi="宋体" w:cs="宋体" w:eastAsia="宋体" w:hint="default"/>
                <w:sz w:val="21"/>
                <w:szCs w:val="21"/>
              </w:rPr>
              <w:t>并单独</w:t>
            </w:r>
            <w:r>
              <w:rPr>
                <w:rFonts w:ascii="宋体" w:hAnsi="宋体" w:cs="宋体" w:eastAsia="宋体" w:hint="default"/>
                <w:spacing w:val="-102"/>
                <w:sz w:val="21"/>
                <w:szCs w:val="21"/>
              </w:rPr>
              <w:t> </w:t>
            </w:r>
            <w:r>
              <w:rPr>
                <w:rFonts w:ascii="宋体" w:hAnsi="宋体" w:cs="宋体" w:eastAsia="宋体" w:hint="default"/>
                <w:sz w:val="21"/>
                <w:szCs w:val="21"/>
              </w:rPr>
              <w:t>计提坏</w:t>
            </w:r>
            <w:r>
              <w:rPr>
                <w:rFonts w:ascii="宋体" w:hAnsi="宋体" w:cs="宋体" w:eastAsia="宋体" w:hint="default"/>
                <w:spacing w:val="-102"/>
                <w:sz w:val="21"/>
                <w:szCs w:val="21"/>
              </w:rPr>
              <w:t> </w:t>
            </w:r>
            <w:r>
              <w:rPr>
                <w:rFonts w:ascii="宋体" w:hAnsi="宋体" w:cs="宋体" w:eastAsia="宋体" w:hint="default"/>
                <w:sz w:val="21"/>
                <w:szCs w:val="21"/>
              </w:rPr>
              <w:t>账准备</w:t>
            </w:r>
            <w:r>
              <w:rPr>
                <w:rFonts w:ascii="宋体" w:hAnsi="宋体" w:cs="宋体" w:eastAsia="宋体" w:hint="default"/>
                <w:spacing w:val="-102"/>
                <w:sz w:val="21"/>
                <w:szCs w:val="21"/>
              </w:rPr>
              <w:t> </w:t>
            </w:r>
            <w:r>
              <w:rPr>
                <w:rFonts w:ascii="宋体" w:hAnsi="宋体" w:cs="宋体" w:eastAsia="宋体" w:hint="default"/>
                <w:sz w:val="21"/>
                <w:szCs w:val="21"/>
              </w:rPr>
              <w:t>的应收</w:t>
            </w:r>
            <w:r>
              <w:rPr>
                <w:rFonts w:ascii="宋体" w:hAnsi="宋体" w:cs="宋体" w:eastAsia="宋体" w:hint="default"/>
                <w:spacing w:val="-102"/>
                <w:sz w:val="21"/>
                <w:szCs w:val="21"/>
              </w:rPr>
              <w:t> </w:t>
            </w:r>
            <w:r>
              <w:rPr>
                <w:rFonts w:ascii="宋体" w:hAnsi="宋体" w:cs="宋体" w:eastAsia="宋体" w:hint="default"/>
                <w:sz w:val="21"/>
                <w:szCs w:val="21"/>
              </w:rPr>
              <w:t>账款</w:t>
            </w:r>
          </w:p>
        </w:tc>
        <w:tc>
          <w:tcPr>
            <w:tcW w:w="99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r>
      <w:tr>
        <w:trPr>
          <w:trHeight w:val="1918" w:hRule="exact"/>
        </w:trPr>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sz w:val="21"/>
                <w:szCs w:val="21"/>
              </w:rPr>
              <w:t>按信用</w:t>
            </w:r>
          </w:p>
          <w:p>
            <w:pPr>
              <w:pStyle w:val="TableParagraph"/>
              <w:spacing w:line="237" w:lineRule="auto" w:before="2"/>
              <w:ind w:left="26" w:right="67"/>
              <w:jc w:val="both"/>
              <w:rPr>
                <w:rFonts w:ascii="宋体" w:hAnsi="宋体" w:cs="宋体" w:eastAsia="宋体" w:hint="default"/>
                <w:sz w:val="21"/>
                <w:szCs w:val="21"/>
              </w:rPr>
            </w:pPr>
            <w:r>
              <w:rPr>
                <w:rFonts w:ascii="宋体" w:hAnsi="宋体" w:cs="宋体" w:eastAsia="宋体" w:hint="default"/>
                <w:sz w:val="21"/>
                <w:szCs w:val="21"/>
              </w:rPr>
              <w:t>风险特</w:t>
            </w:r>
            <w:r>
              <w:rPr>
                <w:rFonts w:ascii="宋体" w:hAnsi="宋体" w:cs="宋体" w:eastAsia="宋体" w:hint="default"/>
                <w:spacing w:val="-102"/>
                <w:sz w:val="21"/>
                <w:szCs w:val="21"/>
              </w:rPr>
              <w:t> </w:t>
            </w:r>
            <w:r>
              <w:rPr>
                <w:rFonts w:ascii="宋体" w:hAnsi="宋体" w:cs="宋体" w:eastAsia="宋体" w:hint="default"/>
                <w:sz w:val="21"/>
                <w:szCs w:val="21"/>
              </w:rPr>
              <w:t>征组合</w:t>
            </w:r>
            <w:r>
              <w:rPr>
                <w:rFonts w:ascii="宋体" w:hAnsi="宋体" w:cs="宋体" w:eastAsia="宋体" w:hint="default"/>
                <w:spacing w:val="-102"/>
                <w:sz w:val="21"/>
                <w:szCs w:val="21"/>
              </w:rPr>
              <w:t> </w:t>
            </w:r>
            <w:r>
              <w:rPr>
                <w:rFonts w:ascii="宋体" w:hAnsi="宋体" w:cs="宋体" w:eastAsia="宋体" w:hint="default"/>
                <w:sz w:val="21"/>
                <w:szCs w:val="21"/>
              </w:rPr>
              <w:t>计提坏</w:t>
            </w:r>
            <w:r>
              <w:rPr>
                <w:rFonts w:ascii="宋体" w:hAnsi="宋体" w:cs="宋体" w:eastAsia="宋体" w:hint="default"/>
                <w:spacing w:val="-102"/>
                <w:sz w:val="21"/>
                <w:szCs w:val="21"/>
              </w:rPr>
              <w:t> </w:t>
            </w:r>
            <w:r>
              <w:rPr>
                <w:rFonts w:ascii="宋体" w:hAnsi="宋体" w:cs="宋体" w:eastAsia="宋体" w:hint="default"/>
                <w:sz w:val="21"/>
                <w:szCs w:val="21"/>
              </w:rPr>
              <w:t>账准备</w:t>
            </w:r>
            <w:r>
              <w:rPr>
                <w:rFonts w:ascii="宋体" w:hAnsi="宋体" w:cs="宋体" w:eastAsia="宋体" w:hint="default"/>
                <w:spacing w:val="-102"/>
                <w:sz w:val="21"/>
                <w:szCs w:val="21"/>
              </w:rPr>
              <w:t> </w:t>
            </w:r>
            <w:r>
              <w:rPr>
                <w:rFonts w:ascii="宋体" w:hAnsi="宋体" w:cs="宋体" w:eastAsia="宋体" w:hint="default"/>
                <w:sz w:val="21"/>
                <w:szCs w:val="21"/>
              </w:rPr>
              <w:t>的应收</w:t>
            </w:r>
            <w:r>
              <w:rPr>
                <w:rFonts w:ascii="宋体" w:hAnsi="宋体" w:cs="宋体" w:eastAsia="宋体" w:hint="default"/>
                <w:spacing w:val="-102"/>
                <w:sz w:val="21"/>
                <w:szCs w:val="21"/>
              </w:rPr>
              <w:t> </w:t>
            </w:r>
            <w:r>
              <w:rPr>
                <w:rFonts w:ascii="宋体" w:hAnsi="宋体" w:cs="宋体" w:eastAsia="宋体" w:hint="default"/>
                <w:sz w:val="21"/>
                <w:szCs w:val="21"/>
              </w:rPr>
              <w:t>账款</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sz w:val="21"/>
              </w:rPr>
              <w:t>873,052,</w:t>
            </w:r>
          </w:p>
          <w:p>
            <w:pPr>
              <w:pStyle w:val="TableParagraph"/>
              <w:spacing w:line="274" w:lineRule="exact"/>
              <w:ind w:left="326" w:right="0"/>
              <w:jc w:val="left"/>
              <w:rPr>
                <w:rFonts w:ascii="宋体" w:hAnsi="宋体" w:cs="宋体" w:eastAsia="宋体" w:hint="default"/>
                <w:sz w:val="21"/>
                <w:szCs w:val="21"/>
              </w:rPr>
            </w:pPr>
            <w:r>
              <w:rPr>
                <w:rFonts w:ascii="宋体"/>
                <w:sz w:val="21"/>
              </w:rPr>
              <w:t>988.12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 w:right="0"/>
              <w:jc w:val="left"/>
              <w:rPr>
                <w:rFonts w:ascii="宋体" w:hAnsi="宋体" w:cs="宋体" w:eastAsia="宋体" w:hint="default"/>
                <w:sz w:val="21"/>
                <w:szCs w:val="21"/>
              </w:rPr>
            </w:pPr>
            <w:r>
              <w:rPr>
                <w:rFonts w:ascii="宋体"/>
                <w:sz w:val="21"/>
              </w:rPr>
              <w:t>100.00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7" w:right="0"/>
              <w:jc w:val="center"/>
              <w:rPr>
                <w:rFonts w:ascii="宋体" w:hAnsi="宋体" w:cs="宋体" w:eastAsia="宋体" w:hint="default"/>
                <w:sz w:val="21"/>
                <w:szCs w:val="21"/>
              </w:rPr>
            </w:pPr>
            <w:r>
              <w:rPr>
                <w:rFonts w:ascii="宋体"/>
                <w:sz w:val="21"/>
              </w:rPr>
              <w:t>14,894,</w:t>
            </w:r>
          </w:p>
          <w:p>
            <w:pPr>
              <w:pStyle w:val="TableParagraph"/>
              <w:spacing w:line="274" w:lineRule="exact"/>
              <w:ind w:left="160" w:right="0"/>
              <w:jc w:val="center"/>
              <w:rPr>
                <w:rFonts w:ascii="宋体" w:hAnsi="宋体" w:cs="宋体" w:eastAsia="宋体" w:hint="default"/>
                <w:sz w:val="21"/>
                <w:szCs w:val="21"/>
              </w:rPr>
            </w:pPr>
            <w:r>
              <w:rPr>
                <w:rFonts w:ascii="宋体"/>
                <w:sz w:val="21"/>
              </w:rPr>
              <w:t>052.26</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1.7</w:t>
            </w:r>
          </w:p>
          <w:p>
            <w:pPr>
              <w:pStyle w:val="TableParagraph"/>
              <w:spacing w:line="274" w:lineRule="exact"/>
              <w:ind w:right="26"/>
              <w:jc w:val="right"/>
              <w:rPr>
                <w:rFonts w:ascii="宋体" w:hAnsi="宋体" w:cs="宋体" w:eastAsia="宋体" w:hint="default"/>
                <w:sz w:val="21"/>
                <w:szCs w:val="21"/>
              </w:rPr>
            </w:pPr>
            <w:r>
              <w:rPr>
                <w:rFonts w:ascii="宋体"/>
                <w:w w:val="100"/>
                <w:sz w:val="21"/>
              </w:rPr>
              <w:t>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7" w:right="0"/>
              <w:jc w:val="left"/>
              <w:rPr>
                <w:rFonts w:ascii="宋体" w:hAnsi="宋体" w:cs="宋体" w:eastAsia="宋体" w:hint="default"/>
                <w:sz w:val="21"/>
                <w:szCs w:val="21"/>
              </w:rPr>
            </w:pPr>
            <w:r>
              <w:rPr>
                <w:rFonts w:ascii="宋体"/>
                <w:sz w:val="21"/>
              </w:rPr>
              <w:t>858,158,93</w:t>
            </w:r>
          </w:p>
          <w:p>
            <w:pPr>
              <w:pStyle w:val="TableParagraph"/>
              <w:spacing w:line="274" w:lineRule="exact"/>
              <w:ind w:left="679" w:right="0"/>
              <w:jc w:val="left"/>
              <w:rPr>
                <w:rFonts w:ascii="宋体" w:hAnsi="宋体" w:cs="宋体" w:eastAsia="宋体" w:hint="default"/>
                <w:sz w:val="21"/>
                <w:szCs w:val="21"/>
              </w:rPr>
            </w:pPr>
            <w:r>
              <w:rPr>
                <w:rFonts w:ascii="宋体"/>
                <w:sz w:val="21"/>
              </w:rPr>
              <w:t>5.86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7" w:right="0"/>
              <w:jc w:val="left"/>
              <w:rPr>
                <w:rFonts w:ascii="宋体" w:hAnsi="宋体" w:cs="宋体" w:eastAsia="宋体" w:hint="default"/>
                <w:sz w:val="21"/>
                <w:szCs w:val="21"/>
              </w:rPr>
            </w:pPr>
            <w:r>
              <w:rPr>
                <w:rFonts w:ascii="宋体"/>
                <w:sz w:val="21"/>
              </w:rPr>
              <w:t>428,950,78</w:t>
            </w:r>
          </w:p>
          <w:p>
            <w:pPr>
              <w:pStyle w:val="TableParagraph"/>
              <w:spacing w:line="274" w:lineRule="exact"/>
              <w:ind w:left="679" w:right="0"/>
              <w:jc w:val="left"/>
              <w:rPr>
                <w:rFonts w:ascii="宋体" w:hAnsi="宋体" w:cs="宋体" w:eastAsia="宋体" w:hint="default"/>
                <w:sz w:val="21"/>
                <w:szCs w:val="21"/>
              </w:rPr>
            </w:pPr>
            <w:r>
              <w:rPr>
                <w:rFonts w:ascii="宋体"/>
                <w:sz w:val="21"/>
              </w:rPr>
              <w:t>0.47</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0" w:right="0"/>
              <w:jc w:val="left"/>
              <w:rPr>
                <w:rFonts w:ascii="宋体" w:hAnsi="宋体" w:cs="宋体" w:eastAsia="宋体" w:hint="default"/>
                <w:sz w:val="21"/>
                <w:szCs w:val="21"/>
              </w:rPr>
            </w:pPr>
            <w:r>
              <w:rPr>
                <w:rFonts w:ascii="宋体"/>
                <w:sz w:val="21"/>
              </w:rPr>
              <w:t>100.</w:t>
            </w:r>
          </w:p>
          <w:p>
            <w:pPr>
              <w:pStyle w:val="TableParagraph"/>
              <w:spacing w:line="274" w:lineRule="exact"/>
              <w:ind w:left="319" w:right="0"/>
              <w:jc w:val="left"/>
              <w:rPr>
                <w:rFonts w:ascii="宋体" w:hAnsi="宋体" w:cs="宋体" w:eastAsia="宋体" w:hint="default"/>
                <w:sz w:val="21"/>
                <w:szCs w:val="21"/>
              </w:rPr>
            </w:pPr>
            <w:r>
              <w:rPr>
                <w:rFonts w:ascii="宋体"/>
                <w:sz w:val="21"/>
              </w:rPr>
              <w:t>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sz w:val="21"/>
              </w:rPr>
              <w:t>6,966,32</w:t>
            </w:r>
          </w:p>
          <w:p>
            <w:pPr>
              <w:pStyle w:val="TableParagraph"/>
              <w:spacing w:line="274" w:lineRule="exact"/>
              <w:ind w:left="537" w:right="0"/>
              <w:jc w:val="left"/>
              <w:rPr>
                <w:rFonts w:ascii="宋体" w:hAnsi="宋体" w:cs="宋体" w:eastAsia="宋体" w:hint="default"/>
                <w:sz w:val="21"/>
                <w:szCs w:val="21"/>
              </w:rPr>
            </w:pPr>
            <w:r>
              <w:rPr>
                <w:rFonts w:ascii="宋体"/>
                <w:sz w:val="21"/>
              </w:rPr>
              <w:t>9.48</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1.6</w:t>
            </w:r>
          </w:p>
          <w:p>
            <w:pPr>
              <w:pStyle w:val="TableParagraph"/>
              <w:spacing w:line="274" w:lineRule="exact"/>
              <w:ind w:right="26"/>
              <w:jc w:val="right"/>
              <w:rPr>
                <w:rFonts w:ascii="宋体" w:hAnsi="宋体" w:cs="宋体" w:eastAsia="宋体" w:hint="default"/>
                <w:sz w:val="21"/>
                <w:szCs w:val="21"/>
              </w:rPr>
            </w:pPr>
            <w:r>
              <w:rPr>
                <w:rFonts w:ascii="宋体"/>
                <w:w w:val="100"/>
                <w:sz w:val="21"/>
              </w:rPr>
              <w:t>2</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8" w:right="0"/>
              <w:jc w:val="left"/>
              <w:rPr>
                <w:rFonts w:ascii="宋体" w:hAnsi="宋体" w:cs="宋体" w:eastAsia="宋体" w:hint="default"/>
                <w:sz w:val="21"/>
                <w:szCs w:val="21"/>
              </w:rPr>
            </w:pPr>
            <w:r>
              <w:rPr>
                <w:rFonts w:ascii="宋体"/>
                <w:sz w:val="21"/>
              </w:rPr>
              <w:t>421,984,</w:t>
            </w:r>
          </w:p>
          <w:p>
            <w:pPr>
              <w:pStyle w:val="TableParagraph"/>
              <w:spacing w:line="274" w:lineRule="exact"/>
              <w:ind w:left="256" w:right="0"/>
              <w:jc w:val="left"/>
              <w:rPr>
                <w:rFonts w:ascii="宋体" w:hAnsi="宋体" w:cs="宋体" w:eastAsia="宋体" w:hint="default"/>
                <w:sz w:val="21"/>
                <w:szCs w:val="21"/>
              </w:rPr>
            </w:pPr>
            <w:r>
              <w:rPr>
                <w:rFonts w:ascii="宋体"/>
                <w:sz w:val="21"/>
              </w:rPr>
              <w:t>450.99</w:t>
            </w:r>
          </w:p>
        </w:tc>
      </w:tr>
    </w:tbl>
    <w:p>
      <w:pPr>
        <w:spacing w:after="0" w:line="274" w:lineRule="exact"/>
        <w:jc w:val="left"/>
        <w:rPr>
          <w:rFonts w:ascii="宋体" w:hAnsi="宋体" w:cs="宋体" w:eastAsia="宋体" w:hint="default"/>
          <w:sz w:val="21"/>
          <w:szCs w:val="21"/>
        </w:rPr>
        <w:sectPr>
          <w:type w:val="continuous"/>
          <w:pgSz w:w="11910" w:h="16840"/>
          <w:pgMar w:top="1120" w:bottom="1380" w:left="154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739"/>
        <w:gridCol w:w="994"/>
        <w:gridCol w:w="709"/>
        <w:gridCol w:w="852"/>
        <w:gridCol w:w="425"/>
        <w:gridCol w:w="1133"/>
        <w:gridCol w:w="1135"/>
        <w:gridCol w:w="566"/>
        <w:gridCol w:w="992"/>
        <w:gridCol w:w="427"/>
        <w:gridCol w:w="924"/>
      </w:tblGrid>
      <w:tr>
        <w:trPr>
          <w:trHeight w:val="1918" w:hRule="exact"/>
        </w:trPr>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both"/>
              <w:rPr>
                <w:rFonts w:ascii="宋体" w:hAnsi="宋体" w:cs="宋体" w:eastAsia="宋体" w:hint="default"/>
                <w:sz w:val="21"/>
                <w:szCs w:val="21"/>
              </w:rPr>
            </w:pPr>
            <w:r>
              <w:rPr>
                <w:rFonts w:ascii="宋体" w:hAnsi="宋体" w:cs="宋体" w:eastAsia="宋体" w:hint="default"/>
                <w:sz w:val="21"/>
                <w:szCs w:val="21"/>
              </w:rPr>
              <w:t>单项金</w:t>
            </w:r>
          </w:p>
          <w:p>
            <w:pPr>
              <w:pStyle w:val="TableParagraph"/>
              <w:spacing w:line="237" w:lineRule="auto"/>
              <w:ind w:left="26" w:right="67"/>
              <w:jc w:val="both"/>
              <w:rPr>
                <w:rFonts w:ascii="宋体" w:hAnsi="宋体" w:cs="宋体" w:eastAsia="宋体" w:hint="default"/>
                <w:sz w:val="21"/>
                <w:szCs w:val="21"/>
              </w:rPr>
            </w:pPr>
            <w:r>
              <w:rPr>
                <w:rFonts w:ascii="宋体" w:hAnsi="宋体" w:cs="宋体" w:eastAsia="宋体" w:hint="default"/>
                <w:sz w:val="21"/>
                <w:szCs w:val="21"/>
              </w:rPr>
              <w:t>额不重</w:t>
            </w:r>
            <w:r>
              <w:rPr>
                <w:rFonts w:ascii="宋体" w:hAnsi="宋体" w:cs="宋体" w:eastAsia="宋体" w:hint="default"/>
                <w:spacing w:val="-102"/>
                <w:sz w:val="21"/>
                <w:szCs w:val="21"/>
              </w:rPr>
              <w:t> </w:t>
            </w:r>
            <w:r>
              <w:rPr>
                <w:rFonts w:ascii="宋体" w:hAnsi="宋体" w:cs="宋体" w:eastAsia="宋体" w:hint="default"/>
                <w:sz w:val="21"/>
                <w:szCs w:val="21"/>
              </w:rPr>
              <w:t>大但单</w:t>
            </w:r>
            <w:r>
              <w:rPr>
                <w:rFonts w:ascii="宋体" w:hAnsi="宋体" w:cs="宋体" w:eastAsia="宋体" w:hint="default"/>
                <w:spacing w:val="-102"/>
                <w:sz w:val="21"/>
                <w:szCs w:val="21"/>
              </w:rPr>
              <w:t> </w:t>
            </w:r>
            <w:r>
              <w:rPr>
                <w:rFonts w:ascii="宋体" w:hAnsi="宋体" w:cs="宋体" w:eastAsia="宋体" w:hint="default"/>
                <w:sz w:val="21"/>
                <w:szCs w:val="21"/>
              </w:rPr>
              <w:t>独计提</w:t>
            </w:r>
            <w:r>
              <w:rPr>
                <w:rFonts w:ascii="宋体" w:hAnsi="宋体" w:cs="宋体" w:eastAsia="宋体" w:hint="default"/>
                <w:spacing w:val="-102"/>
                <w:sz w:val="21"/>
                <w:szCs w:val="21"/>
              </w:rPr>
              <w:t> </w:t>
            </w:r>
            <w:r>
              <w:rPr>
                <w:rFonts w:ascii="宋体" w:hAnsi="宋体" w:cs="宋体" w:eastAsia="宋体" w:hint="default"/>
                <w:sz w:val="21"/>
                <w:szCs w:val="21"/>
              </w:rPr>
              <w:t>坏账准</w:t>
            </w:r>
            <w:r>
              <w:rPr>
                <w:rFonts w:ascii="宋体" w:hAnsi="宋体" w:cs="宋体" w:eastAsia="宋体" w:hint="default"/>
                <w:spacing w:val="-102"/>
                <w:sz w:val="21"/>
                <w:szCs w:val="21"/>
              </w:rPr>
              <w:t> </w:t>
            </w:r>
            <w:r>
              <w:rPr>
                <w:rFonts w:ascii="宋体" w:hAnsi="宋体" w:cs="宋体" w:eastAsia="宋体" w:hint="default"/>
                <w:sz w:val="21"/>
                <w:szCs w:val="21"/>
              </w:rPr>
              <w:t>备的应</w:t>
            </w:r>
            <w:r>
              <w:rPr>
                <w:rFonts w:ascii="宋体" w:hAnsi="宋体" w:cs="宋体" w:eastAsia="宋体" w:hint="default"/>
                <w:spacing w:val="-102"/>
                <w:sz w:val="21"/>
                <w:szCs w:val="21"/>
              </w:rPr>
              <w:t> </w:t>
            </w:r>
            <w:r>
              <w:rPr>
                <w:rFonts w:ascii="宋体" w:hAnsi="宋体" w:cs="宋体" w:eastAsia="宋体" w:hint="default"/>
                <w:sz w:val="21"/>
                <w:szCs w:val="21"/>
              </w:rPr>
              <w:t>收账款</w:t>
            </w:r>
          </w:p>
        </w:tc>
        <w:tc>
          <w:tcPr>
            <w:tcW w:w="99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sz w:val="21"/>
              </w:rPr>
              <w:t>873,052,</w:t>
            </w:r>
          </w:p>
          <w:p>
            <w:pPr>
              <w:pStyle w:val="TableParagraph"/>
              <w:spacing w:line="274" w:lineRule="exact"/>
              <w:ind w:left="326" w:right="0"/>
              <w:jc w:val="left"/>
              <w:rPr>
                <w:rFonts w:ascii="宋体" w:hAnsi="宋体" w:cs="宋体" w:eastAsia="宋体" w:hint="default"/>
                <w:sz w:val="21"/>
                <w:szCs w:val="21"/>
              </w:rPr>
            </w:pPr>
            <w:r>
              <w:rPr>
                <w:rFonts w:ascii="宋体"/>
                <w:sz w:val="21"/>
              </w:rPr>
              <w:t>988.12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7" w:right="0"/>
              <w:jc w:val="center"/>
              <w:rPr>
                <w:rFonts w:ascii="宋体" w:hAnsi="宋体" w:cs="宋体" w:eastAsia="宋体" w:hint="default"/>
                <w:sz w:val="21"/>
                <w:szCs w:val="21"/>
              </w:rPr>
            </w:pPr>
            <w:r>
              <w:rPr>
                <w:rFonts w:ascii="宋体"/>
                <w:sz w:val="21"/>
              </w:rPr>
              <w:t>14,894,</w:t>
            </w:r>
          </w:p>
          <w:p>
            <w:pPr>
              <w:pStyle w:val="TableParagraph"/>
              <w:spacing w:line="274" w:lineRule="exact"/>
              <w:ind w:left="160" w:right="0"/>
              <w:jc w:val="center"/>
              <w:rPr>
                <w:rFonts w:ascii="宋体" w:hAnsi="宋体" w:cs="宋体" w:eastAsia="宋体" w:hint="default"/>
                <w:sz w:val="21"/>
                <w:szCs w:val="21"/>
              </w:rPr>
            </w:pPr>
            <w:r>
              <w:rPr>
                <w:rFonts w:ascii="宋体"/>
                <w:sz w:val="21"/>
              </w:rPr>
              <w:t>052.26</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7" w:right="0"/>
              <w:jc w:val="left"/>
              <w:rPr>
                <w:rFonts w:ascii="宋体" w:hAnsi="宋体" w:cs="宋体" w:eastAsia="宋体" w:hint="default"/>
                <w:sz w:val="21"/>
                <w:szCs w:val="21"/>
              </w:rPr>
            </w:pPr>
            <w:r>
              <w:rPr>
                <w:rFonts w:ascii="宋体"/>
                <w:sz w:val="21"/>
              </w:rPr>
              <w:t>858,158,93</w:t>
            </w:r>
          </w:p>
          <w:p>
            <w:pPr>
              <w:pStyle w:val="TableParagraph"/>
              <w:spacing w:line="274" w:lineRule="exact"/>
              <w:ind w:left="679" w:right="0"/>
              <w:jc w:val="left"/>
              <w:rPr>
                <w:rFonts w:ascii="宋体" w:hAnsi="宋体" w:cs="宋体" w:eastAsia="宋体" w:hint="default"/>
                <w:sz w:val="21"/>
                <w:szCs w:val="21"/>
              </w:rPr>
            </w:pPr>
            <w:r>
              <w:rPr>
                <w:rFonts w:ascii="宋体"/>
                <w:sz w:val="21"/>
              </w:rPr>
              <w:t>5.86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7" w:right="0"/>
              <w:jc w:val="left"/>
              <w:rPr>
                <w:rFonts w:ascii="宋体" w:hAnsi="宋体" w:cs="宋体" w:eastAsia="宋体" w:hint="default"/>
                <w:sz w:val="21"/>
                <w:szCs w:val="21"/>
              </w:rPr>
            </w:pPr>
            <w:r>
              <w:rPr>
                <w:rFonts w:ascii="宋体"/>
                <w:sz w:val="21"/>
              </w:rPr>
              <w:t>428,950,78</w:t>
            </w:r>
          </w:p>
          <w:p>
            <w:pPr>
              <w:pStyle w:val="TableParagraph"/>
              <w:spacing w:line="274" w:lineRule="exact"/>
              <w:ind w:left="679" w:right="0"/>
              <w:jc w:val="left"/>
              <w:rPr>
                <w:rFonts w:ascii="宋体" w:hAnsi="宋体" w:cs="宋体" w:eastAsia="宋体" w:hint="default"/>
                <w:sz w:val="21"/>
                <w:szCs w:val="21"/>
              </w:rPr>
            </w:pPr>
            <w:r>
              <w:rPr>
                <w:rFonts w:ascii="宋体"/>
                <w:sz w:val="21"/>
              </w:rPr>
              <w:t>0.47</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sz w:val="21"/>
              </w:rPr>
              <w:t>6,966,32</w:t>
            </w:r>
          </w:p>
          <w:p>
            <w:pPr>
              <w:pStyle w:val="TableParagraph"/>
              <w:spacing w:line="274" w:lineRule="exact"/>
              <w:ind w:left="537" w:right="0"/>
              <w:jc w:val="left"/>
              <w:rPr>
                <w:rFonts w:ascii="宋体" w:hAnsi="宋体" w:cs="宋体" w:eastAsia="宋体" w:hint="default"/>
                <w:sz w:val="21"/>
                <w:szCs w:val="21"/>
              </w:rPr>
            </w:pPr>
            <w:r>
              <w:rPr>
                <w:rFonts w:ascii="宋体"/>
                <w:sz w:val="21"/>
              </w:rPr>
              <w:t>9.48</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sz w:val="21"/>
              </w:rPr>
              <w:t>421,984,</w:t>
            </w:r>
          </w:p>
          <w:p>
            <w:pPr>
              <w:pStyle w:val="TableParagraph"/>
              <w:spacing w:line="274" w:lineRule="exact"/>
              <w:ind w:left="24" w:right="0"/>
              <w:jc w:val="left"/>
              <w:rPr>
                <w:rFonts w:ascii="宋体" w:hAnsi="宋体" w:cs="宋体" w:eastAsia="宋体" w:hint="default"/>
                <w:sz w:val="21"/>
                <w:szCs w:val="21"/>
              </w:rPr>
            </w:pPr>
            <w:r>
              <w:rPr>
                <w:rFonts w:ascii="宋体"/>
                <w:sz w:val="21"/>
              </w:rPr>
              <w:t>450.99</w:t>
            </w:r>
          </w:p>
        </w:tc>
      </w:tr>
    </w:tbl>
    <w:p>
      <w:pPr>
        <w:spacing w:line="240" w:lineRule="auto" w:before="7"/>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footerReference w:type="default" r:id="rId42"/>
          <w:pgSz w:w="11910" w:h="16840"/>
          <w:pgMar w:footer="1195" w:header="882" w:top="1120" w:bottom="1380" w:left="1660" w:right="1120"/>
        </w:sectPr>
      </w:pPr>
    </w:p>
    <w:p>
      <w:pPr>
        <w:pStyle w:val="BodyText"/>
        <w:spacing w:line="273" w:lineRule="exact" w:before="36"/>
        <w:ind w:left="138" w:right="0"/>
        <w:jc w:val="left"/>
      </w:pPr>
      <w:r>
        <w:rPr>
          <w:spacing w:val="-2"/>
        </w:rPr>
        <w:t>期末单项金额重大并单项计提坏帐准备的应收账款</w:t>
      </w:r>
    </w:p>
    <w:p>
      <w:pPr>
        <w:pStyle w:val="BodyText"/>
        <w:spacing w:line="240" w:lineRule="auto"/>
        <w:ind w:left="138" w:right="0"/>
        <w:jc w:val="left"/>
      </w:pPr>
      <w:r>
        <w:rPr/>
        <w:t>□适用</w:t>
      </w:r>
      <w:r>
        <w:rPr>
          <w:spacing w:val="-2"/>
        </w:rPr>
        <w:t> </w:t>
      </w:r>
      <w:r>
        <w:rPr/>
        <w:t>√不适用</w:t>
      </w:r>
      <w:r>
        <w:rPr>
          <w:w w:val="100"/>
        </w:rPr>
        <w:t> </w:t>
      </w:r>
      <w:r>
        <w:rPr>
          <w:spacing w:val="-2"/>
        </w:rPr>
        <w:t>组合中，按账龄分析法计提坏账准备的应收账款：</w:t>
      </w:r>
    </w:p>
    <w:p>
      <w:pPr>
        <w:pStyle w:val="BodyText"/>
        <w:spacing w:line="271" w:lineRule="exact"/>
        <w:ind w:left="13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4764" w:space="1758"/>
            <w:col w:w="2608"/>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048"/>
        <w:gridCol w:w="2282"/>
        <w:gridCol w:w="2316"/>
        <w:gridCol w:w="2249"/>
      </w:tblGrid>
      <w:tr>
        <w:trPr>
          <w:trHeight w:val="283" w:hRule="exact"/>
        </w:trPr>
        <w:tc>
          <w:tcPr>
            <w:tcW w:w="2048" w:type="dxa"/>
            <w:vMerge w:val="restart"/>
            <w:tcBorders>
              <w:top w:val="single" w:sz="4" w:space="0" w:color="000000"/>
              <w:left w:val="single" w:sz="4" w:space="0" w:color="000000"/>
              <w:right w:val="single" w:sz="4" w:space="0" w:color="000000"/>
            </w:tcBorders>
          </w:tcPr>
          <w:p>
            <w:pPr>
              <w:pStyle w:val="TableParagraph"/>
              <w:spacing w:line="240" w:lineRule="auto" w:before="107"/>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8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2048" w:type="dxa"/>
            <w:vMerge/>
            <w:tcBorders>
              <w:left w:val="single" w:sz="4" w:space="0" w:color="000000"/>
              <w:bottom w:val="single" w:sz="4" w:space="0" w:color="000000"/>
              <w:right w:val="single" w:sz="4" w:space="0" w:color="000000"/>
            </w:tcBorders>
          </w:tcPr>
          <w:p>
            <w:pP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6"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6848" w:type="dxa"/>
            <w:gridSpan w:val="3"/>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w:t>
            </w:r>
          </w:p>
        </w:tc>
        <w:tc>
          <w:tcPr>
            <w:tcW w:w="6848" w:type="dxa"/>
            <w:gridSpan w:val="3"/>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1"/>
                <w:sz w:val="21"/>
                <w:szCs w:val="21"/>
              </w:rPr>
              <w:t> </w:t>
            </w:r>
            <w:r>
              <w:rPr>
                <w:rFonts w:ascii="宋体" w:hAnsi="宋体" w:cs="宋体" w:eastAsia="宋体" w:hint="default"/>
                <w:sz w:val="21"/>
                <w:szCs w:val="21"/>
              </w:rPr>
              <w:t>个月以内</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749,492,784.35</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7,494,927.84</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1.00</w:t>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4-12</w:t>
            </w:r>
            <w:r>
              <w:rPr>
                <w:rFonts w:ascii="宋体" w:hAnsi="宋体" w:cs="宋体" w:eastAsia="宋体" w:hint="default"/>
                <w:spacing w:val="-52"/>
                <w:sz w:val="21"/>
                <w:szCs w:val="21"/>
              </w:rPr>
              <w:t> </w:t>
            </w:r>
            <w:r>
              <w:rPr>
                <w:rFonts w:ascii="宋体" w:hAnsi="宋体" w:cs="宋体" w:eastAsia="宋体" w:hint="default"/>
                <w:sz w:val="21"/>
                <w:szCs w:val="21"/>
              </w:rPr>
              <w:t>个月</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109,924,181.27</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5,496,209.06</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5.00</w:t>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859,416,965.62</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12,991,136.90</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1.51</w:t>
            </w:r>
          </w:p>
        </w:tc>
      </w:tr>
      <w:tr>
        <w:trPr>
          <w:trHeight w:val="281"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11,804,344.07</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1,180,434.41</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10.00</w:t>
            </w:r>
          </w:p>
        </w:tc>
      </w:tr>
      <w:tr>
        <w:trPr>
          <w:trHeight w:val="284"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966,791.36</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290,037.41</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30.00</w:t>
            </w:r>
          </w:p>
        </w:tc>
      </w:tr>
      <w:tr>
        <w:trPr>
          <w:trHeight w:val="281"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864,887.07</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432,443.54</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50.00</w:t>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873,052,988.12</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14,894,052.26</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1.71</w:t>
            </w:r>
          </w:p>
        </w:tc>
      </w:tr>
    </w:tbl>
    <w:p>
      <w:pPr>
        <w:spacing w:line="240" w:lineRule="auto" w:before="7"/>
        <w:rPr>
          <w:rFonts w:ascii="宋体" w:hAnsi="宋体" w:cs="宋体" w:eastAsia="宋体" w:hint="default"/>
          <w:sz w:val="15"/>
          <w:szCs w:val="15"/>
        </w:rPr>
      </w:pPr>
    </w:p>
    <w:p>
      <w:pPr>
        <w:pStyle w:val="BodyText"/>
        <w:spacing w:line="272" w:lineRule="exact" w:before="64"/>
        <w:ind w:left="138" w:right="4983"/>
        <w:jc w:val="left"/>
      </w:pPr>
      <w:r>
        <w:rPr/>
        <w:t>确定该组合依据的说明：</w:t>
      </w:r>
      <w:r>
        <w:rPr>
          <w:w w:val="100"/>
        </w:rPr>
        <w:t> </w:t>
      </w:r>
      <w:r>
        <w:rPr>
          <w:spacing w:val="-2"/>
        </w:rPr>
        <w:t>以账龄作为信用风险特征。</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spacing w:line="273" w:lineRule="exact"/>
        <w:ind w:left="138" w:right="2859"/>
        <w:jc w:val="left"/>
      </w:pPr>
      <w:r>
        <w:rPr/>
        <w:t>组合中，采用余额百分比法计提坏账准备的应收账款：</w:t>
      </w:r>
    </w:p>
    <w:p>
      <w:pPr>
        <w:pStyle w:val="BodyText"/>
        <w:spacing w:line="240" w:lineRule="auto"/>
        <w:ind w:left="138" w:right="2859"/>
        <w:jc w:val="left"/>
      </w:pPr>
      <w:r>
        <w:rPr/>
        <w:t>□适用</w:t>
      </w:r>
      <w:r>
        <w:rPr>
          <w:spacing w:val="-2"/>
        </w:rPr>
        <w:t> </w:t>
      </w:r>
      <w:r>
        <w:rPr/>
        <w:t>√不适用</w:t>
      </w:r>
      <w:r>
        <w:rPr>
          <w:w w:val="100"/>
        </w:rPr>
        <w:t> </w:t>
      </w:r>
      <w:r>
        <w:rPr>
          <w:spacing w:val="-2"/>
        </w:rPr>
        <w:t>组合中，采用其他方法计提坏账准备的应收账款：</w:t>
      </w:r>
    </w:p>
    <w:p>
      <w:pPr>
        <w:pStyle w:val="BodyText"/>
        <w:spacing w:line="271" w:lineRule="exact"/>
        <w:ind w:left="138" w:right="4983"/>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2859"/>
        <w:jc w:val="left"/>
        <w:rPr>
          <w:b w:val="0"/>
          <w:bCs w:val="0"/>
        </w:rPr>
      </w:pPr>
      <w:r>
        <w:rPr>
          <w:rFonts w:ascii="宋体" w:hAnsi="宋体" w:cs="宋体" w:eastAsia="宋体" w:hint="default"/>
        </w:rPr>
        <w:t>(2).</w:t>
      </w:r>
      <w:r>
        <w:rPr>
          <w:rFonts w:ascii="宋体" w:hAnsi="宋体" w:cs="宋体" w:eastAsia="宋体" w:hint="default"/>
          <w:spacing w:val="44"/>
        </w:rPr>
        <w:t> </w:t>
      </w:r>
      <w:r>
        <w:rPr/>
        <w:t>本期计提、收回或转回的坏账准备情况：</w:t>
      </w:r>
      <w:r>
        <w:rPr>
          <w:b w:val="0"/>
          <w:bCs w:val="0"/>
        </w:rPr>
      </w:r>
    </w:p>
    <w:p>
      <w:pPr>
        <w:pStyle w:val="BodyText"/>
        <w:spacing w:line="240" w:lineRule="auto" w:before="58"/>
        <w:ind w:left="138" w:right="0"/>
        <w:jc w:val="left"/>
      </w:pPr>
      <w:r>
        <w:rPr/>
        <w:t>本期计提坏账准备金额</w:t>
      </w:r>
      <w:r>
        <w:rPr>
          <w:spacing w:val="-54"/>
        </w:rPr>
        <w:t> </w:t>
      </w:r>
      <w:r>
        <w:rPr>
          <w:rFonts w:ascii="宋体" w:hAnsi="宋体" w:cs="宋体" w:eastAsia="宋体" w:hint="default"/>
        </w:rPr>
        <w:t>7,927,722.78</w:t>
      </w:r>
      <w:r>
        <w:rPr>
          <w:rFonts w:ascii="宋体" w:hAnsi="宋体" w:cs="宋体" w:eastAsia="宋体" w:hint="default"/>
          <w:spacing w:val="-55"/>
        </w:rPr>
        <w:t> </w:t>
      </w:r>
      <w:r>
        <w:rPr/>
        <w:t>元；本期收回或转回坏账准备金额</w:t>
      </w:r>
      <w:r>
        <w:rPr>
          <w:spacing w:val="-55"/>
        </w:rPr>
        <w:t> </w:t>
      </w:r>
      <w:r>
        <w:rPr>
          <w:rFonts w:ascii="宋体" w:hAnsi="宋体" w:cs="宋体" w:eastAsia="宋体" w:hint="default"/>
        </w:rPr>
        <w:t>0</w:t>
      </w:r>
      <w:r>
        <w:rPr>
          <w:rFonts w:ascii="宋体" w:hAnsi="宋体" w:cs="宋体" w:eastAsia="宋体" w:hint="default"/>
          <w:spacing w:val="-55"/>
        </w:rPr>
        <w:t> </w:t>
      </w:r>
      <w:r>
        <w:rPr>
          <w:spacing w:val="-3"/>
        </w:rPr>
        <w:t>元。</w:t>
      </w:r>
      <w:r>
        <w:rPr/>
      </w:r>
    </w:p>
    <w:p>
      <w:pPr>
        <w:spacing w:line="240" w:lineRule="auto" w:before="8"/>
        <w:rPr>
          <w:rFonts w:ascii="宋体" w:hAnsi="宋体" w:cs="宋体" w:eastAsia="宋体" w:hint="default"/>
          <w:sz w:val="20"/>
          <w:szCs w:val="20"/>
        </w:rPr>
      </w:pPr>
    </w:p>
    <w:p>
      <w:pPr>
        <w:pStyle w:val="BodyText"/>
        <w:spacing w:line="273" w:lineRule="exact"/>
        <w:ind w:left="138" w:right="2859"/>
        <w:jc w:val="left"/>
      </w:pPr>
      <w:r>
        <w:rPr/>
        <w:t>其中本期坏账准备收回或转回金额重要的：</w:t>
      </w:r>
    </w:p>
    <w:p>
      <w:pPr>
        <w:pStyle w:val="BodyText"/>
        <w:spacing w:line="273" w:lineRule="exact"/>
        <w:ind w:left="138" w:right="4983"/>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4983"/>
        <w:jc w:val="left"/>
        <w:rPr>
          <w:b w:val="0"/>
          <w:bCs w:val="0"/>
        </w:rPr>
      </w:pPr>
      <w:r>
        <w:rPr>
          <w:rFonts w:ascii="宋体" w:hAnsi="宋体" w:cs="宋体" w:eastAsia="宋体" w:hint="default"/>
        </w:rPr>
        <w:t>(3).</w:t>
      </w:r>
      <w:r>
        <w:rPr>
          <w:rFonts w:ascii="宋体" w:hAnsi="宋体" w:cs="宋体" w:eastAsia="宋体" w:hint="default"/>
          <w:spacing w:val="44"/>
        </w:rPr>
        <w:t> </w:t>
      </w:r>
      <w:r>
        <w:rPr/>
        <w:t>本期实际核销的应收账款情况</w:t>
      </w:r>
      <w:r>
        <w:rPr>
          <w:b w:val="0"/>
          <w:bCs w:val="0"/>
        </w:rPr>
      </w:r>
    </w:p>
    <w:p>
      <w:pPr>
        <w:pStyle w:val="BodyText"/>
        <w:spacing w:line="240" w:lineRule="auto" w:before="56"/>
        <w:ind w:left="138" w:right="4983"/>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2859"/>
        <w:jc w:val="left"/>
        <w:rPr>
          <w:b w:val="0"/>
          <w:bCs w:val="0"/>
        </w:rPr>
      </w:pPr>
      <w:r>
        <w:rPr>
          <w:rFonts w:ascii="宋体" w:hAnsi="宋体" w:cs="宋体" w:eastAsia="宋体" w:hint="default"/>
        </w:rPr>
        <w:t>(4).</w:t>
      </w:r>
      <w:r>
        <w:rPr>
          <w:rFonts w:ascii="宋体" w:hAnsi="宋体" w:cs="宋体" w:eastAsia="宋体" w:hint="default"/>
          <w:spacing w:val="43"/>
        </w:rPr>
        <w:t> </w:t>
      </w:r>
      <w:r>
        <w:rPr/>
        <w:t>按欠款方归集的期末余额前五名的应收账款情况：</w:t>
      </w:r>
      <w:r>
        <w:rPr>
          <w:b w:val="0"/>
          <w:bCs w:val="0"/>
        </w:rPr>
      </w:r>
    </w:p>
    <w:p>
      <w:pPr>
        <w:pStyle w:val="BodyText"/>
        <w:spacing w:line="240" w:lineRule="auto" w:before="59"/>
        <w:ind w:left="138" w:right="4983"/>
        <w:jc w:val="left"/>
      </w:pPr>
      <w:r>
        <w:rPr/>
        <w:t>√适用</w:t>
      </w:r>
      <w:r>
        <w:rPr>
          <w:spacing w:val="-1"/>
        </w:rPr>
        <w:t> </w:t>
      </w:r>
      <w:r>
        <w:rPr/>
        <w:t>□不适用</w:t>
      </w:r>
    </w:p>
    <w:p>
      <w:pPr>
        <w:spacing w:after="0" w:line="240" w:lineRule="auto"/>
        <w:jc w:val="left"/>
        <w:sectPr>
          <w:type w:val="continuous"/>
          <w:pgSz w:w="11910" w:h="16840"/>
          <w:pgMar w:top="1120" w:bottom="1380" w:left="166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3646"/>
        <w:gridCol w:w="1762"/>
        <w:gridCol w:w="1971"/>
        <w:gridCol w:w="1685"/>
      </w:tblGrid>
      <w:tr>
        <w:trPr>
          <w:trHeight w:val="956" w:hRule="exact"/>
        </w:trPr>
        <w:tc>
          <w:tcPr>
            <w:tcW w:w="364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right="1390"/>
              <w:jc w:val="right"/>
              <w:rPr>
                <w:rFonts w:ascii="宋体" w:hAnsi="宋体" w:cs="宋体" w:eastAsia="宋体" w:hint="default"/>
                <w:sz w:val="21"/>
                <w:szCs w:val="21"/>
              </w:rPr>
            </w:pPr>
            <w:r>
              <w:rPr>
                <w:rFonts w:ascii="宋体" w:hAnsi="宋体" w:cs="宋体" w:eastAsia="宋体" w:hint="default"/>
                <w:spacing w:val="-1"/>
                <w:sz w:val="21"/>
                <w:szCs w:val="21"/>
              </w:rPr>
              <w:t>单位名称</w:t>
            </w:r>
          </w:p>
        </w:tc>
        <w:tc>
          <w:tcPr>
            <w:tcW w:w="176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1971" w:type="dxa"/>
            <w:tcBorders>
              <w:top w:val="single" w:sz="12" w:space="0" w:color="000000"/>
              <w:left w:val="single" w:sz="2" w:space="0" w:color="000000"/>
              <w:bottom w:val="single" w:sz="2" w:space="0" w:color="000000"/>
              <w:right w:val="single" w:sz="2" w:space="0" w:color="000000"/>
            </w:tcBorders>
          </w:tcPr>
          <w:p>
            <w:pPr>
              <w:pStyle w:val="TableParagraph"/>
              <w:spacing w:line="237" w:lineRule="auto" w:before="91"/>
              <w:ind w:left="141" w:right="139"/>
              <w:jc w:val="center"/>
              <w:rPr>
                <w:rFonts w:ascii="宋体" w:hAnsi="宋体" w:cs="宋体" w:eastAsia="宋体" w:hint="default"/>
                <w:sz w:val="21"/>
                <w:szCs w:val="21"/>
              </w:rPr>
            </w:pPr>
            <w:r>
              <w:rPr>
                <w:rFonts w:ascii="宋体" w:hAnsi="宋体" w:cs="宋体" w:eastAsia="宋体" w:hint="default"/>
                <w:spacing w:val="-2"/>
                <w:sz w:val="21"/>
                <w:szCs w:val="21"/>
              </w:rPr>
              <w:t>占应收账款期末余</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额合计数的比例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68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72" w:lineRule="exact"/>
              <w:ind w:left="731" w:right="103" w:hanging="629"/>
              <w:jc w:val="left"/>
              <w:rPr>
                <w:rFonts w:ascii="宋体" w:hAnsi="宋体" w:cs="宋体" w:eastAsia="宋体" w:hint="default"/>
                <w:sz w:val="21"/>
                <w:szCs w:val="21"/>
              </w:rPr>
            </w:pPr>
            <w:r>
              <w:rPr>
                <w:rFonts w:ascii="宋体" w:hAnsi="宋体" w:cs="宋体" w:eastAsia="宋体" w:hint="default"/>
                <w:spacing w:val="-1"/>
                <w:sz w:val="21"/>
                <w:szCs w:val="21"/>
              </w:rPr>
              <w:t>坏账准备期末余</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额</w:t>
            </w:r>
          </w:p>
        </w:tc>
      </w:tr>
      <w:tr>
        <w:trPr>
          <w:trHeight w:val="550" w:hRule="exact"/>
        </w:trPr>
        <w:tc>
          <w:tcPr>
            <w:tcW w:w="3646"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厦门象屿速传供应链发展股份有限公</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7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2"/>
              <w:ind w:left="182" w:right="0"/>
              <w:jc w:val="center"/>
              <w:rPr>
                <w:rFonts w:ascii="宋体" w:hAnsi="宋体" w:cs="宋体" w:eastAsia="宋体" w:hint="default"/>
                <w:sz w:val="21"/>
                <w:szCs w:val="21"/>
              </w:rPr>
            </w:pPr>
            <w:r>
              <w:rPr>
                <w:rFonts w:ascii="宋体"/>
                <w:sz w:val="21"/>
              </w:rPr>
              <w:t>41,733,117.24</w:t>
            </w:r>
          </w:p>
        </w:tc>
        <w:tc>
          <w:tcPr>
            <w:tcW w:w="19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2"/>
              <w:ind w:right="104"/>
              <w:jc w:val="right"/>
              <w:rPr>
                <w:rFonts w:ascii="宋体" w:hAnsi="宋体" w:cs="宋体" w:eastAsia="宋体" w:hint="default"/>
                <w:sz w:val="21"/>
                <w:szCs w:val="21"/>
              </w:rPr>
            </w:pPr>
            <w:r>
              <w:rPr>
                <w:rFonts w:ascii="宋体"/>
                <w:sz w:val="21"/>
              </w:rPr>
              <w:t>4.78</w:t>
            </w:r>
          </w:p>
        </w:tc>
        <w:tc>
          <w:tcPr>
            <w:tcW w:w="16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2"/>
              <w:ind w:right="103"/>
              <w:jc w:val="right"/>
              <w:rPr>
                <w:rFonts w:ascii="宋体" w:hAnsi="宋体" w:cs="宋体" w:eastAsia="宋体" w:hint="default"/>
                <w:sz w:val="21"/>
                <w:szCs w:val="21"/>
              </w:rPr>
            </w:pPr>
            <w:r>
              <w:rPr>
                <w:rFonts w:ascii="宋体"/>
                <w:spacing w:val="-1"/>
                <w:sz w:val="21"/>
              </w:rPr>
              <w:t>1,702,341.58</w:t>
            </w:r>
          </w:p>
        </w:tc>
      </w:tr>
      <w:tr>
        <w:trPr>
          <w:trHeight w:val="403" w:hRule="exact"/>
        </w:trPr>
        <w:tc>
          <w:tcPr>
            <w:tcW w:w="36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8"/>
              <w:ind w:right="1416"/>
              <w:jc w:val="right"/>
              <w:rPr>
                <w:rFonts w:ascii="宋体" w:hAnsi="宋体" w:cs="宋体" w:eastAsia="宋体" w:hint="default"/>
                <w:sz w:val="21"/>
                <w:szCs w:val="21"/>
              </w:rPr>
            </w:pPr>
            <w:r>
              <w:rPr>
                <w:rFonts w:ascii="宋体" w:hAnsi="宋体" w:cs="宋体" w:eastAsia="宋体" w:hint="default"/>
                <w:spacing w:val="-2"/>
                <w:sz w:val="21"/>
                <w:szCs w:val="21"/>
              </w:rPr>
              <w:t>天津荣达物流有限公司</w:t>
            </w:r>
          </w:p>
        </w:tc>
        <w:tc>
          <w:tcPr>
            <w:tcW w:w="17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left="182" w:right="0"/>
              <w:jc w:val="center"/>
              <w:rPr>
                <w:rFonts w:ascii="宋体" w:hAnsi="宋体" w:cs="宋体" w:eastAsia="宋体" w:hint="default"/>
                <w:sz w:val="21"/>
                <w:szCs w:val="21"/>
              </w:rPr>
            </w:pPr>
            <w:r>
              <w:rPr>
                <w:rFonts w:ascii="宋体"/>
                <w:sz w:val="21"/>
              </w:rPr>
              <w:t>31,873,234.00</w:t>
            </w:r>
          </w:p>
        </w:tc>
        <w:tc>
          <w:tcPr>
            <w:tcW w:w="19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104"/>
              <w:jc w:val="right"/>
              <w:rPr>
                <w:rFonts w:ascii="宋体" w:hAnsi="宋体" w:cs="宋体" w:eastAsia="宋体" w:hint="default"/>
                <w:sz w:val="21"/>
                <w:szCs w:val="21"/>
              </w:rPr>
            </w:pPr>
            <w:r>
              <w:rPr>
                <w:rFonts w:ascii="宋体"/>
                <w:sz w:val="21"/>
              </w:rPr>
              <w:t>3.65</w:t>
            </w:r>
          </w:p>
        </w:tc>
        <w:tc>
          <w:tcPr>
            <w:tcW w:w="16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8"/>
              <w:ind w:right="103"/>
              <w:jc w:val="right"/>
              <w:rPr>
                <w:rFonts w:ascii="宋体" w:hAnsi="宋体" w:cs="宋体" w:eastAsia="宋体" w:hint="default"/>
                <w:sz w:val="21"/>
                <w:szCs w:val="21"/>
              </w:rPr>
            </w:pPr>
            <w:r>
              <w:rPr>
                <w:rFonts w:ascii="宋体"/>
                <w:spacing w:val="-1"/>
                <w:sz w:val="21"/>
              </w:rPr>
              <w:t>318,732.34</w:t>
            </w:r>
          </w:p>
        </w:tc>
      </w:tr>
      <w:tr>
        <w:trPr>
          <w:trHeight w:val="401" w:hRule="exact"/>
        </w:trPr>
        <w:tc>
          <w:tcPr>
            <w:tcW w:w="36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8"/>
              <w:ind w:right="1416"/>
              <w:jc w:val="right"/>
              <w:rPr>
                <w:rFonts w:ascii="宋体" w:hAnsi="宋体" w:cs="宋体" w:eastAsia="宋体" w:hint="default"/>
                <w:sz w:val="21"/>
                <w:szCs w:val="21"/>
              </w:rPr>
            </w:pPr>
            <w:r>
              <w:rPr>
                <w:rFonts w:ascii="宋体" w:hAnsi="宋体" w:cs="宋体" w:eastAsia="宋体" w:hint="default"/>
                <w:spacing w:val="-2"/>
                <w:sz w:val="21"/>
                <w:szCs w:val="21"/>
              </w:rPr>
              <w:t>营口永祥物流有限公司</w:t>
            </w:r>
          </w:p>
        </w:tc>
        <w:tc>
          <w:tcPr>
            <w:tcW w:w="17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left="182" w:right="0"/>
              <w:jc w:val="center"/>
              <w:rPr>
                <w:rFonts w:ascii="宋体" w:hAnsi="宋体" w:cs="宋体" w:eastAsia="宋体" w:hint="default"/>
                <w:sz w:val="21"/>
                <w:szCs w:val="21"/>
              </w:rPr>
            </w:pPr>
            <w:r>
              <w:rPr>
                <w:rFonts w:ascii="宋体"/>
                <w:sz w:val="21"/>
              </w:rPr>
              <w:t>26,585,354.30</w:t>
            </w:r>
          </w:p>
        </w:tc>
        <w:tc>
          <w:tcPr>
            <w:tcW w:w="19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104"/>
              <w:jc w:val="right"/>
              <w:rPr>
                <w:rFonts w:ascii="宋体" w:hAnsi="宋体" w:cs="宋体" w:eastAsia="宋体" w:hint="default"/>
                <w:sz w:val="21"/>
                <w:szCs w:val="21"/>
              </w:rPr>
            </w:pPr>
            <w:r>
              <w:rPr>
                <w:rFonts w:ascii="宋体"/>
                <w:sz w:val="21"/>
              </w:rPr>
              <w:t>3.05</w:t>
            </w:r>
          </w:p>
        </w:tc>
        <w:tc>
          <w:tcPr>
            <w:tcW w:w="16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8"/>
              <w:ind w:right="103"/>
              <w:jc w:val="right"/>
              <w:rPr>
                <w:rFonts w:ascii="宋体" w:hAnsi="宋体" w:cs="宋体" w:eastAsia="宋体" w:hint="default"/>
                <w:sz w:val="21"/>
                <w:szCs w:val="21"/>
              </w:rPr>
            </w:pPr>
            <w:r>
              <w:rPr>
                <w:rFonts w:ascii="宋体"/>
                <w:spacing w:val="-1"/>
                <w:sz w:val="21"/>
              </w:rPr>
              <w:t>265,853.54</w:t>
            </w:r>
          </w:p>
        </w:tc>
      </w:tr>
      <w:tr>
        <w:trPr>
          <w:trHeight w:val="403" w:hRule="exact"/>
        </w:trPr>
        <w:tc>
          <w:tcPr>
            <w:tcW w:w="36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8"/>
              <w:ind w:right="1416"/>
              <w:jc w:val="right"/>
              <w:rPr>
                <w:rFonts w:ascii="宋体" w:hAnsi="宋体" w:cs="宋体" w:eastAsia="宋体" w:hint="default"/>
                <w:sz w:val="21"/>
                <w:szCs w:val="21"/>
              </w:rPr>
            </w:pPr>
            <w:r>
              <w:rPr>
                <w:rFonts w:ascii="宋体" w:hAnsi="宋体" w:cs="宋体" w:eastAsia="宋体" w:hint="default"/>
                <w:spacing w:val="-2"/>
                <w:sz w:val="21"/>
                <w:szCs w:val="21"/>
              </w:rPr>
              <w:t>中华货物船务代理公司</w:t>
            </w:r>
          </w:p>
        </w:tc>
        <w:tc>
          <w:tcPr>
            <w:tcW w:w="17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left="182" w:right="0"/>
              <w:jc w:val="center"/>
              <w:rPr>
                <w:rFonts w:ascii="宋体" w:hAnsi="宋体" w:cs="宋体" w:eastAsia="宋体" w:hint="default"/>
                <w:sz w:val="21"/>
                <w:szCs w:val="21"/>
              </w:rPr>
            </w:pPr>
            <w:r>
              <w:rPr>
                <w:rFonts w:ascii="宋体"/>
                <w:sz w:val="21"/>
              </w:rPr>
              <w:t>20,169,814.06</w:t>
            </w:r>
          </w:p>
        </w:tc>
        <w:tc>
          <w:tcPr>
            <w:tcW w:w="19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104"/>
              <w:jc w:val="right"/>
              <w:rPr>
                <w:rFonts w:ascii="宋体" w:hAnsi="宋体" w:cs="宋体" w:eastAsia="宋体" w:hint="default"/>
                <w:sz w:val="21"/>
                <w:szCs w:val="21"/>
              </w:rPr>
            </w:pPr>
            <w:r>
              <w:rPr>
                <w:rFonts w:ascii="宋体"/>
                <w:sz w:val="21"/>
              </w:rPr>
              <w:t>2.31</w:t>
            </w:r>
          </w:p>
        </w:tc>
        <w:tc>
          <w:tcPr>
            <w:tcW w:w="16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8"/>
              <w:ind w:right="103"/>
              <w:jc w:val="right"/>
              <w:rPr>
                <w:rFonts w:ascii="宋体" w:hAnsi="宋体" w:cs="宋体" w:eastAsia="宋体" w:hint="default"/>
                <w:sz w:val="21"/>
                <w:szCs w:val="21"/>
              </w:rPr>
            </w:pPr>
            <w:r>
              <w:rPr>
                <w:rFonts w:ascii="宋体"/>
                <w:spacing w:val="-1"/>
                <w:sz w:val="21"/>
              </w:rPr>
              <w:t>488,654.22</w:t>
            </w:r>
          </w:p>
        </w:tc>
      </w:tr>
      <w:tr>
        <w:trPr>
          <w:trHeight w:val="401" w:hRule="exact"/>
        </w:trPr>
        <w:tc>
          <w:tcPr>
            <w:tcW w:w="36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8"/>
              <w:ind w:right="1416"/>
              <w:jc w:val="right"/>
              <w:rPr>
                <w:rFonts w:ascii="宋体" w:hAnsi="宋体" w:cs="宋体" w:eastAsia="宋体" w:hint="default"/>
                <w:sz w:val="21"/>
                <w:szCs w:val="21"/>
              </w:rPr>
            </w:pPr>
            <w:r>
              <w:rPr>
                <w:rFonts w:ascii="宋体" w:hAnsi="宋体" w:cs="宋体" w:eastAsia="宋体" w:hint="default"/>
                <w:spacing w:val="-2"/>
                <w:sz w:val="21"/>
                <w:szCs w:val="21"/>
              </w:rPr>
              <w:t>湛江晨鸣浆纸有限公司</w:t>
            </w:r>
          </w:p>
        </w:tc>
        <w:tc>
          <w:tcPr>
            <w:tcW w:w="17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left="182" w:right="0"/>
              <w:jc w:val="center"/>
              <w:rPr>
                <w:rFonts w:ascii="宋体" w:hAnsi="宋体" w:cs="宋体" w:eastAsia="宋体" w:hint="default"/>
                <w:sz w:val="21"/>
                <w:szCs w:val="21"/>
              </w:rPr>
            </w:pPr>
            <w:r>
              <w:rPr>
                <w:rFonts w:ascii="宋体"/>
                <w:sz w:val="21"/>
              </w:rPr>
              <w:t>16,691,869.54</w:t>
            </w:r>
          </w:p>
        </w:tc>
        <w:tc>
          <w:tcPr>
            <w:tcW w:w="19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104"/>
              <w:jc w:val="right"/>
              <w:rPr>
                <w:rFonts w:ascii="宋体" w:hAnsi="宋体" w:cs="宋体" w:eastAsia="宋体" w:hint="default"/>
                <w:sz w:val="21"/>
                <w:szCs w:val="21"/>
              </w:rPr>
            </w:pPr>
            <w:r>
              <w:rPr>
                <w:rFonts w:ascii="宋体"/>
                <w:sz w:val="21"/>
              </w:rPr>
              <w:t>1.91</w:t>
            </w:r>
          </w:p>
        </w:tc>
        <w:tc>
          <w:tcPr>
            <w:tcW w:w="16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8"/>
              <w:ind w:right="103"/>
              <w:jc w:val="right"/>
              <w:rPr>
                <w:rFonts w:ascii="宋体" w:hAnsi="宋体" w:cs="宋体" w:eastAsia="宋体" w:hint="default"/>
                <w:sz w:val="21"/>
                <w:szCs w:val="21"/>
              </w:rPr>
            </w:pPr>
            <w:r>
              <w:rPr>
                <w:rFonts w:ascii="宋体"/>
                <w:spacing w:val="-1"/>
                <w:sz w:val="21"/>
              </w:rPr>
              <w:t>166,918.70</w:t>
            </w:r>
          </w:p>
        </w:tc>
      </w:tr>
      <w:tr>
        <w:trPr>
          <w:trHeight w:val="416" w:hRule="exact"/>
        </w:trPr>
        <w:tc>
          <w:tcPr>
            <w:tcW w:w="364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9"/>
              <w:ind w:left="13"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6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9"/>
              <w:ind w:left="76" w:right="0"/>
              <w:jc w:val="center"/>
              <w:rPr>
                <w:rFonts w:ascii="宋体" w:hAnsi="宋体" w:cs="宋体" w:eastAsia="宋体" w:hint="default"/>
                <w:sz w:val="21"/>
                <w:szCs w:val="21"/>
              </w:rPr>
            </w:pPr>
            <w:r>
              <w:rPr>
                <w:rFonts w:ascii="宋体"/>
                <w:sz w:val="21"/>
              </w:rPr>
              <w:t>137,053,389.14</w:t>
            </w:r>
          </w:p>
        </w:tc>
        <w:tc>
          <w:tcPr>
            <w:tcW w:w="197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9"/>
              <w:ind w:right="104"/>
              <w:jc w:val="right"/>
              <w:rPr>
                <w:rFonts w:ascii="宋体" w:hAnsi="宋体" w:cs="宋体" w:eastAsia="宋体" w:hint="default"/>
                <w:sz w:val="21"/>
                <w:szCs w:val="21"/>
              </w:rPr>
            </w:pPr>
            <w:r>
              <w:rPr>
                <w:rFonts w:ascii="宋体"/>
                <w:sz w:val="21"/>
              </w:rPr>
              <w:t>15.70</w:t>
            </w:r>
          </w:p>
        </w:tc>
        <w:tc>
          <w:tcPr>
            <w:tcW w:w="168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9"/>
              <w:ind w:right="103"/>
              <w:jc w:val="right"/>
              <w:rPr>
                <w:rFonts w:ascii="宋体" w:hAnsi="宋体" w:cs="宋体" w:eastAsia="宋体" w:hint="default"/>
                <w:sz w:val="21"/>
                <w:szCs w:val="21"/>
              </w:rPr>
            </w:pPr>
            <w:r>
              <w:rPr>
                <w:rFonts w:ascii="宋体"/>
                <w:spacing w:val="-1"/>
                <w:sz w:val="21"/>
              </w:rPr>
              <w:t>2,942,500.38</w:t>
            </w:r>
          </w:p>
        </w:tc>
      </w:tr>
    </w:tbl>
    <w:p>
      <w:pPr>
        <w:spacing w:line="240" w:lineRule="auto" w:before="2"/>
        <w:rPr>
          <w:rFonts w:ascii="宋体" w:hAnsi="宋体" w:cs="宋体" w:eastAsia="宋体" w:hint="default"/>
          <w:sz w:val="20"/>
          <w:szCs w:val="20"/>
        </w:rPr>
      </w:pPr>
    </w:p>
    <w:p>
      <w:pPr>
        <w:pStyle w:val="Heading2"/>
        <w:spacing w:line="240" w:lineRule="auto" w:before="36"/>
        <w:ind w:left="238" w:right="930"/>
        <w:jc w:val="left"/>
        <w:rPr>
          <w:b w:val="0"/>
          <w:bCs w:val="0"/>
        </w:rPr>
      </w:pPr>
      <w:r>
        <w:rPr>
          <w:rFonts w:ascii="宋体" w:hAnsi="宋体" w:cs="宋体" w:eastAsia="宋体" w:hint="default"/>
        </w:rPr>
        <w:t>(5).</w:t>
      </w:r>
      <w:r>
        <w:rPr>
          <w:rFonts w:ascii="宋体" w:hAnsi="宋体" w:cs="宋体" w:eastAsia="宋体" w:hint="default"/>
          <w:spacing w:val="44"/>
        </w:rPr>
        <w:t> </w:t>
      </w:r>
      <w:r>
        <w:rPr/>
        <w:t>因金融资产转移而终止确认的应收账款：</w:t>
      </w:r>
      <w:r>
        <w:rPr>
          <w:b w:val="0"/>
          <w:bCs w:val="0"/>
        </w:rPr>
      </w:r>
    </w:p>
    <w:p>
      <w:pPr>
        <w:pStyle w:val="BodyText"/>
        <w:spacing w:line="240" w:lineRule="auto" w:before="56"/>
        <w:ind w:left="238" w:right="930"/>
        <w:jc w:val="left"/>
      </w:pPr>
      <w:r>
        <w:rPr/>
        <w:t>□适用</w:t>
      </w:r>
      <w:r>
        <w:rPr>
          <w:spacing w:val="-1"/>
        </w:rPr>
        <w:t> </w:t>
      </w:r>
      <w:r>
        <w:rPr/>
        <w:t>√不适用</w:t>
      </w:r>
    </w:p>
    <w:p>
      <w:pPr>
        <w:spacing w:line="240" w:lineRule="auto" w:before="11"/>
        <w:rPr>
          <w:rFonts w:ascii="宋体" w:hAnsi="宋体" w:cs="宋体" w:eastAsia="宋体" w:hint="default"/>
          <w:sz w:val="22"/>
          <w:szCs w:val="22"/>
        </w:rPr>
      </w:pPr>
    </w:p>
    <w:p>
      <w:pPr>
        <w:pStyle w:val="Heading2"/>
        <w:spacing w:line="240" w:lineRule="auto"/>
        <w:ind w:left="238" w:right="930"/>
        <w:jc w:val="left"/>
        <w:rPr>
          <w:b w:val="0"/>
          <w:bCs w:val="0"/>
        </w:rPr>
      </w:pPr>
      <w:r>
        <w:rPr>
          <w:rFonts w:ascii="宋体" w:hAnsi="宋体" w:cs="宋体" w:eastAsia="宋体" w:hint="default"/>
        </w:rPr>
        <w:t>(6).</w:t>
      </w:r>
      <w:r>
        <w:rPr>
          <w:rFonts w:ascii="宋体" w:hAnsi="宋体" w:cs="宋体" w:eastAsia="宋体" w:hint="default"/>
          <w:spacing w:val="43"/>
        </w:rPr>
        <w:t> </w:t>
      </w:r>
      <w:r>
        <w:rPr/>
        <w:t>转移应收账款且继续涉入形成的资产、负债金额：</w:t>
      </w:r>
      <w:r>
        <w:rPr>
          <w:b w:val="0"/>
          <w:bCs w:val="0"/>
        </w:rPr>
      </w:r>
    </w:p>
    <w:p>
      <w:pPr>
        <w:pStyle w:val="BodyText"/>
        <w:spacing w:line="240" w:lineRule="auto" w:before="58"/>
        <w:ind w:left="238" w:right="930"/>
        <w:jc w:val="left"/>
      </w:pPr>
      <w:r>
        <w:rPr/>
        <w:t>□适用</w:t>
      </w:r>
      <w:r>
        <w:rPr>
          <w:spacing w:val="-1"/>
        </w:rPr>
        <w:t> </w:t>
      </w:r>
      <w:r>
        <w:rPr/>
        <w:t>√不适用</w:t>
      </w:r>
    </w:p>
    <w:p>
      <w:pPr>
        <w:spacing w:line="240" w:lineRule="auto" w:before="3"/>
        <w:rPr>
          <w:rFonts w:ascii="宋体" w:hAnsi="宋体" w:cs="宋体" w:eastAsia="宋体" w:hint="default"/>
          <w:sz w:val="18"/>
          <w:szCs w:val="18"/>
        </w:rPr>
      </w:pPr>
    </w:p>
    <w:p>
      <w:pPr>
        <w:pStyle w:val="BodyText"/>
        <w:spacing w:line="273" w:lineRule="exact"/>
        <w:ind w:left="238" w:right="930"/>
        <w:jc w:val="left"/>
      </w:pPr>
      <w:r>
        <w:rPr/>
        <w:t>其他说明：</w:t>
      </w:r>
    </w:p>
    <w:p>
      <w:pPr>
        <w:pStyle w:val="BodyText"/>
        <w:spacing w:line="273" w:lineRule="exact"/>
        <w:ind w:left="238" w:right="93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43"/>
          <w:pgSz w:w="11910" w:h="16840"/>
          <w:pgMar w:footer="1195" w:header="882" w:top="1120" w:bottom="1380" w:left="1560" w:right="1020"/>
          <w:pgNumType w:start="111"/>
        </w:sectPr>
      </w:pPr>
    </w:p>
    <w:p>
      <w:pPr>
        <w:pStyle w:val="Heading2"/>
        <w:spacing w:line="240" w:lineRule="auto" w:before="36"/>
        <w:ind w:left="238" w:right="-19"/>
        <w:jc w:val="left"/>
        <w:rPr>
          <w:b w:val="0"/>
          <w:bCs w:val="0"/>
        </w:rPr>
      </w:pPr>
      <w:r>
        <w:rPr>
          <w:rFonts w:ascii="宋体" w:hAnsi="宋体" w:cs="宋体" w:eastAsia="宋体" w:hint="default"/>
        </w:rPr>
        <w:t>6</w:t>
      </w:r>
      <w:r>
        <w:rPr/>
        <w:t>、</w:t>
      </w:r>
      <w:r>
        <w:rPr>
          <w:spacing w:val="-2"/>
        </w:rPr>
        <w:t> </w:t>
      </w:r>
      <w:r>
        <w:rPr/>
        <w:t>预付款项</w:t>
      </w:r>
      <w:r>
        <w:rPr>
          <w:b w:val="0"/>
          <w:bCs w:val="0"/>
        </w:rPr>
      </w:r>
    </w:p>
    <w:p>
      <w:pPr>
        <w:pStyle w:val="Heading2"/>
        <w:spacing w:line="240" w:lineRule="auto" w:before="58"/>
        <w:ind w:left="238" w:right="-19"/>
        <w:jc w:val="left"/>
        <w:rPr>
          <w:b w:val="0"/>
          <w:bCs w:val="0"/>
        </w:rPr>
      </w:pPr>
      <w:r>
        <w:rPr>
          <w:rFonts w:ascii="宋体" w:hAnsi="宋体" w:cs="宋体" w:eastAsia="宋体" w:hint="default"/>
        </w:rPr>
        <w:t>(1).</w:t>
      </w:r>
      <w:r>
        <w:rPr>
          <w:rFonts w:ascii="宋体" w:hAnsi="宋体" w:cs="宋体" w:eastAsia="宋体" w:hint="default"/>
          <w:spacing w:val="90"/>
        </w:rPr>
        <w:t> </w:t>
      </w:r>
      <w:r>
        <w:rPr/>
        <w:t>预付款项按账龄列示</w:t>
      </w:r>
      <w:r>
        <w:rPr>
          <w:b w:val="0"/>
          <w:bCs w:val="0"/>
        </w:rPr>
      </w:r>
    </w:p>
    <w:p>
      <w:pPr>
        <w:pStyle w:val="BodyText"/>
        <w:spacing w:line="240" w:lineRule="auto" w:before="56"/>
        <w:ind w:left="23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020"/>
          <w:cols w:num="2" w:equalWidth="0">
            <w:col w:w="2756" w:space="3766"/>
            <w:col w:w="2808"/>
          </w:cols>
        </w:sectPr>
      </w:pPr>
    </w:p>
    <w:p>
      <w:pPr>
        <w:spacing w:line="240" w:lineRule="auto" w:before="4"/>
        <w:rPr>
          <w:rFonts w:ascii="宋体" w:hAnsi="宋体" w:cs="宋体" w:eastAsia="宋体" w:hint="default"/>
          <w:sz w:val="2"/>
          <w:szCs w:val="2"/>
        </w:rPr>
      </w:pPr>
    </w:p>
    <w:tbl>
      <w:tblPr>
        <w:tblW w:w="0" w:type="auto"/>
        <w:jc w:val="left"/>
        <w:tblInd w:w="202" w:type="dxa"/>
        <w:tblLayout w:type="fixed"/>
        <w:tblCellMar>
          <w:top w:w="0" w:type="dxa"/>
          <w:left w:w="0" w:type="dxa"/>
          <w:bottom w:w="0" w:type="dxa"/>
          <w:right w:w="0" w:type="dxa"/>
        </w:tblCellMar>
        <w:tblLook w:val="01E0"/>
      </w:tblPr>
      <w:tblGrid>
        <w:gridCol w:w="1361"/>
        <w:gridCol w:w="1892"/>
        <w:gridCol w:w="1877"/>
        <w:gridCol w:w="1874"/>
        <w:gridCol w:w="1892"/>
      </w:tblGrid>
      <w:tr>
        <w:trPr>
          <w:trHeight w:val="283" w:hRule="exact"/>
        </w:trPr>
        <w:tc>
          <w:tcPr>
            <w:tcW w:w="1361"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7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7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361" w:type="dxa"/>
            <w:vMerge/>
            <w:tcBorders>
              <w:left w:val="single" w:sz="4" w:space="0" w:color="000000"/>
              <w:bottom w:val="single" w:sz="4" w:space="0" w:color="000000"/>
              <w:right w:val="single" w:sz="4" w:space="0" w:color="000000"/>
            </w:tcBorders>
          </w:tcPr>
          <w:p>
            <w:pP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3"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1"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r>
      <w:tr>
        <w:trPr>
          <w:trHeight w:val="281"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197,013,760.89</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z w:val="21"/>
              </w:rPr>
              <w:t>89.07</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114,714,428.10</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100.00</w:t>
            </w:r>
          </w:p>
        </w:tc>
      </w:tr>
      <w:tr>
        <w:trPr>
          <w:trHeight w:val="283"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24,165,297.52</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z w:val="21"/>
              </w:rPr>
              <w:t>10.93</w:t>
            </w:r>
          </w:p>
        </w:tc>
        <w:tc>
          <w:tcPr>
            <w:tcW w:w="1874" w:type="dxa"/>
            <w:tcBorders>
              <w:top w:val="single" w:sz="4" w:space="0" w:color="000000"/>
              <w:left w:val="single" w:sz="4" w:space="0" w:color="000000"/>
              <w:bottom w:val="single" w:sz="4" w:space="0" w:color="000000"/>
              <w:right w:val="single" w:sz="4" w:space="0" w:color="000000"/>
            </w:tcBorders>
          </w:tcPr>
          <w:p>
            <w:pPr/>
          </w:p>
        </w:tc>
        <w:tc>
          <w:tcPr>
            <w:tcW w:w="189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221,179,058.41</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z w:val="21"/>
              </w:rPr>
              <w:t>100.00</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114,714,428.10</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100.00</w:t>
            </w:r>
          </w:p>
        </w:tc>
      </w:tr>
    </w:tbl>
    <w:p>
      <w:pPr>
        <w:spacing w:line="240" w:lineRule="auto" w:before="5"/>
        <w:rPr>
          <w:rFonts w:ascii="宋体" w:hAnsi="宋体" w:cs="宋体" w:eastAsia="宋体" w:hint="default"/>
          <w:sz w:val="15"/>
          <w:szCs w:val="15"/>
        </w:rPr>
      </w:pPr>
    </w:p>
    <w:p>
      <w:pPr>
        <w:pStyle w:val="BodyText"/>
        <w:spacing w:line="240" w:lineRule="auto" w:before="36"/>
        <w:ind w:left="238" w:right="3401"/>
        <w:jc w:val="left"/>
      </w:pPr>
      <w:r>
        <w:rPr/>
        <w:t>账龄超过</w:t>
      </w:r>
      <w:r>
        <w:rPr>
          <w:spacing w:val="-53"/>
        </w:rPr>
        <w:t> </w:t>
      </w:r>
      <w:r>
        <w:rPr>
          <w:rFonts w:ascii="宋体" w:hAnsi="宋体" w:cs="宋体" w:eastAsia="宋体" w:hint="default"/>
        </w:rPr>
        <w:t>1</w:t>
      </w:r>
      <w:r>
        <w:rPr>
          <w:rFonts w:ascii="宋体" w:hAnsi="宋体" w:cs="宋体" w:eastAsia="宋体" w:hint="default"/>
          <w:spacing w:val="-55"/>
        </w:rPr>
        <w:t> </w:t>
      </w:r>
      <w:r>
        <w:rPr/>
        <w:t>年且金额重要的预付款项未及时结算原因的说明：</w:t>
      </w:r>
      <w:r>
        <w:rPr>
          <w:w w:val="100"/>
        </w:rPr>
        <w:t> </w:t>
      </w:r>
      <w:r>
        <w:rPr/>
        <w:t>不适用</w:t>
      </w:r>
    </w:p>
    <w:p>
      <w:pPr>
        <w:pStyle w:val="Heading2"/>
        <w:spacing w:line="240" w:lineRule="auto" w:before="56"/>
        <w:ind w:left="238" w:right="930"/>
        <w:jc w:val="left"/>
        <w:rPr>
          <w:b w:val="0"/>
          <w:bCs w:val="0"/>
        </w:rPr>
      </w:pPr>
      <w:r>
        <w:rPr>
          <w:rFonts w:ascii="宋体" w:hAnsi="宋体" w:cs="宋体" w:eastAsia="宋体" w:hint="default"/>
        </w:rPr>
        <w:t>(2).</w:t>
      </w:r>
      <w:r>
        <w:rPr>
          <w:rFonts w:ascii="宋体" w:hAnsi="宋体" w:cs="宋体" w:eastAsia="宋体" w:hint="default"/>
          <w:spacing w:val="86"/>
        </w:rPr>
        <w:t> </w:t>
      </w:r>
      <w:r>
        <w:rPr/>
        <w:t>按预付对象归集的期末余额前五名的预付款情况：</w:t>
      </w:r>
      <w:r>
        <w:rPr>
          <w:b w:val="0"/>
          <w:bCs w:val="0"/>
        </w:rPr>
      </w:r>
    </w:p>
    <w:p>
      <w:pPr>
        <w:pStyle w:val="BodyText"/>
        <w:spacing w:line="240" w:lineRule="auto" w:before="58"/>
        <w:ind w:left="238" w:right="930"/>
        <w:jc w:val="left"/>
      </w:pPr>
      <w:r>
        <w:rPr/>
        <w:t>√适用</w:t>
      </w:r>
      <w:r>
        <w:rPr>
          <w:spacing w:val="-1"/>
        </w:rPr>
        <w:t> </w:t>
      </w:r>
      <w:r>
        <w:rPr/>
        <w:t>□不适用</w:t>
      </w:r>
    </w:p>
    <w:p>
      <w:pPr>
        <w:spacing w:line="240" w:lineRule="auto" w:before="3"/>
        <w:rPr>
          <w:rFonts w:ascii="宋体" w:hAnsi="宋体" w:cs="宋体" w:eastAsia="宋体" w:hint="default"/>
          <w:sz w:val="23"/>
          <w:szCs w:val="23"/>
        </w:rPr>
      </w:pPr>
    </w:p>
    <w:tbl>
      <w:tblPr>
        <w:tblW w:w="0" w:type="auto"/>
        <w:jc w:val="left"/>
        <w:tblInd w:w="101" w:type="dxa"/>
        <w:tblLayout w:type="fixed"/>
        <w:tblCellMar>
          <w:top w:w="0" w:type="dxa"/>
          <w:left w:w="0" w:type="dxa"/>
          <w:bottom w:w="0" w:type="dxa"/>
          <w:right w:w="0" w:type="dxa"/>
        </w:tblCellMar>
        <w:tblLook w:val="01E0"/>
      </w:tblPr>
      <w:tblGrid>
        <w:gridCol w:w="3951"/>
        <w:gridCol w:w="2410"/>
        <w:gridCol w:w="2703"/>
      </w:tblGrid>
      <w:tr>
        <w:trPr>
          <w:trHeight w:val="802" w:hRule="exact"/>
        </w:trPr>
        <w:tc>
          <w:tcPr>
            <w:tcW w:w="395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8"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241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782"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703" w:type="dxa"/>
            <w:tcBorders>
              <w:top w:val="single" w:sz="12" w:space="0" w:color="000000"/>
              <w:left w:val="single" w:sz="2" w:space="0" w:color="000000"/>
              <w:bottom w:val="single" w:sz="2" w:space="0" w:color="000000"/>
              <w:right w:val="nil" w:sz="6" w:space="0" w:color="auto"/>
            </w:tcBorders>
          </w:tcPr>
          <w:p>
            <w:pPr>
              <w:pStyle w:val="TableParagraph"/>
              <w:spacing w:line="394" w:lineRule="exact" w:before="16"/>
              <w:ind w:left="561" w:right="401" w:hanging="159"/>
              <w:jc w:val="left"/>
              <w:rPr>
                <w:rFonts w:ascii="宋体" w:hAnsi="宋体" w:cs="宋体" w:eastAsia="宋体" w:hint="default"/>
                <w:sz w:val="21"/>
                <w:szCs w:val="21"/>
              </w:rPr>
            </w:pPr>
            <w:r>
              <w:rPr>
                <w:rFonts w:ascii="宋体" w:hAnsi="宋体" w:cs="宋体" w:eastAsia="宋体" w:hint="default"/>
                <w:spacing w:val="-1"/>
                <w:sz w:val="21"/>
                <w:szCs w:val="21"/>
              </w:rPr>
              <w:t>占预付账款期末余额</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合计数的比例</w:t>
            </w:r>
            <w:r>
              <w:rPr>
                <w:rFonts w:ascii="宋体" w:hAnsi="宋体" w:cs="宋体" w:eastAsia="宋体" w:hint="default"/>
                <w:sz w:val="21"/>
                <w:szCs w:val="21"/>
              </w:rPr>
              <w:t>(%)</w:t>
            </w:r>
          </w:p>
        </w:tc>
      </w:tr>
      <w:tr>
        <w:trPr>
          <w:trHeight w:val="403" w:hRule="exact"/>
        </w:trPr>
        <w:tc>
          <w:tcPr>
            <w:tcW w:w="395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sz w:val="21"/>
                <w:szCs w:val="21"/>
              </w:rPr>
              <w:t>泉州太平洋集装箱码头有限公司</w:t>
            </w:r>
          </w:p>
        </w:tc>
        <w:tc>
          <w:tcPr>
            <w:tcW w:w="24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50,505,990.51</w:t>
            </w:r>
          </w:p>
        </w:tc>
        <w:tc>
          <w:tcPr>
            <w:tcW w:w="270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8"/>
              <w:ind w:right="102"/>
              <w:jc w:val="right"/>
              <w:rPr>
                <w:rFonts w:ascii="宋体" w:hAnsi="宋体" w:cs="宋体" w:eastAsia="宋体" w:hint="default"/>
                <w:sz w:val="21"/>
                <w:szCs w:val="21"/>
              </w:rPr>
            </w:pPr>
            <w:r>
              <w:rPr>
                <w:rFonts w:ascii="宋体"/>
                <w:sz w:val="21"/>
              </w:rPr>
              <w:t>22.83</w:t>
            </w:r>
          </w:p>
        </w:tc>
      </w:tr>
      <w:tr>
        <w:trPr>
          <w:trHeight w:val="401" w:hRule="exact"/>
        </w:trPr>
        <w:tc>
          <w:tcPr>
            <w:tcW w:w="395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sz w:val="21"/>
                <w:szCs w:val="21"/>
              </w:rPr>
              <w:t>沛县运达运输有限公司</w:t>
            </w:r>
          </w:p>
        </w:tc>
        <w:tc>
          <w:tcPr>
            <w:tcW w:w="24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17,378,763.39</w:t>
            </w:r>
          </w:p>
        </w:tc>
        <w:tc>
          <w:tcPr>
            <w:tcW w:w="270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8"/>
              <w:ind w:right="102"/>
              <w:jc w:val="right"/>
              <w:rPr>
                <w:rFonts w:ascii="宋体" w:hAnsi="宋体" w:cs="宋体" w:eastAsia="宋体" w:hint="default"/>
                <w:sz w:val="21"/>
                <w:szCs w:val="21"/>
              </w:rPr>
            </w:pPr>
            <w:r>
              <w:rPr>
                <w:rFonts w:ascii="宋体"/>
                <w:sz w:val="21"/>
              </w:rPr>
              <w:t>7.86</w:t>
            </w:r>
          </w:p>
        </w:tc>
      </w:tr>
      <w:tr>
        <w:trPr>
          <w:trHeight w:val="403" w:hRule="exact"/>
        </w:trPr>
        <w:tc>
          <w:tcPr>
            <w:tcW w:w="395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sz w:val="21"/>
                <w:szCs w:val="21"/>
              </w:rPr>
              <w:t>海口港集装箱码头有限公司</w:t>
            </w:r>
          </w:p>
        </w:tc>
        <w:tc>
          <w:tcPr>
            <w:tcW w:w="24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11,736,704.45</w:t>
            </w:r>
          </w:p>
        </w:tc>
        <w:tc>
          <w:tcPr>
            <w:tcW w:w="270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8"/>
              <w:ind w:right="102"/>
              <w:jc w:val="right"/>
              <w:rPr>
                <w:rFonts w:ascii="宋体" w:hAnsi="宋体" w:cs="宋体" w:eastAsia="宋体" w:hint="default"/>
                <w:sz w:val="21"/>
                <w:szCs w:val="21"/>
              </w:rPr>
            </w:pPr>
            <w:r>
              <w:rPr>
                <w:rFonts w:ascii="宋体"/>
                <w:sz w:val="21"/>
              </w:rPr>
              <w:t>5.31</w:t>
            </w:r>
          </w:p>
        </w:tc>
      </w:tr>
      <w:tr>
        <w:trPr>
          <w:trHeight w:val="401" w:hRule="exact"/>
        </w:trPr>
        <w:tc>
          <w:tcPr>
            <w:tcW w:w="395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sz w:val="21"/>
                <w:szCs w:val="21"/>
              </w:rPr>
              <w:t>青岛港国际物流有限公司</w:t>
            </w:r>
          </w:p>
        </w:tc>
        <w:tc>
          <w:tcPr>
            <w:tcW w:w="24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8,407,479.00</w:t>
            </w:r>
          </w:p>
        </w:tc>
        <w:tc>
          <w:tcPr>
            <w:tcW w:w="270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8"/>
              <w:ind w:right="102"/>
              <w:jc w:val="right"/>
              <w:rPr>
                <w:rFonts w:ascii="宋体" w:hAnsi="宋体" w:cs="宋体" w:eastAsia="宋体" w:hint="default"/>
                <w:sz w:val="21"/>
                <w:szCs w:val="21"/>
              </w:rPr>
            </w:pPr>
            <w:r>
              <w:rPr>
                <w:rFonts w:ascii="宋体"/>
                <w:sz w:val="21"/>
              </w:rPr>
              <w:t>3.80</w:t>
            </w:r>
          </w:p>
        </w:tc>
      </w:tr>
      <w:tr>
        <w:trPr>
          <w:trHeight w:val="415" w:hRule="exact"/>
        </w:trPr>
        <w:tc>
          <w:tcPr>
            <w:tcW w:w="395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sz w:val="21"/>
                <w:szCs w:val="21"/>
              </w:rPr>
              <w:t>沈阳铁路局东来站</w:t>
            </w:r>
          </w:p>
        </w:tc>
        <w:tc>
          <w:tcPr>
            <w:tcW w:w="241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7,542,931.30</w:t>
            </w:r>
          </w:p>
        </w:tc>
        <w:tc>
          <w:tcPr>
            <w:tcW w:w="270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8"/>
              <w:ind w:right="102"/>
              <w:jc w:val="right"/>
              <w:rPr>
                <w:rFonts w:ascii="宋体" w:hAnsi="宋体" w:cs="宋体" w:eastAsia="宋体" w:hint="default"/>
                <w:sz w:val="21"/>
                <w:szCs w:val="21"/>
              </w:rPr>
            </w:pPr>
            <w:r>
              <w:rPr>
                <w:rFonts w:ascii="宋体"/>
                <w:sz w:val="21"/>
              </w:rPr>
              <w:t>3.41</w:t>
            </w:r>
          </w:p>
        </w:tc>
      </w:tr>
    </w:tbl>
    <w:p>
      <w:pPr>
        <w:spacing w:after="0" w:line="240" w:lineRule="auto"/>
        <w:jc w:val="right"/>
        <w:rPr>
          <w:rFonts w:ascii="宋体" w:hAnsi="宋体" w:cs="宋体" w:eastAsia="宋体" w:hint="default"/>
          <w:sz w:val="21"/>
          <w:szCs w:val="21"/>
        </w:rPr>
        <w:sectPr>
          <w:type w:val="continuous"/>
          <w:pgSz w:w="11910" w:h="16840"/>
          <w:pgMar w:top="1120" w:bottom="1380" w:left="15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5" w:type="dxa"/>
        <w:tblLayout w:type="fixed"/>
        <w:tblCellMar>
          <w:top w:w="0" w:type="dxa"/>
          <w:left w:w="0" w:type="dxa"/>
          <w:bottom w:w="0" w:type="dxa"/>
          <w:right w:w="0" w:type="dxa"/>
        </w:tblCellMar>
        <w:tblLook w:val="01E0"/>
      </w:tblPr>
      <w:tblGrid>
        <w:gridCol w:w="3951"/>
        <w:gridCol w:w="2410"/>
        <w:gridCol w:w="2703"/>
      </w:tblGrid>
      <w:tr>
        <w:trPr>
          <w:trHeight w:val="430" w:hRule="exact"/>
        </w:trPr>
        <w:tc>
          <w:tcPr>
            <w:tcW w:w="3951" w:type="dxa"/>
            <w:tcBorders>
              <w:top w:val="single" w:sz="12" w:space="0" w:color="000000"/>
              <w:left w:val="nil" w:sz="6" w:space="0" w:color="auto"/>
              <w:bottom w:val="single" w:sz="12" w:space="0" w:color="000000"/>
              <w:right w:val="single" w:sz="2" w:space="0" w:color="000000"/>
            </w:tcBorders>
          </w:tcPr>
          <w:p>
            <w:pPr>
              <w:pStyle w:val="TableParagraph"/>
              <w:spacing w:line="240" w:lineRule="auto" w:before="31"/>
              <w:ind w:left="16"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10" w:type="dxa"/>
            <w:tcBorders>
              <w:top w:val="single" w:sz="12" w:space="0" w:color="000000"/>
              <w:left w:val="single" w:sz="2" w:space="0" w:color="000000"/>
              <w:bottom w:val="single" w:sz="12" w:space="0" w:color="000000"/>
              <w:right w:val="single" w:sz="2" w:space="0" w:color="000000"/>
            </w:tcBorders>
          </w:tcPr>
          <w:p>
            <w:pPr>
              <w:pStyle w:val="TableParagraph"/>
              <w:spacing w:line="240" w:lineRule="auto" w:before="31"/>
              <w:ind w:left="934" w:right="0"/>
              <w:jc w:val="left"/>
              <w:rPr>
                <w:rFonts w:ascii="宋体" w:hAnsi="宋体" w:cs="宋体" w:eastAsia="宋体" w:hint="default"/>
                <w:sz w:val="21"/>
                <w:szCs w:val="21"/>
              </w:rPr>
            </w:pPr>
            <w:r>
              <w:rPr>
                <w:rFonts w:ascii="宋体"/>
                <w:sz w:val="21"/>
              </w:rPr>
              <w:t>95,571,868.65</w:t>
            </w:r>
          </w:p>
        </w:tc>
        <w:tc>
          <w:tcPr>
            <w:tcW w:w="2703" w:type="dxa"/>
            <w:tcBorders>
              <w:top w:val="single" w:sz="12" w:space="0" w:color="000000"/>
              <w:left w:val="single" w:sz="2" w:space="0" w:color="000000"/>
              <w:bottom w:val="single" w:sz="12" w:space="0" w:color="000000"/>
              <w:right w:val="nil" w:sz="6" w:space="0" w:color="auto"/>
            </w:tcBorders>
          </w:tcPr>
          <w:p>
            <w:pPr>
              <w:pStyle w:val="TableParagraph"/>
              <w:spacing w:line="240" w:lineRule="auto" w:before="31"/>
              <w:ind w:right="102"/>
              <w:jc w:val="right"/>
              <w:rPr>
                <w:rFonts w:ascii="宋体" w:hAnsi="宋体" w:cs="宋体" w:eastAsia="宋体" w:hint="default"/>
                <w:sz w:val="21"/>
                <w:szCs w:val="21"/>
              </w:rPr>
            </w:pPr>
            <w:r>
              <w:rPr>
                <w:rFonts w:ascii="宋体"/>
                <w:sz w:val="21"/>
              </w:rPr>
              <w:t>43.21</w:t>
            </w:r>
          </w:p>
        </w:tc>
      </w:tr>
    </w:tbl>
    <w:p>
      <w:pPr>
        <w:spacing w:line="240" w:lineRule="auto" w:before="5"/>
        <w:rPr>
          <w:rFonts w:ascii="宋体" w:hAnsi="宋体" w:cs="宋体" w:eastAsia="宋体" w:hint="default"/>
          <w:sz w:val="15"/>
          <w:szCs w:val="15"/>
        </w:rPr>
      </w:pPr>
    </w:p>
    <w:p>
      <w:pPr>
        <w:pStyle w:val="BodyText"/>
        <w:spacing w:line="274" w:lineRule="exact" w:before="36"/>
        <w:ind w:left="238" w:right="2497"/>
        <w:jc w:val="left"/>
      </w:pPr>
      <w:r>
        <w:rPr/>
        <w:t>其他说明</w:t>
      </w:r>
    </w:p>
    <w:p>
      <w:pPr>
        <w:pStyle w:val="BodyText"/>
        <w:spacing w:line="272" w:lineRule="exact"/>
        <w:ind w:left="238" w:right="2497"/>
        <w:jc w:val="left"/>
      </w:pPr>
      <w:r>
        <w:rPr/>
        <w:t>√适用</w:t>
      </w:r>
      <w:r>
        <w:rPr>
          <w:spacing w:val="-1"/>
        </w:rPr>
        <w:t> </w:t>
      </w:r>
      <w:r>
        <w:rPr/>
        <w:t>□不适用</w:t>
      </w:r>
    </w:p>
    <w:p>
      <w:pPr>
        <w:pStyle w:val="BodyText"/>
        <w:spacing w:line="273" w:lineRule="exact"/>
        <w:ind w:left="238" w:right="227"/>
        <w:jc w:val="left"/>
      </w:pPr>
      <w:r>
        <w:rPr>
          <w:spacing w:val="-2"/>
        </w:rPr>
        <w:t>预付账款期末账面余额较期初增长</w:t>
      </w:r>
      <w:r>
        <w:rPr>
          <w:spacing w:val="26"/>
        </w:rPr>
        <w:t> </w:t>
      </w:r>
      <w:r>
        <w:rPr>
          <w:rFonts w:ascii="宋体" w:hAnsi="宋体" w:cs="宋体" w:eastAsia="宋体" w:hint="default"/>
          <w:spacing w:val="-2"/>
        </w:rPr>
        <w:t>92.81%</w:t>
      </w:r>
      <w:r>
        <w:rPr>
          <w:spacing w:val="-2"/>
        </w:rPr>
        <w:t>，主要系业务规模扩大及增加预付铁路运费所致。</w:t>
      </w:r>
    </w:p>
    <w:p>
      <w:pPr>
        <w:spacing w:line="240" w:lineRule="auto" w:before="3"/>
        <w:rPr>
          <w:rFonts w:ascii="宋体" w:hAnsi="宋体" w:cs="宋体" w:eastAsia="宋体" w:hint="default"/>
          <w:sz w:val="25"/>
          <w:szCs w:val="25"/>
        </w:rPr>
      </w:pPr>
    </w:p>
    <w:p>
      <w:pPr>
        <w:pStyle w:val="Heading2"/>
        <w:spacing w:line="240" w:lineRule="auto"/>
        <w:ind w:left="238" w:right="2497"/>
        <w:jc w:val="left"/>
        <w:rPr>
          <w:b w:val="0"/>
          <w:bCs w:val="0"/>
        </w:rPr>
      </w:pPr>
      <w:r>
        <w:rPr>
          <w:rFonts w:ascii="宋体" w:hAnsi="宋体" w:cs="宋体" w:eastAsia="宋体" w:hint="default"/>
        </w:rPr>
        <w:t>7</w:t>
      </w:r>
      <w:r>
        <w:rPr/>
        <w:t>、</w:t>
      </w:r>
      <w:r>
        <w:rPr>
          <w:spacing w:val="-2"/>
        </w:rPr>
        <w:t> </w:t>
      </w:r>
      <w:r>
        <w:rPr/>
        <w:t>应收利息</w:t>
      </w:r>
      <w:r>
        <w:rPr>
          <w:b w:val="0"/>
          <w:bCs w:val="0"/>
        </w:rPr>
      </w:r>
    </w:p>
    <w:p>
      <w:pPr>
        <w:pStyle w:val="Heading2"/>
        <w:spacing w:line="240" w:lineRule="auto" w:before="58"/>
        <w:ind w:left="238" w:right="2497"/>
        <w:jc w:val="left"/>
        <w:rPr>
          <w:b w:val="0"/>
          <w:bCs w:val="0"/>
        </w:rPr>
      </w:pPr>
      <w:r>
        <w:rPr>
          <w:rFonts w:ascii="宋体" w:hAnsi="宋体" w:cs="宋体" w:eastAsia="宋体" w:hint="default"/>
        </w:rPr>
        <w:t>(1).</w:t>
      </w:r>
      <w:r>
        <w:rPr>
          <w:rFonts w:ascii="宋体" w:hAnsi="宋体" w:cs="宋体" w:eastAsia="宋体" w:hint="default"/>
          <w:spacing w:val="19"/>
        </w:rPr>
        <w:t> </w:t>
      </w:r>
      <w:r>
        <w:rPr/>
        <w:t>应收利息分类</w:t>
      </w:r>
      <w:r>
        <w:rPr>
          <w:b w:val="0"/>
          <w:bCs w:val="0"/>
        </w:rPr>
      </w:r>
    </w:p>
    <w:p>
      <w:pPr>
        <w:spacing w:line="290" w:lineRule="auto" w:before="56"/>
        <w:ind w:left="238" w:right="7215"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pacing w:val="19"/>
          <w:sz w:val="21"/>
          <w:szCs w:val="21"/>
        </w:rPr>
        <w:t> </w:t>
      </w:r>
      <w:r>
        <w:rPr>
          <w:rFonts w:ascii="宋体" w:hAnsi="宋体" w:cs="宋体" w:eastAsia="宋体" w:hint="default"/>
          <w:b/>
          <w:bCs/>
          <w:sz w:val="21"/>
          <w:szCs w:val="21"/>
        </w:rPr>
        <w:t>重要逾期利息</w:t>
      </w:r>
      <w:r>
        <w:rPr>
          <w:rFonts w:ascii="宋体" w:hAnsi="宋体" w:cs="宋体" w:eastAsia="宋体" w:hint="default"/>
          <w:sz w:val="21"/>
          <w:szCs w:val="21"/>
        </w:rPr>
      </w:r>
    </w:p>
    <w:p>
      <w:pPr>
        <w:pStyle w:val="BodyText"/>
        <w:spacing w:line="240" w:lineRule="auto" w:before="13"/>
        <w:ind w:left="238" w:right="7454"/>
        <w:jc w:val="left"/>
      </w:pPr>
      <w:r>
        <w:rPr/>
        <w:t>□适用</w:t>
      </w:r>
      <w:r>
        <w:rPr>
          <w:spacing w:val="-1"/>
        </w:rPr>
        <w:t> </w:t>
      </w:r>
      <w:r>
        <w:rPr/>
        <w:t>√不适用</w:t>
      </w:r>
      <w:r>
        <w:rPr>
          <w:w w:val="100"/>
        </w:rPr>
        <w:t> </w:t>
      </w:r>
      <w:r>
        <w:rPr/>
        <w:t>其他说明：</w:t>
      </w:r>
    </w:p>
    <w:p>
      <w:pPr>
        <w:pStyle w:val="BodyText"/>
        <w:spacing w:line="271" w:lineRule="exact"/>
        <w:ind w:left="238" w:right="249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90" w:lineRule="auto"/>
        <w:ind w:left="238" w:right="7626"/>
        <w:jc w:val="left"/>
        <w:rPr>
          <w:b w:val="0"/>
          <w:bCs w:val="0"/>
        </w:rPr>
      </w:pPr>
      <w:r>
        <w:rPr>
          <w:rFonts w:ascii="宋体" w:hAnsi="宋体" w:cs="宋体" w:eastAsia="宋体" w:hint="default"/>
        </w:rPr>
        <w:t>8</w:t>
      </w:r>
      <w:r>
        <w:rPr/>
        <w:t>、</w:t>
      </w:r>
      <w:r>
        <w:rPr>
          <w:spacing w:val="-3"/>
        </w:rPr>
        <w:t> </w:t>
      </w:r>
      <w:r>
        <w:rPr/>
        <w:t>应收股利</w:t>
      </w:r>
      <w:r>
        <w:rPr>
          <w:w w:val="100"/>
        </w:rPr>
        <w:t> </w:t>
      </w:r>
      <w:r>
        <w:rPr>
          <w:rFonts w:ascii="宋体" w:hAnsi="宋体" w:cs="宋体" w:eastAsia="宋体" w:hint="default"/>
        </w:rPr>
        <w:t>(1).</w:t>
      </w:r>
      <w:r>
        <w:rPr>
          <w:rFonts w:ascii="宋体" w:hAnsi="宋体" w:cs="宋体" w:eastAsia="宋体" w:hint="default"/>
          <w:spacing w:val="30"/>
        </w:rPr>
        <w:t> </w:t>
      </w:r>
      <w:r>
        <w:rPr/>
        <w:t>应收股利</w:t>
      </w:r>
      <w:r>
        <w:rPr>
          <w:b w:val="0"/>
          <w:bCs w:val="0"/>
        </w:rPr>
      </w:r>
    </w:p>
    <w:p>
      <w:pPr>
        <w:pStyle w:val="BodyText"/>
        <w:spacing w:line="240" w:lineRule="auto" w:before="12"/>
        <w:ind w:left="238" w:right="2497"/>
        <w:jc w:val="left"/>
      </w:pPr>
      <w:r>
        <w:rPr/>
        <w:t>□适用</w:t>
      </w:r>
      <w:r>
        <w:rPr>
          <w:spacing w:val="-1"/>
        </w:rPr>
        <w:t> </w:t>
      </w:r>
      <w:r>
        <w:rPr/>
        <w:t>√不适用</w:t>
      </w:r>
    </w:p>
    <w:p>
      <w:pPr>
        <w:pStyle w:val="Heading2"/>
        <w:spacing w:line="240" w:lineRule="auto" w:before="56"/>
        <w:ind w:left="238" w:right="2497"/>
        <w:jc w:val="left"/>
        <w:rPr>
          <w:b w:val="0"/>
          <w:bCs w:val="0"/>
        </w:rPr>
      </w:pPr>
      <w:r>
        <w:rPr>
          <w:rFonts w:ascii="宋体" w:hAnsi="宋体" w:cs="宋体" w:eastAsia="宋体" w:hint="default"/>
        </w:rPr>
        <w:t>(2). </w:t>
      </w:r>
      <w:r>
        <w:rPr/>
        <w:t>重要的账龄超过 </w:t>
      </w:r>
      <w:r>
        <w:rPr>
          <w:rFonts w:ascii="Cambria" w:hAnsi="Cambria" w:cs="Cambria" w:eastAsia="Cambria" w:hint="default"/>
        </w:rPr>
        <w:t>1</w:t>
      </w:r>
      <w:r>
        <w:rPr>
          <w:rFonts w:ascii="Cambria" w:hAnsi="Cambria" w:cs="Cambria" w:eastAsia="Cambria" w:hint="default"/>
          <w:spacing w:val="-18"/>
        </w:rPr>
        <w:t> </w:t>
      </w:r>
      <w:r>
        <w:rPr/>
        <w:t>年的应收股利：</w:t>
      </w:r>
      <w:r>
        <w:rPr>
          <w:b w:val="0"/>
          <w:bCs w:val="0"/>
        </w:rPr>
      </w:r>
    </w:p>
    <w:p>
      <w:pPr>
        <w:pStyle w:val="BodyText"/>
        <w:spacing w:line="272" w:lineRule="exact" w:before="69"/>
        <w:ind w:left="238" w:right="7454"/>
        <w:jc w:val="left"/>
      </w:pPr>
      <w:r>
        <w:rPr/>
        <w:t>□适用</w:t>
      </w:r>
      <w:r>
        <w:rPr>
          <w:spacing w:val="-1"/>
        </w:rPr>
        <w:t> </w:t>
      </w:r>
      <w:r>
        <w:rPr/>
        <w:t>√不适用</w:t>
      </w:r>
      <w:r>
        <w:rPr>
          <w:w w:val="100"/>
        </w:rPr>
        <w:t> </w:t>
      </w:r>
      <w:r>
        <w:rPr/>
        <w:t>其他说明：</w:t>
      </w:r>
    </w:p>
    <w:p>
      <w:pPr>
        <w:pStyle w:val="BodyText"/>
        <w:spacing w:line="249" w:lineRule="exact"/>
        <w:ind w:left="238" w:right="2497"/>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60" w:right="1060"/>
        </w:sectPr>
      </w:pPr>
    </w:p>
    <w:p>
      <w:pPr>
        <w:pStyle w:val="Heading2"/>
        <w:spacing w:line="240" w:lineRule="auto" w:before="36"/>
        <w:ind w:left="238" w:right="-19"/>
        <w:jc w:val="left"/>
        <w:rPr>
          <w:b w:val="0"/>
          <w:bCs w:val="0"/>
        </w:rPr>
      </w:pPr>
      <w:r>
        <w:rPr>
          <w:rFonts w:ascii="宋体" w:hAnsi="宋体" w:cs="宋体" w:eastAsia="宋体" w:hint="default"/>
        </w:rPr>
        <w:t>9</w:t>
      </w:r>
      <w:r>
        <w:rPr/>
        <w:t>、</w:t>
      </w:r>
      <w:r>
        <w:rPr>
          <w:spacing w:val="-1"/>
        </w:rPr>
        <w:t> </w:t>
      </w:r>
      <w:r>
        <w:rPr/>
        <w:t>其他应收款</w:t>
      </w:r>
      <w:r>
        <w:rPr>
          <w:b w:val="0"/>
          <w:bCs w:val="0"/>
        </w:rPr>
      </w:r>
    </w:p>
    <w:p>
      <w:pPr>
        <w:pStyle w:val="Heading2"/>
        <w:spacing w:line="240" w:lineRule="auto" w:before="56"/>
        <w:ind w:left="238" w:right="-19"/>
        <w:jc w:val="left"/>
        <w:rPr>
          <w:b w:val="0"/>
          <w:bCs w:val="0"/>
        </w:rPr>
      </w:pPr>
      <w:r>
        <w:rPr>
          <w:rFonts w:ascii="宋体" w:hAnsi="宋体" w:cs="宋体" w:eastAsia="宋体" w:hint="default"/>
        </w:rPr>
        <w:t>(1).</w:t>
      </w:r>
      <w:r>
        <w:rPr>
          <w:rFonts w:ascii="宋体" w:hAnsi="宋体" w:cs="宋体" w:eastAsia="宋体" w:hint="default"/>
          <w:spacing w:val="61"/>
        </w:rPr>
        <w:t> </w:t>
      </w:r>
      <w:r>
        <w:rPr/>
        <w:t>其他应收款分类披露</w:t>
      </w:r>
      <w:r>
        <w:rPr>
          <w:b w:val="0"/>
          <w:bCs w:val="0"/>
        </w:rPr>
      </w:r>
    </w:p>
    <w:p>
      <w:pPr>
        <w:pStyle w:val="BodyText"/>
        <w:tabs>
          <w:tab w:pos="1080" w:val="left" w:leader="none"/>
        </w:tabs>
        <w:spacing w:line="240" w:lineRule="auto" w:before="58"/>
        <w:ind w:left="238" w:right="-19"/>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060"/>
          <w:cols w:num="2" w:equalWidth="0">
            <w:col w:w="2727" w:space="3691"/>
            <w:col w:w="2872"/>
          </w:cols>
        </w:sectPr>
      </w:pPr>
    </w:p>
    <w:p>
      <w:pPr>
        <w:spacing w:line="240" w:lineRule="auto" w:before="7"/>
        <w:rPr>
          <w:rFonts w:ascii="宋体" w:hAnsi="宋体" w:cs="宋体" w:eastAsia="宋体" w:hint="default"/>
          <w:sz w:val="2"/>
          <w:szCs w:val="2"/>
        </w:rPr>
      </w:pPr>
    </w:p>
    <w:tbl>
      <w:tblPr>
        <w:tblW w:w="0" w:type="auto"/>
        <w:jc w:val="left"/>
        <w:tblInd w:w="202" w:type="dxa"/>
        <w:tblLayout w:type="fixed"/>
        <w:tblCellMar>
          <w:top w:w="0" w:type="dxa"/>
          <w:left w:w="0" w:type="dxa"/>
          <w:bottom w:w="0" w:type="dxa"/>
          <w:right w:w="0" w:type="dxa"/>
        </w:tblCellMar>
        <w:tblLook w:val="01E0"/>
      </w:tblPr>
      <w:tblGrid>
        <w:gridCol w:w="228"/>
        <w:gridCol w:w="1224"/>
        <w:gridCol w:w="559"/>
        <w:gridCol w:w="1059"/>
        <w:gridCol w:w="394"/>
        <w:gridCol w:w="1224"/>
        <w:gridCol w:w="1222"/>
        <w:gridCol w:w="312"/>
        <w:gridCol w:w="1059"/>
        <w:gridCol w:w="394"/>
        <w:gridCol w:w="1222"/>
      </w:tblGrid>
      <w:tr>
        <w:trPr>
          <w:trHeight w:val="293" w:hRule="exact"/>
        </w:trPr>
        <w:tc>
          <w:tcPr>
            <w:tcW w:w="2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6"/>
              <w:ind w:left="26" w:right="-20"/>
              <w:jc w:val="left"/>
              <w:rPr>
                <w:rFonts w:ascii="宋体" w:hAnsi="宋体" w:cs="宋体" w:eastAsia="宋体" w:hint="default"/>
                <w:sz w:val="21"/>
                <w:szCs w:val="21"/>
              </w:rPr>
            </w:pPr>
            <w:r>
              <w:rPr>
                <w:rFonts w:ascii="宋体" w:hAnsi="宋体" w:cs="宋体" w:eastAsia="宋体" w:hint="default"/>
                <w:sz w:val="21"/>
                <w:szCs w:val="21"/>
              </w:rPr>
              <w:t>类</w:t>
            </w:r>
            <w:r>
              <w:rPr>
                <w:rFonts w:ascii="宋体" w:hAnsi="宋体" w:cs="宋体" w:eastAsia="宋体" w:hint="default"/>
                <w:w w:val="100"/>
                <w:sz w:val="21"/>
                <w:szCs w:val="21"/>
              </w:rPr>
              <w:t> </w:t>
            </w:r>
            <w:r>
              <w:rPr>
                <w:rFonts w:ascii="宋体" w:hAnsi="宋体" w:cs="宋体" w:eastAsia="宋体" w:hint="default"/>
                <w:sz w:val="21"/>
                <w:szCs w:val="21"/>
              </w:rPr>
              <w:t>别</w:t>
            </w:r>
          </w:p>
        </w:tc>
        <w:tc>
          <w:tcPr>
            <w:tcW w:w="446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20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28" w:type="dxa"/>
            <w:vMerge/>
            <w:tcBorders>
              <w:left w:val="single" w:sz="4" w:space="0" w:color="000000"/>
              <w:right w:val="single" w:sz="4" w:space="0" w:color="000000"/>
            </w:tcBorders>
          </w:tcPr>
          <w:p>
            <w:pPr/>
          </w:p>
        </w:tc>
        <w:tc>
          <w:tcPr>
            <w:tcW w:w="17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22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95" w:right="394"/>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c>
          <w:tcPr>
            <w:tcW w:w="15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2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93" w:right="395"/>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r>
      <w:tr>
        <w:trPr>
          <w:trHeight w:val="1373" w:hRule="exact"/>
        </w:trPr>
        <w:tc>
          <w:tcPr>
            <w:tcW w:w="228" w:type="dxa"/>
            <w:vMerge/>
            <w:tcBorders>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9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115" w:right="62"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3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6" w:right="0"/>
              <w:jc w:val="both"/>
              <w:rPr>
                <w:rFonts w:ascii="宋体" w:hAnsi="宋体" w:cs="宋体" w:eastAsia="宋体" w:hint="default"/>
                <w:sz w:val="21"/>
                <w:szCs w:val="21"/>
              </w:rPr>
            </w:pPr>
            <w:r>
              <w:rPr>
                <w:rFonts w:ascii="宋体" w:hAnsi="宋体" w:cs="宋体" w:eastAsia="宋体" w:hint="default"/>
                <w:w w:val="100"/>
                <w:sz w:val="21"/>
                <w:szCs w:val="21"/>
              </w:rPr>
              <w:t>计</w:t>
            </w:r>
          </w:p>
          <w:p>
            <w:pPr>
              <w:pStyle w:val="TableParagraph"/>
              <w:spacing w:line="237" w:lineRule="auto"/>
              <w:ind w:left="33" w:right="31" w:firstLine="52"/>
              <w:jc w:val="both"/>
              <w:rPr>
                <w:rFonts w:ascii="宋体" w:hAnsi="宋体" w:cs="宋体" w:eastAsia="宋体" w:hint="default"/>
                <w:sz w:val="21"/>
                <w:szCs w:val="21"/>
              </w:rPr>
            </w:pP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224" w:type="dxa"/>
            <w:vMerge/>
            <w:tcBorders>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93"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45" w:right="43"/>
              <w:jc w:val="both"/>
              <w:rPr>
                <w:rFonts w:ascii="宋体" w:hAnsi="宋体" w:cs="宋体" w:eastAsia="宋体" w:hint="default"/>
                <w:sz w:val="21"/>
                <w:szCs w:val="21"/>
              </w:rPr>
            </w:pPr>
            <w:r>
              <w:rPr>
                <w:rFonts w:ascii="宋体" w:hAnsi="宋体" w:cs="宋体" w:eastAsia="宋体" w:hint="default"/>
                <w:sz w:val="21"/>
                <w:szCs w:val="21"/>
              </w:rPr>
              <w:t>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宋体" w:hAnsi="宋体" w:cs="宋体" w:eastAsia="宋体" w:hint="default"/>
                <w:sz w:val="21"/>
                <w:szCs w:val="21"/>
              </w:rPr>
              <w:t>(%</w:t>
            </w:r>
          </w:p>
          <w:p>
            <w:pPr>
              <w:pStyle w:val="TableParagraph"/>
              <w:spacing w:line="274" w:lineRule="exact"/>
              <w:ind w:left="98" w:right="0"/>
              <w:jc w:val="both"/>
              <w:rPr>
                <w:rFonts w:ascii="宋体" w:hAnsi="宋体" w:cs="宋体" w:eastAsia="宋体" w:hint="default"/>
                <w:sz w:val="21"/>
                <w:szCs w:val="21"/>
              </w:rPr>
            </w:pPr>
            <w:r>
              <w:rPr>
                <w:rFonts w:ascii="宋体"/>
                <w:w w:val="100"/>
                <w:sz w:val="21"/>
              </w:rPr>
              <w:t>)</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3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0"/>
              <w:jc w:val="both"/>
              <w:rPr>
                <w:rFonts w:ascii="宋体" w:hAnsi="宋体" w:cs="宋体" w:eastAsia="宋体" w:hint="default"/>
                <w:sz w:val="21"/>
                <w:szCs w:val="21"/>
              </w:rPr>
            </w:pPr>
            <w:r>
              <w:rPr>
                <w:rFonts w:ascii="宋体" w:hAnsi="宋体" w:cs="宋体" w:eastAsia="宋体" w:hint="default"/>
                <w:w w:val="100"/>
                <w:sz w:val="21"/>
                <w:szCs w:val="21"/>
              </w:rPr>
              <w:t>计</w:t>
            </w:r>
          </w:p>
          <w:p>
            <w:pPr>
              <w:pStyle w:val="TableParagraph"/>
              <w:spacing w:line="237" w:lineRule="auto"/>
              <w:ind w:left="31" w:right="35" w:firstLine="52"/>
              <w:jc w:val="both"/>
              <w:rPr>
                <w:rFonts w:ascii="宋体" w:hAnsi="宋体" w:cs="宋体" w:eastAsia="宋体" w:hint="default"/>
                <w:sz w:val="21"/>
                <w:szCs w:val="21"/>
              </w:rPr>
            </w:pP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222" w:type="dxa"/>
            <w:vMerge/>
            <w:tcBorders>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60" w:right="106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228"/>
        <w:gridCol w:w="1224"/>
        <w:gridCol w:w="559"/>
        <w:gridCol w:w="1059"/>
        <w:gridCol w:w="394"/>
        <w:gridCol w:w="1224"/>
        <w:gridCol w:w="1222"/>
        <w:gridCol w:w="312"/>
        <w:gridCol w:w="1059"/>
        <w:gridCol w:w="394"/>
        <w:gridCol w:w="1222"/>
      </w:tblGrid>
      <w:tr>
        <w:trPr>
          <w:trHeight w:val="5732" w:hRule="exact"/>
        </w:trPr>
        <w:tc>
          <w:tcPr>
            <w:tcW w:w="22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both"/>
              <w:rPr>
                <w:rFonts w:ascii="宋体" w:hAnsi="宋体" w:cs="宋体" w:eastAsia="宋体" w:hint="default"/>
                <w:sz w:val="21"/>
                <w:szCs w:val="21"/>
              </w:rPr>
            </w:pPr>
            <w:r>
              <w:rPr>
                <w:rFonts w:ascii="宋体" w:hAnsi="宋体" w:cs="宋体" w:eastAsia="宋体" w:hint="default"/>
                <w:w w:val="100"/>
                <w:sz w:val="21"/>
                <w:szCs w:val="21"/>
              </w:rPr>
              <w:t>单</w:t>
            </w:r>
          </w:p>
          <w:p>
            <w:pPr>
              <w:pStyle w:val="TableParagraph"/>
              <w:spacing w:line="237" w:lineRule="auto"/>
              <w:ind w:left="26" w:right="-20"/>
              <w:jc w:val="both"/>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r>
              <w:rPr>
                <w:rFonts w:ascii="宋体" w:hAnsi="宋体" w:cs="宋体" w:eastAsia="宋体" w:hint="default"/>
                <w:w w:val="100"/>
                <w:sz w:val="21"/>
                <w:szCs w:val="21"/>
              </w:rPr>
              <w:t> </w:t>
            </w:r>
            <w:r>
              <w:rPr>
                <w:rFonts w:ascii="宋体" w:hAnsi="宋体" w:cs="宋体" w:eastAsia="宋体" w:hint="default"/>
                <w:sz w:val="21"/>
                <w:szCs w:val="21"/>
              </w:rPr>
              <w:t>重</w:t>
            </w:r>
            <w:r>
              <w:rPr>
                <w:rFonts w:ascii="宋体" w:hAnsi="宋体" w:cs="宋体" w:eastAsia="宋体" w:hint="default"/>
                <w:w w:val="100"/>
                <w:sz w:val="21"/>
                <w:szCs w:val="21"/>
              </w:rPr>
              <w:t> </w:t>
            </w:r>
            <w:r>
              <w:rPr>
                <w:rFonts w:ascii="宋体" w:hAnsi="宋体" w:cs="宋体" w:eastAsia="宋体" w:hint="default"/>
                <w:sz w:val="21"/>
                <w:szCs w:val="21"/>
              </w:rPr>
              <w:t>大</w:t>
            </w:r>
            <w:r>
              <w:rPr>
                <w:rFonts w:ascii="宋体" w:hAnsi="宋体" w:cs="宋体" w:eastAsia="宋体" w:hint="default"/>
                <w:w w:val="100"/>
                <w:sz w:val="21"/>
                <w:szCs w:val="21"/>
              </w:rPr>
              <w:t> </w:t>
            </w:r>
            <w:r>
              <w:rPr>
                <w:rFonts w:ascii="宋体" w:hAnsi="宋体" w:cs="宋体" w:eastAsia="宋体" w:hint="default"/>
                <w:sz w:val="21"/>
                <w:szCs w:val="21"/>
              </w:rPr>
              <w:t>并</w:t>
            </w:r>
            <w:r>
              <w:rPr>
                <w:rFonts w:ascii="宋体" w:hAnsi="宋体" w:cs="宋体" w:eastAsia="宋体" w:hint="default"/>
                <w:w w:val="100"/>
                <w:sz w:val="21"/>
                <w:szCs w:val="21"/>
              </w:rPr>
              <w:t> </w:t>
            </w:r>
            <w:r>
              <w:rPr>
                <w:rFonts w:ascii="宋体" w:hAnsi="宋体" w:cs="宋体" w:eastAsia="宋体" w:hint="default"/>
                <w:sz w:val="21"/>
                <w:szCs w:val="21"/>
              </w:rPr>
              <w:t>单</w:t>
            </w:r>
            <w:r>
              <w:rPr>
                <w:rFonts w:ascii="宋体" w:hAnsi="宋体" w:cs="宋体" w:eastAsia="宋体" w:hint="default"/>
                <w:w w:val="100"/>
                <w:sz w:val="21"/>
                <w:szCs w:val="21"/>
              </w:rPr>
              <w:t> </w:t>
            </w:r>
            <w:r>
              <w:rPr>
                <w:rFonts w:ascii="宋体" w:hAnsi="宋体" w:cs="宋体" w:eastAsia="宋体" w:hint="default"/>
                <w:sz w:val="21"/>
                <w:szCs w:val="21"/>
              </w:rPr>
              <w:t>独</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坏</w:t>
            </w:r>
            <w:r>
              <w:rPr>
                <w:rFonts w:ascii="宋体" w:hAnsi="宋体" w:cs="宋体" w:eastAsia="宋体" w:hint="default"/>
                <w:w w:val="100"/>
                <w:sz w:val="21"/>
                <w:szCs w:val="21"/>
              </w:rPr>
              <w:t> </w:t>
            </w: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应</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款</w:t>
            </w:r>
          </w:p>
        </w:tc>
        <w:tc>
          <w:tcPr>
            <w:tcW w:w="1224"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059"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1059"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r>
      <w:tr>
        <w:trPr>
          <w:trHeight w:val="5730" w:hRule="exact"/>
        </w:trPr>
        <w:tc>
          <w:tcPr>
            <w:tcW w:w="2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both"/>
              <w:rPr>
                <w:rFonts w:ascii="宋体" w:hAnsi="宋体" w:cs="宋体" w:eastAsia="宋体" w:hint="default"/>
                <w:sz w:val="21"/>
                <w:szCs w:val="21"/>
              </w:rPr>
            </w:pPr>
            <w:r>
              <w:rPr>
                <w:rFonts w:ascii="宋体" w:hAnsi="宋体" w:cs="宋体" w:eastAsia="宋体" w:hint="default"/>
                <w:w w:val="100"/>
                <w:sz w:val="21"/>
                <w:szCs w:val="21"/>
              </w:rPr>
              <w:t>按</w:t>
            </w:r>
          </w:p>
          <w:p>
            <w:pPr>
              <w:pStyle w:val="TableParagraph"/>
              <w:spacing w:line="237" w:lineRule="auto"/>
              <w:ind w:left="26" w:right="-20"/>
              <w:jc w:val="both"/>
              <w:rPr>
                <w:rFonts w:ascii="宋体" w:hAnsi="宋体" w:cs="宋体" w:eastAsia="宋体" w:hint="default"/>
                <w:sz w:val="21"/>
                <w:szCs w:val="21"/>
              </w:rPr>
            </w:pPr>
            <w:r>
              <w:rPr>
                <w:rFonts w:ascii="宋体" w:hAnsi="宋体" w:cs="宋体" w:eastAsia="宋体" w:hint="default"/>
                <w:sz w:val="21"/>
                <w:szCs w:val="21"/>
              </w:rPr>
              <w:t>信</w:t>
            </w:r>
            <w:r>
              <w:rPr>
                <w:rFonts w:ascii="宋体" w:hAnsi="宋体" w:cs="宋体" w:eastAsia="宋体" w:hint="default"/>
                <w:w w:val="100"/>
                <w:sz w:val="21"/>
                <w:szCs w:val="21"/>
              </w:rPr>
              <w:t> </w:t>
            </w:r>
            <w:r>
              <w:rPr>
                <w:rFonts w:ascii="宋体" w:hAnsi="宋体" w:cs="宋体" w:eastAsia="宋体" w:hint="default"/>
                <w:sz w:val="21"/>
                <w:szCs w:val="21"/>
              </w:rPr>
              <w:t>用</w:t>
            </w:r>
            <w:r>
              <w:rPr>
                <w:rFonts w:ascii="宋体" w:hAnsi="宋体" w:cs="宋体" w:eastAsia="宋体" w:hint="default"/>
                <w:w w:val="100"/>
                <w:sz w:val="21"/>
                <w:szCs w:val="21"/>
              </w:rPr>
              <w:t> </w:t>
            </w:r>
            <w:r>
              <w:rPr>
                <w:rFonts w:ascii="宋体" w:hAnsi="宋体" w:cs="宋体" w:eastAsia="宋体" w:hint="default"/>
                <w:sz w:val="21"/>
                <w:szCs w:val="21"/>
              </w:rPr>
              <w:t>风</w:t>
            </w:r>
            <w:r>
              <w:rPr>
                <w:rFonts w:ascii="宋体" w:hAnsi="宋体" w:cs="宋体" w:eastAsia="宋体" w:hint="default"/>
                <w:w w:val="100"/>
                <w:sz w:val="21"/>
                <w:szCs w:val="21"/>
              </w:rPr>
              <w:t> </w:t>
            </w:r>
            <w:r>
              <w:rPr>
                <w:rFonts w:ascii="宋体" w:hAnsi="宋体" w:cs="宋体" w:eastAsia="宋体" w:hint="default"/>
                <w:sz w:val="21"/>
                <w:szCs w:val="21"/>
              </w:rPr>
              <w:t>险</w:t>
            </w:r>
            <w:r>
              <w:rPr>
                <w:rFonts w:ascii="宋体" w:hAnsi="宋体" w:cs="宋体" w:eastAsia="宋体" w:hint="default"/>
                <w:w w:val="100"/>
                <w:sz w:val="21"/>
                <w:szCs w:val="21"/>
              </w:rPr>
              <w:t> </w:t>
            </w:r>
            <w:r>
              <w:rPr>
                <w:rFonts w:ascii="宋体" w:hAnsi="宋体" w:cs="宋体" w:eastAsia="宋体" w:hint="default"/>
                <w:sz w:val="21"/>
                <w:szCs w:val="21"/>
              </w:rPr>
              <w:t>特</w:t>
            </w:r>
            <w:r>
              <w:rPr>
                <w:rFonts w:ascii="宋体" w:hAnsi="宋体" w:cs="宋体" w:eastAsia="宋体" w:hint="default"/>
                <w:w w:val="100"/>
                <w:sz w:val="21"/>
                <w:szCs w:val="21"/>
              </w:rPr>
              <w:t> </w:t>
            </w:r>
            <w:r>
              <w:rPr>
                <w:rFonts w:ascii="宋体" w:hAnsi="宋体" w:cs="宋体" w:eastAsia="宋体" w:hint="default"/>
                <w:sz w:val="21"/>
                <w:szCs w:val="21"/>
              </w:rPr>
              <w:t>征</w:t>
            </w:r>
            <w:r>
              <w:rPr>
                <w:rFonts w:ascii="宋体" w:hAnsi="宋体" w:cs="宋体" w:eastAsia="宋体" w:hint="default"/>
                <w:w w:val="100"/>
                <w:sz w:val="21"/>
                <w:szCs w:val="21"/>
              </w:rPr>
              <w:t> </w:t>
            </w:r>
            <w:r>
              <w:rPr>
                <w:rFonts w:ascii="宋体" w:hAnsi="宋体" w:cs="宋体" w:eastAsia="宋体" w:hint="default"/>
                <w:sz w:val="21"/>
                <w:szCs w:val="21"/>
              </w:rPr>
              <w:t>组</w:t>
            </w:r>
            <w:r>
              <w:rPr>
                <w:rFonts w:ascii="宋体" w:hAnsi="宋体" w:cs="宋体" w:eastAsia="宋体" w:hint="default"/>
                <w:w w:val="100"/>
                <w:sz w:val="21"/>
                <w:szCs w:val="21"/>
              </w:rPr>
              <w:t> </w:t>
            </w: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坏</w:t>
            </w:r>
            <w:r>
              <w:rPr>
                <w:rFonts w:ascii="宋体" w:hAnsi="宋体" w:cs="宋体" w:eastAsia="宋体" w:hint="default"/>
                <w:w w:val="100"/>
                <w:sz w:val="21"/>
                <w:szCs w:val="21"/>
              </w:rPr>
              <w:t> </w:t>
            </w: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应</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款</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1"/>
              <w:jc w:val="right"/>
              <w:rPr>
                <w:rFonts w:ascii="宋体" w:hAnsi="宋体" w:cs="宋体" w:eastAsia="宋体" w:hint="default"/>
                <w:sz w:val="21"/>
                <w:szCs w:val="21"/>
              </w:rPr>
            </w:pPr>
            <w:r>
              <w:rPr>
                <w:rFonts w:ascii="宋体"/>
                <w:spacing w:val="-1"/>
                <w:sz w:val="21"/>
              </w:rPr>
              <w:t>427,292,994</w:t>
            </w:r>
          </w:p>
          <w:p>
            <w:pPr>
              <w:pStyle w:val="TableParagraph"/>
              <w:spacing w:line="273" w:lineRule="exact"/>
              <w:ind w:right="23"/>
              <w:jc w:val="right"/>
              <w:rPr>
                <w:rFonts w:ascii="宋体" w:hAnsi="宋体" w:cs="宋体" w:eastAsia="宋体" w:hint="default"/>
                <w:sz w:val="21"/>
                <w:szCs w:val="21"/>
              </w:rPr>
            </w:pPr>
            <w:r>
              <w:rPr>
                <w:rFonts w:ascii="宋体"/>
                <w:sz w:val="21"/>
              </w:rPr>
              <w:t>.63</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sz w:val="21"/>
              </w:rPr>
              <w:t>100.</w:t>
            </w:r>
          </w:p>
          <w:p>
            <w:pPr>
              <w:pStyle w:val="TableParagraph"/>
              <w:spacing w:line="273" w:lineRule="exact"/>
              <w:ind w:left="309" w:right="0"/>
              <w:jc w:val="left"/>
              <w:rPr>
                <w:rFonts w:ascii="宋体" w:hAnsi="宋体" w:cs="宋体" w:eastAsia="宋体" w:hint="default"/>
                <w:sz w:val="21"/>
                <w:szCs w:val="21"/>
              </w:rPr>
            </w:pPr>
            <w:r>
              <w:rPr>
                <w:rFonts w:ascii="宋体"/>
                <w:sz w:val="21"/>
              </w:rPr>
              <w:t>00</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1"/>
              <w:jc w:val="right"/>
              <w:rPr>
                <w:rFonts w:ascii="宋体" w:hAnsi="宋体" w:cs="宋体" w:eastAsia="宋体" w:hint="default"/>
                <w:sz w:val="21"/>
                <w:szCs w:val="21"/>
              </w:rPr>
            </w:pPr>
            <w:r>
              <w:rPr>
                <w:rFonts w:ascii="宋体"/>
                <w:spacing w:val="-1"/>
                <w:sz w:val="21"/>
              </w:rPr>
              <w:t>8,514,142</w:t>
            </w:r>
          </w:p>
          <w:p>
            <w:pPr>
              <w:pStyle w:val="TableParagraph"/>
              <w:spacing w:line="273" w:lineRule="exact"/>
              <w:ind w:right="23"/>
              <w:jc w:val="right"/>
              <w:rPr>
                <w:rFonts w:ascii="宋体" w:hAnsi="宋体" w:cs="宋体" w:eastAsia="宋体" w:hint="default"/>
                <w:sz w:val="21"/>
                <w:szCs w:val="21"/>
              </w:rPr>
            </w:pPr>
            <w:r>
              <w:rPr>
                <w:rFonts w:ascii="宋体"/>
                <w:sz w:val="21"/>
              </w:rPr>
              <w:t>.46</w:t>
            </w:r>
          </w:p>
        </w:tc>
        <w:tc>
          <w:tcPr>
            <w:tcW w:w="3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3" w:right="0"/>
              <w:jc w:val="left"/>
              <w:rPr>
                <w:rFonts w:ascii="宋体" w:hAnsi="宋体" w:cs="宋体" w:eastAsia="宋体" w:hint="default"/>
                <w:sz w:val="21"/>
                <w:szCs w:val="21"/>
              </w:rPr>
            </w:pPr>
            <w:r>
              <w:rPr>
                <w:rFonts w:ascii="宋体"/>
                <w:sz w:val="21"/>
              </w:rPr>
              <w:t>1.9</w:t>
            </w:r>
          </w:p>
          <w:p>
            <w:pPr>
              <w:pStyle w:val="TableParagraph"/>
              <w:spacing w:line="273" w:lineRule="exact"/>
              <w:ind w:left="251" w:right="0"/>
              <w:jc w:val="left"/>
              <w:rPr>
                <w:rFonts w:ascii="宋体" w:hAnsi="宋体" w:cs="宋体" w:eastAsia="宋体" w:hint="default"/>
                <w:sz w:val="21"/>
                <w:szCs w:val="21"/>
              </w:rPr>
            </w:pPr>
            <w:r>
              <w:rPr>
                <w:rFonts w:ascii="宋体"/>
                <w:w w:val="100"/>
                <w:sz w:val="21"/>
              </w:rPr>
              <w:t>9</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2"/>
              <w:jc w:val="right"/>
              <w:rPr>
                <w:rFonts w:ascii="宋体" w:hAnsi="宋体" w:cs="宋体" w:eastAsia="宋体" w:hint="default"/>
                <w:sz w:val="21"/>
                <w:szCs w:val="21"/>
              </w:rPr>
            </w:pPr>
            <w:r>
              <w:rPr>
                <w:rFonts w:ascii="宋体"/>
                <w:spacing w:val="-1"/>
                <w:sz w:val="21"/>
              </w:rPr>
              <w:t>418,778,852</w:t>
            </w:r>
          </w:p>
          <w:p>
            <w:pPr>
              <w:pStyle w:val="TableParagraph"/>
              <w:spacing w:line="273" w:lineRule="exact"/>
              <w:ind w:right="22"/>
              <w:jc w:val="right"/>
              <w:rPr>
                <w:rFonts w:ascii="宋体" w:hAnsi="宋体" w:cs="宋体" w:eastAsia="宋体" w:hint="default"/>
                <w:sz w:val="21"/>
                <w:szCs w:val="21"/>
              </w:rPr>
            </w:pPr>
            <w:r>
              <w:rPr>
                <w:rFonts w:ascii="宋体"/>
                <w:sz w:val="21"/>
              </w:rPr>
              <w:t>.17</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1"/>
              <w:jc w:val="right"/>
              <w:rPr>
                <w:rFonts w:ascii="宋体" w:hAnsi="宋体" w:cs="宋体" w:eastAsia="宋体" w:hint="default"/>
                <w:sz w:val="21"/>
                <w:szCs w:val="21"/>
              </w:rPr>
            </w:pPr>
            <w:r>
              <w:rPr>
                <w:rFonts w:ascii="宋体"/>
                <w:spacing w:val="-1"/>
                <w:sz w:val="21"/>
              </w:rPr>
              <w:t>428,492,398</w:t>
            </w:r>
          </w:p>
          <w:p>
            <w:pPr>
              <w:pStyle w:val="TableParagraph"/>
              <w:spacing w:line="273" w:lineRule="exact"/>
              <w:ind w:right="23"/>
              <w:jc w:val="right"/>
              <w:rPr>
                <w:rFonts w:ascii="宋体" w:hAnsi="宋体" w:cs="宋体" w:eastAsia="宋体" w:hint="default"/>
                <w:sz w:val="21"/>
                <w:szCs w:val="21"/>
              </w:rPr>
            </w:pPr>
            <w:r>
              <w:rPr>
                <w:rFonts w:ascii="宋体"/>
                <w:sz w:val="21"/>
              </w:rPr>
              <w:t>.23</w:t>
            </w:r>
          </w:p>
        </w:tc>
        <w:tc>
          <w:tcPr>
            <w:tcW w:w="312" w:type="dxa"/>
            <w:tcBorders>
              <w:top w:val="single" w:sz="4" w:space="0" w:color="000000"/>
              <w:left w:val="single" w:sz="4" w:space="0" w:color="000000"/>
              <w:bottom w:val="single" w:sz="4" w:space="0" w:color="000000"/>
              <w:right w:val="single" w:sz="4" w:space="0" w:color="000000"/>
            </w:tcBorders>
          </w:tcPr>
          <w:p>
            <w:pP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4"/>
              <w:jc w:val="right"/>
              <w:rPr>
                <w:rFonts w:ascii="宋体" w:hAnsi="宋体" w:cs="宋体" w:eastAsia="宋体" w:hint="default"/>
                <w:sz w:val="21"/>
                <w:szCs w:val="21"/>
              </w:rPr>
            </w:pPr>
            <w:r>
              <w:rPr>
                <w:rFonts w:ascii="宋体"/>
                <w:spacing w:val="-1"/>
                <w:sz w:val="21"/>
              </w:rPr>
              <w:t>5,739,187</w:t>
            </w:r>
          </w:p>
          <w:p>
            <w:pPr>
              <w:pStyle w:val="TableParagraph"/>
              <w:spacing w:line="273" w:lineRule="exact"/>
              <w:ind w:right="26"/>
              <w:jc w:val="right"/>
              <w:rPr>
                <w:rFonts w:ascii="宋体" w:hAnsi="宋体" w:cs="宋体" w:eastAsia="宋体" w:hint="default"/>
                <w:sz w:val="21"/>
                <w:szCs w:val="21"/>
              </w:rPr>
            </w:pPr>
            <w:r>
              <w:rPr>
                <w:rFonts w:ascii="宋体"/>
                <w:sz w:val="21"/>
              </w:rPr>
              <w:t>.58</w:t>
            </w:r>
          </w:p>
        </w:tc>
        <w:tc>
          <w:tcPr>
            <w:tcW w:w="3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0" w:right="0"/>
              <w:jc w:val="left"/>
              <w:rPr>
                <w:rFonts w:ascii="宋体" w:hAnsi="宋体" w:cs="宋体" w:eastAsia="宋体" w:hint="default"/>
                <w:sz w:val="21"/>
                <w:szCs w:val="21"/>
              </w:rPr>
            </w:pPr>
            <w:r>
              <w:rPr>
                <w:rFonts w:ascii="宋体"/>
                <w:sz w:val="21"/>
              </w:rPr>
              <w:t>1.3</w:t>
            </w:r>
          </w:p>
          <w:p>
            <w:pPr>
              <w:pStyle w:val="TableParagraph"/>
              <w:spacing w:line="273" w:lineRule="exact"/>
              <w:ind w:left="249" w:right="0"/>
              <w:jc w:val="left"/>
              <w:rPr>
                <w:rFonts w:ascii="宋体" w:hAnsi="宋体" w:cs="宋体" w:eastAsia="宋体" w:hint="default"/>
                <w:sz w:val="21"/>
                <w:szCs w:val="21"/>
              </w:rPr>
            </w:pPr>
            <w:r>
              <w:rPr>
                <w:rFonts w:ascii="宋体"/>
                <w:w w:val="100"/>
                <w:sz w:val="21"/>
              </w:rPr>
              <w:t>4</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1"/>
              <w:jc w:val="right"/>
              <w:rPr>
                <w:rFonts w:ascii="宋体" w:hAnsi="宋体" w:cs="宋体" w:eastAsia="宋体" w:hint="default"/>
                <w:sz w:val="21"/>
                <w:szCs w:val="21"/>
              </w:rPr>
            </w:pPr>
            <w:r>
              <w:rPr>
                <w:rFonts w:ascii="宋体"/>
                <w:spacing w:val="-1"/>
                <w:sz w:val="21"/>
              </w:rPr>
              <w:t>422,753,210</w:t>
            </w:r>
          </w:p>
          <w:p>
            <w:pPr>
              <w:pStyle w:val="TableParagraph"/>
              <w:spacing w:line="273" w:lineRule="exact"/>
              <w:ind w:right="23"/>
              <w:jc w:val="right"/>
              <w:rPr>
                <w:rFonts w:ascii="宋体" w:hAnsi="宋体" w:cs="宋体" w:eastAsia="宋体" w:hint="default"/>
                <w:sz w:val="21"/>
                <w:szCs w:val="21"/>
              </w:rPr>
            </w:pPr>
            <w:r>
              <w:rPr>
                <w:rFonts w:ascii="宋体"/>
                <w:sz w:val="21"/>
              </w:rPr>
              <w:t>.65</w:t>
            </w:r>
          </w:p>
        </w:tc>
      </w:tr>
    </w:tbl>
    <w:p>
      <w:pPr>
        <w:spacing w:after="0" w:line="273" w:lineRule="exact"/>
        <w:jc w:val="right"/>
        <w:rPr>
          <w:rFonts w:ascii="宋体" w:hAnsi="宋体" w:cs="宋体" w:eastAsia="宋体" w:hint="default"/>
          <w:sz w:val="21"/>
          <w:szCs w:val="21"/>
        </w:rPr>
        <w:sectPr>
          <w:pgSz w:w="11910" w:h="16840"/>
          <w:pgMar w:header="882" w:footer="1195" w:top="1120" w:bottom="1380" w:left="1660" w:right="11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228"/>
        <w:gridCol w:w="1224"/>
        <w:gridCol w:w="559"/>
        <w:gridCol w:w="1059"/>
        <w:gridCol w:w="394"/>
        <w:gridCol w:w="1224"/>
        <w:gridCol w:w="1222"/>
        <w:gridCol w:w="312"/>
        <w:gridCol w:w="1059"/>
        <w:gridCol w:w="394"/>
        <w:gridCol w:w="1222"/>
      </w:tblGrid>
      <w:tr>
        <w:trPr>
          <w:trHeight w:val="6003" w:hRule="exact"/>
        </w:trPr>
        <w:tc>
          <w:tcPr>
            <w:tcW w:w="22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both"/>
              <w:rPr>
                <w:rFonts w:ascii="宋体" w:hAnsi="宋体" w:cs="宋体" w:eastAsia="宋体" w:hint="default"/>
                <w:sz w:val="21"/>
                <w:szCs w:val="21"/>
              </w:rPr>
            </w:pPr>
            <w:r>
              <w:rPr>
                <w:rFonts w:ascii="宋体" w:hAnsi="宋体" w:cs="宋体" w:eastAsia="宋体" w:hint="default"/>
                <w:w w:val="100"/>
                <w:sz w:val="21"/>
                <w:szCs w:val="21"/>
              </w:rPr>
              <w:t>单</w:t>
            </w:r>
          </w:p>
          <w:p>
            <w:pPr>
              <w:pStyle w:val="TableParagraph"/>
              <w:spacing w:line="237" w:lineRule="auto"/>
              <w:ind w:left="26" w:right="-20"/>
              <w:jc w:val="both"/>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r>
              <w:rPr>
                <w:rFonts w:ascii="宋体" w:hAnsi="宋体" w:cs="宋体" w:eastAsia="宋体" w:hint="default"/>
                <w:w w:val="100"/>
                <w:sz w:val="21"/>
                <w:szCs w:val="21"/>
              </w:rPr>
              <w:t> </w:t>
            </w:r>
            <w:r>
              <w:rPr>
                <w:rFonts w:ascii="宋体" w:hAnsi="宋体" w:cs="宋体" w:eastAsia="宋体" w:hint="default"/>
                <w:sz w:val="21"/>
                <w:szCs w:val="21"/>
              </w:rPr>
              <w:t>不</w:t>
            </w:r>
            <w:r>
              <w:rPr>
                <w:rFonts w:ascii="宋体" w:hAnsi="宋体" w:cs="宋体" w:eastAsia="宋体" w:hint="default"/>
                <w:w w:val="100"/>
                <w:sz w:val="21"/>
                <w:szCs w:val="21"/>
              </w:rPr>
              <w:t> </w:t>
            </w:r>
            <w:r>
              <w:rPr>
                <w:rFonts w:ascii="宋体" w:hAnsi="宋体" w:cs="宋体" w:eastAsia="宋体" w:hint="default"/>
                <w:sz w:val="21"/>
                <w:szCs w:val="21"/>
              </w:rPr>
              <w:t>重</w:t>
            </w:r>
            <w:r>
              <w:rPr>
                <w:rFonts w:ascii="宋体" w:hAnsi="宋体" w:cs="宋体" w:eastAsia="宋体" w:hint="default"/>
                <w:w w:val="100"/>
                <w:sz w:val="21"/>
                <w:szCs w:val="21"/>
              </w:rPr>
              <w:t> </w:t>
            </w:r>
            <w:r>
              <w:rPr>
                <w:rFonts w:ascii="宋体" w:hAnsi="宋体" w:cs="宋体" w:eastAsia="宋体" w:hint="default"/>
                <w:sz w:val="21"/>
                <w:szCs w:val="21"/>
              </w:rPr>
              <w:t>大</w:t>
            </w:r>
            <w:r>
              <w:rPr>
                <w:rFonts w:ascii="宋体" w:hAnsi="宋体" w:cs="宋体" w:eastAsia="宋体" w:hint="default"/>
                <w:w w:val="100"/>
                <w:sz w:val="21"/>
                <w:szCs w:val="21"/>
              </w:rPr>
              <w:t> </w:t>
            </w:r>
            <w:r>
              <w:rPr>
                <w:rFonts w:ascii="宋体" w:hAnsi="宋体" w:cs="宋体" w:eastAsia="宋体" w:hint="default"/>
                <w:sz w:val="21"/>
                <w:szCs w:val="21"/>
              </w:rPr>
              <w:t>但</w:t>
            </w:r>
            <w:r>
              <w:rPr>
                <w:rFonts w:ascii="宋体" w:hAnsi="宋体" w:cs="宋体" w:eastAsia="宋体" w:hint="default"/>
                <w:w w:val="100"/>
                <w:sz w:val="21"/>
                <w:szCs w:val="21"/>
              </w:rPr>
              <w:t> </w:t>
            </w:r>
            <w:r>
              <w:rPr>
                <w:rFonts w:ascii="宋体" w:hAnsi="宋体" w:cs="宋体" w:eastAsia="宋体" w:hint="default"/>
                <w:sz w:val="21"/>
                <w:szCs w:val="21"/>
              </w:rPr>
              <w:t>单</w:t>
            </w:r>
            <w:r>
              <w:rPr>
                <w:rFonts w:ascii="宋体" w:hAnsi="宋体" w:cs="宋体" w:eastAsia="宋体" w:hint="default"/>
                <w:w w:val="100"/>
                <w:sz w:val="21"/>
                <w:szCs w:val="21"/>
              </w:rPr>
              <w:t> </w:t>
            </w:r>
            <w:r>
              <w:rPr>
                <w:rFonts w:ascii="宋体" w:hAnsi="宋体" w:cs="宋体" w:eastAsia="宋体" w:hint="default"/>
                <w:sz w:val="21"/>
                <w:szCs w:val="21"/>
              </w:rPr>
              <w:t>独</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坏</w:t>
            </w:r>
            <w:r>
              <w:rPr>
                <w:rFonts w:ascii="宋体" w:hAnsi="宋体" w:cs="宋体" w:eastAsia="宋体" w:hint="default"/>
                <w:w w:val="100"/>
                <w:sz w:val="21"/>
                <w:szCs w:val="21"/>
              </w:rPr>
              <w:t> </w:t>
            </w: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应</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款</w:t>
            </w:r>
          </w:p>
        </w:tc>
        <w:tc>
          <w:tcPr>
            <w:tcW w:w="1224"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059"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1059"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20"/>
              <w:jc w:val="left"/>
              <w:rPr>
                <w:rFonts w:ascii="宋体" w:hAnsi="宋体" w:cs="宋体" w:eastAsia="宋体" w:hint="default"/>
                <w:sz w:val="21"/>
                <w:szCs w:val="21"/>
              </w:rPr>
            </w:pPr>
            <w:r>
              <w:rPr>
                <w:rFonts w:ascii="宋体" w:hAnsi="宋体" w:cs="宋体" w:eastAsia="宋体" w:hint="default"/>
                <w:w w:val="100"/>
                <w:sz w:val="21"/>
                <w:szCs w:val="21"/>
              </w:rPr>
              <w:t>合</w:t>
            </w:r>
          </w:p>
          <w:p>
            <w:pPr>
              <w:pStyle w:val="TableParagraph"/>
              <w:spacing w:line="274" w:lineRule="exact"/>
              <w:ind w:left="26" w:right="-20"/>
              <w:jc w:val="left"/>
              <w:rPr>
                <w:rFonts w:ascii="宋体" w:hAnsi="宋体" w:cs="宋体" w:eastAsia="宋体" w:hint="default"/>
                <w:sz w:val="21"/>
                <w:szCs w:val="21"/>
              </w:rPr>
            </w:pPr>
            <w:r>
              <w:rPr>
                <w:rFonts w:ascii="宋体" w:hAnsi="宋体" w:cs="宋体" w:eastAsia="宋体" w:hint="default"/>
                <w:w w:val="100"/>
                <w:sz w:val="21"/>
                <w:szCs w:val="21"/>
              </w:rPr>
              <w:t>计</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427,292,994</w:t>
            </w:r>
          </w:p>
          <w:p>
            <w:pPr>
              <w:pStyle w:val="TableParagraph"/>
              <w:spacing w:line="274" w:lineRule="exact"/>
              <w:ind w:right="23"/>
              <w:jc w:val="right"/>
              <w:rPr>
                <w:rFonts w:ascii="宋体" w:hAnsi="宋体" w:cs="宋体" w:eastAsia="宋体" w:hint="default"/>
                <w:sz w:val="21"/>
                <w:szCs w:val="21"/>
              </w:rPr>
            </w:pPr>
            <w:r>
              <w:rPr>
                <w:rFonts w:ascii="宋体"/>
                <w:sz w:val="21"/>
              </w:rPr>
              <w:t>.63</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8,514,142</w:t>
            </w:r>
          </w:p>
          <w:p>
            <w:pPr>
              <w:pStyle w:val="TableParagraph"/>
              <w:spacing w:line="274" w:lineRule="exact"/>
              <w:ind w:right="23"/>
              <w:jc w:val="right"/>
              <w:rPr>
                <w:rFonts w:ascii="宋体" w:hAnsi="宋体" w:cs="宋体" w:eastAsia="宋体" w:hint="default"/>
                <w:sz w:val="21"/>
                <w:szCs w:val="21"/>
              </w:rPr>
            </w:pPr>
            <w:r>
              <w:rPr>
                <w:rFonts w:ascii="宋体"/>
                <w:sz w:val="21"/>
              </w:rPr>
              <w:t>.46</w:t>
            </w:r>
          </w:p>
        </w:tc>
        <w:tc>
          <w:tcPr>
            <w:tcW w:w="3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pacing w:val="-1"/>
                <w:sz w:val="21"/>
              </w:rPr>
              <w:t>418,778,852</w:t>
            </w:r>
          </w:p>
          <w:p>
            <w:pPr>
              <w:pStyle w:val="TableParagraph"/>
              <w:spacing w:line="274" w:lineRule="exact"/>
              <w:ind w:right="22"/>
              <w:jc w:val="right"/>
              <w:rPr>
                <w:rFonts w:ascii="宋体" w:hAnsi="宋体" w:cs="宋体" w:eastAsia="宋体" w:hint="default"/>
                <w:sz w:val="21"/>
                <w:szCs w:val="21"/>
              </w:rPr>
            </w:pPr>
            <w:r>
              <w:rPr>
                <w:rFonts w:ascii="宋体"/>
                <w:sz w:val="21"/>
              </w:rPr>
              <w:t>.17</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428,492,398</w:t>
            </w:r>
          </w:p>
          <w:p>
            <w:pPr>
              <w:pStyle w:val="TableParagraph"/>
              <w:spacing w:line="274" w:lineRule="exact"/>
              <w:ind w:right="23"/>
              <w:jc w:val="right"/>
              <w:rPr>
                <w:rFonts w:ascii="宋体" w:hAnsi="宋体" w:cs="宋体" w:eastAsia="宋体" w:hint="default"/>
                <w:sz w:val="21"/>
                <w:szCs w:val="21"/>
              </w:rPr>
            </w:pPr>
            <w:r>
              <w:rPr>
                <w:rFonts w:ascii="宋体"/>
                <w:sz w:val="21"/>
              </w:rPr>
              <w:t>.23</w:t>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pacing w:val="-1"/>
                <w:sz w:val="21"/>
              </w:rPr>
              <w:t>5,739,187</w:t>
            </w:r>
          </w:p>
          <w:p>
            <w:pPr>
              <w:pStyle w:val="TableParagraph"/>
              <w:spacing w:line="274" w:lineRule="exact"/>
              <w:ind w:right="26"/>
              <w:jc w:val="right"/>
              <w:rPr>
                <w:rFonts w:ascii="宋体" w:hAnsi="宋体" w:cs="宋体" w:eastAsia="宋体" w:hint="default"/>
                <w:sz w:val="21"/>
                <w:szCs w:val="21"/>
              </w:rPr>
            </w:pPr>
            <w:r>
              <w:rPr>
                <w:rFonts w:ascii="宋体"/>
                <w:sz w:val="21"/>
              </w:rPr>
              <w:t>.58</w:t>
            </w:r>
          </w:p>
        </w:tc>
        <w:tc>
          <w:tcPr>
            <w:tcW w:w="3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422,753,210</w:t>
            </w:r>
          </w:p>
          <w:p>
            <w:pPr>
              <w:pStyle w:val="TableParagraph"/>
              <w:spacing w:line="274" w:lineRule="exact"/>
              <w:ind w:right="23"/>
              <w:jc w:val="right"/>
              <w:rPr>
                <w:rFonts w:ascii="宋体" w:hAnsi="宋体" w:cs="宋体" w:eastAsia="宋体" w:hint="default"/>
                <w:sz w:val="21"/>
                <w:szCs w:val="21"/>
              </w:rPr>
            </w:pPr>
            <w:r>
              <w:rPr>
                <w:rFonts w:ascii="宋体"/>
                <w:sz w:val="21"/>
              </w:rPr>
              <w:t>.65</w:t>
            </w:r>
          </w:p>
        </w:tc>
      </w:tr>
    </w:tbl>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1"/>
          <w:szCs w:val="21"/>
        </w:rPr>
      </w:pPr>
    </w:p>
    <w:p>
      <w:pPr>
        <w:spacing w:after="0" w:line="240" w:lineRule="auto"/>
        <w:rPr>
          <w:rFonts w:ascii="Times New Roman" w:hAnsi="Times New Roman" w:cs="Times New Roman" w:eastAsia="Times New Roman" w:hint="default"/>
          <w:sz w:val="21"/>
          <w:szCs w:val="21"/>
        </w:rPr>
        <w:sectPr>
          <w:pgSz w:w="11910" w:h="16840"/>
          <w:pgMar w:header="882" w:footer="1195" w:top="1120" w:bottom="1380" w:left="1660" w:right="1120"/>
        </w:sectPr>
      </w:pPr>
    </w:p>
    <w:p>
      <w:pPr>
        <w:pStyle w:val="BodyText"/>
        <w:spacing w:line="274" w:lineRule="exact" w:before="36"/>
        <w:ind w:left="138" w:right="0"/>
        <w:jc w:val="left"/>
      </w:pPr>
      <w:r>
        <w:rPr>
          <w:spacing w:val="-2"/>
        </w:rPr>
        <w:t>期末单项金额重大并单项计提坏帐准备的其他应收款</w:t>
      </w:r>
    </w:p>
    <w:p>
      <w:pPr>
        <w:pStyle w:val="BodyText"/>
        <w:spacing w:line="272" w:lineRule="exact" w:before="27"/>
        <w:ind w:left="138" w:right="0"/>
        <w:jc w:val="left"/>
      </w:pPr>
      <w:r>
        <w:rPr/>
        <w:t>□适用</w:t>
      </w:r>
      <w:r>
        <w:rPr>
          <w:spacing w:val="-2"/>
        </w:rPr>
        <w:t> </w:t>
      </w:r>
      <w:r>
        <w:rPr/>
        <w:t>√不适用</w:t>
      </w:r>
      <w:r>
        <w:rPr>
          <w:w w:val="100"/>
        </w:rPr>
        <w:t> </w:t>
      </w:r>
      <w:r>
        <w:rPr>
          <w:spacing w:val="-2"/>
        </w:rPr>
        <w:t>组合中，按账龄分析法计提坏账准备的其他应收款：</w:t>
      </w:r>
    </w:p>
    <w:p>
      <w:pPr>
        <w:pStyle w:val="BodyText"/>
        <w:tabs>
          <w:tab w:pos="980" w:val="left" w:leader="none"/>
        </w:tabs>
        <w:spacing w:line="249" w:lineRule="exact"/>
        <w:ind w:left="138" w:right="0"/>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4973" w:space="1549"/>
            <w:col w:w="2608"/>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374"/>
        <w:gridCol w:w="2203"/>
        <w:gridCol w:w="2131"/>
        <w:gridCol w:w="2187"/>
      </w:tblGrid>
      <w:tr>
        <w:trPr>
          <w:trHeight w:val="281" w:hRule="exact"/>
        </w:trPr>
        <w:tc>
          <w:tcPr>
            <w:tcW w:w="237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5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374" w:type="dxa"/>
            <w:vMerge/>
            <w:tcBorders>
              <w:left w:val="single" w:sz="4" w:space="0" w:color="000000"/>
              <w:bottom w:val="single" w:sz="4" w:space="0" w:color="000000"/>
              <w:right w:val="single" w:sz="4" w:space="0" w:color="000000"/>
            </w:tcBorders>
          </w:tcPr>
          <w:p>
            <w:pP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7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3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03"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6522" w:type="dxa"/>
            <w:gridSpan w:val="3"/>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889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w:t>
            </w:r>
          </w:p>
        </w:tc>
      </w:tr>
      <w:tr>
        <w:trPr>
          <w:trHeight w:val="284"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63,046,175.14</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3,152,308.75</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5.00</w:t>
            </w: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63,046,175.14</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3,152,308.75</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5.00</w:t>
            </w:r>
          </w:p>
        </w:tc>
      </w:tr>
      <w:tr>
        <w:trPr>
          <w:trHeight w:val="281"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7,204,848.60</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720,484.86</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10.00</w:t>
            </w: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2,164,911.24</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649,473.37</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30.00</w:t>
            </w:r>
          </w:p>
        </w:tc>
      </w:tr>
      <w:tr>
        <w:trPr>
          <w:trHeight w:val="281"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03" w:type="dxa"/>
            <w:tcBorders>
              <w:top w:val="single" w:sz="4" w:space="0" w:color="000000"/>
              <w:left w:val="single" w:sz="4" w:space="0" w:color="000000"/>
              <w:bottom w:val="single" w:sz="4" w:space="0" w:color="000000"/>
              <w:right w:val="single" w:sz="4" w:space="0" w:color="000000"/>
            </w:tcBorders>
          </w:tcPr>
          <w:p>
            <w:pPr/>
          </w:p>
        </w:tc>
        <w:tc>
          <w:tcPr>
            <w:tcW w:w="2131" w:type="dxa"/>
            <w:tcBorders>
              <w:top w:val="single" w:sz="4" w:space="0" w:color="000000"/>
              <w:left w:val="single" w:sz="4" w:space="0" w:color="000000"/>
              <w:bottom w:val="single" w:sz="4" w:space="0" w:color="000000"/>
              <w:right w:val="single" w:sz="4" w:space="0" w:color="000000"/>
            </w:tcBorders>
          </w:tcPr>
          <w:p>
            <w:pPr/>
          </w:p>
        </w:tc>
        <w:tc>
          <w:tcPr>
            <w:tcW w:w="218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1,527,010.15</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spacing w:val="-1"/>
                <w:sz w:val="21"/>
              </w:rPr>
              <w:t>763,505.08</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50.00</w:t>
            </w: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3,708,588.00</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2,966,870.40</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80.00</w:t>
            </w:r>
          </w:p>
        </w:tc>
      </w:tr>
      <w:tr>
        <w:trPr>
          <w:trHeight w:val="281"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261,500.00</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261,500.00</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100.00</w:t>
            </w: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77,913,033.13</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spacing w:val="-1"/>
                <w:sz w:val="21"/>
              </w:rPr>
              <w:t>8,514,142.46</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10.93</w:t>
            </w:r>
          </w:p>
        </w:tc>
      </w:tr>
    </w:tbl>
    <w:p>
      <w:pPr>
        <w:spacing w:line="240" w:lineRule="auto" w:before="7"/>
        <w:rPr>
          <w:rFonts w:ascii="宋体" w:hAnsi="宋体" w:cs="宋体" w:eastAsia="宋体" w:hint="default"/>
          <w:sz w:val="15"/>
          <w:szCs w:val="15"/>
        </w:rPr>
      </w:pPr>
    </w:p>
    <w:p>
      <w:pPr>
        <w:pStyle w:val="BodyText"/>
        <w:spacing w:line="272" w:lineRule="exact" w:before="64"/>
        <w:ind w:left="138" w:right="4983"/>
        <w:jc w:val="left"/>
      </w:pPr>
      <w:r>
        <w:rPr/>
        <w:t>确定该组合依据的说明：</w:t>
      </w:r>
      <w:r>
        <w:rPr>
          <w:w w:val="100"/>
        </w:rPr>
        <w:t> </w:t>
      </w:r>
      <w:r>
        <w:rPr>
          <w:spacing w:val="-2"/>
        </w:rPr>
        <w:t>以账龄作为信用风险特征。</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9"/>
          <w:szCs w:val="19"/>
        </w:rPr>
      </w:pPr>
    </w:p>
    <w:p>
      <w:pPr>
        <w:pStyle w:val="BodyText"/>
        <w:spacing w:line="240" w:lineRule="auto"/>
        <w:ind w:left="138" w:right="2859"/>
        <w:jc w:val="left"/>
      </w:pPr>
      <w:r>
        <w:rPr/>
        <w:t>组合中，采用余额百分比法计提坏账准备的其他应收款：</w:t>
      </w:r>
    </w:p>
    <w:p>
      <w:pPr>
        <w:spacing w:after="0" w:line="240" w:lineRule="auto"/>
        <w:jc w:val="left"/>
        <w:sectPr>
          <w:type w:val="continuous"/>
          <w:pgSz w:w="11910" w:h="16840"/>
          <w:pgMar w:top="1120" w:bottom="1380" w:left="1660" w:right="1120"/>
        </w:sectPr>
      </w:pPr>
    </w:p>
    <w:p>
      <w:pPr>
        <w:spacing w:line="240" w:lineRule="auto" w:before="1"/>
        <w:rPr>
          <w:rFonts w:ascii="宋体" w:hAnsi="宋体" w:cs="宋体" w:eastAsia="宋体" w:hint="default"/>
          <w:sz w:val="25"/>
          <w:szCs w:val="25"/>
        </w:rPr>
      </w:pPr>
    </w:p>
    <w:p>
      <w:pPr>
        <w:pStyle w:val="BodyText"/>
        <w:spacing w:line="240" w:lineRule="auto" w:before="36"/>
        <w:ind w:right="2497"/>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4" w:lineRule="exact"/>
        <w:ind w:right="2497"/>
        <w:jc w:val="left"/>
      </w:pPr>
      <w:r>
        <w:rPr/>
        <w:t>组合中，采用其他方法计提坏账准备的其他应收款：</w:t>
      </w:r>
    </w:p>
    <w:p>
      <w:pPr>
        <w:pStyle w:val="BodyText"/>
        <w:spacing w:line="274" w:lineRule="exact"/>
        <w:ind w:right="249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497"/>
        <w:jc w:val="left"/>
        <w:rPr>
          <w:b w:val="0"/>
          <w:bCs w:val="0"/>
        </w:rPr>
      </w:pPr>
      <w:r>
        <w:rPr>
          <w:rFonts w:ascii="宋体" w:hAnsi="宋体" w:cs="宋体" w:eastAsia="宋体" w:hint="default"/>
        </w:rPr>
        <w:t>(2).</w:t>
      </w:r>
      <w:r>
        <w:rPr>
          <w:rFonts w:ascii="宋体" w:hAnsi="宋体" w:cs="宋体" w:eastAsia="宋体" w:hint="default"/>
          <w:spacing w:val="58"/>
        </w:rPr>
        <w:t> </w:t>
      </w:r>
      <w:r>
        <w:rPr/>
        <w:t>本期计提、收回或转回的坏账准备情况：</w:t>
      </w:r>
      <w:r>
        <w:rPr>
          <w:b w:val="0"/>
          <w:bCs w:val="0"/>
        </w:rPr>
      </w:r>
    </w:p>
    <w:p>
      <w:pPr>
        <w:pStyle w:val="BodyText"/>
        <w:spacing w:line="240" w:lineRule="auto" w:before="56"/>
        <w:ind w:right="1818"/>
        <w:jc w:val="left"/>
      </w:pPr>
      <w:r>
        <w:rPr/>
        <w:t>本期计提坏账准备金额</w:t>
      </w:r>
      <w:r>
        <w:rPr>
          <w:spacing w:val="-54"/>
        </w:rPr>
        <w:t> </w:t>
      </w:r>
      <w:r>
        <w:rPr>
          <w:rFonts w:ascii="宋体" w:hAnsi="宋体" w:cs="宋体" w:eastAsia="宋体" w:hint="default"/>
        </w:rPr>
        <w:t>2,774,954.88</w:t>
      </w:r>
      <w:r>
        <w:rPr>
          <w:rFonts w:ascii="宋体" w:hAnsi="宋体" w:cs="宋体" w:eastAsia="宋体" w:hint="default"/>
          <w:spacing w:val="-55"/>
        </w:rPr>
        <w:t> </w:t>
      </w:r>
      <w:r>
        <w:rPr/>
        <w:t>元；本期收回或转回坏账准备金额</w:t>
      </w:r>
      <w:r>
        <w:rPr>
          <w:spacing w:val="-55"/>
        </w:rPr>
        <w:t> </w:t>
      </w:r>
      <w:r>
        <w:rPr>
          <w:rFonts w:ascii="宋体" w:hAnsi="宋体" w:cs="宋体" w:eastAsia="宋体" w:hint="default"/>
        </w:rPr>
        <w:t>0</w:t>
      </w:r>
      <w:r>
        <w:rPr>
          <w:rFonts w:ascii="宋体" w:hAnsi="宋体" w:cs="宋体" w:eastAsia="宋体" w:hint="default"/>
          <w:spacing w:val="-55"/>
        </w:rPr>
        <w:t> </w:t>
      </w:r>
      <w:r>
        <w:rPr>
          <w:spacing w:val="-3"/>
        </w:rPr>
        <w:t>元。</w:t>
      </w:r>
      <w:r>
        <w:rPr>
          <w:spacing w:val="-3"/>
          <w:w w:val="100"/>
        </w:rPr>
        <w:t> </w:t>
      </w:r>
      <w:r>
        <w:rPr/>
        <w:t>其中本期坏账准备转回或收回金额重要的：</w:t>
      </w:r>
    </w:p>
    <w:p>
      <w:pPr>
        <w:pStyle w:val="BodyText"/>
        <w:spacing w:line="271" w:lineRule="exact"/>
        <w:ind w:right="2497"/>
        <w:jc w:val="left"/>
      </w:pPr>
      <w:r>
        <w:rPr/>
        <w:t>□适用</w:t>
      </w:r>
      <w:r>
        <w:rPr>
          <w:spacing w:val="-1"/>
        </w:rPr>
        <w:t> </w:t>
      </w:r>
      <w:r>
        <w:rPr/>
        <w:t>√不适用</w:t>
      </w:r>
    </w:p>
    <w:p>
      <w:pPr>
        <w:pStyle w:val="Heading2"/>
        <w:spacing w:line="240" w:lineRule="auto" w:before="58"/>
        <w:ind w:right="2497"/>
        <w:jc w:val="left"/>
        <w:rPr>
          <w:b w:val="0"/>
          <w:bCs w:val="0"/>
        </w:rPr>
      </w:pPr>
      <w:r>
        <w:rPr>
          <w:rFonts w:ascii="宋体" w:hAnsi="宋体" w:cs="宋体" w:eastAsia="宋体" w:hint="default"/>
        </w:rPr>
        <w:t>(3).</w:t>
      </w:r>
      <w:r>
        <w:rPr>
          <w:rFonts w:ascii="宋体" w:hAnsi="宋体" w:cs="宋体" w:eastAsia="宋体" w:hint="default"/>
          <w:spacing w:val="57"/>
        </w:rPr>
        <w:t> </w:t>
      </w:r>
      <w:r>
        <w:rPr/>
        <w:t>本期实际核销的其他应收款情况</w:t>
      </w:r>
      <w:r>
        <w:rPr>
          <w:b w:val="0"/>
          <w:bCs w:val="0"/>
        </w:rPr>
      </w:r>
    </w:p>
    <w:p>
      <w:pPr>
        <w:pStyle w:val="BodyText"/>
        <w:spacing w:line="240" w:lineRule="auto" w:before="56"/>
        <w:ind w:right="4688"/>
        <w:jc w:val="left"/>
      </w:pPr>
      <w:r>
        <w:rPr/>
        <w:t>□适用</w:t>
      </w:r>
      <w:r>
        <w:rPr>
          <w:spacing w:val="-2"/>
        </w:rPr>
        <w:t> </w:t>
      </w:r>
      <w:r>
        <w:rPr/>
        <w:t>√不适用</w:t>
      </w:r>
      <w:r>
        <w:rPr>
          <w:w w:val="100"/>
        </w:rPr>
        <w:t> </w:t>
      </w:r>
      <w:r>
        <w:rPr>
          <w:spacing w:val="-2"/>
        </w:rPr>
        <w:t>其中重要的其他应收款核销情况：</w:t>
      </w:r>
    </w:p>
    <w:p>
      <w:pPr>
        <w:pStyle w:val="BodyText"/>
        <w:spacing w:line="274" w:lineRule="exact" w:before="22"/>
        <w:ind w:right="6323"/>
        <w:jc w:val="left"/>
      </w:pPr>
      <w:r>
        <w:rPr/>
        <w:t>□适用</w:t>
      </w:r>
      <w:r>
        <w:rPr>
          <w:spacing w:val="-2"/>
        </w:rPr>
        <w:t> </w:t>
      </w:r>
      <w:r>
        <w:rPr/>
        <w:t>√不适用</w:t>
      </w:r>
      <w:r>
        <w:rPr>
          <w:w w:val="100"/>
        </w:rPr>
        <w:t> </w:t>
      </w:r>
      <w:r>
        <w:rPr>
          <w:spacing w:val="-2"/>
        </w:rPr>
        <w:t>其他应收款核销说明：</w:t>
      </w:r>
    </w:p>
    <w:p>
      <w:pPr>
        <w:pStyle w:val="BodyText"/>
        <w:spacing w:line="246" w:lineRule="exact"/>
        <w:ind w:right="2497"/>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1040"/>
        </w:sectPr>
      </w:pPr>
    </w:p>
    <w:p>
      <w:pPr>
        <w:pStyle w:val="Heading2"/>
        <w:spacing w:line="240" w:lineRule="auto" w:before="36"/>
        <w:ind w:right="-18"/>
        <w:jc w:val="left"/>
        <w:rPr>
          <w:b w:val="0"/>
          <w:bCs w:val="0"/>
        </w:rPr>
      </w:pPr>
      <w:r>
        <w:rPr>
          <w:rFonts w:ascii="宋体" w:hAnsi="宋体" w:cs="宋体" w:eastAsia="宋体" w:hint="default"/>
        </w:rPr>
        <w:t>(4).</w:t>
      </w:r>
      <w:r>
        <w:rPr>
          <w:rFonts w:ascii="宋体" w:hAnsi="宋体" w:cs="宋体" w:eastAsia="宋体" w:hint="default"/>
          <w:spacing w:val="57"/>
        </w:rPr>
        <w:t> </w:t>
      </w:r>
      <w:r>
        <w:rPr/>
        <w:t>其他应收款按款项性质分类情况</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759" w:space="2753"/>
            <w:col w:w="277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77"/>
        <w:gridCol w:w="2981"/>
        <w:gridCol w:w="2991"/>
      </w:tblGrid>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融资租赁保证金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349,379,961.50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393,708,629.14</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29,029,605.00</w:t>
            </w:r>
          </w:p>
        </w:tc>
        <w:tc>
          <w:tcPr>
            <w:tcW w:w="299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25,350,640.67</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18,058,881.88</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17,934,568.71</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7,618,733.98</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保险理赔</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2,785,967.49</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5,399,477.80</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2,812,251.26</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3,706,675.43</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427,292,994.63</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428,492,398.23</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2"/>
        <w:spacing w:line="240" w:lineRule="auto" w:before="36"/>
        <w:ind w:right="-16"/>
        <w:jc w:val="left"/>
        <w:rPr>
          <w:b w:val="0"/>
          <w:bCs w:val="0"/>
        </w:rPr>
      </w:pPr>
      <w:r>
        <w:rPr>
          <w:rFonts w:ascii="宋体" w:hAnsi="宋体" w:cs="宋体" w:eastAsia="宋体" w:hint="default"/>
        </w:rPr>
        <w:t>(5).</w:t>
      </w:r>
      <w:r>
        <w:rPr>
          <w:rFonts w:ascii="宋体" w:hAnsi="宋体" w:cs="宋体" w:eastAsia="宋体" w:hint="default"/>
          <w:spacing w:val="54"/>
        </w:rPr>
        <w:t> </w:t>
      </w:r>
      <w:r>
        <w:rPr/>
        <w:t>按欠款方归集的期末余额前五名的其他应收款情况：</w:t>
      </w:r>
      <w:r>
        <w:rPr>
          <w:b w:val="0"/>
          <w:bCs w:val="0"/>
        </w:rPr>
      </w:r>
    </w:p>
    <w:p>
      <w:pPr>
        <w:pStyle w:val="BodyText"/>
        <w:spacing w:line="240" w:lineRule="auto" w:before="56"/>
        <w:ind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655" w:space="867"/>
            <w:col w:w="27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464"/>
        <w:gridCol w:w="1280"/>
        <w:gridCol w:w="1606"/>
        <w:gridCol w:w="1256"/>
        <w:gridCol w:w="1688"/>
        <w:gridCol w:w="1603"/>
      </w:tblGrid>
      <w:tr>
        <w:trPr>
          <w:trHeight w:val="829"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69" w:right="0"/>
              <w:jc w:val="left"/>
              <w:rPr>
                <w:rFonts w:ascii="宋体" w:hAnsi="宋体" w:cs="宋体" w:eastAsia="宋体" w:hint="default"/>
                <w:sz w:val="21"/>
                <w:szCs w:val="21"/>
              </w:rPr>
            </w:pPr>
            <w:r>
              <w:rPr>
                <w:rFonts w:ascii="宋体" w:hAnsi="宋体" w:cs="宋体" w:eastAsia="宋体" w:hint="default"/>
                <w:sz w:val="21"/>
                <w:szCs w:val="21"/>
              </w:rPr>
              <w:t>款项的性质</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40"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74"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占其他应收款期</w:t>
            </w:r>
          </w:p>
          <w:p>
            <w:pPr>
              <w:pStyle w:val="TableParagraph"/>
              <w:spacing w:line="272" w:lineRule="exact" w:before="27"/>
              <w:ind w:left="470" w:right="101" w:hanging="370"/>
              <w:jc w:val="left"/>
              <w:rPr>
                <w:rFonts w:ascii="宋体" w:hAnsi="宋体" w:cs="宋体" w:eastAsia="宋体" w:hint="default"/>
                <w:sz w:val="21"/>
                <w:szCs w:val="21"/>
              </w:rPr>
            </w:pPr>
            <w:r>
              <w:rPr>
                <w:rFonts w:ascii="宋体" w:hAnsi="宋体" w:cs="宋体" w:eastAsia="宋体" w:hint="default"/>
                <w:sz w:val="21"/>
                <w:szCs w:val="21"/>
              </w:rPr>
              <w:t>末余额合计数的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比例</w:t>
            </w:r>
            <w:r>
              <w:rPr>
                <w:rFonts w:ascii="宋体" w:hAnsi="宋体" w:cs="宋体" w:eastAsia="宋体" w:hint="default"/>
                <w:sz w:val="21"/>
                <w:szCs w:val="21"/>
              </w:rPr>
              <w:t>(%)</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76" w:right="372"/>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p>
        </w:tc>
      </w:tr>
      <w:tr>
        <w:trPr>
          <w:trHeight w:val="554"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信达金融租赁</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融资租赁保</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证金</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155,220,000.00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7"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36.33</w:t>
            </w:r>
          </w:p>
        </w:tc>
        <w:tc>
          <w:tcPr>
            <w:tcW w:w="160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民生金融租赁</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股份有限公司</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融资租赁保</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证金</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88,680,000.00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7"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20.75</w:t>
            </w:r>
          </w:p>
        </w:tc>
        <w:tc>
          <w:tcPr>
            <w:tcW w:w="1603"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中民国际融资</w:t>
            </w:r>
          </w:p>
          <w:p>
            <w:pPr>
              <w:pStyle w:val="TableParagraph"/>
              <w:spacing w:line="272" w:lineRule="exact" w:before="27"/>
              <w:ind w:left="26" w:right="163"/>
              <w:jc w:val="left"/>
              <w:rPr>
                <w:rFonts w:ascii="宋体" w:hAnsi="宋体" w:cs="宋体" w:eastAsia="宋体" w:hint="default"/>
                <w:sz w:val="21"/>
                <w:szCs w:val="21"/>
              </w:rPr>
            </w:pPr>
            <w:r>
              <w:rPr>
                <w:rFonts w:ascii="宋体" w:hAnsi="宋体" w:cs="宋体" w:eastAsia="宋体" w:hint="default"/>
                <w:sz w:val="21"/>
                <w:szCs w:val="21"/>
              </w:rPr>
              <w:t>租赁股份有限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融资租赁保</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证金</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48,428,000.00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11.33</w:t>
            </w:r>
          </w:p>
        </w:tc>
        <w:tc>
          <w:tcPr>
            <w:tcW w:w="160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上海国金租赁</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融资租赁保</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证金</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30,384,000.00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7"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7.11</w:t>
            </w:r>
          </w:p>
        </w:tc>
        <w:tc>
          <w:tcPr>
            <w:tcW w:w="160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6"/>
              <w:jc w:val="center"/>
              <w:rPr>
                <w:rFonts w:ascii="宋体" w:hAnsi="宋体" w:cs="宋体" w:eastAsia="宋体" w:hint="default"/>
                <w:sz w:val="21"/>
                <w:szCs w:val="21"/>
              </w:rPr>
            </w:pPr>
            <w:r>
              <w:rPr>
                <w:rFonts w:ascii="宋体" w:hAnsi="宋体" w:cs="宋体" w:eastAsia="宋体" w:hint="default"/>
                <w:sz w:val="21"/>
                <w:szCs w:val="21"/>
              </w:rPr>
              <w:t>福建省财政厅</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15,789,350.00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3.73</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789,467.50</w:t>
            </w:r>
          </w:p>
        </w:tc>
      </w:tr>
      <w:tr>
        <w:trPr>
          <w:trHeight w:val="284"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center"/>
              <w:rPr>
                <w:rFonts w:ascii="宋体" w:hAnsi="宋体" w:cs="宋体" w:eastAsia="宋体" w:hint="default"/>
                <w:sz w:val="21"/>
                <w:szCs w:val="21"/>
              </w:rPr>
            </w:pPr>
            <w:r>
              <w:rPr>
                <w:rFonts w:ascii="宋体" w:hAnsi="宋体" w:cs="宋体" w:eastAsia="宋体" w:hint="default"/>
                <w:sz w:val="21"/>
                <w:szCs w:val="21"/>
              </w:rPr>
              <w:t>合计</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7"/>
              <w:jc w:val="center"/>
              <w:rPr>
                <w:rFonts w:ascii="宋体" w:hAnsi="宋体" w:cs="宋体" w:eastAsia="宋体" w:hint="default"/>
                <w:sz w:val="21"/>
                <w:szCs w:val="21"/>
              </w:rPr>
            </w:pPr>
            <w:r>
              <w:rPr>
                <w:rFonts w:ascii="宋体"/>
                <w:w w:val="100"/>
                <w:sz w:val="21"/>
              </w:rPr>
              <w:t>/</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338,501,350.00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6"/>
              <w:jc w:val="center"/>
              <w:rPr>
                <w:rFonts w:ascii="宋体" w:hAnsi="宋体" w:cs="宋体" w:eastAsia="宋体" w:hint="default"/>
                <w:sz w:val="21"/>
                <w:szCs w:val="21"/>
              </w:rPr>
            </w:pPr>
            <w:r>
              <w:rPr>
                <w:rFonts w:ascii="宋体"/>
                <w:w w:val="100"/>
                <w:sz w:val="21"/>
              </w:rPr>
              <w:t>/</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z w:val="21"/>
              </w:rPr>
              <w:t>79.25</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789,467.50</w:t>
            </w:r>
          </w:p>
        </w:tc>
      </w:tr>
    </w:tbl>
    <w:p>
      <w:pPr>
        <w:spacing w:after="0" w:line="243"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Heading2"/>
        <w:spacing w:line="240" w:lineRule="auto" w:before="36"/>
        <w:ind w:right="2497"/>
        <w:jc w:val="left"/>
        <w:rPr>
          <w:b w:val="0"/>
          <w:bCs w:val="0"/>
        </w:rPr>
      </w:pPr>
      <w:r>
        <w:rPr>
          <w:rFonts w:ascii="宋体" w:hAnsi="宋体" w:cs="宋体" w:eastAsia="宋体" w:hint="default"/>
        </w:rPr>
        <w:t>(6).</w:t>
      </w:r>
      <w:r>
        <w:rPr>
          <w:rFonts w:ascii="宋体" w:hAnsi="宋体" w:cs="宋体" w:eastAsia="宋体" w:hint="default"/>
          <w:spacing w:val="59"/>
        </w:rPr>
        <w:t> </w:t>
      </w:r>
      <w:r>
        <w:rPr/>
        <w:t>涉及政府补助的应收款项</w:t>
      </w:r>
      <w:r>
        <w:rPr>
          <w:b w:val="0"/>
          <w:bCs w:val="0"/>
        </w:rPr>
      </w:r>
    </w:p>
    <w:p>
      <w:pPr>
        <w:pStyle w:val="BodyText"/>
        <w:spacing w:line="240" w:lineRule="auto" w:before="58"/>
        <w:ind w:right="249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497"/>
        <w:jc w:val="left"/>
        <w:rPr>
          <w:b w:val="0"/>
          <w:bCs w:val="0"/>
        </w:rPr>
      </w:pPr>
      <w:r>
        <w:rPr>
          <w:rFonts w:ascii="宋体" w:hAnsi="宋体" w:cs="宋体" w:eastAsia="宋体" w:hint="default"/>
        </w:rPr>
        <w:t>(7).</w:t>
      </w:r>
      <w:r>
        <w:rPr>
          <w:rFonts w:ascii="宋体" w:hAnsi="宋体" w:cs="宋体" w:eastAsia="宋体" w:hint="default"/>
          <w:spacing w:val="59"/>
        </w:rPr>
        <w:t> </w:t>
      </w:r>
      <w:r>
        <w:rPr/>
        <w:t>因金融资产转移而终止确认的其他应收款：</w:t>
      </w:r>
      <w:r>
        <w:rPr>
          <w:b w:val="0"/>
          <w:bCs w:val="0"/>
        </w:rPr>
      </w:r>
    </w:p>
    <w:p>
      <w:pPr>
        <w:pStyle w:val="BodyText"/>
        <w:spacing w:line="240" w:lineRule="auto" w:before="56"/>
        <w:ind w:right="249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497"/>
        <w:jc w:val="left"/>
        <w:rPr>
          <w:b w:val="0"/>
          <w:bCs w:val="0"/>
        </w:rPr>
      </w:pPr>
      <w:r>
        <w:rPr>
          <w:rFonts w:ascii="宋体" w:hAnsi="宋体" w:cs="宋体" w:eastAsia="宋体" w:hint="default"/>
        </w:rPr>
        <w:t>(8).</w:t>
      </w:r>
      <w:r>
        <w:rPr>
          <w:rFonts w:ascii="宋体" w:hAnsi="宋体" w:cs="宋体" w:eastAsia="宋体" w:hint="default"/>
          <w:spacing w:val="55"/>
        </w:rPr>
        <w:t> </w:t>
      </w:r>
      <w:r>
        <w:rPr/>
        <w:t>转移其他应收款且继续涉入形成的资产、负债的金额：</w:t>
      </w:r>
      <w:r>
        <w:rPr>
          <w:b w:val="0"/>
          <w:bCs w:val="0"/>
        </w:rPr>
      </w:r>
    </w:p>
    <w:p>
      <w:pPr>
        <w:pStyle w:val="BodyText"/>
        <w:spacing w:line="240" w:lineRule="auto" w:before="58"/>
        <w:ind w:right="2497"/>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3" w:lineRule="exact"/>
        <w:ind w:right="2497"/>
        <w:jc w:val="left"/>
      </w:pPr>
      <w:r>
        <w:rPr/>
        <w:t>其他说明：</w:t>
      </w:r>
    </w:p>
    <w:p>
      <w:pPr>
        <w:pStyle w:val="BodyText"/>
        <w:spacing w:line="273" w:lineRule="exact"/>
        <w:ind w:right="2497"/>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1040"/>
        </w:sectPr>
      </w:pPr>
    </w:p>
    <w:p>
      <w:pPr>
        <w:pStyle w:val="Heading2"/>
        <w:tabs>
          <w:tab w:pos="849" w:val="left" w:leader="none"/>
          <w:tab w:pos="1057" w:val="left" w:leader="none"/>
        </w:tabs>
        <w:spacing w:line="290" w:lineRule="auto" w:before="36"/>
        <w:ind w:right="98"/>
        <w:jc w:val="left"/>
        <w:rPr>
          <w:b w:val="0"/>
          <w:bCs w:val="0"/>
        </w:rPr>
      </w:pPr>
      <w:r>
        <w:rPr>
          <w:rFonts w:ascii="宋体" w:hAnsi="宋体" w:cs="宋体" w:eastAsia="宋体" w:hint="default"/>
          <w:spacing w:val="-1"/>
        </w:rPr>
        <w:t>10</w:t>
      </w:r>
      <w:r>
        <w:rPr>
          <w:spacing w:val="-1"/>
        </w:rPr>
        <w:t>、</w:t>
        <w:tab/>
        <w:tab/>
      </w:r>
      <w:r>
        <w:rPr/>
        <w:t>存货</w:t>
      </w:r>
      <w:r>
        <w:rPr>
          <w:w w:val="100"/>
        </w:rPr>
        <w:t> </w:t>
      </w:r>
      <w:r>
        <w:rPr>
          <w:rFonts w:ascii="宋体" w:hAnsi="宋体" w:cs="宋体" w:eastAsia="宋体" w:hint="default"/>
          <w:w w:val="95"/>
        </w:rPr>
        <w:t>(1).</w:t>
        <w:tab/>
      </w:r>
      <w:r>
        <w:rPr/>
        <w:t>存货分类</w:t>
      </w:r>
      <w:r>
        <w:rPr>
          <w:b w:val="0"/>
          <w:bCs w:val="0"/>
        </w:rPr>
      </w:r>
    </w:p>
    <w:p>
      <w:pPr>
        <w:pStyle w:val="BodyText"/>
        <w:spacing w:line="240" w:lineRule="auto" w:before="12"/>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229"/>
        <w:gridCol w:w="1431"/>
        <w:gridCol w:w="977"/>
        <w:gridCol w:w="1431"/>
        <w:gridCol w:w="1433"/>
        <w:gridCol w:w="965"/>
        <w:gridCol w:w="1430"/>
      </w:tblGrid>
      <w:tr>
        <w:trPr>
          <w:trHeight w:val="283" w:hRule="exact"/>
        </w:trPr>
        <w:tc>
          <w:tcPr>
            <w:tcW w:w="1229" w:type="dxa"/>
            <w:vMerge w:val="restart"/>
            <w:tcBorders>
              <w:top w:val="single" w:sz="4" w:space="0" w:color="000000"/>
              <w:left w:val="single" w:sz="4" w:space="0" w:color="000000"/>
              <w:right w:val="single" w:sz="4" w:space="0" w:color="000000"/>
            </w:tcBorders>
          </w:tcPr>
          <w:p>
            <w:pPr>
              <w:pStyle w:val="TableParagraph"/>
              <w:spacing w:line="240" w:lineRule="auto" w:before="107"/>
              <w:ind w:left="398"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38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82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1229" w:type="dxa"/>
            <w:vMerge/>
            <w:tcBorders>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9"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3" w:hRule="exact"/>
        </w:trPr>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燃油</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sz w:val="21"/>
              </w:rPr>
              <w:t>51,948,794.52</w:t>
            </w:r>
          </w:p>
        </w:tc>
        <w:tc>
          <w:tcPr>
            <w:tcW w:w="977"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sz w:val="21"/>
              </w:rPr>
              <w:t>51,948,794.52</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27,599,831.22</w:t>
            </w:r>
          </w:p>
        </w:tc>
        <w:tc>
          <w:tcPr>
            <w:tcW w:w="965"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27,599,831.22</w:t>
            </w:r>
          </w:p>
        </w:tc>
      </w:tr>
      <w:tr>
        <w:trPr>
          <w:trHeight w:val="283" w:hRule="exact"/>
        </w:trPr>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sz w:val="21"/>
              </w:rPr>
              <w:t>51,948,794.52</w:t>
            </w:r>
          </w:p>
        </w:tc>
        <w:tc>
          <w:tcPr>
            <w:tcW w:w="977"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sz w:val="21"/>
              </w:rPr>
              <w:t>51,948,794.52</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27,599,831.22</w:t>
            </w:r>
          </w:p>
        </w:tc>
        <w:tc>
          <w:tcPr>
            <w:tcW w:w="965"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27,599,831.22</w:t>
            </w:r>
          </w:p>
        </w:tc>
      </w:tr>
    </w:tbl>
    <w:p>
      <w:pPr>
        <w:spacing w:line="240" w:lineRule="auto" w:before="12"/>
        <w:rPr>
          <w:rFonts w:ascii="宋体" w:hAnsi="宋体" w:cs="宋体" w:eastAsia="宋体" w:hint="default"/>
          <w:sz w:val="19"/>
          <w:szCs w:val="19"/>
        </w:rPr>
      </w:pPr>
    </w:p>
    <w:p>
      <w:pPr>
        <w:pStyle w:val="Heading2"/>
        <w:tabs>
          <w:tab w:pos="849" w:val="left" w:leader="none"/>
        </w:tabs>
        <w:spacing w:line="240" w:lineRule="auto" w:before="36"/>
        <w:ind w:right="2497"/>
        <w:jc w:val="left"/>
        <w:rPr>
          <w:b w:val="0"/>
          <w:bCs w:val="0"/>
        </w:rPr>
      </w:pPr>
      <w:r>
        <w:rPr>
          <w:rFonts w:ascii="宋体" w:hAnsi="宋体" w:cs="宋体" w:eastAsia="宋体" w:hint="default"/>
          <w:w w:val="95"/>
        </w:rPr>
        <w:t>(2).</w:t>
        <w:tab/>
      </w:r>
      <w:r>
        <w:rPr/>
        <w:t>存货跌价准备</w:t>
      </w:r>
      <w:r>
        <w:rPr>
          <w:b w:val="0"/>
          <w:bCs w:val="0"/>
        </w:rPr>
      </w:r>
    </w:p>
    <w:p>
      <w:pPr>
        <w:pStyle w:val="BodyText"/>
        <w:spacing w:line="240" w:lineRule="auto" w:before="59"/>
        <w:ind w:right="2497"/>
        <w:jc w:val="left"/>
      </w:pPr>
      <w:r>
        <w:rPr/>
        <w:t>□适用</w:t>
      </w:r>
      <w:r>
        <w:rPr>
          <w:spacing w:val="-1"/>
        </w:rPr>
        <w:t> </w:t>
      </w:r>
      <w:r>
        <w:rPr/>
        <w:t>√不适用</w:t>
      </w:r>
    </w:p>
    <w:p>
      <w:pPr>
        <w:pStyle w:val="Heading2"/>
        <w:tabs>
          <w:tab w:pos="849" w:val="left" w:leader="none"/>
        </w:tabs>
        <w:spacing w:line="240" w:lineRule="auto" w:before="56"/>
        <w:ind w:right="2497"/>
        <w:jc w:val="left"/>
        <w:rPr>
          <w:b w:val="0"/>
          <w:bCs w:val="0"/>
        </w:rPr>
      </w:pPr>
      <w:r>
        <w:rPr>
          <w:rFonts w:ascii="宋体" w:hAnsi="宋体" w:cs="宋体" w:eastAsia="宋体" w:hint="default"/>
          <w:w w:val="95"/>
        </w:rPr>
        <w:t>(3).</w:t>
        <w:tab/>
      </w:r>
      <w:r>
        <w:rPr/>
        <w:t>存货期末余额含有借款费用资本化金额的说明：</w:t>
      </w:r>
      <w:r>
        <w:rPr>
          <w:b w:val="0"/>
          <w:bCs w:val="0"/>
        </w:rPr>
      </w:r>
    </w:p>
    <w:p>
      <w:pPr>
        <w:pStyle w:val="BodyText"/>
        <w:spacing w:line="240" w:lineRule="auto" w:before="58"/>
        <w:ind w:right="249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tabs>
          <w:tab w:pos="849" w:val="left" w:leader="none"/>
        </w:tabs>
        <w:spacing w:line="240" w:lineRule="auto"/>
        <w:ind w:right="2497"/>
        <w:jc w:val="left"/>
        <w:rPr>
          <w:b w:val="0"/>
          <w:bCs w:val="0"/>
        </w:rPr>
      </w:pPr>
      <w:r>
        <w:rPr>
          <w:rFonts w:ascii="宋体" w:hAnsi="宋体" w:cs="宋体" w:eastAsia="宋体" w:hint="default"/>
          <w:w w:val="95"/>
        </w:rPr>
        <w:t>(4).</w:t>
        <w:tab/>
      </w:r>
      <w:r>
        <w:rPr/>
        <w:t>期末建造合同形成的已完工未结算资产情况：</w:t>
      </w:r>
      <w:r>
        <w:rPr>
          <w:b w:val="0"/>
          <w:bCs w:val="0"/>
        </w:rPr>
      </w:r>
    </w:p>
    <w:p>
      <w:pPr>
        <w:pStyle w:val="BodyText"/>
        <w:spacing w:line="240" w:lineRule="auto" w:before="56"/>
        <w:ind w:right="7474"/>
        <w:jc w:val="left"/>
      </w:pPr>
      <w:r>
        <w:rPr/>
        <w:t>□适用</w:t>
      </w:r>
      <w:r>
        <w:rPr>
          <w:spacing w:val="-1"/>
        </w:rPr>
        <w:t> </w:t>
      </w:r>
      <w:r>
        <w:rPr/>
        <w:t>√不适用</w:t>
      </w:r>
      <w:r>
        <w:rPr>
          <w:w w:val="100"/>
        </w:rPr>
        <w:t> </w:t>
      </w:r>
      <w:r>
        <w:rPr/>
        <w:t>其他说明</w:t>
      </w:r>
    </w:p>
    <w:p>
      <w:pPr>
        <w:pStyle w:val="BodyText"/>
        <w:spacing w:line="271" w:lineRule="exact"/>
        <w:ind w:right="2497"/>
        <w:jc w:val="left"/>
      </w:pPr>
      <w:r>
        <w:rPr/>
        <w:t>√适用</w:t>
      </w:r>
      <w:r>
        <w:rPr>
          <w:spacing w:val="-1"/>
        </w:rPr>
        <w:t> </w:t>
      </w:r>
      <w:r>
        <w:rPr/>
        <w:t>□不适用</w:t>
      </w:r>
    </w:p>
    <w:p>
      <w:pPr>
        <w:pStyle w:val="BodyText"/>
        <w:spacing w:line="272" w:lineRule="exact" w:before="27"/>
        <w:ind w:right="0"/>
        <w:jc w:val="left"/>
      </w:pPr>
      <w:r>
        <w:rPr/>
        <w:t>存货期末账面余额较期初增长</w:t>
      </w:r>
      <w:r>
        <w:rPr>
          <w:spacing w:val="-23"/>
        </w:rPr>
        <w:t> </w:t>
      </w:r>
      <w:r>
        <w:rPr>
          <w:rFonts w:ascii="宋体" w:hAnsi="宋体" w:cs="宋体" w:eastAsia="宋体" w:hint="default"/>
          <w:spacing w:val="-3"/>
        </w:rPr>
        <w:t>88.22%</w:t>
      </w:r>
      <w:r>
        <w:rPr>
          <w:spacing w:val="-3"/>
        </w:rPr>
        <w:t>，主要系本期船舶增加、燃油价格上涨，相应期末船舶结存</w:t>
      </w:r>
      <w:r>
        <w:rPr>
          <w:spacing w:val="-92"/>
        </w:rPr>
        <w:t> </w:t>
      </w:r>
      <w:r>
        <w:rPr>
          <w:spacing w:val="-92"/>
        </w:rPr>
      </w:r>
      <w:r>
        <w:rPr/>
        <w:t>燃油增加所致。</w:t>
      </w:r>
    </w:p>
    <w:p>
      <w:pPr>
        <w:spacing w:line="240" w:lineRule="auto" w:before="5"/>
        <w:rPr>
          <w:rFonts w:ascii="宋体" w:hAnsi="宋体" w:cs="宋体" w:eastAsia="宋体" w:hint="default"/>
          <w:sz w:val="23"/>
          <w:szCs w:val="23"/>
        </w:rPr>
      </w:pPr>
    </w:p>
    <w:p>
      <w:pPr>
        <w:pStyle w:val="Heading2"/>
        <w:spacing w:line="240" w:lineRule="auto"/>
        <w:ind w:right="2497"/>
        <w:jc w:val="left"/>
        <w:rPr>
          <w:b w:val="0"/>
          <w:bCs w:val="0"/>
        </w:rPr>
      </w:pPr>
      <w:r>
        <w:rPr>
          <w:rFonts w:ascii="宋体" w:hAnsi="宋体" w:cs="宋体" w:eastAsia="宋体" w:hint="default"/>
        </w:rPr>
        <w:t>11</w:t>
      </w:r>
      <w:r>
        <w:rPr/>
        <w:t>、</w:t>
      </w:r>
      <w:r>
        <w:rPr>
          <w:spacing w:val="-24"/>
        </w:rPr>
        <w:t> </w:t>
      </w:r>
      <w:r>
        <w:rPr/>
        <w:t>持有待售资产</w:t>
      </w:r>
      <w:r>
        <w:rPr>
          <w:b w:val="0"/>
          <w:bCs w:val="0"/>
        </w:rPr>
      </w:r>
    </w:p>
    <w:p>
      <w:pPr>
        <w:pStyle w:val="BodyText"/>
        <w:spacing w:line="240" w:lineRule="auto" w:before="56"/>
        <w:ind w:right="2497"/>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2"/>
        <w:spacing w:line="240" w:lineRule="auto" w:before="36"/>
        <w:ind w:right="-18"/>
        <w:jc w:val="left"/>
        <w:rPr>
          <w:b w:val="0"/>
          <w:bCs w:val="0"/>
        </w:rPr>
      </w:pPr>
      <w:r>
        <w:rPr>
          <w:rFonts w:ascii="宋体" w:hAnsi="宋体" w:cs="宋体" w:eastAsia="宋体" w:hint="default"/>
        </w:rPr>
        <w:t>12</w:t>
      </w:r>
      <w:r>
        <w:rPr/>
        <w:t>、</w:t>
      </w:r>
      <w:r>
        <w:rPr>
          <w:spacing w:val="-25"/>
        </w:rPr>
        <w:t> </w:t>
      </w:r>
      <w:r>
        <w:rPr/>
        <w:t>一年内到期的非流动资产</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043" w:space="3270"/>
            <w:col w:w="297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89"/>
        <w:gridCol w:w="2897"/>
        <w:gridCol w:w="2864"/>
      </w:tblGrid>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 w:right="0"/>
              <w:jc w:val="left"/>
              <w:rPr>
                <w:rFonts w:ascii="宋体" w:hAnsi="宋体" w:cs="宋体" w:eastAsia="宋体" w:hint="default"/>
                <w:sz w:val="21"/>
                <w:szCs w:val="21"/>
              </w:rPr>
            </w:pPr>
            <w:r>
              <w:rPr>
                <w:rFonts w:ascii="宋体" w:hAnsi="宋体" w:cs="宋体" w:eastAsia="宋体" w:hint="default"/>
                <w:sz w:val="21"/>
                <w:szCs w:val="21"/>
              </w:rPr>
              <w:t>售后回租形成的递延收益</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20,320,605.04</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15,168,334.63</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center"/>
              <w:rPr>
                <w:rFonts w:ascii="宋体" w:hAnsi="宋体" w:cs="宋体" w:eastAsia="宋体" w:hint="default"/>
                <w:sz w:val="21"/>
                <w:szCs w:val="21"/>
              </w:rPr>
            </w:pPr>
            <w:r>
              <w:rPr>
                <w:rFonts w:ascii="宋体" w:hAnsi="宋体" w:cs="宋体" w:eastAsia="宋体" w:hint="default"/>
                <w:sz w:val="21"/>
                <w:szCs w:val="21"/>
              </w:rPr>
              <w:t>合计</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20,320,605.04</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15,168,334.63</w:t>
            </w:r>
          </w:p>
        </w:tc>
      </w:tr>
    </w:tbl>
    <w:p>
      <w:pPr>
        <w:pStyle w:val="BodyText"/>
        <w:spacing w:line="239" w:lineRule="exact"/>
        <w:ind w:right="2497"/>
        <w:jc w:val="left"/>
      </w:pPr>
      <w:r>
        <w:rPr/>
        <w:t>其他说明</w:t>
      </w:r>
    </w:p>
    <w:p>
      <w:pPr>
        <w:pStyle w:val="BodyText"/>
        <w:spacing w:line="240" w:lineRule="auto"/>
        <w:ind w:right="435"/>
        <w:jc w:val="left"/>
      </w:pPr>
      <w:r>
        <w:rPr/>
        <w:t>一年内到期的非流动资产期末账面余额较期初增长</w:t>
      </w:r>
      <w:r>
        <w:rPr>
          <w:spacing w:val="-53"/>
        </w:rPr>
        <w:t> </w:t>
      </w:r>
      <w:r>
        <w:rPr>
          <w:rFonts w:ascii="宋体" w:hAnsi="宋体" w:cs="宋体" w:eastAsia="宋体" w:hint="default"/>
          <w:spacing w:val="-5"/>
        </w:rPr>
        <w:t>33.97%</w:t>
      </w:r>
      <w:r>
        <w:rPr>
          <w:spacing w:val="-5"/>
        </w:rPr>
        <w:t>，主要系</w:t>
      </w:r>
      <w:r>
        <w:rPr>
          <w:spacing w:val="-51"/>
        </w:rPr>
        <w:t> </w:t>
      </w:r>
      <w:r>
        <w:rPr>
          <w:rFonts w:ascii="宋体" w:hAnsi="宋体" w:cs="宋体" w:eastAsia="宋体" w:hint="default"/>
        </w:rPr>
        <w:t>1</w:t>
      </w:r>
      <w:r>
        <w:rPr>
          <w:rFonts w:ascii="宋体" w:hAnsi="宋体" w:cs="宋体" w:eastAsia="宋体" w:hint="default"/>
          <w:spacing w:val="-53"/>
        </w:rPr>
        <w:t> </w:t>
      </w:r>
      <w:r>
        <w:rPr/>
        <w:t>年内摊销的售后回租递延</w:t>
      </w:r>
      <w:r>
        <w:rPr>
          <w:w w:val="100"/>
        </w:rPr>
        <w:t> </w:t>
      </w:r>
      <w:r>
        <w:rPr/>
        <w:t>收益增加所致。</w:t>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40"/>
        </w:sectPr>
      </w:pPr>
    </w:p>
    <w:p>
      <w:pPr>
        <w:pStyle w:val="Heading2"/>
        <w:spacing w:line="240" w:lineRule="auto" w:before="36"/>
        <w:ind w:right="-18"/>
        <w:jc w:val="left"/>
        <w:rPr>
          <w:b w:val="0"/>
          <w:bCs w:val="0"/>
        </w:rPr>
      </w:pPr>
      <w:r>
        <w:rPr>
          <w:rFonts w:ascii="宋体" w:hAnsi="宋体" w:cs="宋体" w:eastAsia="宋体" w:hint="default"/>
        </w:rPr>
        <w:t>13</w:t>
      </w:r>
      <w:r>
        <w:rPr/>
        <w:t>、</w:t>
      </w:r>
      <w:r>
        <w:rPr>
          <w:spacing w:val="-24"/>
        </w:rPr>
        <w:t> </w:t>
      </w:r>
      <w:r>
        <w:rPr/>
        <w:t>其他流动资产</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90" w:space="4532"/>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89"/>
        <w:gridCol w:w="2916"/>
        <w:gridCol w:w="2845"/>
      </w:tblGrid>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26"/>
              <w:jc w:val="right"/>
              <w:rPr>
                <w:rFonts w:ascii="宋体" w:hAnsi="宋体" w:cs="宋体" w:eastAsia="宋体" w:hint="default"/>
                <w:sz w:val="21"/>
                <w:szCs w:val="21"/>
              </w:rPr>
            </w:pPr>
            <w:r>
              <w:rPr>
                <w:rFonts w:ascii="宋体" w:hAnsi="宋体" w:cs="宋体" w:eastAsia="宋体" w:hint="default"/>
                <w:sz w:val="21"/>
                <w:szCs w:val="21"/>
              </w:rPr>
              <w:t>项目</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 w:right="0"/>
              <w:jc w:val="left"/>
              <w:rPr>
                <w:rFonts w:ascii="宋体" w:hAnsi="宋体" w:cs="宋体" w:eastAsia="宋体" w:hint="default"/>
                <w:sz w:val="21"/>
                <w:szCs w:val="21"/>
              </w:rPr>
            </w:pPr>
            <w:r>
              <w:rPr>
                <w:rFonts w:ascii="宋体" w:hAnsi="宋体" w:cs="宋体" w:eastAsia="宋体" w:hint="default"/>
                <w:sz w:val="21"/>
                <w:szCs w:val="21"/>
              </w:rPr>
              <w:t>待抵扣进项税</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343,628,814.24</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134,417,478.71</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保险费</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15,673,666.07</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14,091,415.77</w:t>
            </w: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310,460.66</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433,244.81</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479"/>
              <w:jc w:val="right"/>
              <w:rPr>
                <w:rFonts w:ascii="宋体" w:hAnsi="宋体" w:cs="宋体" w:eastAsia="宋体" w:hint="default"/>
                <w:sz w:val="21"/>
                <w:szCs w:val="21"/>
              </w:rPr>
            </w:pPr>
            <w:r>
              <w:rPr>
                <w:rFonts w:ascii="宋体" w:hAnsi="宋体" w:cs="宋体" w:eastAsia="宋体" w:hint="default"/>
                <w:sz w:val="21"/>
                <w:szCs w:val="21"/>
              </w:rPr>
              <w:t>合计</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359,612,940.97</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148,942,139.29</w:t>
            </w:r>
          </w:p>
        </w:tc>
      </w:tr>
    </w:tbl>
    <w:p>
      <w:pPr>
        <w:pStyle w:val="BodyText"/>
        <w:spacing w:line="240" w:lineRule="exact"/>
        <w:ind w:right="2497"/>
        <w:jc w:val="left"/>
      </w:pPr>
      <w:r>
        <w:rPr/>
        <w:t>其他说明</w:t>
      </w:r>
    </w:p>
    <w:p>
      <w:pPr>
        <w:pStyle w:val="BodyText"/>
        <w:spacing w:line="272" w:lineRule="exact" w:before="27"/>
        <w:ind w:right="227"/>
        <w:jc w:val="left"/>
      </w:pPr>
      <w:r>
        <w:rPr>
          <w:spacing w:val="-2"/>
        </w:rPr>
        <w:t>其他流动资产期末账面余额较期初增长</w:t>
      </w:r>
      <w:r>
        <w:rPr/>
        <w:t> </w:t>
      </w:r>
      <w:r>
        <w:rPr>
          <w:rFonts w:ascii="宋体" w:hAnsi="宋体" w:cs="宋体" w:eastAsia="宋体" w:hint="default"/>
          <w:spacing w:val="-2"/>
        </w:rPr>
        <w:t>141.44%</w:t>
      </w:r>
      <w:r>
        <w:rPr>
          <w:spacing w:val="-2"/>
        </w:rPr>
        <w:t>，主要系本期购买船舶及集装箱待抵扣的进项税</w:t>
      </w:r>
      <w:r>
        <w:rPr>
          <w:spacing w:val="-73"/>
        </w:rPr>
        <w:t> </w:t>
      </w:r>
      <w:r>
        <w:rPr>
          <w:spacing w:val="-73"/>
        </w:rPr>
      </w:r>
      <w:r>
        <w:rPr/>
        <w:t>额增加所致。</w:t>
      </w:r>
    </w:p>
    <w:p>
      <w:pPr>
        <w:spacing w:line="240" w:lineRule="auto" w:before="5"/>
        <w:rPr>
          <w:rFonts w:ascii="宋体" w:hAnsi="宋体" w:cs="宋体" w:eastAsia="宋体" w:hint="default"/>
          <w:sz w:val="23"/>
          <w:szCs w:val="23"/>
        </w:rPr>
      </w:pPr>
    </w:p>
    <w:p>
      <w:pPr>
        <w:pStyle w:val="Heading2"/>
        <w:spacing w:line="240" w:lineRule="auto"/>
        <w:ind w:right="2497"/>
        <w:jc w:val="left"/>
        <w:rPr>
          <w:b w:val="0"/>
          <w:bCs w:val="0"/>
        </w:rPr>
      </w:pPr>
      <w:r>
        <w:rPr>
          <w:rFonts w:ascii="宋体" w:hAnsi="宋体" w:cs="宋体" w:eastAsia="宋体" w:hint="default"/>
        </w:rPr>
        <w:t>14</w:t>
      </w:r>
      <w:r>
        <w:rPr/>
        <w:t>、</w:t>
      </w:r>
      <w:r>
        <w:rPr>
          <w:spacing w:val="-24"/>
        </w:rPr>
        <w:t> </w:t>
      </w:r>
      <w:r>
        <w:rPr/>
        <w:t>可供出售金融资产</w:t>
      </w:r>
      <w:r>
        <w:rPr>
          <w:b w:val="0"/>
          <w:bCs w:val="0"/>
        </w:rPr>
      </w:r>
    </w:p>
    <w:p>
      <w:pPr>
        <w:pStyle w:val="Heading2"/>
        <w:tabs>
          <w:tab w:pos="861" w:val="left" w:leader="none"/>
        </w:tabs>
        <w:spacing w:line="240" w:lineRule="auto" w:before="58"/>
        <w:ind w:right="2497"/>
        <w:jc w:val="left"/>
        <w:rPr>
          <w:b w:val="0"/>
          <w:bCs w:val="0"/>
        </w:rPr>
      </w:pPr>
      <w:r>
        <w:rPr>
          <w:rFonts w:ascii="宋体" w:hAnsi="宋体" w:cs="宋体" w:eastAsia="宋体" w:hint="default"/>
          <w:w w:val="95"/>
        </w:rPr>
        <w:t>(1).</w:t>
        <w:tab/>
      </w:r>
      <w:r>
        <w:rPr/>
        <w:t>可供出售金融资产情况</w:t>
      </w:r>
      <w:r>
        <w:rPr>
          <w:b w:val="0"/>
          <w:bCs w:val="0"/>
        </w:rPr>
      </w:r>
    </w:p>
    <w:p>
      <w:pPr>
        <w:pStyle w:val="BodyText"/>
        <w:spacing w:line="240" w:lineRule="auto" w:before="56"/>
        <w:ind w:right="2497"/>
        <w:jc w:val="left"/>
      </w:pPr>
      <w:r>
        <w:rPr/>
        <w:t>□适用</w:t>
      </w:r>
      <w:r>
        <w:rPr>
          <w:spacing w:val="-1"/>
        </w:rPr>
        <w:t> </w:t>
      </w:r>
      <w:r>
        <w:rPr/>
        <w:t>√不适用</w:t>
      </w:r>
    </w:p>
    <w:p>
      <w:pPr>
        <w:pStyle w:val="Heading2"/>
        <w:tabs>
          <w:tab w:pos="861" w:val="left" w:leader="none"/>
        </w:tabs>
        <w:spacing w:line="240" w:lineRule="auto" w:before="58"/>
        <w:ind w:right="2497"/>
        <w:jc w:val="left"/>
        <w:rPr>
          <w:b w:val="0"/>
          <w:bCs w:val="0"/>
        </w:rPr>
      </w:pPr>
      <w:r>
        <w:rPr>
          <w:rFonts w:ascii="宋体" w:hAnsi="宋体" w:cs="宋体" w:eastAsia="宋体" w:hint="default"/>
          <w:w w:val="95"/>
        </w:rPr>
        <w:t>(2).</w:t>
        <w:tab/>
      </w:r>
      <w:r>
        <w:rPr/>
        <w:t>期末按公允价值计量的可供出售金融资产</w:t>
      </w:r>
      <w:r>
        <w:rPr>
          <w:b w:val="0"/>
          <w:bCs w:val="0"/>
        </w:rPr>
      </w:r>
    </w:p>
    <w:p>
      <w:pPr>
        <w:pStyle w:val="BodyText"/>
        <w:spacing w:line="240" w:lineRule="auto" w:before="56"/>
        <w:ind w:right="2497"/>
        <w:jc w:val="left"/>
      </w:pPr>
      <w:r>
        <w:rPr/>
        <w:t>□适用</w:t>
      </w:r>
      <w:r>
        <w:rPr>
          <w:spacing w:val="-1"/>
        </w:rPr>
        <w:t> </w:t>
      </w:r>
      <w:r>
        <w:rPr/>
        <w:t>√不适用</w:t>
      </w:r>
    </w:p>
    <w:p>
      <w:pPr>
        <w:pStyle w:val="Heading2"/>
        <w:tabs>
          <w:tab w:pos="861" w:val="left" w:leader="none"/>
        </w:tabs>
        <w:spacing w:line="240" w:lineRule="auto" w:before="58"/>
        <w:ind w:right="2497"/>
        <w:jc w:val="left"/>
        <w:rPr>
          <w:b w:val="0"/>
          <w:bCs w:val="0"/>
        </w:rPr>
      </w:pPr>
      <w:r>
        <w:rPr>
          <w:rFonts w:ascii="宋体" w:hAnsi="宋体" w:cs="宋体" w:eastAsia="宋体" w:hint="default"/>
          <w:w w:val="95"/>
        </w:rPr>
        <w:t>(3).</w:t>
        <w:tab/>
      </w:r>
      <w:r>
        <w:rPr/>
        <w:t>期末按成本计量的可供出售金融资产</w:t>
      </w:r>
      <w:r>
        <w:rPr>
          <w:b w:val="0"/>
          <w:bCs w:val="0"/>
        </w:rPr>
      </w:r>
    </w:p>
    <w:p>
      <w:pPr>
        <w:pStyle w:val="BodyText"/>
        <w:spacing w:line="240" w:lineRule="auto" w:before="56"/>
        <w:ind w:right="2497"/>
        <w:jc w:val="left"/>
      </w:pPr>
      <w:r>
        <w:rPr/>
        <w:t>□适用</w:t>
      </w:r>
      <w:r>
        <w:rPr>
          <w:spacing w:val="-1"/>
        </w:rPr>
        <w:t> </w:t>
      </w:r>
      <w:r>
        <w:rPr/>
        <w:t>√不适用</w:t>
      </w:r>
    </w:p>
    <w:p>
      <w:pPr>
        <w:pStyle w:val="Heading2"/>
        <w:tabs>
          <w:tab w:pos="861" w:val="left" w:leader="none"/>
        </w:tabs>
        <w:spacing w:line="240" w:lineRule="auto" w:before="56"/>
        <w:ind w:right="2497"/>
        <w:jc w:val="left"/>
        <w:rPr>
          <w:b w:val="0"/>
          <w:bCs w:val="0"/>
        </w:rPr>
      </w:pPr>
      <w:r>
        <w:rPr>
          <w:rFonts w:ascii="宋体" w:hAnsi="宋体" w:cs="宋体" w:eastAsia="宋体" w:hint="default"/>
          <w:w w:val="95"/>
        </w:rPr>
        <w:t>(4).</w:t>
        <w:tab/>
      </w:r>
      <w:r>
        <w:rPr/>
        <w:t>报告期内可供出售金融资产减值的变动情况</w:t>
      </w:r>
      <w:r>
        <w:rPr>
          <w:b w:val="0"/>
          <w:bCs w:val="0"/>
        </w:rPr>
      </w:r>
    </w:p>
    <w:p>
      <w:pPr>
        <w:pStyle w:val="BodyText"/>
        <w:spacing w:line="240" w:lineRule="auto" w:before="58"/>
        <w:ind w:right="2497"/>
        <w:jc w:val="left"/>
      </w:pPr>
      <w:r>
        <w:rPr/>
        <w:t>□适用</w:t>
      </w:r>
      <w:r>
        <w:rPr>
          <w:spacing w:val="-1"/>
        </w:rPr>
        <w:t> </w:t>
      </w:r>
      <w:r>
        <w:rPr/>
        <w:t>√不适用</w:t>
      </w:r>
    </w:p>
    <w:p>
      <w:pPr>
        <w:pStyle w:val="Heading2"/>
        <w:tabs>
          <w:tab w:pos="861" w:val="left" w:leader="none"/>
        </w:tabs>
        <w:spacing w:line="240" w:lineRule="auto" w:before="56"/>
        <w:ind w:right="0"/>
        <w:jc w:val="left"/>
        <w:rPr>
          <w:b w:val="0"/>
          <w:bCs w:val="0"/>
        </w:rPr>
      </w:pPr>
      <w:r>
        <w:rPr>
          <w:rFonts w:ascii="宋体" w:hAnsi="宋体" w:cs="宋体" w:eastAsia="宋体" w:hint="default"/>
          <w:w w:val="95"/>
        </w:rPr>
        <w:t>(5).</w:t>
        <w:tab/>
      </w:r>
      <w:r>
        <w:rPr/>
        <w:t>可供出售权益工具期末公允价值严重下跌或非暂时性下跌但未计提减值准备的相关说明：</w:t>
      </w:r>
      <w:r>
        <w:rPr>
          <w:b w:val="0"/>
          <w:bCs w:val="0"/>
        </w:rPr>
      </w:r>
    </w:p>
    <w:p>
      <w:pPr>
        <w:pStyle w:val="BodyText"/>
        <w:spacing w:line="272" w:lineRule="exact" w:before="86"/>
        <w:ind w:right="7478"/>
        <w:jc w:val="left"/>
      </w:pPr>
      <w:r>
        <w:rPr/>
        <w:t>□适用</w:t>
      </w:r>
      <w:r>
        <w:rPr>
          <w:spacing w:val="7"/>
        </w:rPr>
        <w:t> </w:t>
      </w:r>
      <w:r>
        <w:rPr>
          <w:spacing w:val="-3"/>
        </w:rPr>
        <w:t>√不适用</w:t>
      </w:r>
      <w:r>
        <w:rPr>
          <w:spacing w:val="-3"/>
          <w:w w:val="100"/>
        </w:rPr>
        <w:t> </w:t>
      </w:r>
      <w:r>
        <w:rPr/>
        <w:t>其他说明</w:t>
      </w:r>
    </w:p>
    <w:p>
      <w:pPr>
        <w:pStyle w:val="BodyText"/>
        <w:spacing w:line="249" w:lineRule="exact"/>
        <w:ind w:right="249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90" w:lineRule="auto"/>
        <w:ind w:right="6516"/>
        <w:jc w:val="left"/>
        <w:rPr>
          <w:b w:val="0"/>
          <w:bCs w:val="0"/>
        </w:rPr>
      </w:pPr>
      <w:r>
        <w:rPr>
          <w:rFonts w:ascii="宋体" w:hAnsi="宋体" w:cs="宋体" w:eastAsia="宋体" w:hint="default"/>
        </w:rPr>
        <w:t>15</w:t>
      </w:r>
      <w:r>
        <w:rPr/>
        <w:t>、</w:t>
      </w:r>
      <w:r>
        <w:rPr>
          <w:spacing w:val="-25"/>
        </w:rPr>
        <w:t> </w:t>
      </w:r>
      <w:r>
        <w:rPr/>
        <w:t>持有至到期投资</w:t>
      </w:r>
      <w:r>
        <w:rPr>
          <w:w w:val="100"/>
        </w:rPr>
        <w:t> </w:t>
      </w:r>
      <w:r>
        <w:rPr>
          <w:rFonts w:ascii="宋体" w:hAnsi="宋体" w:cs="宋体" w:eastAsia="宋体" w:hint="default"/>
        </w:rPr>
        <w:t>(1).</w:t>
      </w:r>
      <w:r>
        <w:rPr/>
        <w:t>持有至到期投资情况：</w:t>
      </w:r>
      <w:r>
        <w:rPr>
          <w:b w:val="0"/>
          <w:bCs w:val="0"/>
        </w:rPr>
      </w:r>
    </w:p>
    <w:p>
      <w:pPr>
        <w:pStyle w:val="BodyText"/>
        <w:spacing w:line="228" w:lineRule="exact"/>
        <w:ind w:right="2497"/>
        <w:jc w:val="left"/>
      </w:pPr>
      <w:r>
        <w:rPr/>
        <w:t>□适用</w:t>
      </w:r>
      <w:r>
        <w:rPr>
          <w:spacing w:val="-1"/>
        </w:rPr>
        <w:t> </w:t>
      </w:r>
      <w:r>
        <w:rPr/>
        <w:t>√不适用</w:t>
      </w:r>
    </w:p>
    <w:p>
      <w:pPr>
        <w:pStyle w:val="Heading2"/>
        <w:spacing w:line="272" w:lineRule="exact"/>
        <w:ind w:right="2497"/>
        <w:jc w:val="left"/>
        <w:rPr>
          <w:b w:val="0"/>
          <w:bCs w:val="0"/>
        </w:rPr>
      </w:pPr>
      <w:r>
        <w:rPr>
          <w:rFonts w:ascii="宋体" w:hAnsi="宋体" w:cs="宋体" w:eastAsia="宋体" w:hint="default"/>
        </w:rPr>
        <w:t>(2).</w:t>
      </w:r>
      <w:r>
        <w:rPr/>
        <w:t>期末重要的持有至到期投资：</w:t>
      </w:r>
      <w:r>
        <w:rPr>
          <w:b w:val="0"/>
          <w:bCs w:val="0"/>
        </w:rPr>
      </w:r>
    </w:p>
    <w:p>
      <w:pPr>
        <w:spacing w:line="272" w:lineRule="exact" w:before="27"/>
        <w:ind w:left="218" w:right="5673"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本期重分类的持有至到期投资：</w:t>
      </w:r>
      <w:r>
        <w:rPr>
          <w:rFonts w:ascii="宋体" w:hAnsi="宋体" w:cs="宋体" w:eastAsia="宋体" w:hint="default"/>
          <w:sz w:val="21"/>
          <w:szCs w:val="21"/>
        </w:rPr>
      </w:r>
    </w:p>
    <w:p>
      <w:pPr>
        <w:pStyle w:val="BodyText"/>
        <w:spacing w:line="249" w:lineRule="exact"/>
        <w:ind w:right="2497"/>
        <w:jc w:val="left"/>
      </w:pPr>
      <w:r>
        <w:rPr/>
        <w:t>□适用</w:t>
      </w:r>
      <w:r>
        <w:rPr>
          <w:spacing w:val="-1"/>
        </w:rPr>
        <w:t> </w:t>
      </w:r>
      <w:r>
        <w:rPr/>
        <w:t>√不适用</w:t>
      </w:r>
    </w:p>
    <w:p>
      <w:pPr>
        <w:spacing w:line="240" w:lineRule="auto" w:before="9"/>
        <w:rPr>
          <w:rFonts w:ascii="宋体" w:hAnsi="宋体" w:cs="宋体" w:eastAsia="宋体" w:hint="default"/>
          <w:sz w:val="20"/>
          <w:szCs w:val="20"/>
        </w:rPr>
      </w:pPr>
    </w:p>
    <w:p>
      <w:pPr>
        <w:pStyle w:val="BodyText"/>
        <w:spacing w:line="273" w:lineRule="exact"/>
        <w:ind w:right="2497"/>
        <w:jc w:val="left"/>
      </w:pPr>
      <w:r>
        <w:rPr/>
        <w:t>其他说明：</w:t>
      </w:r>
    </w:p>
    <w:p>
      <w:pPr>
        <w:pStyle w:val="BodyText"/>
        <w:spacing w:line="273" w:lineRule="exact"/>
        <w:ind w:right="249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497"/>
        <w:jc w:val="left"/>
        <w:rPr>
          <w:b w:val="0"/>
          <w:bCs w:val="0"/>
        </w:rPr>
      </w:pPr>
      <w:r>
        <w:rPr>
          <w:rFonts w:ascii="宋体" w:hAnsi="宋体" w:cs="宋体" w:eastAsia="宋体" w:hint="default"/>
        </w:rPr>
        <w:t>16</w:t>
      </w:r>
      <w:r>
        <w:rPr/>
        <w:t>、</w:t>
      </w:r>
      <w:r>
        <w:rPr>
          <w:spacing w:val="-25"/>
        </w:rPr>
        <w:t> </w:t>
      </w:r>
      <w:r>
        <w:rPr/>
        <w:t>长期应收款</w:t>
      </w:r>
      <w:r>
        <w:rPr>
          <w:b w:val="0"/>
          <w:bCs w:val="0"/>
        </w:rPr>
      </w:r>
    </w:p>
    <w:p>
      <w:pPr>
        <w:pStyle w:val="Heading2"/>
        <w:spacing w:line="240" w:lineRule="auto" w:before="58"/>
        <w:ind w:right="2497"/>
        <w:jc w:val="left"/>
        <w:rPr>
          <w:b w:val="0"/>
          <w:bCs w:val="0"/>
        </w:rPr>
      </w:pPr>
      <w:r>
        <w:rPr>
          <w:rFonts w:ascii="宋体" w:hAnsi="宋体" w:cs="宋体" w:eastAsia="宋体" w:hint="default"/>
        </w:rPr>
        <w:t>(1)</w:t>
      </w:r>
      <w:r>
        <w:rPr>
          <w:rFonts w:ascii="宋体" w:hAnsi="宋体" w:cs="宋体" w:eastAsia="宋体" w:hint="default"/>
          <w:spacing w:val="4"/>
        </w:rPr>
        <w:t> </w:t>
      </w:r>
      <w:r>
        <w:rPr/>
        <w:t>长期应收款情况：</w:t>
      </w:r>
      <w:r>
        <w:rPr>
          <w:b w:val="0"/>
          <w:bCs w:val="0"/>
        </w:rPr>
      </w:r>
    </w:p>
    <w:p>
      <w:pPr>
        <w:pStyle w:val="BodyText"/>
        <w:spacing w:line="240" w:lineRule="auto" w:before="56"/>
        <w:ind w:right="2497"/>
        <w:jc w:val="left"/>
      </w:pPr>
      <w:r>
        <w:rPr/>
        <w:t>□适用</w:t>
      </w:r>
      <w:r>
        <w:rPr>
          <w:spacing w:val="-1"/>
        </w:rPr>
        <w:t> </w:t>
      </w:r>
      <w:r>
        <w:rPr/>
        <w:t>√不适用</w:t>
      </w:r>
    </w:p>
    <w:p>
      <w:pPr>
        <w:pStyle w:val="Heading2"/>
        <w:spacing w:line="240" w:lineRule="auto" w:before="56"/>
        <w:ind w:right="2497"/>
        <w:jc w:val="left"/>
        <w:rPr>
          <w:b w:val="0"/>
          <w:bCs w:val="0"/>
        </w:rPr>
      </w:pPr>
      <w:r>
        <w:rPr>
          <w:rFonts w:ascii="宋体" w:hAnsi="宋体" w:cs="宋体" w:eastAsia="宋体" w:hint="default"/>
        </w:rPr>
        <w:t>(2)</w:t>
      </w:r>
      <w:r>
        <w:rPr>
          <w:rFonts w:ascii="宋体" w:hAnsi="宋体" w:cs="宋体" w:eastAsia="宋体" w:hint="default"/>
          <w:spacing w:val="2"/>
        </w:rPr>
        <w:t> </w:t>
      </w:r>
      <w:r>
        <w:rPr/>
        <w:t>因金融资产转移而终止确认的长期应收款</w:t>
      </w:r>
      <w:r>
        <w:rPr>
          <w:b w:val="0"/>
          <w:bCs w:val="0"/>
        </w:rPr>
      </w:r>
    </w:p>
    <w:p>
      <w:pPr>
        <w:pStyle w:val="BodyText"/>
        <w:spacing w:line="240" w:lineRule="auto" w:before="58"/>
        <w:ind w:right="249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497"/>
        <w:jc w:val="left"/>
        <w:rPr>
          <w:b w:val="0"/>
          <w:bCs w:val="0"/>
        </w:rPr>
      </w:pPr>
      <w:r>
        <w:rPr>
          <w:rFonts w:ascii="宋体" w:hAnsi="宋体" w:cs="宋体" w:eastAsia="宋体" w:hint="default"/>
        </w:rPr>
        <w:t>(3) </w:t>
      </w:r>
      <w:r>
        <w:rPr/>
        <w:t>转移长期应收款且继续涉入形成的资产、负债金额</w:t>
      </w:r>
      <w:r>
        <w:rPr>
          <w:b w:val="0"/>
          <w:bCs w:val="0"/>
        </w:rPr>
      </w:r>
    </w:p>
    <w:p>
      <w:pPr>
        <w:pStyle w:val="BodyText"/>
        <w:spacing w:line="240" w:lineRule="auto" w:before="56"/>
        <w:ind w:right="2497"/>
        <w:jc w:val="left"/>
      </w:pPr>
      <w:r>
        <w:rPr/>
        <w:t>□适用</w:t>
      </w:r>
      <w:r>
        <w:rPr>
          <w:spacing w:val="-1"/>
        </w:rPr>
        <w:t> </w:t>
      </w:r>
      <w:r>
        <w:rPr/>
        <w:t>√不适用</w:t>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BodyText"/>
        <w:spacing w:line="274" w:lineRule="exact" w:before="36"/>
        <w:ind w:right="2497"/>
        <w:jc w:val="left"/>
      </w:pPr>
      <w:r>
        <w:rPr/>
        <w:t>其他说明</w:t>
      </w:r>
    </w:p>
    <w:p>
      <w:pPr>
        <w:pStyle w:val="BodyText"/>
        <w:spacing w:line="274" w:lineRule="exact"/>
        <w:ind w:right="2497"/>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1040"/>
        </w:sectPr>
      </w:pPr>
    </w:p>
    <w:p>
      <w:pPr>
        <w:pStyle w:val="Heading2"/>
        <w:spacing w:line="240" w:lineRule="auto" w:before="36"/>
        <w:ind w:right="-18"/>
        <w:jc w:val="left"/>
        <w:rPr>
          <w:b w:val="0"/>
          <w:bCs w:val="0"/>
        </w:rPr>
      </w:pPr>
      <w:r>
        <w:rPr>
          <w:rFonts w:ascii="宋体" w:hAnsi="宋体" w:cs="宋体" w:eastAsia="宋体" w:hint="default"/>
        </w:rPr>
        <w:t>17</w:t>
      </w:r>
      <w:r>
        <w:rPr/>
        <w:t>、</w:t>
      </w:r>
      <w:r>
        <w:rPr>
          <w:spacing w:val="-24"/>
        </w:rPr>
        <w:t> </w:t>
      </w:r>
      <w:r>
        <w:rPr/>
        <w:t>长期股权投资</w:t>
      </w:r>
      <w:r>
        <w:rPr>
          <w:b w:val="0"/>
          <w:bCs w:val="0"/>
        </w:rPr>
      </w:r>
    </w:p>
    <w:p>
      <w:pPr>
        <w:pStyle w:val="BodyText"/>
        <w:spacing w:line="240" w:lineRule="auto" w:before="56"/>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90" w:space="4532"/>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823"/>
        <w:gridCol w:w="758"/>
        <w:gridCol w:w="759"/>
        <w:gridCol w:w="672"/>
        <w:gridCol w:w="787"/>
        <w:gridCol w:w="706"/>
        <w:gridCol w:w="711"/>
        <w:gridCol w:w="785"/>
        <w:gridCol w:w="775"/>
        <w:gridCol w:w="757"/>
        <w:gridCol w:w="770"/>
        <w:gridCol w:w="746"/>
      </w:tblGrid>
      <w:tr>
        <w:trPr>
          <w:trHeight w:val="283" w:hRule="exact"/>
        </w:trPr>
        <w:tc>
          <w:tcPr>
            <w:tcW w:w="8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37" w:lineRule="auto"/>
              <w:ind w:left="196" w:right="192"/>
              <w:jc w:val="both"/>
              <w:rPr>
                <w:rFonts w:ascii="宋体" w:hAnsi="宋体" w:cs="宋体" w:eastAsia="宋体" w:hint="default"/>
                <w:sz w:val="21"/>
                <w:szCs w:val="21"/>
              </w:rPr>
            </w:pPr>
            <w:r>
              <w:rPr>
                <w:rFonts w:ascii="宋体" w:hAnsi="宋体" w:cs="宋体" w:eastAsia="宋体" w:hint="default"/>
                <w:sz w:val="21"/>
                <w:szCs w:val="21"/>
              </w:rPr>
              <w:t>被投</w:t>
            </w:r>
            <w:r>
              <w:rPr>
                <w:rFonts w:ascii="宋体" w:hAnsi="宋体" w:cs="宋体" w:eastAsia="宋体" w:hint="default"/>
                <w:spacing w:val="-103"/>
                <w:sz w:val="21"/>
                <w:szCs w:val="21"/>
              </w:rPr>
              <w:t> </w:t>
            </w:r>
            <w:r>
              <w:rPr>
                <w:rFonts w:ascii="宋体" w:hAnsi="宋体" w:cs="宋体" w:eastAsia="宋体" w:hint="default"/>
                <w:sz w:val="21"/>
                <w:szCs w:val="21"/>
              </w:rPr>
              <w:t>资单</w:t>
            </w:r>
            <w:r>
              <w:rPr>
                <w:rFonts w:ascii="宋体" w:hAnsi="宋体" w:cs="宋体" w:eastAsia="宋体" w:hint="default"/>
                <w:spacing w:val="-103"/>
                <w:sz w:val="21"/>
                <w:szCs w:val="21"/>
              </w:rPr>
              <w:t> </w:t>
            </w:r>
            <w:r>
              <w:rPr>
                <w:rFonts w:ascii="宋体" w:hAnsi="宋体" w:cs="宋体" w:eastAsia="宋体" w:hint="default"/>
                <w:sz w:val="21"/>
                <w:szCs w:val="21"/>
              </w:rPr>
              <w:t>位</w:t>
            </w:r>
          </w:p>
        </w:tc>
        <w:tc>
          <w:tcPr>
            <w:tcW w:w="7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163" w:right="161"/>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5951"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本期增减变动</w:t>
            </w:r>
          </w:p>
        </w:tc>
        <w:tc>
          <w:tcPr>
            <w:tcW w:w="7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170" w:right="167"/>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746"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37" w:lineRule="auto"/>
              <w:ind w:left="158" w:right="155"/>
              <w:jc w:val="both"/>
              <w:rPr>
                <w:rFonts w:ascii="宋体" w:hAnsi="宋体" w:cs="宋体" w:eastAsia="宋体" w:hint="default"/>
                <w:sz w:val="21"/>
                <w:szCs w:val="21"/>
              </w:rPr>
            </w:pP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r>
              <w:rPr>
                <w:rFonts w:ascii="宋体" w:hAnsi="宋体" w:cs="宋体" w:eastAsia="宋体" w:hint="default"/>
                <w:spacing w:val="-103"/>
                <w:sz w:val="21"/>
                <w:szCs w:val="21"/>
              </w:rPr>
              <w:t> </w:t>
            </w: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r>
      <w:tr>
        <w:trPr>
          <w:trHeight w:val="1645" w:hRule="exact"/>
        </w:trPr>
        <w:tc>
          <w:tcPr>
            <w:tcW w:w="823" w:type="dxa"/>
            <w:vMerge/>
            <w:tcBorders>
              <w:left w:val="single" w:sz="4" w:space="0" w:color="000000"/>
              <w:bottom w:val="single" w:sz="4" w:space="0" w:color="000000"/>
              <w:right w:val="single" w:sz="4" w:space="0" w:color="000000"/>
            </w:tcBorders>
          </w:tcPr>
          <w:p>
            <w:pPr/>
          </w:p>
        </w:tc>
        <w:tc>
          <w:tcPr>
            <w:tcW w:w="758" w:type="dxa"/>
            <w:vMerge/>
            <w:tcBorders>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63" w:right="161"/>
              <w:jc w:val="left"/>
              <w:rPr>
                <w:rFonts w:ascii="宋体" w:hAnsi="宋体" w:cs="宋体" w:eastAsia="宋体" w:hint="default"/>
                <w:sz w:val="21"/>
                <w:szCs w:val="21"/>
              </w:rPr>
            </w:pPr>
            <w:r>
              <w:rPr>
                <w:rFonts w:ascii="宋体" w:hAnsi="宋体" w:cs="宋体" w:eastAsia="宋体" w:hint="default"/>
                <w:sz w:val="21"/>
                <w:szCs w:val="21"/>
              </w:rPr>
              <w:t>追加</w:t>
            </w:r>
            <w:r>
              <w:rPr>
                <w:rFonts w:ascii="宋体" w:hAnsi="宋体" w:cs="宋体" w:eastAsia="宋体" w:hint="default"/>
                <w:spacing w:val="-103"/>
                <w:sz w:val="21"/>
                <w:szCs w:val="21"/>
              </w:rPr>
              <w:t> </w:t>
            </w:r>
            <w:r>
              <w:rPr>
                <w:rFonts w:ascii="宋体" w:hAnsi="宋体" w:cs="宋体" w:eastAsia="宋体" w:hint="default"/>
                <w:sz w:val="21"/>
                <w:szCs w:val="21"/>
              </w:rPr>
              <w:t>投资</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19" w:right="119"/>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103"/>
                <w:sz w:val="21"/>
                <w:szCs w:val="21"/>
              </w:rPr>
              <w:t> </w:t>
            </w:r>
            <w:r>
              <w:rPr>
                <w:rFonts w:ascii="宋体" w:hAnsi="宋体" w:cs="宋体" w:eastAsia="宋体" w:hint="default"/>
                <w:sz w:val="21"/>
                <w:szCs w:val="21"/>
              </w:rPr>
              <w:t>投资</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7" w:right="0"/>
              <w:jc w:val="both"/>
              <w:rPr>
                <w:rFonts w:ascii="宋体" w:hAnsi="宋体" w:cs="宋体" w:eastAsia="宋体" w:hint="default"/>
                <w:sz w:val="21"/>
                <w:szCs w:val="21"/>
              </w:rPr>
            </w:pPr>
            <w:r>
              <w:rPr>
                <w:rFonts w:ascii="宋体" w:hAnsi="宋体" w:cs="宋体" w:eastAsia="宋体" w:hint="default"/>
                <w:sz w:val="21"/>
                <w:szCs w:val="21"/>
              </w:rPr>
              <w:t>权益</w:t>
            </w:r>
          </w:p>
          <w:p>
            <w:pPr>
              <w:pStyle w:val="TableParagraph"/>
              <w:spacing w:line="237" w:lineRule="auto" w:before="2"/>
              <w:ind w:left="177" w:right="175"/>
              <w:jc w:val="both"/>
              <w:rPr>
                <w:rFonts w:ascii="宋体" w:hAnsi="宋体" w:cs="宋体" w:eastAsia="宋体" w:hint="default"/>
                <w:sz w:val="21"/>
                <w:szCs w:val="21"/>
              </w:rPr>
            </w:pPr>
            <w:r>
              <w:rPr>
                <w:rFonts w:ascii="宋体" w:hAnsi="宋体" w:cs="宋体" w:eastAsia="宋体" w:hint="default"/>
                <w:sz w:val="21"/>
                <w:szCs w:val="21"/>
              </w:rPr>
              <w:t>法下</w:t>
            </w:r>
            <w:r>
              <w:rPr>
                <w:rFonts w:ascii="宋体" w:hAnsi="宋体" w:cs="宋体" w:eastAsia="宋体" w:hint="default"/>
                <w:spacing w:val="-103"/>
                <w:sz w:val="21"/>
                <w:szCs w:val="21"/>
              </w:rPr>
              <w:t> </w:t>
            </w:r>
            <w:r>
              <w:rPr>
                <w:rFonts w:ascii="宋体" w:hAnsi="宋体" w:cs="宋体" w:eastAsia="宋体" w:hint="default"/>
                <w:sz w:val="21"/>
                <w:szCs w:val="21"/>
              </w:rPr>
              <w:t>确认</w:t>
            </w:r>
            <w:r>
              <w:rPr>
                <w:rFonts w:ascii="宋体" w:hAnsi="宋体" w:cs="宋体" w:eastAsia="宋体" w:hint="default"/>
                <w:spacing w:val="-103"/>
                <w:sz w:val="21"/>
                <w:szCs w:val="21"/>
              </w:rPr>
              <w:t> </w:t>
            </w:r>
            <w:r>
              <w:rPr>
                <w:rFonts w:ascii="宋体" w:hAnsi="宋体" w:cs="宋体" w:eastAsia="宋体" w:hint="default"/>
                <w:sz w:val="21"/>
                <w:szCs w:val="21"/>
              </w:rPr>
              <w:t>的投</w:t>
            </w:r>
            <w:r>
              <w:rPr>
                <w:rFonts w:ascii="宋体" w:hAnsi="宋体" w:cs="宋体" w:eastAsia="宋体" w:hint="default"/>
                <w:spacing w:val="-103"/>
                <w:sz w:val="21"/>
                <w:szCs w:val="21"/>
              </w:rPr>
              <w:t> </w:t>
            </w:r>
            <w:r>
              <w:rPr>
                <w:rFonts w:ascii="宋体" w:hAnsi="宋体" w:cs="宋体" w:eastAsia="宋体" w:hint="default"/>
                <w:sz w:val="21"/>
                <w:szCs w:val="21"/>
              </w:rPr>
              <w:t>资损</w:t>
            </w:r>
            <w:r>
              <w:rPr>
                <w:rFonts w:ascii="宋体" w:hAnsi="宋体" w:cs="宋体" w:eastAsia="宋体" w:hint="default"/>
                <w:spacing w:val="-103"/>
                <w:sz w:val="21"/>
                <w:szCs w:val="21"/>
              </w:rPr>
              <w:t> </w:t>
            </w:r>
            <w:r>
              <w:rPr>
                <w:rFonts w:ascii="宋体" w:hAnsi="宋体" w:cs="宋体" w:eastAsia="宋体" w:hint="default"/>
                <w:sz w:val="21"/>
                <w:szCs w:val="21"/>
              </w:rPr>
              <w:t>益</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36" w:right="134"/>
              <w:jc w:val="both"/>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综合</w:t>
            </w:r>
            <w:r>
              <w:rPr>
                <w:rFonts w:ascii="宋体" w:hAnsi="宋体" w:cs="宋体" w:eastAsia="宋体" w:hint="default"/>
                <w:spacing w:val="-103"/>
                <w:sz w:val="21"/>
                <w:szCs w:val="21"/>
              </w:rPr>
              <w:t> </w:t>
            </w:r>
            <w:r>
              <w:rPr>
                <w:rFonts w:ascii="宋体" w:hAnsi="宋体" w:cs="宋体" w:eastAsia="宋体" w:hint="default"/>
                <w:sz w:val="21"/>
                <w:szCs w:val="21"/>
              </w:rPr>
              <w:t>收益</w:t>
            </w:r>
            <w:r>
              <w:rPr>
                <w:rFonts w:ascii="宋体" w:hAnsi="宋体" w:cs="宋体" w:eastAsia="宋体" w:hint="default"/>
                <w:spacing w:val="-103"/>
                <w:sz w:val="21"/>
                <w:szCs w:val="21"/>
              </w:rPr>
              <w:t> </w:t>
            </w:r>
            <w:r>
              <w:rPr>
                <w:rFonts w:ascii="宋体" w:hAnsi="宋体" w:cs="宋体" w:eastAsia="宋体" w:hint="default"/>
                <w:sz w:val="21"/>
                <w:szCs w:val="21"/>
              </w:rPr>
              <w:t>调整</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39" w:right="137"/>
              <w:jc w:val="both"/>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权益</w:t>
            </w:r>
            <w:r>
              <w:rPr>
                <w:rFonts w:ascii="宋体" w:hAnsi="宋体" w:cs="宋体" w:eastAsia="宋体" w:hint="default"/>
                <w:spacing w:val="-103"/>
                <w:sz w:val="21"/>
                <w:szCs w:val="21"/>
              </w:rPr>
              <w:t> </w:t>
            </w:r>
            <w:r>
              <w:rPr>
                <w:rFonts w:ascii="宋体" w:hAnsi="宋体" w:cs="宋体" w:eastAsia="宋体" w:hint="default"/>
                <w:sz w:val="21"/>
                <w:szCs w:val="21"/>
              </w:rPr>
              <w:t>变动</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7" w:right="0"/>
              <w:jc w:val="both"/>
              <w:rPr>
                <w:rFonts w:ascii="宋体" w:hAnsi="宋体" w:cs="宋体" w:eastAsia="宋体" w:hint="default"/>
                <w:sz w:val="21"/>
                <w:szCs w:val="21"/>
              </w:rPr>
            </w:pPr>
            <w:r>
              <w:rPr>
                <w:rFonts w:ascii="宋体" w:hAnsi="宋体" w:cs="宋体" w:eastAsia="宋体" w:hint="default"/>
                <w:sz w:val="21"/>
                <w:szCs w:val="21"/>
              </w:rPr>
              <w:t>宣告</w:t>
            </w:r>
          </w:p>
          <w:p>
            <w:pPr>
              <w:pStyle w:val="TableParagraph"/>
              <w:spacing w:line="237" w:lineRule="auto" w:before="2"/>
              <w:ind w:left="177" w:right="173"/>
              <w:jc w:val="both"/>
              <w:rPr>
                <w:rFonts w:ascii="宋体" w:hAnsi="宋体" w:cs="宋体" w:eastAsia="宋体" w:hint="default"/>
                <w:sz w:val="21"/>
                <w:szCs w:val="21"/>
              </w:rPr>
            </w:pPr>
            <w:r>
              <w:rPr>
                <w:rFonts w:ascii="宋体" w:hAnsi="宋体" w:cs="宋体" w:eastAsia="宋体" w:hint="default"/>
                <w:sz w:val="21"/>
                <w:szCs w:val="21"/>
              </w:rPr>
              <w:t>发放</w:t>
            </w:r>
            <w:r>
              <w:rPr>
                <w:rFonts w:ascii="宋体" w:hAnsi="宋体" w:cs="宋体" w:eastAsia="宋体" w:hint="default"/>
                <w:spacing w:val="-103"/>
                <w:sz w:val="21"/>
                <w:szCs w:val="21"/>
              </w:rPr>
              <w:t> </w:t>
            </w:r>
            <w:r>
              <w:rPr>
                <w:rFonts w:ascii="宋体" w:hAnsi="宋体" w:cs="宋体" w:eastAsia="宋体" w:hint="default"/>
                <w:sz w:val="21"/>
                <w:szCs w:val="21"/>
              </w:rPr>
              <w:t>现金</w:t>
            </w:r>
            <w:r>
              <w:rPr>
                <w:rFonts w:ascii="宋体" w:hAnsi="宋体" w:cs="宋体" w:eastAsia="宋体" w:hint="default"/>
                <w:spacing w:val="-103"/>
                <w:sz w:val="21"/>
                <w:szCs w:val="21"/>
              </w:rPr>
              <w:t> </w:t>
            </w:r>
            <w:r>
              <w:rPr>
                <w:rFonts w:ascii="宋体" w:hAnsi="宋体" w:cs="宋体" w:eastAsia="宋体" w:hint="default"/>
                <w:sz w:val="21"/>
                <w:szCs w:val="21"/>
              </w:rPr>
              <w:t>股利</w:t>
            </w:r>
            <w:r>
              <w:rPr>
                <w:rFonts w:ascii="宋体" w:hAnsi="宋体" w:cs="宋体" w:eastAsia="宋体" w:hint="default"/>
                <w:spacing w:val="-103"/>
                <w:sz w:val="21"/>
                <w:szCs w:val="21"/>
              </w:rPr>
              <w:t> </w:t>
            </w:r>
            <w:r>
              <w:rPr>
                <w:rFonts w:ascii="宋体" w:hAnsi="宋体" w:cs="宋体" w:eastAsia="宋体" w:hint="default"/>
                <w:sz w:val="21"/>
                <w:szCs w:val="21"/>
              </w:rPr>
              <w:t>或利</w:t>
            </w:r>
            <w:r>
              <w:rPr>
                <w:rFonts w:ascii="宋体" w:hAnsi="宋体" w:cs="宋体" w:eastAsia="宋体" w:hint="default"/>
                <w:spacing w:val="-103"/>
                <w:sz w:val="21"/>
                <w:szCs w:val="21"/>
              </w:rPr>
              <w:t> </w:t>
            </w:r>
            <w:r>
              <w:rPr>
                <w:rFonts w:ascii="宋体" w:hAnsi="宋体" w:cs="宋体" w:eastAsia="宋体" w:hint="default"/>
                <w:sz w:val="21"/>
                <w:szCs w:val="21"/>
              </w:rPr>
              <w:t>润</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72" w:right="168"/>
              <w:jc w:val="both"/>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pacing w:val="-103"/>
                <w:sz w:val="21"/>
                <w:szCs w:val="21"/>
              </w:rPr>
              <w:t> </w:t>
            </w: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6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70" w:type="dxa"/>
            <w:vMerge/>
            <w:tcBorders>
              <w:left w:val="single" w:sz="4" w:space="0" w:color="000000"/>
              <w:bottom w:val="single" w:sz="4" w:space="0" w:color="000000"/>
              <w:right w:val="single" w:sz="4" w:space="0" w:color="000000"/>
            </w:tcBorders>
          </w:tcPr>
          <w:p>
            <w:pPr/>
          </w:p>
        </w:tc>
        <w:tc>
          <w:tcPr>
            <w:tcW w:w="746" w:type="dxa"/>
            <w:vMerge/>
            <w:tcBorders>
              <w:left w:val="single" w:sz="4" w:space="0" w:color="000000"/>
              <w:bottom w:val="single" w:sz="4" w:space="0" w:color="000000"/>
              <w:right w:val="single" w:sz="4" w:space="0" w:color="000000"/>
            </w:tcBorders>
          </w:tcPr>
          <w:p>
            <w:pPr/>
          </w:p>
        </w:tc>
      </w:tr>
      <w:tr>
        <w:trPr>
          <w:trHeight w:val="283" w:hRule="exact"/>
        </w:trPr>
        <w:tc>
          <w:tcPr>
            <w:tcW w:w="905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一、合营企业</w:t>
            </w:r>
          </w:p>
        </w:tc>
      </w:tr>
      <w:tr>
        <w:trPr>
          <w:trHeight w:val="2189"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北京</w:t>
            </w:r>
          </w:p>
          <w:p>
            <w:pPr>
              <w:pStyle w:val="TableParagraph"/>
              <w:spacing w:line="237" w:lineRule="auto"/>
              <w:ind w:left="103" w:right="285"/>
              <w:jc w:val="both"/>
              <w:rPr>
                <w:rFonts w:ascii="宋体" w:hAnsi="宋体" w:cs="宋体" w:eastAsia="宋体" w:hint="default"/>
                <w:sz w:val="21"/>
                <w:szCs w:val="21"/>
              </w:rPr>
            </w:pPr>
            <w:r>
              <w:rPr>
                <w:rFonts w:ascii="宋体" w:hAnsi="宋体" w:cs="宋体" w:eastAsia="宋体" w:hint="default"/>
                <w:sz w:val="21"/>
                <w:szCs w:val="21"/>
              </w:rPr>
              <w:t>安铁</w:t>
            </w:r>
            <w:r>
              <w:rPr>
                <w:rFonts w:ascii="宋体" w:hAnsi="宋体" w:cs="宋体" w:eastAsia="宋体" w:hint="default"/>
                <w:spacing w:val="-103"/>
                <w:sz w:val="21"/>
                <w:szCs w:val="21"/>
              </w:rPr>
              <w:t> </w:t>
            </w:r>
            <w:r>
              <w:rPr>
                <w:rFonts w:ascii="宋体" w:hAnsi="宋体" w:cs="宋体" w:eastAsia="宋体" w:hint="default"/>
                <w:sz w:val="21"/>
                <w:szCs w:val="21"/>
              </w:rPr>
              <w:t>供应</w:t>
            </w:r>
            <w:r>
              <w:rPr>
                <w:rFonts w:ascii="宋体" w:hAnsi="宋体" w:cs="宋体" w:eastAsia="宋体" w:hint="default"/>
                <w:spacing w:val="-103"/>
                <w:sz w:val="21"/>
                <w:szCs w:val="21"/>
              </w:rPr>
              <w:t> </w:t>
            </w:r>
            <w:r>
              <w:rPr>
                <w:rFonts w:ascii="宋体" w:hAnsi="宋体" w:cs="宋体" w:eastAsia="宋体" w:hint="default"/>
                <w:sz w:val="21"/>
                <w:szCs w:val="21"/>
              </w:rPr>
              <w:t>链管</w:t>
            </w:r>
            <w:r>
              <w:rPr>
                <w:rFonts w:ascii="宋体" w:hAnsi="宋体" w:cs="宋体" w:eastAsia="宋体" w:hint="default"/>
                <w:spacing w:val="-103"/>
                <w:sz w:val="21"/>
                <w:szCs w:val="21"/>
              </w:rPr>
              <w:t> </w:t>
            </w:r>
            <w:r>
              <w:rPr>
                <w:rFonts w:ascii="宋体" w:hAnsi="宋体" w:cs="宋体" w:eastAsia="宋体" w:hint="default"/>
                <w:sz w:val="21"/>
                <w:szCs w:val="21"/>
              </w:rPr>
              <w:t>理有</w:t>
            </w:r>
            <w:r>
              <w:rPr>
                <w:rFonts w:ascii="宋体" w:hAnsi="宋体" w:cs="宋体" w:eastAsia="宋体" w:hint="default"/>
                <w:spacing w:val="-103"/>
                <w:sz w:val="21"/>
                <w:szCs w:val="21"/>
              </w:rPr>
              <w:t> </w:t>
            </w:r>
            <w:r>
              <w:rPr>
                <w:rFonts w:ascii="宋体" w:hAnsi="宋体" w:cs="宋体" w:eastAsia="宋体" w:hint="default"/>
                <w:sz w:val="21"/>
                <w:szCs w:val="21"/>
              </w:rPr>
              <w:t>限责</w:t>
            </w:r>
            <w:r>
              <w:rPr>
                <w:rFonts w:ascii="宋体" w:hAnsi="宋体" w:cs="宋体" w:eastAsia="宋体" w:hint="default"/>
                <w:spacing w:val="-103"/>
                <w:sz w:val="21"/>
                <w:szCs w:val="21"/>
              </w:rPr>
              <w:t> </w:t>
            </w:r>
            <w:r>
              <w:rPr>
                <w:rFonts w:ascii="宋体" w:hAnsi="宋体" w:cs="宋体" w:eastAsia="宋体" w:hint="default"/>
                <w:sz w:val="21"/>
                <w:szCs w:val="21"/>
              </w:rPr>
              <w:t>任公</w:t>
            </w:r>
            <w:r>
              <w:rPr>
                <w:rFonts w:ascii="宋体" w:hAnsi="宋体" w:cs="宋体" w:eastAsia="宋体" w:hint="default"/>
                <w:spacing w:val="-103"/>
                <w:sz w:val="21"/>
                <w:szCs w:val="21"/>
              </w:rPr>
              <w:t> </w:t>
            </w:r>
            <w:r>
              <w:rPr>
                <w:rFonts w:ascii="宋体" w:hAnsi="宋体" w:cs="宋体" w:eastAsia="宋体" w:hint="default"/>
                <w:sz w:val="21"/>
                <w:szCs w:val="21"/>
              </w:rPr>
              <w:t>司</w:t>
            </w:r>
          </w:p>
        </w:tc>
        <w:tc>
          <w:tcPr>
            <w:tcW w:w="758"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9" w:right="0"/>
              <w:jc w:val="left"/>
              <w:rPr>
                <w:rFonts w:ascii="宋体" w:hAnsi="宋体" w:cs="宋体" w:eastAsia="宋体" w:hint="default"/>
                <w:sz w:val="21"/>
                <w:szCs w:val="21"/>
              </w:rPr>
            </w:pPr>
            <w:r>
              <w:rPr>
                <w:rFonts w:ascii="宋体"/>
                <w:sz w:val="21"/>
              </w:rPr>
              <w:t>15,00</w:t>
            </w:r>
          </w:p>
          <w:p>
            <w:pPr>
              <w:pStyle w:val="TableParagraph"/>
              <w:spacing w:line="272" w:lineRule="exact"/>
              <w:ind w:left="119" w:right="0"/>
              <w:jc w:val="left"/>
              <w:rPr>
                <w:rFonts w:ascii="宋体" w:hAnsi="宋体" w:cs="宋体" w:eastAsia="宋体" w:hint="default"/>
                <w:sz w:val="21"/>
                <w:szCs w:val="21"/>
              </w:rPr>
            </w:pPr>
            <w:r>
              <w:rPr>
                <w:rFonts w:ascii="宋体"/>
                <w:sz w:val="21"/>
              </w:rPr>
              <w:t>0,000</w:t>
            </w:r>
          </w:p>
          <w:p>
            <w:pPr>
              <w:pStyle w:val="TableParagraph"/>
              <w:spacing w:line="274" w:lineRule="exact"/>
              <w:ind w:left="331" w:right="0"/>
              <w:jc w:val="left"/>
              <w:rPr>
                <w:rFonts w:ascii="宋体" w:hAnsi="宋体" w:cs="宋体" w:eastAsia="宋体" w:hint="default"/>
                <w:sz w:val="21"/>
                <w:szCs w:val="21"/>
              </w:rPr>
            </w:pPr>
            <w:r>
              <w:rPr>
                <w:rFonts w:ascii="宋体"/>
                <w:sz w:val="21"/>
              </w:rPr>
              <w:t>.00</w:t>
            </w: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8" w:right="0"/>
              <w:jc w:val="left"/>
              <w:rPr>
                <w:rFonts w:ascii="宋体" w:hAnsi="宋体" w:cs="宋体" w:eastAsia="宋体" w:hint="default"/>
                <w:sz w:val="21"/>
                <w:szCs w:val="21"/>
              </w:rPr>
            </w:pPr>
            <w:r>
              <w:rPr>
                <w:rFonts w:ascii="宋体"/>
                <w:sz w:val="21"/>
              </w:rPr>
              <w:t>1,061</w:t>
            </w:r>
          </w:p>
          <w:p>
            <w:pPr>
              <w:pStyle w:val="TableParagraph"/>
              <w:spacing w:line="272" w:lineRule="exact"/>
              <w:ind w:left="148" w:right="0"/>
              <w:jc w:val="left"/>
              <w:rPr>
                <w:rFonts w:ascii="宋体" w:hAnsi="宋体" w:cs="宋体" w:eastAsia="宋体" w:hint="default"/>
                <w:sz w:val="21"/>
                <w:szCs w:val="21"/>
              </w:rPr>
            </w:pPr>
            <w:r>
              <w:rPr>
                <w:rFonts w:ascii="宋体"/>
                <w:sz w:val="21"/>
              </w:rPr>
              <w:t>,933.</w:t>
            </w:r>
          </w:p>
          <w:p>
            <w:pPr>
              <w:pStyle w:val="TableParagraph"/>
              <w:spacing w:line="274" w:lineRule="exact"/>
              <w:ind w:left="463" w:right="0"/>
              <w:jc w:val="left"/>
              <w:rPr>
                <w:rFonts w:ascii="宋体" w:hAnsi="宋体" w:cs="宋体" w:eastAsia="宋体" w:hint="default"/>
                <w:sz w:val="21"/>
                <w:szCs w:val="21"/>
              </w:rPr>
            </w:pPr>
            <w:r>
              <w:rPr>
                <w:rFonts w:ascii="宋体"/>
                <w:sz w:val="21"/>
              </w:rPr>
              <w:t>53</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1" w:right="0"/>
              <w:jc w:val="left"/>
              <w:rPr>
                <w:rFonts w:ascii="宋体" w:hAnsi="宋体" w:cs="宋体" w:eastAsia="宋体" w:hint="default"/>
                <w:sz w:val="21"/>
                <w:szCs w:val="21"/>
              </w:rPr>
            </w:pPr>
            <w:r>
              <w:rPr>
                <w:rFonts w:ascii="宋体"/>
                <w:sz w:val="21"/>
              </w:rPr>
              <w:t>16,06</w:t>
            </w:r>
          </w:p>
          <w:p>
            <w:pPr>
              <w:pStyle w:val="TableParagraph"/>
              <w:spacing w:line="272" w:lineRule="exact"/>
              <w:ind w:left="131" w:right="0"/>
              <w:jc w:val="left"/>
              <w:rPr>
                <w:rFonts w:ascii="宋体" w:hAnsi="宋体" w:cs="宋体" w:eastAsia="宋体" w:hint="default"/>
                <w:sz w:val="21"/>
                <w:szCs w:val="21"/>
              </w:rPr>
            </w:pPr>
            <w:r>
              <w:rPr>
                <w:rFonts w:ascii="宋体"/>
                <w:sz w:val="21"/>
              </w:rPr>
              <w:t>1,933</w:t>
            </w:r>
          </w:p>
          <w:p>
            <w:pPr>
              <w:pStyle w:val="TableParagraph"/>
              <w:spacing w:line="274" w:lineRule="exact"/>
              <w:ind w:left="343" w:right="0"/>
              <w:jc w:val="left"/>
              <w:rPr>
                <w:rFonts w:ascii="宋体" w:hAnsi="宋体" w:cs="宋体" w:eastAsia="宋体" w:hint="default"/>
                <w:sz w:val="21"/>
                <w:szCs w:val="21"/>
              </w:rPr>
            </w:pPr>
            <w:r>
              <w:rPr>
                <w:rFonts w:ascii="宋体"/>
                <w:sz w:val="21"/>
              </w:rPr>
              <w:t>.53</w:t>
            </w: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823"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758"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9" w:right="0"/>
              <w:jc w:val="left"/>
              <w:rPr>
                <w:rFonts w:ascii="宋体" w:hAnsi="宋体" w:cs="宋体" w:eastAsia="宋体" w:hint="default"/>
                <w:sz w:val="21"/>
                <w:szCs w:val="21"/>
              </w:rPr>
            </w:pPr>
            <w:r>
              <w:rPr>
                <w:rFonts w:ascii="宋体"/>
                <w:sz w:val="21"/>
              </w:rPr>
              <w:t>15,00</w:t>
            </w:r>
          </w:p>
          <w:p>
            <w:pPr>
              <w:pStyle w:val="TableParagraph"/>
              <w:spacing w:line="272" w:lineRule="exact"/>
              <w:ind w:left="119" w:right="0"/>
              <w:jc w:val="left"/>
              <w:rPr>
                <w:rFonts w:ascii="宋体" w:hAnsi="宋体" w:cs="宋体" w:eastAsia="宋体" w:hint="default"/>
                <w:sz w:val="21"/>
                <w:szCs w:val="21"/>
              </w:rPr>
            </w:pPr>
            <w:r>
              <w:rPr>
                <w:rFonts w:ascii="宋体"/>
                <w:sz w:val="21"/>
              </w:rPr>
              <w:t>0,000</w:t>
            </w:r>
          </w:p>
          <w:p>
            <w:pPr>
              <w:pStyle w:val="TableParagraph"/>
              <w:spacing w:line="273" w:lineRule="exact"/>
              <w:ind w:left="331" w:right="0"/>
              <w:jc w:val="left"/>
              <w:rPr>
                <w:rFonts w:ascii="宋体" w:hAnsi="宋体" w:cs="宋体" w:eastAsia="宋体" w:hint="default"/>
                <w:sz w:val="21"/>
                <w:szCs w:val="21"/>
              </w:rPr>
            </w:pPr>
            <w:r>
              <w:rPr>
                <w:rFonts w:ascii="宋体"/>
                <w:sz w:val="21"/>
              </w:rPr>
              <w:t>.00</w:t>
            </w: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8" w:right="0"/>
              <w:jc w:val="left"/>
              <w:rPr>
                <w:rFonts w:ascii="宋体" w:hAnsi="宋体" w:cs="宋体" w:eastAsia="宋体" w:hint="default"/>
                <w:sz w:val="21"/>
                <w:szCs w:val="21"/>
              </w:rPr>
            </w:pPr>
            <w:r>
              <w:rPr>
                <w:rFonts w:ascii="宋体"/>
                <w:sz w:val="21"/>
              </w:rPr>
              <w:t>1,061</w:t>
            </w:r>
          </w:p>
          <w:p>
            <w:pPr>
              <w:pStyle w:val="TableParagraph"/>
              <w:spacing w:line="272" w:lineRule="exact"/>
              <w:ind w:left="148" w:right="0"/>
              <w:jc w:val="left"/>
              <w:rPr>
                <w:rFonts w:ascii="宋体" w:hAnsi="宋体" w:cs="宋体" w:eastAsia="宋体" w:hint="default"/>
                <w:sz w:val="21"/>
                <w:szCs w:val="21"/>
              </w:rPr>
            </w:pPr>
            <w:r>
              <w:rPr>
                <w:rFonts w:ascii="宋体"/>
                <w:sz w:val="21"/>
              </w:rPr>
              <w:t>,933.</w:t>
            </w:r>
          </w:p>
          <w:p>
            <w:pPr>
              <w:pStyle w:val="TableParagraph"/>
              <w:spacing w:line="273" w:lineRule="exact"/>
              <w:ind w:left="463" w:right="0"/>
              <w:jc w:val="left"/>
              <w:rPr>
                <w:rFonts w:ascii="宋体" w:hAnsi="宋体" w:cs="宋体" w:eastAsia="宋体" w:hint="default"/>
                <w:sz w:val="21"/>
                <w:szCs w:val="21"/>
              </w:rPr>
            </w:pPr>
            <w:r>
              <w:rPr>
                <w:rFonts w:ascii="宋体"/>
                <w:sz w:val="21"/>
              </w:rPr>
              <w:t>53</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1" w:right="0"/>
              <w:jc w:val="left"/>
              <w:rPr>
                <w:rFonts w:ascii="宋体" w:hAnsi="宋体" w:cs="宋体" w:eastAsia="宋体" w:hint="default"/>
                <w:sz w:val="21"/>
                <w:szCs w:val="21"/>
              </w:rPr>
            </w:pPr>
            <w:r>
              <w:rPr>
                <w:rFonts w:ascii="宋体"/>
                <w:sz w:val="21"/>
              </w:rPr>
              <w:t>16,06</w:t>
            </w:r>
          </w:p>
          <w:p>
            <w:pPr>
              <w:pStyle w:val="TableParagraph"/>
              <w:spacing w:line="272" w:lineRule="exact"/>
              <w:ind w:left="131" w:right="0"/>
              <w:jc w:val="left"/>
              <w:rPr>
                <w:rFonts w:ascii="宋体" w:hAnsi="宋体" w:cs="宋体" w:eastAsia="宋体" w:hint="default"/>
                <w:sz w:val="21"/>
                <w:szCs w:val="21"/>
              </w:rPr>
            </w:pPr>
            <w:r>
              <w:rPr>
                <w:rFonts w:ascii="宋体"/>
                <w:sz w:val="21"/>
              </w:rPr>
              <w:t>1,933</w:t>
            </w:r>
          </w:p>
          <w:p>
            <w:pPr>
              <w:pStyle w:val="TableParagraph"/>
              <w:spacing w:line="273" w:lineRule="exact"/>
              <w:ind w:left="343" w:right="0"/>
              <w:jc w:val="left"/>
              <w:rPr>
                <w:rFonts w:ascii="宋体" w:hAnsi="宋体" w:cs="宋体" w:eastAsia="宋体" w:hint="default"/>
                <w:sz w:val="21"/>
                <w:szCs w:val="21"/>
              </w:rPr>
            </w:pPr>
            <w:r>
              <w:rPr>
                <w:rFonts w:ascii="宋体"/>
                <w:sz w:val="21"/>
              </w:rPr>
              <w:t>.53</w:t>
            </w: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905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二、联营企业</w:t>
            </w:r>
          </w:p>
        </w:tc>
      </w:tr>
      <w:tr>
        <w:trPr>
          <w:trHeight w:val="283" w:hRule="exact"/>
        </w:trPr>
        <w:tc>
          <w:tcPr>
            <w:tcW w:w="823"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823"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758"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9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58"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9" w:right="0"/>
              <w:jc w:val="left"/>
              <w:rPr>
                <w:rFonts w:ascii="宋体" w:hAnsi="宋体" w:cs="宋体" w:eastAsia="宋体" w:hint="default"/>
                <w:sz w:val="21"/>
                <w:szCs w:val="21"/>
              </w:rPr>
            </w:pPr>
            <w:r>
              <w:rPr>
                <w:rFonts w:ascii="宋体"/>
                <w:sz w:val="21"/>
              </w:rPr>
              <w:t>15,00</w:t>
            </w:r>
          </w:p>
          <w:p>
            <w:pPr>
              <w:pStyle w:val="TableParagraph"/>
              <w:spacing w:line="272" w:lineRule="exact"/>
              <w:ind w:left="119" w:right="0"/>
              <w:jc w:val="left"/>
              <w:rPr>
                <w:rFonts w:ascii="宋体" w:hAnsi="宋体" w:cs="宋体" w:eastAsia="宋体" w:hint="default"/>
                <w:sz w:val="21"/>
                <w:szCs w:val="21"/>
              </w:rPr>
            </w:pPr>
            <w:r>
              <w:rPr>
                <w:rFonts w:ascii="宋体"/>
                <w:sz w:val="21"/>
              </w:rPr>
              <w:t>0,000</w:t>
            </w:r>
          </w:p>
          <w:p>
            <w:pPr>
              <w:pStyle w:val="TableParagraph"/>
              <w:spacing w:line="274" w:lineRule="exact"/>
              <w:ind w:left="331" w:right="0"/>
              <w:jc w:val="left"/>
              <w:rPr>
                <w:rFonts w:ascii="宋体" w:hAnsi="宋体" w:cs="宋体" w:eastAsia="宋体" w:hint="default"/>
                <w:sz w:val="21"/>
                <w:szCs w:val="21"/>
              </w:rPr>
            </w:pPr>
            <w:r>
              <w:rPr>
                <w:rFonts w:ascii="宋体"/>
                <w:sz w:val="21"/>
              </w:rPr>
              <w:t>.00</w:t>
            </w: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8" w:right="0"/>
              <w:jc w:val="left"/>
              <w:rPr>
                <w:rFonts w:ascii="宋体" w:hAnsi="宋体" w:cs="宋体" w:eastAsia="宋体" w:hint="default"/>
                <w:sz w:val="21"/>
                <w:szCs w:val="21"/>
              </w:rPr>
            </w:pPr>
            <w:r>
              <w:rPr>
                <w:rFonts w:ascii="宋体"/>
                <w:sz w:val="21"/>
              </w:rPr>
              <w:t>1,061</w:t>
            </w:r>
          </w:p>
          <w:p>
            <w:pPr>
              <w:pStyle w:val="TableParagraph"/>
              <w:spacing w:line="272" w:lineRule="exact"/>
              <w:ind w:left="148" w:right="0"/>
              <w:jc w:val="left"/>
              <w:rPr>
                <w:rFonts w:ascii="宋体" w:hAnsi="宋体" w:cs="宋体" w:eastAsia="宋体" w:hint="default"/>
                <w:sz w:val="21"/>
                <w:szCs w:val="21"/>
              </w:rPr>
            </w:pPr>
            <w:r>
              <w:rPr>
                <w:rFonts w:ascii="宋体"/>
                <w:sz w:val="21"/>
              </w:rPr>
              <w:t>,933.</w:t>
            </w:r>
          </w:p>
          <w:p>
            <w:pPr>
              <w:pStyle w:val="TableParagraph"/>
              <w:spacing w:line="274" w:lineRule="exact"/>
              <w:ind w:left="463" w:right="0"/>
              <w:jc w:val="left"/>
              <w:rPr>
                <w:rFonts w:ascii="宋体" w:hAnsi="宋体" w:cs="宋体" w:eastAsia="宋体" w:hint="default"/>
                <w:sz w:val="21"/>
                <w:szCs w:val="21"/>
              </w:rPr>
            </w:pPr>
            <w:r>
              <w:rPr>
                <w:rFonts w:ascii="宋体"/>
                <w:sz w:val="21"/>
              </w:rPr>
              <w:t>53</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1" w:right="0"/>
              <w:jc w:val="left"/>
              <w:rPr>
                <w:rFonts w:ascii="宋体" w:hAnsi="宋体" w:cs="宋体" w:eastAsia="宋体" w:hint="default"/>
                <w:sz w:val="21"/>
                <w:szCs w:val="21"/>
              </w:rPr>
            </w:pPr>
            <w:r>
              <w:rPr>
                <w:rFonts w:ascii="宋体"/>
                <w:sz w:val="21"/>
              </w:rPr>
              <w:t>16,06</w:t>
            </w:r>
          </w:p>
          <w:p>
            <w:pPr>
              <w:pStyle w:val="TableParagraph"/>
              <w:spacing w:line="272" w:lineRule="exact"/>
              <w:ind w:left="131" w:right="0"/>
              <w:jc w:val="left"/>
              <w:rPr>
                <w:rFonts w:ascii="宋体" w:hAnsi="宋体" w:cs="宋体" w:eastAsia="宋体" w:hint="default"/>
                <w:sz w:val="21"/>
                <w:szCs w:val="21"/>
              </w:rPr>
            </w:pPr>
            <w:r>
              <w:rPr>
                <w:rFonts w:ascii="宋体"/>
                <w:sz w:val="21"/>
              </w:rPr>
              <w:t>1,933</w:t>
            </w:r>
          </w:p>
          <w:p>
            <w:pPr>
              <w:pStyle w:val="TableParagraph"/>
              <w:spacing w:line="274" w:lineRule="exact"/>
              <w:ind w:left="343" w:right="0"/>
              <w:jc w:val="left"/>
              <w:rPr>
                <w:rFonts w:ascii="宋体" w:hAnsi="宋体" w:cs="宋体" w:eastAsia="宋体" w:hint="default"/>
                <w:sz w:val="21"/>
                <w:szCs w:val="21"/>
              </w:rPr>
            </w:pPr>
            <w:r>
              <w:rPr>
                <w:rFonts w:ascii="宋体"/>
                <w:sz w:val="21"/>
              </w:rPr>
              <w:t>.53</w:t>
            </w:r>
          </w:p>
        </w:tc>
        <w:tc>
          <w:tcPr>
            <w:tcW w:w="74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5"/>
          <w:szCs w:val="15"/>
        </w:rPr>
      </w:pPr>
    </w:p>
    <w:p>
      <w:pPr>
        <w:pStyle w:val="BodyText"/>
        <w:spacing w:line="272" w:lineRule="exact" w:before="64"/>
        <w:ind w:right="8208"/>
        <w:jc w:val="left"/>
      </w:pPr>
      <w:r>
        <w:rPr/>
        <w:t>其他说明</w:t>
      </w:r>
      <w:r>
        <w:rPr>
          <w:w w:val="100"/>
        </w:rPr>
        <w:t> </w:t>
      </w:r>
      <w:r>
        <w:rPr/>
        <w:t>不适用</w:t>
      </w:r>
    </w:p>
    <w:p>
      <w:pPr>
        <w:spacing w:line="240" w:lineRule="auto" w:before="7"/>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spacing w:line="290" w:lineRule="auto" w:before="36"/>
        <w:ind w:left="218" w:right="-18" w:firstLine="0"/>
        <w:jc w:val="left"/>
        <w:rPr>
          <w:rFonts w:ascii="宋体" w:hAnsi="宋体" w:cs="宋体" w:eastAsia="宋体" w:hint="default"/>
          <w:sz w:val="21"/>
          <w:szCs w:val="21"/>
        </w:rPr>
      </w:pPr>
      <w:r>
        <w:rPr>
          <w:rFonts w:ascii="宋体" w:hAnsi="宋体" w:cs="宋体" w:eastAsia="宋体" w:hint="default"/>
          <w:b/>
          <w:bCs/>
          <w:sz w:val="21"/>
          <w:szCs w:val="21"/>
        </w:rPr>
        <w:t>18</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投资性房地产</w:t>
      </w:r>
      <w:r>
        <w:rPr>
          <w:rFonts w:ascii="宋体" w:hAnsi="宋体" w:cs="宋体" w:eastAsia="宋体" w:hint="default"/>
          <w:b/>
          <w:bCs/>
          <w:w w:val="100"/>
          <w:sz w:val="21"/>
          <w:szCs w:val="21"/>
        </w:rPr>
        <w:t> </w:t>
      </w:r>
      <w:r>
        <w:rPr>
          <w:rFonts w:ascii="宋体" w:hAnsi="宋体" w:cs="宋体" w:eastAsia="宋体" w:hint="default"/>
          <w:spacing w:val="-2"/>
          <w:sz w:val="21"/>
          <w:szCs w:val="21"/>
        </w:rPr>
        <w:t>投资性房地产计量模式</w:t>
      </w:r>
    </w:p>
    <w:p>
      <w:pPr>
        <w:pStyle w:val="Heading2"/>
        <w:spacing w:line="240" w:lineRule="auto" w:before="12"/>
        <w:ind w:right="-18"/>
        <w:jc w:val="left"/>
        <w:rPr>
          <w:b w:val="0"/>
          <w:bCs w:val="0"/>
        </w:rPr>
      </w:pPr>
      <w:r>
        <w:rPr>
          <w:rFonts w:ascii="宋体" w:hAnsi="宋体" w:cs="宋体" w:eastAsia="宋体" w:hint="default"/>
        </w:rPr>
        <w:t>(1).</w:t>
      </w:r>
      <w:r>
        <w:rPr>
          <w:rFonts w:ascii="宋体" w:hAnsi="宋体" w:cs="宋体" w:eastAsia="宋体" w:hint="default"/>
          <w:spacing w:val="86"/>
        </w:rPr>
        <w:t> </w:t>
      </w:r>
      <w:r>
        <w:rPr/>
        <w:t>采用成本计量模式的投资性房地产</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999" w:space="2523"/>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792"/>
        <w:gridCol w:w="1567"/>
        <w:gridCol w:w="1582"/>
        <w:gridCol w:w="1527"/>
        <w:gridCol w:w="1582"/>
      </w:tblGrid>
      <w:tr>
        <w:trPr>
          <w:trHeight w:val="283"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8"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土地使用权</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8"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1"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56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56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56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36,432,984.87</w:t>
            </w:r>
          </w:p>
        </w:tc>
        <w:tc>
          <w:tcPr>
            <w:tcW w:w="152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36,432,984.87</w:t>
            </w:r>
          </w:p>
        </w:tc>
      </w:tr>
      <w:tr>
        <w:trPr>
          <w:trHeight w:val="281"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）外购</w:t>
            </w:r>
          </w:p>
        </w:tc>
        <w:tc>
          <w:tcPr>
            <w:tcW w:w="156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）存货</w:t>
            </w:r>
            <w:r>
              <w:rPr>
                <w:rFonts w:ascii="宋体" w:hAnsi="宋体" w:cs="宋体" w:eastAsia="宋体" w:hint="default"/>
                <w:sz w:val="21"/>
                <w:szCs w:val="21"/>
              </w:rPr>
              <w:t>\</w:t>
            </w:r>
            <w:r>
              <w:rPr>
                <w:rFonts w:ascii="宋体" w:hAnsi="宋体" w:cs="宋体" w:eastAsia="宋体" w:hint="default"/>
                <w:sz w:val="21"/>
                <w:szCs w:val="21"/>
              </w:rPr>
              <w:t>固定资产</w:t>
            </w:r>
            <w:r>
              <w:rPr>
                <w:rFonts w:ascii="宋体" w:hAnsi="宋体" w:cs="宋体" w:eastAsia="宋体" w:hint="default"/>
                <w:sz w:val="21"/>
                <w:szCs w:val="21"/>
              </w:rPr>
              <w:t>\</w:t>
            </w:r>
            <w:r>
              <w:rPr>
                <w:rFonts w:ascii="宋体" w:hAnsi="宋体" w:cs="宋体" w:eastAsia="宋体" w:hint="default"/>
                <w:sz w:val="21"/>
                <w:szCs w:val="21"/>
              </w:rPr>
              <w:t>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建工程转入</w:t>
            </w:r>
          </w:p>
        </w:tc>
        <w:tc>
          <w:tcPr>
            <w:tcW w:w="156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792"/>
        <w:gridCol w:w="1567"/>
        <w:gridCol w:w="1582"/>
        <w:gridCol w:w="1527"/>
        <w:gridCol w:w="1582"/>
      </w:tblGrid>
      <w:tr>
        <w:trPr>
          <w:trHeight w:val="284"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）企业合并增加</w:t>
            </w:r>
          </w:p>
        </w:tc>
        <w:tc>
          <w:tcPr>
            <w:tcW w:w="156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）无形资产转入</w:t>
            </w:r>
          </w:p>
        </w:tc>
        <w:tc>
          <w:tcPr>
            <w:tcW w:w="156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36,432,984.87</w:t>
            </w:r>
          </w:p>
        </w:tc>
        <w:tc>
          <w:tcPr>
            <w:tcW w:w="152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36,432,984.87</w:t>
            </w:r>
          </w:p>
        </w:tc>
      </w:tr>
      <w:tr>
        <w:trPr>
          <w:trHeight w:val="281"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56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p>
        </w:tc>
        <w:tc>
          <w:tcPr>
            <w:tcW w:w="156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）其他转出</w:t>
            </w:r>
          </w:p>
        </w:tc>
        <w:tc>
          <w:tcPr>
            <w:tcW w:w="156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56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36,432,984.87</w:t>
            </w:r>
          </w:p>
        </w:tc>
        <w:tc>
          <w:tcPr>
            <w:tcW w:w="152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36,432,984.87</w:t>
            </w:r>
          </w:p>
        </w:tc>
      </w:tr>
      <w:tr>
        <w:trPr>
          <w:trHeight w:val="281"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二、累计折旧和累计摊销</w:t>
            </w:r>
          </w:p>
        </w:tc>
        <w:tc>
          <w:tcPr>
            <w:tcW w:w="156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56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56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3,303,777.16</w:t>
            </w:r>
          </w:p>
        </w:tc>
        <w:tc>
          <w:tcPr>
            <w:tcW w:w="152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3,303,777.16</w:t>
            </w:r>
          </w:p>
        </w:tc>
      </w:tr>
      <w:tr>
        <w:trPr>
          <w:trHeight w:val="283"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）计提或摊销</w:t>
            </w:r>
          </w:p>
        </w:tc>
        <w:tc>
          <w:tcPr>
            <w:tcW w:w="156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762,383.28</w:t>
            </w:r>
          </w:p>
        </w:tc>
        <w:tc>
          <w:tcPr>
            <w:tcW w:w="152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762,383.28</w:t>
            </w:r>
          </w:p>
        </w:tc>
      </w:tr>
      <w:tr>
        <w:trPr>
          <w:trHeight w:val="281"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）无形资产转入</w:t>
            </w:r>
          </w:p>
        </w:tc>
        <w:tc>
          <w:tcPr>
            <w:tcW w:w="156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2,541,393.88</w:t>
            </w:r>
          </w:p>
        </w:tc>
        <w:tc>
          <w:tcPr>
            <w:tcW w:w="152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2,541,393.88</w:t>
            </w:r>
          </w:p>
        </w:tc>
      </w:tr>
      <w:tr>
        <w:trPr>
          <w:trHeight w:val="284"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56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p>
        </w:tc>
        <w:tc>
          <w:tcPr>
            <w:tcW w:w="156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）其他转出</w:t>
            </w:r>
          </w:p>
        </w:tc>
        <w:tc>
          <w:tcPr>
            <w:tcW w:w="156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56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3,303,777.16</w:t>
            </w:r>
          </w:p>
        </w:tc>
        <w:tc>
          <w:tcPr>
            <w:tcW w:w="152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3,303,777.16</w:t>
            </w:r>
          </w:p>
        </w:tc>
      </w:tr>
      <w:tr>
        <w:trPr>
          <w:trHeight w:val="283"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56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56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56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156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56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p>
        </w:tc>
        <w:tc>
          <w:tcPr>
            <w:tcW w:w="156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）其他转出</w:t>
            </w:r>
          </w:p>
        </w:tc>
        <w:tc>
          <w:tcPr>
            <w:tcW w:w="156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56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56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期末账面价值</w:t>
            </w:r>
          </w:p>
        </w:tc>
        <w:tc>
          <w:tcPr>
            <w:tcW w:w="156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33,129,207.71</w:t>
            </w:r>
          </w:p>
        </w:tc>
        <w:tc>
          <w:tcPr>
            <w:tcW w:w="152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33,129,207.71</w:t>
            </w:r>
          </w:p>
        </w:tc>
      </w:tr>
      <w:tr>
        <w:trPr>
          <w:trHeight w:val="300"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期初账面价值</w:t>
            </w:r>
          </w:p>
        </w:tc>
        <w:tc>
          <w:tcPr>
            <w:tcW w:w="156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Heading2"/>
        <w:spacing w:line="240" w:lineRule="auto" w:before="36"/>
        <w:ind w:right="2497"/>
        <w:jc w:val="left"/>
        <w:rPr>
          <w:b w:val="0"/>
          <w:bCs w:val="0"/>
        </w:rPr>
      </w:pPr>
      <w:r>
        <w:rPr>
          <w:rFonts w:ascii="宋体" w:hAnsi="宋体" w:cs="宋体" w:eastAsia="宋体" w:hint="default"/>
        </w:rPr>
        <w:t>(2).</w:t>
      </w:r>
      <w:r>
        <w:rPr>
          <w:rFonts w:ascii="宋体" w:hAnsi="宋体" w:cs="宋体" w:eastAsia="宋体" w:hint="default"/>
          <w:spacing w:val="87"/>
        </w:rPr>
        <w:t> </w:t>
      </w:r>
      <w:r>
        <w:rPr/>
        <w:t>未办妥产权证书的投资性房地产情况：</w:t>
      </w:r>
      <w:r>
        <w:rPr>
          <w:b w:val="0"/>
          <w:bCs w:val="0"/>
        </w:rPr>
      </w:r>
    </w:p>
    <w:p>
      <w:pPr>
        <w:pStyle w:val="BodyText"/>
        <w:spacing w:line="240" w:lineRule="auto" w:before="56"/>
        <w:ind w:left="174" w:right="7475" w:firstLine="43"/>
        <w:jc w:val="left"/>
      </w:pPr>
      <w:r>
        <w:rPr/>
        <w:t>□适用</w:t>
      </w:r>
      <w:r>
        <w:rPr>
          <w:spacing w:val="-1"/>
        </w:rPr>
        <w:t> </w:t>
      </w:r>
      <w:r>
        <w:rPr/>
        <w:t>√不适用</w:t>
      </w:r>
      <w:r>
        <w:rPr>
          <w:w w:val="100"/>
        </w:rPr>
        <w:t> </w:t>
      </w:r>
      <w:r>
        <w:rPr/>
        <w:t>其他说明</w:t>
      </w:r>
    </w:p>
    <w:p>
      <w:pPr>
        <w:pStyle w:val="BodyText"/>
        <w:spacing w:line="271" w:lineRule="exact"/>
        <w:ind w:left="174" w:right="2497"/>
        <w:jc w:val="left"/>
      </w:pPr>
      <w:r>
        <w:rPr/>
        <w:t>√适用 □不适用</w:t>
      </w:r>
    </w:p>
    <w:p>
      <w:pPr>
        <w:pStyle w:val="BodyText"/>
        <w:spacing w:line="272" w:lineRule="exact"/>
        <w:ind w:right="2497"/>
        <w:jc w:val="left"/>
      </w:pPr>
      <w:r>
        <w:rPr/>
        <w:t>（</w:t>
      </w:r>
      <w:r>
        <w:rPr>
          <w:rFonts w:ascii="宋体" w:hAnsi="宋体" w:cs="宋体" w:eastAsia="宋体" w:hint="default"/>
        </w:rPr>
        <w:t>1</w:t>
      </w:r>
      <w:r>
        <w:rPr/>
        <w:t>） 投资性房地产本期摊销金额为 </w:t>
      </w:r>
      <w:r>
        <w:rPr>
          <w:rFonts w:ascii="宋体" w:hAnsi="宋体" w:cs="宋体" w:eastAsia="宋体" w:hint="default"/>
        </w:rPr>
        <w:t>762,383.28</w:t>
      </w:r>
      <w:r>
        <w:rPr>
          <w:rFonts w:ascii="宋体" w:hAnsi="宋体" w:cs="宋体" w:eastAsia="宋体" w:hint="default"/>
          <w:spacing w:val="-19"/>
        </w:rPr>
        <w:t> </w:t>
      </w:r>
      <w:r>
        <w:rPr/>
        <w:t>元。</w:t>
      </w:r>
    </w:p>
    <w:p>
      <w:pPr>
        <w:pStyle w:val="BodyText"/>
        <w:spacing w:line="274" w:lineRule="exact" w:before="24"/>
        <w:ind w:left="938" w:right="227" w:hanging="720"/>
        <w:jc w:val="left"/>
      </w:pPr>
      <w:r>
        <w:rPr/>
        <w:t>（</w:t>
      </w:r>
      <w:r>
        <w:rPr>
          <w:rFonts w:ascii="Calibri" w:hAnsi="Calibri" w:cs="Calibri" w:eastAsia="Calibri" w:hint="default"/>
        </w:rPr>
        <w:t>2</w:t>
      </w:r>
      <w:r>
        <w:rPr/>
        <w:t>） 投资性房地产期末余额中 </w:t>
      </w:r>
      <w:r>
        <w:rPr>
          <w:rFonts w:ascii="宋体" w:hAnsi="宋体" w:cs="宋体" w:eastAsia="宋体" w:hint="default"/>
        </w:rPr>
        <w:t>33,129,207.71</w:t>
      </w:r>
      <w:r>
        <w:rPr>
          <w:rFonts w:ascii="宋体" w:hAnsi="宋体" w:cs="宋体" w:eastAsia="宋体" w:hint="default"/>
          <w:spacing w:val="6"/>
        </w:rPr>
        <w:t> </w:t>
      </w:r>
      <w:r>
        <w:rPr/>
        <w:t>元的土地使用权用于为子公司安盛船务贷款提</w:t>
      </w:r>
      <w:r>
        <w:rPr>
          <w:w w:val="100"/>
        </w:rPr>
        <w:t> </w:t>
      </w:r>
      <w:r>
        <w:rPr/>
        <w:t>供抵押。</w:t>
      </w:r>
    </w:p>
    <w:p>
      <w:pPr>
        <w:spacing w:line="240" w:lineRule="auto" w:before="7"/>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80" w:right="1040"/>
        </w:sectPr>
      </w:pPr>
    </w:p>
    <w:p>
      <w:pPr>
        <w:pStyle w:val="Heading2"/>
        <w:spacing w:line="240" w:lineRule="auto" w:before="36"/>
        <w:ind w:right="-19"/>
        <w:jc w:val="left"/>
        <w:rPr>
          <w:b w:val="0"/>
          <w:bCs w:val="0"/>
        </w:rPr>
      </w:pPr>
      <w:r>
        <w:rPr>
          <w:rFonts w:ascii="宋体" w:hAnsi="宋体" w:cs="宋体" w:eastAsia="宋体" w:hint="default"/>
        </w:rPr>
        <w:t>19</w:t>
      </w:r>
      <w:r>
        <w:rPr/>
        <w:t>、</w:t>
      </w:r>
      <w:r>
        <w:rPr>
          <w:spacing w:val="-25"/>
        </w:rPr>
        <w:t> </w:t>
      </w:r>
      <w:r>
        <w:rPr/>
        <w:t>固定资产</w:t>
      </w:r>
      <w:r>
        <w:rPr>
          <w:b w:val="0"/>
          <w:bCs w:val="0"/>
        </w:rPr>
      </w:r>
    </w:p>
    <w:p>
      <w:pPr>
        <w:pStyle w:val="Heading2"/>
        <w:spacing w:line="240" w:lineRule="auto" w:before="56"/>
        <w:ind w:right="-19"/>
        <w:jc w:val="left"/>
        <w:rPr>
          <w:b w:val="0"/>
          <w:bCs w:val="0"/>
        </w:rPr>
      </w:pPr>
      <w:r>
        <w:rPr>
          <w:rFonts w:ascii="宋体" w:hAnsi="宋体" w:cs="宋体" w:eastAsia="宋体" w:hint="default"/>
        </w:rPr>
        <w:t>(1).</w:t>
      </w:r>
      <w:r>
        <w:rPr>
          <w:rFonts w:ascii="宋体" w:hAnsi="宋体" w:cs="宋体" w:eastAsia="宋体" w:hint="default"/>
          <w:spacing w:val="60"/>
        </w:rPr>
        <w:t> </w:t>
      </w:r>
      <w:r>
        <w:rPr/>
        <w:t>固定资产情况</w:t>
      </w:r>
      <w:r>
        <w:rPr>
          <w:b w:val="0"/>
          <w:bCs w:val="0"/>
        </w:rPr>
      </w:r>
    </w:p>
    <w:p>
      <w:pPr>
        <w:pStyle w:val="BodyText"/>
        <w:spacing w:line="240" w:lineRule="auto" w:before="58"/>
        <w:ind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074" w:space="4448"/>
            <w:col w:w="2768"/>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703"/>
        <w:gridCol w:w="1501"/>
        <w:gridCol w:w="1500"/>
        <w:gridCol w:w="1232"/>
        <w:gridCol w:w="1229"/>
        <w:gridCol w:w="1141"/>
        <w:gridCol w:w="1591"/>
      </w:tblGrid>
      <w:tr>
        <w:trPr>
          <w:trHeight w:val="281"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6"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船舶</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9" w:right="0"/>
              <w:jc w:val="left"/>
              <w:rPr>
                <w:rFonts w:ascii="宋体" w:hAnsi="宋体" w:cs="宋体" w:eastAsia="宋体" w:hint="default"/>
                <w:sz w:val="21"/>
                <w:szCs w:val="21"/>
              </w:rPr>
            </w:pPr>
            <w:r>
              <w:rPr>
                <w:rFonts w:ascii="宋体" w:hAnsi="宋体" w:cs="宋体" w:eastAsia="宋体" w:hint="default"/>
                <w:sz w:val="21"/>
                <w:szCs w:val="21"/>
              </w:rPr>
              <w:t>集装箱</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运输设备</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9" w:right="0"/>
              <w:jc w:val="left"/>
              <w:rPr>
                <w:rFonts w:ascii="宋体" w:hAnsi="宋体" w:cs="宋体" w:eastAsia="宋体" w:hint="default"/>
                <w:sz w:val="21"/>
                <w:szCs w:val="21"/>
              </w:rPr>
            </w:pPr>
            <w:r>
              <w:rPr>
                <w:rFonts w:ascii="宋体" w:hAnsi="宋体" w:cs="宋体" w:eastAsia="宋体" w:hint="default"/>
                <w:sz w:val="21"/>
                <w:szCs w:val="21"/>
              </w:rPr>
              <w:t>办公设备</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9" w:right="0"/>
              <w:jc w:val="left"/>
              <w:rPr>
                <w:rFonts w:ascii="宋体" w:hAnsi="宋体" w:cs="宋体" w:eastAsia="宋体" w:hint="default"/>
                <w:sz w:val="21"/>
                <w:szCs w:val="21"/>
              </w:rPr>
            </w:pPr>
            <w:r>
              <w:rPr>
                <w:rFonts w:ascii="宋体" w:hAnsi="宋体" w:cs="宋体" w:eastAsia="宋体" w:hint="default"/>
                <w:sz w:val="21"/>
                <w:szCs w:val="21"/>
              </w:rPr>
              <w:t>建筑物</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828"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一、账</w:t>
            </w:r>
          </w:p>
          <w:p>
            <w:pPr>
              <w:pStyle w:val="TableParagraph"/>
              <w:spacing w:line="272" w:lineRule="exact" w:before="27"/>
              <w:ind w:left="26" w:right="242"/>
              <w:jc w:val="left"/>
              <w:rPr>
                <w:rFonts w:ascii="宋体" w:hAnsi="宋体" w:cs="宋体" w:eastAsia="宋体" w:hint="default"/>
                <w:sz w:val="21"/>
                <w:szCs w:val="21"/>
              </w:rPr>
            </w:pPr>
            <w:r>
              <w:rPr>
                <w:rFonts w:ascii="宋体" w:hAnsi="宋体" w:cs="宋体" w:eastAsia="宋体" w:hint="default"/>
                <w:sz w:val="21"/>
                <w:szCs w:val="21"/>
              </w:rPr>
              <w:t>面原</w:t>
            </w:r>
            <w:r>
              <w:rPr>
                <w:rFonts w:ascii="宋体" w:hAnsi="宋体" w:cs="宋体" w:eastAsia="宋体" w:hint="default"/>
                <w:spacing w:val="-103"/>
                <w:sz w:val="21"/>
                <w:szCs w:val="21"/>
              </w:rPr>
              <w:t> </w:t>
            </w:r>
            <w:r>
              <w:rPr>
                <w:rFonts w:ascii="宋体" w:hAnsi="宋体" w:cs="宋体" w:eastAsia="宋体" w:hint="default"/>
                <w:sz w:val="21"/>
                <w:szCs w:val="21"/>
              </w:rPr>
              <w:t>值：</w:t>
            </w:r>
          </w:p>
        </w:tc>
        <w:tc>
          <w:tcPr>
            <w:tcW w:w="1501"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46" w:right="0"/>
              <w:jc w:val="left"/>
              <w:rPr>
                <w:rFonts w:ascii="宋体" w:hAnsi="宋体" w:cs="宋体" w:eastAsia="宋体" w:hint="default"/>
                <w:sz w:val="21"/>
                <w:szCs w:val="21"/>
              </w:rPr>
            </w:pPr>
            <w:r>
              <w:rPr>
                <w:rFonts w:ascii="宋体"/>
                <w:sz w:val="21"/>
              </w:rPr>
              <w:t>1.</w:t>
            </w:r>
          </w:p>
          <w:p>
            <w:pPr>
              <w:pStyle w:val="TableParagraph"/>
              <w:spacing w:line="240" w:lineRule="auto"/>
              <w:ind w:left="26" w:right="31"/>
              <w:jc w:val="left"/>
              <w:rPr>
                <w:rFonts w:ascii="宋体" w:hAnsi="宋体" w:cs="宋体" w:eastAsia="宋体" w:hint="default"/>
                <w:sz w:val="21"/>
                <w:szCs w:val="21"/>
              </w:rPr>
            </w:pPr>
            <w:r>
              <w:rPr>
                <w:rFonts w:ascii="宋体" w:hAnsi="宋体" w:cs="宋体" w:eastAsia="宋体" w:hint="default"/>
                <w:sz w:val="21"/>
                <w:szCs w:val="21"/>
              </w:rPr>
              <w:t>期初余</w:t>
            </w:r>
            <w:r>
              <w:rPr>
                <w:rFonts w:ascii="宋体" w:hAnsi="宋体" w:cs="宋体" w:eastAsia="宋体" w:hint="default"/>
                <w:spacing w:val="-102"/>
                <w:sz w:val="21"/>
                <w:szCs w:val="21"/>
              </w:rPr>
              <w:t> </w:t>
            </w:r>
            <w:r>
              <w:rPr>
                <w:rFonts w:ascii="宋体" w:hAnsi="宋体" w:cs="宋体" w:eastAsia="宋体" w:hint="default"/>
                <w:sz w:val="21"/>
                <w:szCs w:val="21"/>
              </w:rPr>
              <w:t>额</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 w:right="0"/>
              <w:jc w:val="center"/>
              <w:rPr>
                <w:rFonts w:ascii="宋体" w:hAnsi="宋体" w:cs="宋体" w:eastAsia="宋体" w:hint="default"/>
                <w:sz w:val="18"/>
                <w:szCs w:val="18"/>
              </w:rPr>
            </w:pPr>
            <w:r>
              <w:rPr>
                <w:rFonts w:ascii="宋体"/>
                <w:sz w:val="18"/>
              </w:rPr>
              <w:t>3,280,363,117.42</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1,250,664,500.57</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sz w:val="18"/>
              </w:rPr>
              <w:t>34,618,981.77</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15,002,269.19</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1,094,610.79</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93" w:right="0"/>
              <w:jc w:val="center"/>
              <w:rPr>
                <w:rFonts w:ascii="宋体" w:hAnsi="宋体" w:cs="宋体" w:eastAsia="宋体" w:hint="default"/>
                <w:sz w:val="18"/>
                <w:szCs w:val="18"/>
              </w:rPr>
            </w:pPr>
            <w:r>
              <w:rPr>
                <w:rFonts w:ascii="宋体"/>
                <w:sz w:val="18"/>
              </w:rPr>
              <w:t>4,581,743,479.74</w:t>
            </w:r>
          </w:p>
        </w:tc>
      </w:tr>
      <w:tr>
        <w:trPr>
          <w:trHeight w:val="557"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sz w:val="21"/>
              </w:rPr>
              <w:t>2.</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本期增</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 w:right="0"/>
              <w:jc w:val="center"/>
              <w:rPr>
                <w:rFonts w:ascii="宋体" w:hAnsi="宋体" w:cs="宋体" w:eastAsia="宋体" w:hint="default"/>
                <w:sz w:val="18"/>
                <w:szCs w:val="18"/>
              </w:rPr>
            </w:pPr>
            <w:r>
              <w:rPr>
                <w:rFonts w:ascii="宋体"/>
                <w:sz w:val="18"/>
              </w:rPr>
              <w:t>2,037,418,041.92</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3"/>
              <w:jc w:val="right"/>
              <w:rPr>
                <w:rFonts w:ascii="宋体" w:hAnsi="宋体" w:cs="宋体" w:eastAsia="宋体" w:hint="default"/>
                <w:sz w:val="18"/>
                <w:szCs w:val="18"/>
              </w:rPr>
            </w:pPr>
            <w:r>
              <w:rPr>
                <w:rFonts w:ascii="宋体"/>
                <w:spacing w:val="-1"/>
                <w:sz w:val="18"/>
              </w:rPr>
              <w:t>410,945,916.92</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93" w:right="0"/>
              <w:jc w:val="center"/>
              <w:rPr>
                <w:rFonts w:ascii="宋体" w:hAnsi="宋体" w:cs="宋体" w:eastAsia="宋体" w:hint="default"/>
                <w:sz w:val="18"/>
                <w:szCs w:val="18"/>
              </w:rPr>
            </w:pPr>
            <w:r>
              <w:rPr>
                <w:rFonts w:ascii="宋体"/>
                <w:sz w:val="18"/>
              </w:rPr>
              <w:t>6,431,401.01</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6,538,787.17</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2"/>
              <w:jc w:val="right"/>
              <w:rPr>
                <w:rFonts w:ascii="宋体" w:hAnsi="宋体" w:cs="宋体" w:eastAsia="宋体" w:hint="default"/>
                <w:sz w:val="18"/>
                <w:szCs w:val="18"/>
              </w:rPr>
            </w:pPr>
            <w:r>
              <w:rPr>
                <w:rFonts w:ascii="宋体"/>
                <w:spacing w:val="-1"/>
                <w:sz w:val="18"/>
              </w:rPr>
              <w:t>78,900.96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93" w:right="0"/>
              <w:jc w:val="center"/>
              <w:rPr>
                <w:rFonts w:ascii="宋体" w:hAnsi="宋体" w:cs="宋体" w:eastAsia="宋体" w:hint="default"/>
                <w:sz w:val="18"/>
                <w:szCs w:val="18"/>
              </w:rPr>
            </w:pPr>
            <w:r>
              <w:rPr>
                <w:rFonts w:ascii="宋体"/>
                <w:sz w:val="18"/>
              </w:rPr>
              <w:t>2,461,413,047.98</w:t>
            </w:r>
          </w:p>
        </w:tc>
      </w:tr>
    </w:tbl>
    <w:p>
      <w:pPr>
        <w:spacing w:after="0" w:line="240" w:lineRule="auto"/>
        <w:jc w:val="center"/>
        <w:rPr>
          <w:rFonts w:ascii="宋体" w:hAnsi="宋体" w:cs="宋体" w:eastAsia="宋体" w:hint="default"/>
          <w:sz w:val="18"/>
          <w:szCs w:val="18"/>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703"/>
        <w:gridCol w:w="1501"/>
        <w:gridCol w:w="1500"/>
        <w:gridCol w:w="1232"/>
        <w:gridCol w:w="1229"/>
        <w:gridCol w:w="1141"/>
        <w:gridCol w:w="1591"/>
      </w:tblGrid>
      <w:tr>
        <w:trPr>
          <w:trHeight w:val="284"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加金额</w:t>
            </w:r>
          </w:p>
        </w:tc>
        <w:tc>
          <w:tcPr>
            <w:tcW w:w="1501"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w w:val="100"/>
                <w:sz w:val="21"/>
                <w:szCs w:val="21"/>
              </w:rPr>
              <w:t>1</w:t>
            </w:r>
            <w:r>
              <w:rPr>
                <w:rFonts w:ascii="宋体" w:hAnsi="宋体" w:cs="宋体" w:eastAsia="宋体" w:hint="default"/>
                <w:spacing w:val="-94"/>
                <w:w w:val="100"/>
                <w:sz w:val="21"/>
                <w:szCs w:val="21"/>
              </w:rPr>
              <w:t>）</w:t>
            </w:r>
            <w:r>
              <w:rPr>
                <w:rFonts w:ascii="宋体" w:hAnsi="宋体" w:cs="宋体" w:eastAsia="宋体" w:hint="default"/>
                <w:w w:val="100"/>
                <w:sz w:val="21"/>
                <w:szCs w:val="21"/>
              </w:rPr>
              <w:t>购置</w:t>
            </w:r>
          </w:p>
        </w:tc>
        <w:tc>
          <w:tcPr>
            <w:tcW w:w="1501"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3"/>
              <w:jc w:val="right"/>
              <w:rPr>
                <w:rFonts w:ascii="宋体" w:hAnsi="宋体" w:cs="宋体" w:eastAsia="宋体" w:hint="default"/>
                <w:sz w:val="18"/>
                <w:szCs w:val="18"/>
              </w:rPr>
            </w:pPr>
            <w:r>
              <w:rPr>
                <w:rFonts w:ascii="宋体"/>
                <w:spacing w:val="-1"/>
                <w:sz w:val="18"/>
              </w:rPr>
              <w:t>210,945,916.92</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2"/>
              <w:jc w:val="right"/>
              <w:rPr>
                <w:rFonts w:ascii="宋体" w:hAnsi="宋体" w:cs="宋体" w:eastAsia="宋体" w:hint="default"/>
                <w:sz w:val="18"/>
                <w:szCs w:val="18"/>
              </w:rPr>
            </w:pPr>
            <w:r>
              <w:rPr>
                <w:rFonts w:ascii="宋体"/>
                <w:spacing w:val="-1"/>
                <w:sz w:val="18"/>
              </w:rPr>
              <w:t>6,431,401.01</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6,071,329.17</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2"/>
              <w:jc w:val="right"/>
              <w:rPr>
                <w:rFonts w:ascii="宋体" w:hAnsi="宋体" w:cs="宋体" w:eastAsia="宋体" w:hint="default"/>
                <w:sz w:val="18"/>
                <w:szCs w:val="18"/>
              </w:rPr>
            </w:pPr>
            <w:r>
              <w:rPr>
                <w:rFonts w:ascii="宋体"/>
                <w:spacing w:val="-1"/>
                <w:sz w:val="18"/>
              </w:rPr>
              <w:t>78,900.96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3"/>
              <w:jc w:val="right"/>
              <w:rPr>
                <w:rFonts w:ascii="宋体" w:hAnsi="宋体" w:cs="宋体" w:eastAsia="宋体" w:hint="default"/>
                <w:sz w:val="18"/>
                <w:szCs w:val="18"/>
              </w:rPr>
            </w:pPr>
            <w:r>
              <w:rPr>
                <w:rFonts w:ascii="宋体"/>
                <w:spacing w:val="-1"/>
                <w:sz w:val="18"/>
              </w:rPr>
              <w:t>223,527,548.06</w:t>
            </w:r>
          </w:p>
        </w:tc>
      </w:tr>
      <w:tr>
        <w:trPr>
          <w:trHeight w:val="1099"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37" w:lineRule="auto"/>
              <w:ind w:left="26" w:right="19"/>
              <w:jc w:val="both"/>
              <w:rPr>
                <w:rFonts w:ascii="宋体" w:hAnsi="宋体" w:cs="宋体" w:eastAsia="宋体" w:hint="default"/>
                <w:sz w:val="21"/>
                <w:szCs w:val="21"/>
              </w:rPr>
            </w:pPr>
            <w:r>
              <w:rPr>
                <w:rFonts w:ascii="宋体" w:hAnsi="宋体" w:cs="宋体" w:eastAsia="宋体" w:hint="default"/>
                <w:spacing w:val="-24"/>
                <w:w w:val="100"/>
                <w:sz w:val="21"/>
                <w:szCs w:val="21"/>
              </w:rPr>
              <w:t>2</w:t>
            </w:r>
            <w:r>
              <w:rPr>
                <w:rFonts w:ascii="宋体" w:hAnsi="宋体" w:cs="宋体" w:eastAsia="宋体" w:hint="default"/>
                <w:spacing w:val="-24"/>
                <w:w w:val="100"/>
                <w:sz w:val="21"/>
                <w:szCs w:val="21"/>
              </w:rPr>
              <w:t>）在建</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工程转</w:t>
            </w:r>
            <w:r>
              <w:rPr>
                <w:rFonts w:ascii="宋体" w:hAnsi="宋体" w:cs="宋体" w:eastAsia="宋体" w:hint="default"/>
                <w:spacing w:val="-102"/>
                <w:sz w:val="21"/>
                <w:szCs w:val="21"/>
              </w:rPr>
              <w:t> </w:t>
            </w:r>
            <w:r>
              <w:rPr>
                <w:rFonts w:ascii="宋体" w:hAnsi="宋体" w:cs="宋体" w:eastAsia="宋体" w:hint="default"/>
                <w:sz w:val="21"/>
                <w:szCs w:val="21"/>
              </w:rPr>
              <w:t>入</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879,383,537.07</w:t>
            </w:r>
          </w:p>
        </w:tc>
        <w:tc>
          <w:tcPr>
            <w:tcW w:w="1500"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879,383,537.07</w:t>
            </w:r>
          </w:p>
        </w:tc>
      </w:tr>
      <w:tr>
        <w:trPr>
          <w:trHeight w:val="1099"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37" w:lineRule="auto"/>
              <w:ind w:left="26" w:right="19"/>
              <w:jc w:val="both"/>
              <w:rPr>
                <w:rFonts w:ascii="宋体" w:hAnsi="宋体" w:cs="宋体" w:eastAsia="宋体" w:hint="default"/>
                <w:sz w:val="21"/>
                <w:szCs w:val="21"/>
              </w:rPr>
            </w:pPr>
            <w:r>
              <w:rPr>
                <w:rFonts w:ascii="宋体" w:hAnsi="宋体" w:cs="宋体" w:eastAsia="宋体" w:hint="default"/>
                <w:spacing w:val="-24"/>
                <w:w w:val="100"/>
                <w:sz w:val="21"/>
                <w:szCs w:val="21"/>
              </w:rPr>
              <w:t>3</w:t>
            </w:r>
            <w:r>
              <w:rPr>
                <w:rFonts w:ascii="宋体" w:hAnsi="宋体" w:cs="宋体" w:eastAsia="宋体" w:hint="default"/>
                <w:spacing w:val="-24"/>
                <w:w w:val="100"/>
                <w:sz w:val="21"/>
                <w:szCs w:val="21"/>
              </w:rPr>
              <w:t>）企业</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合并增</w:t>
            </w:r>
            <w:r>
              <w:rPr>
                <w:rFonts w:ascii="宋体" w:hAnsi="宋体" w:cs="宋体" w:eastAsia="宋体" w:hint="default"/>
                <w:spacing w:val="-102"/>
                <w:sz w:val="21"/>
                <w:szCs w:val="21"/>
              </w:rPr>
              <w:t> </w:t>
            </w:r>
            <w:r>
              <w:rPr>
                <w:rFonts w:ascii="宋体" w:hAnsi="宋体" w:cs="宋体" w:eastAsia="宋体" w:hint="default"/>
                <w:sz w:val="21"/>
                <w:szCs w:val="21"/>
              </w:rPr>
              <w:t>加</w:t>
            </w:r>
          </w:p>
        </w:tc>
        <w:tc>
          <w:tcPr>
            <w:tcW w:w="1501"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19"/>
              <w:jc w:val="right"/>
              <w:rPr>
                <w:rFonts w:ascii="宋体" w:hAnsi="宋体" w:cs="宋体" w:eastAsia="宋体" w:hint="default"/>
                <w:sz w:val="21"/>
                <w:szCs w:val="21"/>
              </w:rPr>
            </w:pPr>
            <w:r>
              <w:rPr>
                <w:rFonts w:ascii="宋体"/>
                <w:spacing w:val="-1"/>
                <w:sz w:val="21"/>
              </w:rPr>
              <w:t>467,458.00</w:t>
            </w:r>
          </w:p>
        </w:tc>
        <w:tc>
          <w:tcPr>
            <w:tcW w:w="1141"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467,458.00</w:t>
            </w:r>
          </w:p>
        </w:tc>
      </w:tr>
      <w:tr>
        <w:trPr>
          <w:trHeight w:val="1100"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37" w:lineRule="auto"/>
              <w:ind w:left="26" w:right="19"/>
              <w:jc w:val="both"/>
              <w:rPr>
                <w:rFonts w:ascii="宋体" w:hAnsi="宋体" w:cs="宋体" w:eastAsia="宋体" w:hint="default"/>
                <w:sz w:val="21"/>
                <w:szCs w:val="21"/>
              </w:rPr>
            </w:pPr>
            <w:r>
              <w:rPr>
                <w:rFonts w:ascii="宋体" w:hAnsi="宋体" w:cs="宋体" w:eastAsia="宋体" w:hint="default"/>
                <w:spacing w:val="-24"/>
                <w:w w:val="100"/>
                <w:sz w:val="21"/>
                <w:szCs w:val="21"/>
              </w:rPr>
              <w:t>4</w:t>
            </w:r>
            <w:r>
              <w:rPr>
                <w:rFonts w:ascii="宋体" w:hAnsi="宋体" w:cs="宋体" w:eastAsia="宋体" w:hint="default"/>
                <w:spacing w:val="-24"/>
                <w:w w:val="100"/>
                <w:sz w:val="21"/>
                <w:szCs w:val="21"/>
              </w:rPr>
              <w:t>）售后</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回租增</w:t>
            </w:r>
            <w:r>
              <w:rPr>
                <w:rFonts w:ascii="宋体" w:hAnsi="宋体" w:cs="宋体" w:eastAsia="宋体" w:hint="default"/>
                <w:spacing w:val="-102"/>
                <w:sz w:val="21"/>
                <w:szCs w:val="21"/>
              </w:rPr>
              <w:t> </w:t>
            </w:r>
            <w:r>
              <w:rPr>
                <w:rFonts w:ascii="宋体" w:hAnsi="宋体" w:cs="宋体" w:eastAsia="宋体" w:hint="default"/>
                <w:sz w:val="21"/>
                <w:szCs w:val="21"/>
              </w:rPr>
              <w:t>加</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1,158,034,504.85</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200,000,000.00</w:t>
            </w:r>
          </w:p>
        </w:tc>
        <w:tc>
          <w:tcPr>
            <w:tcW w:w="1232"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1,358,034,504.850</w:t>
            </w:r>
          </w:p>
        </w:tc>
      </w:tr>
      <w:tr>
        <w:trPr>
          <w:trHeight w:val="1099"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5"/>
              <w:jc w:val="right"/>
              <w:rPr>
                <w:rFonts w:ascii="宋体" w:hAnsi="宋体" w:cs="宋体" w:eastAsia="宋体" w:hint="default"/>
                <w:sz w:val="21"/>
                <w:szCs w:val="21"/>
              </w:rPr>
            </w:pPr>
            <w:r>
              <w:rPr>
                <w:rFonts w:ascii="宋体"/>
                <w:w w:val="100"/>
                <w:sz w:val="21"/>
              </w:rPr>
              <w:t>3</w:t>
            </w:r>
          </w:p>
          <w:p>
            <w:pPr>
              <w:pStyle w:val="TableParagraph"/>
              <w:spacing w:line="237" w:lineRule="auto"/>
              <w:ind w:left="26" w:right="31"/>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本期</w:t>
            </w:r>
            <w:r>
              <w:rPr>
                <w:rFonts w:ascii="宋体" w:hAnsi="宋体" w:cs="宋体" w:eastAsia="宋体" w:hint="default"/>
                <w:spacing w:val="-102"/>
                <w:sz w:val="21"/>
                <w:szCs w:val="21"/>
              </w:rPr>
              <w:t> </w:t>
            </w:r>
            <w:r>
              <w:rPr>
                <w:rFonts w:ascii="宋体" w:hAnsi="宋体" w:cs="宋体" w:eastAsia="宋体" w:hint="default"/>
                <w:sz w:val="21"/>
                <w:szCs w:val="21"/>
              </w:rPr>
              <w:t>减少金</w:t>
            </w:r>
            <w:r>
              <w:rPr>
                <w:rFonts w:ascii="宋体" w:hAnsi="宋体" w:cs="宋体" w:eastAsia="宋体" w:hint="default"/>
                <w:spacing w:val="-102"/>
                <w:sz w:val="21"/>
                <w:szCs w:val="21"/>
              </w:rPr>
              <w:t> </w:t>
            </w:r>
            <w:r>
              <w:rPr>
                <w:rFonts w:ascii="宋体" w:hAnsi="宋体" w:cs="宋体" w:eastAsia="宋体" w:hint="default"/>
                <w:sz w:val="21"/>
                <w:szCs w:val="21"/>
              </w:rPr>
              <w:t>额</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1,658,886,946.02</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197,326,304.35</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605,179.00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1,513,153.06</w:t>
            </w:r>
          </w:p>
        </w:tc>
        <w:tc>
          <w:tcPr>
            <w:tcW w:w="1141"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1,858,331,582.43</w:t>
            </w:r>
          </w:p>
        </w:tc>
      </w:tr>
      <w:tr>
        <w:trPr>
          <w:trHeight w:val="828"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6" w:right="19"/>
              <w:jc w:val="left"/>
              <w:rPr>
                <w:rFonts w:ascii="宋体" w:hAnsi="宋体" w:cs="宋体" w:eastAsia="宋体" w:hint="default"/>
                <w:sz w:val="21"/>
                <w:szCs w:val="21"/>
              </w:rPr>
            </w:pPr>
            <w:r>
              <w:rPr>
                <w:rFonts w:ascii="宋体" w:hAnsi="宋体" w:cs="宋体" w:eastAsia="宋体" w:hint="default"/>
                <w:spacing w:val="-24"/>
                <w:w w:val="100"/>
                <w:sz w:val="21"/>
                <w:szCs w:val="21"/>
              </w:rPr>
              <w:t>1</w:t>
            </w:r>
            <w:r>
              <w:rPr>
                <w:rFonts w:ascii="宋体" w:hAnsi="宋体" w:cs="宋体" w:eastAsia="宋体" w:hint="default"/>
                <w:spacing w:val="-24"/>
                <w:w w:val="100"/>
                <w:sz w:val="21"/>
                <w:szCs w:val="21"/>
              </w:rPr>
              <w:t>）处置</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或报废</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281,308,093.07</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1,439,605.84</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605,179.00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1,513,153.06</w:t>
            </w:r>
          </w:p>
        </w:tc>
        <w:tc>
          <w:tcPr>
            <w:tcW w:w="1141"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284,866,030.97</w:t>
            </w:r>
          </w:p>
        </w:tc>
      </w:tr>
      <w:tr>
        <w:trPr>
          <w:trHeight w:val="1100"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37" w:lineRule="auto"/>
              <w:ind w:left="26" w:right="19"/>
              <w:jc w:val="both"/>
              <w:rPr>
                <w:rFonts w:ascii="宋体" w:hAnsi="宋体" w:cs="宋体" w:eastAsia="宋体" w:hint="default"/>
                <w:sz w:val="21"/>
                <w:szCs w:val="21"/>
              </w:rPr>
            </w:pPr>
            <w:r>
              <w:rPr>
                <w:rFonts w:ascii="宋体" w:hAnsi="宋体" w:cs="宋体" w:eastAsia="宋体" w:hint="default"/>
                <w:spacing w:val="-24"/>
                <w:w w:val="100"/>
                <w:sz w:val="21"/>
                <w:szCs w:val="21"/>
              </w:rPr>
              <w:t>2</w:t>
            </w:r>
            <w:r>
              <w:rPr>
                <w:rFonts w:ascii="宋体" w:hAnsi="宋体" w:cs="宋体" w:eastAsia="宋体" w:hint="default"/>
                <w:spacing w:val="-24"/>
                <w:w w:val="100"/>
                <w:sz w:val="21"/>
                <w:szCs w:val="21"/>
              </w:rPr>
              <w:t>）售后</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回租减</w:t>
            </w:r>
            <w:r>
              <w:rPr>
                <w:rFonts w:ascii="宋体" w:hAnsi="宋体" w:cs="宋体" w:eastAsia="宋体" w:hint="default"/>
                <w:spacing w:val="-102"/>
                <w:sz w:val="21"/>
                <w:szCs w:val="21"/>
              </w:rPr>
              <w:t> </w:t>
            </w:r>
            <w:r>
              <w:rPr>
                <w:rFonts w:ascii="宋体" w:hAnsi="宋体" w:cs="宋体" w:eastAsia="宋体" w:hint="default"/>
                <w:sz w:val="21"/>
                <w:szCs w:val="21"/>
              </w:rPr>
              <w:t>少</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1,377,578,852.95</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195,886,698.51</w:t>
            </w:r>
          </w:p>
        </w:tc>
        <w:tc>
          <w:tcPr>
            <w:tcW w:w="1232"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1,573,465,551.46</w:t>
            </w:r>
          </w:p>
        </w:tc>
      </w:tr>
      <w:tr>
        <w:trPr>
          <w:trHeight w:val="828"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46" w:right="0"/>
              <w:jc w:val="left"/>
              <w:rPr>
                <w:rFonts w:ascii="宋体" w:hAnsi="宋体" w:cs="宋体" w:eastAsia="宋体" w:hint="default"/>
                <w:sz w:val="21"/>
                <w:szCs w:val="21"/>
              </w:rPr>
            </w:pPr>
            <w:r>
              <w:rPr>
                <w:rFonts w:ascii="宋体"/>
                <w:sz w:val="21"/>
              </w:rPr>
              <w:t>4.</w:t>
            </w:r>
          </w:p>
          <w:p>
            <w:pPr>
              <w:pStyle w:val="TableParagraph"/>
              <w:spacing w:line="272" w:lineRule="exact" w:before="27"/>
              <w:ind w:left="26" w:right="31"/>
              <w:jc w:val="left"/>
              <w:rPr>
                <w:rFonts w:ascii="宋体" w:hAnsi="宋体" w:cs="宋体" w:eastAsia="宋体" w:hint="default"/>
                <w:sz w:val="21"/>
                <w:szCs w:val="21"/>
              </w:rPr>
            </w:pPr>
            <w:r>
              <w:rPr>
                <w:rFonts w:ascii="宋体" w:hAnsi="宋体" w:cs="宋体" w:eastAsia="宋体" w:hint="default"/>
                <w:sz w:val="21"/>
                <w:szCs w:val="21"/>
              </w:rPr>
              <w:t>期末余</w:t>
            </w:r>
            <w:r>
              <w:rPr>
                <w:rFonts w:ascii="宋体" w:hAnsi="宋体" w:cs="宋体" w:eastAsia="宋体" w:hint="default"/>
                <w:spacing w:val="-102"/>
                <w:sz w:val="21"/>
                <w:szCs w:val="21"/>
              </w:rPr>
              <w:t> </w:t>
            </w:r>
            <w:r>
              <w:rPr>
                <w:rFonts w:ascii="宋体" w:hAnsi="宋体" w:cs="宋体" w:eastAsia="宋体" w:hint="default"/>
                <w:sz w:val="21"/>
                <w:szCs w:val="21"/>
              </w:rPr>
              <w:t>额</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3,658,894,213.32</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1,464,284,113.14</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40,445,203.78</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20,027,903.30</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1,173,511.75</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5,184,824,945.29</w:t>
            </w:r>
          </w:p>
        </w:tc>
      </w:tr>
      <w:tr>
        <w:trPr>
          <w:trHeight w:val="554"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二、累</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计折旧</w:t>
            </w:r>
          </w:p>
        </w:tc>
        <w:tc>
          <w:tcPr>
            <w:tcW w:w="1501"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46" w:right="0"/>
              <w:jc w:val="left"/>
              <w:rPr>
                <w:rFonts w:ascii="宋体" w:hAnsi="宋体" w:cs="宋体" w:eastAsia="宋体" w:hint="default"/>
                <w:sz w:val="21"/>
                <w:szCs w:val="21"/>
              </w:rPr>
            </w:pPr>
            <w:r>
              <w:rPr>
                <w:rFonts w:ascii="宋体"/>
                <w:sz w:val="21"/>
              </w:rPr>
              <w:t>1.</w:t>
            </w:r>
          </w:p>
          <w:p>
            <w:pPr>
              <w:pStyle w:val="TableParagraph"/>
              <w:spacing w:line="272" w:lineRule="exact" w:before="27"/>
              <w:ind w:left="26" w:right="31"/>
              <w:jc w:val="left"/>
              <w:rPr>
                <w:rFonts w:ascii="宋体" w:hAnsi="宋体" w:cs="宋体" w:eastAsia="宋体" w:hint="default"/>
                <w:sz w:val="21"/>
                <w:szCs w:val="21"/>
              </w:rPr>
            </w:pPr>
            <w:r>
              <w:rPr>
                <w:rFonts w:ascii="宋体" w:hAnsi="宋体" w:cs="宋体" w:eastAsia="宋体" w:hint="default"/>
                <w:sz w:val="21"/>
                <w:szCs w:val="21"/>
              </w:rPr>
              <w:t>期初余</w:t>
            </w:r>
            <w:r>
              <w:rPr>
                <w:rFonts w:ascii="宋体" w:hAnsi="宋体" w:cs="宋体" w:eastAsia="宋体" w:hint="default"/>
                <w:spacing w:val="-102"/>
                <w:sz w:val="21"/>
                <w:szCs w:val="21"/>
              </w:rPr>
              <w:t> </w:t>
            </w:r>
            <w:r>
              <w:rPr>
                <w:rFonts w:ascii="宋体" w:hAnsi="宋体" w:cs="宋体" w:eastAsia="宋体" w:hint="default"/>
                <w:sz w:val="21"/>
                <w:szCs w:val="21"/>
              </w:rPr>
              <w:t>额</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427,783,044.85</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141,908,983.32</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23,273,236.30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6,885,942.32</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153,965.35</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600,005,172.14</w:t>
            </w:r>
          </w:p>
        </w:tc>
      </w:tr>
      <w:tr>
        <w:trPr>
          <w:trHeight w:val="829"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sz w:val="21"/>
              </w:rPr>
              <w:t>2.</w:t>
            </w:r>
          </w:p>
          <w:p>
            <w:pPr>
              <w:pStyle w:val="TableParagraph"/>
              <w:spacing w:line="240" w:lineRule="auto"/>
              <w:ind w:left="26" w:right="31"/>
              <w:jc w:val="left"/>
              <w:rPr>
                <w:rFonts w:ascii="宋体" w:hAnsi="宋体" w:cs="宋体" w:eastAsia="宋体" w:hint="default"/>
                <w:sz w:val="21"/>
                <w:szCs w:val="21"/>
              </w:rPr>
            </w:pPr>
            <w:r>
              <w:rPr>
                <w:rFonts w:ascii="宋体" w:hAnsi="宋体" w:cs="宋体" w:eastAsia="宋体" w:hint="default"/>
                <w:sz w:val="21"/>
                <w:szCs w:val="21"/>
              </w:rPr>
              <w:t>本期增</w:t>
            </w:r>
            <w:r>
              <w:rPr>
                <w:rFonts w:ascii="宋体" w:hAnsi="宋体" w:cs="宋体" w:eastAsia="宋体" w:hint="default"/>
                <w:spacing w:val="-102"/>
                <w:sz w:val="21"/>
                <w:szCs w:val="21"/>
              </w:rPr>
              <w:t> </w:t>
            </w:r>
            <w:r>
              <w:rPr>
                <w:rFonts w:ascii="宋体" w:hAnsi="宋体" w:cs="宋体" w:eastAsia="宋体" w:hint="default"/>
                <w:sz w:val="21"/>
                <w:szCs w:val="21"/>
              </w:rPr>
              <w:t>加金额</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124,228,529.07</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76,750,950.56</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4,004,364.29</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3,360,595.08</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199,183.16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208,543,622.16</w:t>
            </w:r>
          </w:p>
        </w:tc>
      </w:tr>
      <w:tr>
        <w:trPr>
          <w:trHeight w:val="554"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w w:val="100"/>
                <w:sz w:val="21"/>
                <w:szCs w:val="21"/>
              </w:rPr>
              <w:t>1</w:t>
            </w:r>
            <w:r>
              <w:rPr>
                <w:rFonts w:ascii="宋体" w:hAnsi="宋体" w:cs="宋体" w:eastAsia="宋体" w:hint="default"/>
                <w:spacing w:val="-94"/>
                <w:w w:val="100"/>
                <w:sz w:val="21"/>
                <w:szCs w:val="21"/>
              </w:rPr>
              <w:t>）</w:t>
            </w:r>
            <w:r>
              <w:rPr>
                <w:rFonts w:ascii="宋体" w:hAnsi="宋体" w:cs="宋体" w:eastAsia="宋体" w:hint="default"/>
                <w:w w:val="100"/>
                <w:sz w:val="21"/>
                <w:szCs w:val="21"/>
              </w:rPr>
              <w:t>计提</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2"/>
              <w:jc w:val="right"/>
              <w:rPr>
                <w:rFonts w:ascii="宋体" w:hAnsi="宋体" w:cs="宋体" w:eastAsia="宋体" w:hint="default"/>
                <w:sz w:val="18"/>
                <w:szCs w:val="18"/>
              </w:rPr>
            </w:pPr>
            <w:r>
              <w:rPr>
                <w:rFonts w:ascii="宋体"/>
                <w:spacing w:val="-1"/>
                <w:sz w:val="18"/>
              </w:rPr>
              <w:t>124,228,529.07</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76,750,950.56</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2"/>
              <w:jc w:val="right"/>
              <w:rPr>
                <w:rFonts w:ascii="宋体" w:hAnsi="宋体" w:cs="宋体" w:eastAsia="宋体" w:hint="default"/>
                <w:sz w:val="18"/>
                <w:szCs w:val="18"/>
              </w:rPr>
            </w:pPr>
            <w:r>
              <w:rPr>
                <w:rFonts w:ascii="宋体"/>
                <w:spacing w:val="-1"/>
                <w:sz w:val="18"/>
              </w:rPr>
              <w:t>4,004,364.29</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3,360,595.08</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2"/>
              <w:jc w:val="right"/>
              <w:rPr>
                <w:rFonts w:ascii="宋体" w:hAnsi="宋体" w:cs="宋体" w:eastAsia="宋体" w:hint="default"/>
                <w:sz w:val="18"/>
                <w:szCs w:val="18"/>
              </w:rPr>
            </w:pPr>
            <w:r>
              <w:rPr>
                <w:rFonts w:ascii="宋体"/>
                <w:spacing w:val="-1"/>
                <w:sz w:val="18"/>
              </w:rPr>
              <w:t>199,183.16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3"/>
              <w:jc w:val="right"/>
              <w:rPr>
                <w:rFonts w:ascii="宋体" w:hAnsi="宋体" w:cs="宋体" w:eastAsia="宋体" w:hint="default"/>
                <w:sz w:val="18"/>
                <w:szCs w:val="18"/>
              </w:rPr>
            </w:pPr>
            <w:r>
              <w:rPr>
                <w:rFonts w:ascii="宋体"/>
                <w:spacing w:val="-1"/>
                <w:sz w:val="18"/>
              </w:rPr>
              <w:t>208,543,622.16</w:t>
            </w:r>
          </w:p>
        </w:tc>
      </w:tr>
      <w:tr>
        <w:trPr>
          <w:trHeight w:val="828"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46" w:right="0"/>
              <w:jc w:val="left"/>
              <w:rPr>
                <w:rFonts w:ascii="宋体" w:hAnsi="宋体" w:cs="宋体" w:eastAsia="宋体" w:hint="default"/>
                <w:sz w:val="21"/>
                <w:szCs w:val="21"/>
              </w:rPr>
            </w:pPr>
            <w:r>
              <w:rPr>
                <w:rFonts w:ascii="宋体"/>
                <w:sz w:val="21"/>
              </w:rPr>
              <w:t>3.</w:t>
            </w:r>
          </w:p>
          <w:p>
            <w:pPr>
              <w:pStyle w:val="TableParagraph"/>
              <w:spacing w:line="272" w:lineRule="exact" w:before="27"/>
              <w:ind w:left="26" w:right="31"/>
              <w:jc w:val="left"/>
              <w:rPr>
                <w:rFonts w:ascii="宋体" w:hAnsi="宋体" w:cs="宋体" w:eastAsia="宋体" w:hint="default"/>
                <w:sz w:val="21"/>
                <w:szCs w:val="21"/>
              </w:rPr>
            </w:pPr>
            <w:r>
              <w:rPr>
                <w:rFonts w:ascii="宋体" w:hAnsi="宋体" w:cs="宋体" w:eastAsia="宋体" w:hint="default"/>
                <w:sz w:val="21"/>
                <w:szCs w:val="21"/>
              </w:rPr>
              <w:t>本期减</w:t>
            </w:r>
            <w:r>
              <w:rPr>
                <w:rFonts w:ascii="宋体" w:hAnsi="宋体" w:cs="宋体" w:eastAsia="宋体" w:hint="default"/>
                <w:spacing w:val="-102"/>
                <w:sz w:val="21"/>
                <w:szCs w:val="21"/>
              </w:rPr>
              <w:t> </w:t>
            </w:r>
            <w:r>
              <w:rPr>
                <w:rFonts w:ascii="宋体" w:hAnsi="宋体" w:cs="宋体" w:eastAsia="宋体" w:hint="default"/>
                <w:sz w:val="21"/>
                <w:szCs w:val="21"/>
              </w:rPr>
              <w:t>少金额</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126,167,140.86</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22,870,986.95</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574,920.05</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1,214,071.81</w:t>
            </w:r>
          </w:p>
        </w:tc>
        <w:tc>
          <w:tcPr>
            <w:tcW w:w="1141"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150,827,119.67</w:t>
            </w:r>
          </w:p>
        </w:tc>
      </w:tr>
      <w:tr>
        <w:trPr>
          <w:trHeight w:val="826"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6" w:right="19"/>
              <w:jc w:val="left"/>
              <w:rPr>
                <w:rFonts w:ascii="宋体" w:hAnsi="宋体" w:cs="宋体" w:eastAsia="宋体" w:hint="default"/>
                <w:sz w:val="21"/>
                <w:szCs w:val="21"/>
              </w:rPr>
            </w:pPr>
            <w:r>
              <w:rPr>
                <w:rFonts w:ascii="宋体" w:hAnsi="宋体" w:cs="宋体" w:eastAsia="宋体" w:hint="default"/>
                <w:spacing w:val="-24"/>
                <w:w w:val="100"/>
                <w:sz w:val="21"/>
                <w:szCs w:val="21"/>
              </w:rPr>
              <w:t>1</w:t>
            </w:r>
            <w:r>
              <w:rPr>
                <w:rFonts w:ascii="宋体" w:hAnsi="宋体" w:cs="宋体" w:eastAsia="宋体" w:hint="default"/>
                <w:spacing w:val="-24"/>
                <w:w w:val="100"/>
                <w:sz w:val="21"/>
                <w:szCs w:val="21"/>
              </w:rPr>
              <w:t>）处置</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或报废</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68,790,243.57</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208,659.22</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574,920.05</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1,214,071.81</w:t>
            </w:r>
          </w:p>
        </w:tc>
        <w:tc>
          <w:tcPr>
            <w:tcW w:w="1141"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70,787,894.65</w:t>
            </w:r>
          </w:p>
        </w:tc>
      </w:tr>
      <w:tr>
        <w:trPr>
          <w:trHeight w:val="828"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72" w:lineRule="exact"/>
              <w:ind w:left="26" w:right="19"/>
              <w:jc w:val="left"/>
              <w:rPr>
                <w:rFonts w:ascii="宋体" w:hAnsi="宋体" w:cs="宋体" w:eastAsia="宋体" w:hint="default"/>
                <w:sz w:val="21"/>
                <w:szCs w:val="21"/>
              </w:rPr>
            </w:pPr>
            <w:r>
              <w:rPr>
                <w:rFonts w:ascii="宋体" w:hAnsi="宋体" w:cs="宋体" w:eastAsia="宋体" w:hint="default"/>
                <w:spacing w:val="-24"/>
                <w:w w:val="100"/>
                <w:sz w:val="21"/>
                <w:szCs w:val="21"/>
              </w:rPr>
              <w:t>2</w:t>
            </w:r>
            <w:r>
              <w:rPr>
                <w:rFonts w:ascii="宋体" w:hAnsi="宋体" w:cs="宋体" w:eastAsia="宋体" w:hint="default"/>
                <w:spacing w:val="-24"/>
                <w:w w:val="100"/>
                <w:sz w:val="21"/>
                <w:szCs w:val="21"/>
              </w:rPr>
              <w:t>）售后</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回租</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2"/>
              <w:jc w:val="right"/>
              <w:rPr>
                <w:rFonts w:ascii="宋体" w:hAnsi="宋体" w:cs="宋体" w:eastAsia="宋体" w:hint="default"/>
                <w:sz w:val="18"/>
                <w:szCs w:val="18"/>
              </w:rPr>
            </w:pPr>
            <w:r>
              <w:rPr>
                <w:rFonts w:ascii="宋体"/>
                <w:spacing w:val="-1"/>
                <w:sz w:val="18"/>
              </w:rPr>
              <w:t>57,376,897.29</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22,662,327.73</w:t>
            </w:r>
          </w:p>
        </w:tc>
        <w:tc>
          <w:tcPr>
            <w:tcW w:w="1232"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80,039,225.02</w:t>
            </w:r>
          </w:p>
        </w:tc>
      </w:tr>
      <w:tr>
        <w:trPr>
          <w:trHeight w:val="554"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46" w:right="0"/>
              <w:jc w:val="left"/>
              <w:rPr>
                <w:rFonts w:ascii="宋体" w:hAnsi="宋体" w:cs="宋体" w:eastAsia="宋体" w:hint="default"/>
                <w:sz w:val="21"/>
                <w:szCs w:val="21"/>
              </w:rPr>
            </w:pPr>
            <w:r>
              <w:rPr>
                <w:rFonts w:ascii="宋体"/>
                <w:sz w:val="21"/>
              </w:rPr>
              <w:t>4.</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期末余</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2"/>
              <w:jc w:val="right"/>
              <w:rPr>
                <w:rFonts w:ascii="宋体" w:hAnsi="宋体" w:cs="宋体" w:eastAsia="宋体" w:hint="default"/>
                <w:sz w:val="18"/>
                <w:szCs w:val="18"/>
              </w:rPr>
            </w:pPr>
            <w:r>
              <w:rPr>
                <w:rFonts w:ascii="宋体"/>
                <w:spacing w:val="-1"/>
                <w:sz w:val="18"/>
              </w:rPr>
              <w:t>425,844,433.06</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3"/>
              <w:jc w:val="right"/>
              <w:rPr>
                <w:rFonts w:ascii="宋体" w:hAnsi="宋体" w:cs="宋体" w:eastAsia="宋体" w:hint="default"/>
                <w:sz w:val="18"/>
                <w:szCs w:val="18"/>
              </w:rPr>
            </w:pPr>
            <w:r>
              <w:rPr>
                <w:rFonts w:ascii="宋体"/>
                <w:spacing w:val="-1"/>
                <w:sz w:val="18"/>
              </w:rPr>
              <w:t>195,788,946.93</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2"/>
              <w:jc w:val="right"/>
              <w:rPr>
                <w:rFonts w:ascii="宋体" w:hAnsi="宋体" w:cs="宋体" w:eastAsia="宋体" w:hint="default"/>
                <w:sz w:val="18"/>
                <w:szCs w:val="18"/>
              </w:rPr>
            </w:pPr>
            <w:r>
              <w:rPr>
                <w:rFonts w:ascii="宋体"/>
                <w:spacing w:val="-1"/>
                <w:sz w:val="18"/>
              </w:rPr>
              <w:t>26,702,680.54</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9,032,465.59</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2"/>
              <w:jc w:val="right"/>
              <w:rPr>
                <w:rFonts w:ascii="宋体" w:hAnsi="宋体" w:cs="宋体" w:eastAsia="宋体" w:hint="default"/>
                <w:sz w:val="18"/>
                <w:szCs w:val="18"/>
              </w:rPr>
            </w:pPr>
            <w:r>
              <w:rPr>
                <w:rFonts w:ascii="宋体"/>
                <w:spacing w:val="-1"/>
                <w:sz w:val="18"/>
              </w:rPr>
              <w:t>353,148.51</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3"/>
              <w:jc w:val="right"/>
              <w:rPr>
                <w:rFonts w:ascii="宋体" w:hAnsi="宋体" w:cs="宋体" w:eastAsia="宋体" w:hint="default"/>
                <w:sz w:val="18"/>
                <w:szCs w:val="18"/>
              </w:rPr>
            </w:pPr>
            <w:r>
              <w:rPr>
                <w:rFonts w:ascii="宋体"/>
                <w:spacing w:val="-1"/>
                <w:sz w:val="18"/>
              </w:rPr>
              <w:t>657,721,674.63</w:t>
            </w:r>
          </w:p>
        </w:tc>
      </w:tr>
    </w:tbl>
    <w:p>
      <w:pPr>
        <w:spacing w:after="0" w:line="240" w:lineRule="auto"/>
        <w:jc w:val="right"/>
        <w:rPr>
          <w:rFonts w:ascii="宋体" w:hAnsi="宋体" w:cs="宋体" w:eastAsia="宋体" w:hint="default"/>
          <w:sz w:val="18"/>
          <w:szCs w:val="18"/>
        </w:rPr>
        <w:sectPr>
          <w:footerReference w:type="default" r:id="rId44"/>
          <w:pgSz w:w="11910" w:h="16840"/>
          <w:pgMar w:footer="1195" w:header="882" w:top="1120" w:bottom="1380" w:left="1660" w:right="11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82" w:type="dxa"/>
        <w:tblLayout w:type="fixed"/>
        <w:tblCellMar>
          <w:top w:w="0" w:type="dxa"/>
          <w:left w:w="0" w:type="dxa"/>
          <w:bottom w:w="0" w:type="dxa"/>
          <w:right w:w="0" w:type="dxa"/>
        </w:tblCellMar>
        <w:tblLook w:val="01E0"/>
      </w:tblPr>
      <w:tblGrid>
        <w:gridCol w:w="703"/>
        <w:gridCol w:w="1501"/>
        <w:gridCol w:w="1500"/>
        <w:gridCol w:w="1232"/>
        <w:gridCol w:w="1229"/>
        <w:gridCol w:w="1141"/>
        <w:gridCol w:w="1591"/>
      </w:tblGrid>
      <w:tr>
        <w:trPr>
          <w:trHeight w:val="284"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501"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三、减</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值准备</w:t>
            </w:r>
          </w:p>
        </w:tc>
        <w:tc>
          <w:tcPr>
            <w:tcW w:w="1501"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46" w:right="0"/>
              <w:jc w:val="left"/>
              <w:rPr>
                <w:rFonts w:ascii="宋体" w:hAnsi="宋体" w:cs="宋体" w:eastAsia="宋体" w:hint="default"/>
                <w:sz w:val="21"/>
                <w:szCs w:val="21"/>
              </w:rPr>
            </w:pPr>
            <w:r>
              <w:rPr>
                <w:rFonts w:ascii="宋体"/>
                <w:sz w:val="21"/>
              </w:rPr>
              <w:t>1.</w:t>
            </w:r>
          </w:p>
          <w:p>
            <w:pPr>
              <w:pStyle w:val="TableParagraph"/>
              <w:spacing w:line="272" w:lineRule="exact" w:before="27"/>
              <w:ind w:left="26" w:right="31"/>
              <w:jc w:val="left"/>
              <w:rPr>
                <w:rFonts w:ascii="宋体" w:hAnsi="宋体" w:cs="宋体" w:eastAsia="宋体" w:hint="default"/>
                <w:sz w:val="21"/>
                <w:szCs w:val="21"/>
              </w:rPr>
            </w:pPr>
            <w:r>
              <w:rPr>
                <w:rFonts w:ascii="宋体" w:hAnsi="宋体" w:cs="宋体" w:eastAsia="宋体" w:hint="default"/>
                <w:sz w:val="21"/>
                <w:szCs w:val="21"/>
              </w:rPr>
              <w:t>期初余</w:t>
            </w:r>
            <w:r>
              <w:rPr>
                <w:rFonts w:ascii="宋体" w:hAnsi="宋体" w:cs="宋体" w:eastAsia="宋体" w:hint="default"/>
                <w:spacing w:val="-102"/>
                <w:sz w:val="21"/>
                <w:szCs w:val="21"/>
              </w:rPr>
              <w:t> </w:t>
            </w:r>
            <w:r>
              <w:rPr>
                <w:rFonts w:ascii="宋体" w:hAnsi="宋体" w:cs="宋体" w:eastAsia="宋体" w:hint="default"/>
                <w:sz w:val="21"/>
                <w:szCs w:val="21"/>
              </w:rPr>
              <w:t>额</w:t>
            </w:r>
          </w:p>
        </w:tc>
        <w:tc>
          <w:tcPr>
            <w:tcW w:w="1501"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46" w:right="0"/>
              <w:jc w:val="left"/>
              <w:rPr>
                <w:rFonts w:ascii="宋体" w:hAnsi="宋体" w:cs="宋体" w:eastAsia="宋体" w:hint="default"/>
                <w:sz w:val="21"/>
                <w:szCs w:val="21"/>
              </w:rPr>
            </w:pPr>
            <w:r>
              <w:rPr>
                <w:rFonts w:ascii="宋体"/>
                <w:sz w:val="21"/>
              </w:rPr>
              <w:t>2.</w:t>
            </w:r>
          </w:p>
          <w:p>
            <w:pPr>
              <w:pStyle w:val="TableParagraph"/>
              <w:spacing w:line="240" w:lineRule="auto"/>
              <w:ind w:left="26" w:right="31"/>
              <w:jc w:val="left"/>
              <w:rPr>
                <w:rFonts w:ascii="宋体" w:hAnsi="宋体" w:cs="宋体" w:eastAsia="宋体" w:hint="default"/>
                <w:sz w:val="21"/>
                <w:szCs w:val="21"/>
              </w:rPr>
            </w:pPr>
            <w:r>
              <w:rPr>
                <w:rFonts w:ascii="宋体" w:hAnsi="宋体" w:cs="宋体" w:eastAsia="宋体" w:hint="default"/>
                <w:sz w:val="21"/>
                <w:szCs w:val="21"/>
              </w:rPr>
              <w:t>本期增</w:t>
            </w:r>
            <w:r>
              <w:rPr>
                <w:rFonts w:ascii="宋体" w:hAnsi="宋体" w:cs="宋体" w:eastAsia="宋体" w:hint="default"/>
                <w:spacing w:val="-102"/>
                <w:sz w:val="21"/>
                <w:szCs w:val="21"/>
              </w:rPr>
              <w:t> </w:t>
            </w:r>
            <w:r>
              <w:rPr>
                <w:rFonts w:ascii="宋体" w:hAnsi="宋体" w:cs="宋体" w:eastAsia="宋体" w:hint="default"/>
                <w:sz w:val="21"/>
                <w:szCs w:val="21"/>
              </w:rPr>
              <w:t>加金额</w:t>
            </w:r>
          </w:p>
        </w:tc>
        <w:tc>
          <w:tcPr>
            <w:tcW w:w="1501"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w w:val="100"/>
                <w:sz w:val="21"/>
                <w:szCs w:val="21"/>
              </w:rPr>
              <w:t>1</w:t>
            </w:r>
            <w:r>
              <w:rPr>
                <w:rFonts w:ascii="宋体" w:hAnsi="宋体" w:cs="宋体" w:eastAsia="宋体" w:hint="default"/>
                <w:spacing w:val="-94"/>
                <w:w w:val="100"/>
                <w:sz w:val="21"/>
                <w:szCs w:val="21"/>
              </w:rPr>
              <w:t>）</w:t>
            </w:r>
            <w:r>
              <w:rPr>
                <w:rFonts w:ascii="宋体" w:hAnsi="宋体" w:cs="宋体" w:eastAsia="宋体" w:hint="default"/>
                <w:w w:val="100"/>
                <w:sz w:val="21"/>
                <w:szCs w:val="21"/>
              </w:rPr>
              <w:t>计提</w:t>
            </w:r>
          </w:p>
        </w:tc>
        <w:tc>
          <w:tcPr>
            <w:tcW w:w="1501"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r>
      <w:tr>
        <w:trPr>
          <w:trHeight w:val="829"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446" w:right="0"/>
              <w:jc w:val="left"/>
              <w:rPr>
                <w:rFonts w:ascii="宋体" w:hAnsi="宋体" w:cs="宋体" w:eastAsia="宋体" w:hint="default"/>
                <w:sz w:val="21"/>
                <w:szCs w:val="21"/>
              </w:rPr>
            </w:pPr>
            <w:r>
              <w:rPr>
                <w:rFonts w:ascii="宋体"/>
                <w:sz w:val="21"/>
              </w:rPr>
              <w:t>3.</w:t>
            </w:r>
          </w:p>
          <w:p>
            <w:pPr>
              <w:pStyle w:val="TableParagraph"/>
              <w:spacing w:line="240" w:lineRule="auto"/>
              <w:ind w:left="26" w:right="31"/>
              <w:jc w:val="left"/>
              <w:rPr>
                <w:rFonts w:ascii="宋体" w:hAnsi="宋体" w:cs="宋体" w:eastAsia="宋体" w:hint="default"/>
                <w:sz w:val="21"/>
                <w:szCs w:val="21"/>
              </w:rPr>
            </w:pPr>
            <w:r>
              <w:rPr>
                <w:rFonts w:ascii="宋体" w:hAnsi="宋体" w:cs="宋体" w:eastAsia="宋体" w:hint="default"/>
                <w:sz w:val="21"/>
                <w:szCs w:val="21"/>
              </w:rPr>
              <w:t>本期减</w:t>
            </w:r>
            <w:r>
              <w:rPr>
                <w:rFonts w:ascii="宋体" w:hAnsi="宋体" w:cs="宋体" w:eastAsia="宋体" w:hint="default"/>
                <w:spacing w:val="-102"/>
                <w:sz w:val="21"/>
                <w:szCs w:val="21"/>
              </w:rPr>
              <w:t> </w:t>
            </w:r>
            <w:r>
              <w:rPr>
                <w:rFonts w:ascii="宋体" w:hAnsi="宋体" w:cs="宋体" w:eastAsia="宋体" w:hint="default"/>
                <w:sz w:val="21"/>
                <w:szCs w:val="21"/>
              </w:rPr>
              <w:t>少金额</w:t>
            </w:r>
          </w:p>
        </w:tc>
        <w:tc>
          <w:tcPr>
            <w:tcW w:w="1501"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72" w:lineRule="exact"/>
              <w:ind w:left="26" w:right="19"/>
              <w:jc w:val="left"/>
              <w:rPr>
                <w:rFonts w:ascii="宋体" w:hAnsi="宋体" w:cs="宋体" w:eastAsia="宋体" w:hint="default"/>
                <w:sz w:val="21"/>
                <w:szCs w:val="21"/>
              </w:rPr>
            </w:pPr>
            <w:r>
              <w:rPr>
                <w:rFonts w:ascii="宋体" w:hAnsi="宋体" w:cs="宋体" w:eastAsia="宋体" w:hint="default"/>
                <w:spacing w:val="-24"/>
                <w:w w:val="100"/>
                <w:sz w:val="21"/>
                <w:szCs w:val="21"/>
              </w:rPr>
              <w:t>1</w:t>
            </w:r>
            <w:r>
              <w:rPr>
                <w:rFonts w:ascii="宋体" w:hAnsi="宋体" w:cs="宋体" w:eastAsia="宋体" w:hint="default"/>
                <w:spacing w:val="-24"/>
                <w:w w:val="100"/>
                <w:sz w:val="21"/>
                <w:szCs w:val="21"/>
              </w:rPr>
              <w:t>）处置</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或报废</w:t>
            </w:r>
          </w:p>
        </w:tc>
        <w:tc>
          <w:tcPr>
            <w:tcW w:w="1501"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46" w:right="0"/>
              <w:jc w:val="left"/>
              <w:rPr>
                <w:rFonts w:ascii="宋体" w:hAnsi="宋体" w:cs="宋体" w:eastAsia="宋体" w:hint="default"/>
                <w:sz w:val="21"/>
                <w:szCs w:val="21"/>
              </w:rPr>
            </w:pPr>
            <w:r>
              <w:rPr>
                <w:rFonts w:ascii="宋体"/>
                <w:sz w:val="21"/>
              </w:rPr>
              <w:t>4.</w:t>
            </w:r>
          </w:p>
          <w:p>
            <w:pPr>
              <w:pStyle w:val="TableParagraph"/>
              <w:spacing w:line="240" w:lineRule="auto"/>
              <w:ind w:left="26" w:right="31"/>
              <w:jc w:val="left"/>
              <w:rPr>
                <w:rFonts w:ascii="宋体" w:hAnsi="宋体" w:cs="宋体" w:eastAsia="宋体" w:hint="default"/>
                <w:sz w:val="21"/>
                <w:szCs w:val="21"/>
              </w:rPr>
            </w:pPr>
            <w:r>
              <w:rPr>
                <w:rFonts w:ascii="宋体" w:hAnsi="宋体" w:cs="宋体" w:eastAsia="宋体" w:hint="default"/>
                <w:sz w:val="21"/>
                <w:szCs w:val="21"/>
              </w:rPr>
              <w:t>期末余</w:t>
            </w:r>
            <w:r>
              <w:rPr>
                <w:rFonts w:ascii="宋体" w:hAnsi="宋体" w:cs="宋体" w:eastAsia="宋体" w:hint="default"/>
                <w:spacing w:val="-102"/>
                <w:sz w:val="21"/>
                <w:szCs w:val="21"/>
              </w:rPr>
              <w:t> </w:t>
            </w:r>
            <w:r>
              <w:rPr>
                <w:rFonts w:ascii="宋体" w:hAnsi="宋体" w:cs="宋体" w:eastAsia="宋体" w:hint="default"/>
                <w:sz w:val="21"/>
                <w:szCs w:val="21"/>
              </w:rPr>
              <w:t>额</w:t>
            </w:r>
          </w:p>
        </w:tc>
        <w:tc>
          <w:tcPr>
            <w:tcW w:w="1501"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四、账</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面价值</w:t>
            </w:r>
          </w:p>
        </w:tc>
        <w:tc>
          <w:tcPr>
            <w:tcW w:w="1501"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sz w:val="21"/>
              </w:rPr>
              <w:t>1.</w:t>
            </w:r>
          </w:p>
          <w:p>
            <w:pPr>
              <w:pStyle w:val="TableParagraph"/>
              <w:spacing w:line="240" w:lineRule="auto"/>
              <w:ind w:left="26" w:right="31"/>
              <w:jc w:val="left"/>
              <w:rPr>
                <w:rFonts w:ascii="宋体" w:hAnsi="宋体" w:cs="宋体" w:eastAsia="宋体" w:hint="default"/>
                <w:sz w:val="21"/>
                <w:szCs w:val="21"/>
              </w:rPr>
            </w:pPr>
            <w:r>
              <w:rPr>
                <w:rFonts w:ascii="宋体" w:hAnsi="宋体" w:cs="宋体" w:eastAsia="宋体" w:hint="default"/>
                <w:sz w:val="21"/>
                <w:szCs w:val="21"/>
              </w:rPr>
              <w:t>期末账</w:t>
            </w:r>
            <w:r>
              <w:rPr>
                <w:rFonts w:ascii="宋体" w:hAnsi="宋体" w:cs="宋体" w:eastAsia="宋体" w:hint="default"/>
                <w:spacing w:val="-102"/>
                <w:sz w:val="21"/>
                <w:szCs w:val="21"/>
              </w:rPr>
              <w:t> </w:t>
            </w:r>
            <w:r>
              <w:rPr>
                <w:rFonts w:ascii="宋体" w:hAnsi="宋体" w:cs="宋体" w:eastAsia="宋体" w:hint="default"/>
                <w:sz w:val="21"/>
                <w:szCs w:val="21"/>
              </w:rPr>
              <w:t>面价值</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sz w:val="18"/>
              </w:rPr>
              <w:t>3,233,049,780.26</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 w:right="0"/>
              <w:jc w:val="center"/>
              <w:rPr>
                <w:rFonts w:ascii="宋体" w:hAnsi="宋体" w:cs="宋体" w:eastAsia="宋体" w:hint="default"/>
                <w:sz w:val="18"/>
                <w:szCs w:val="18"/>
              </w:rPr>
            </w:pPr>
            <w:r>
              <w:rPr>
                <w:rFonts w:ascii="宋体"/>
                <w:sz w:val="18"/>
              </w:rPr>
              <w:t>1,268,495,166.21</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 w:right="0"/>
              <w:jc w:val="center"/>
              <w:rPr>
                <w:rFonts w:ascii="宋体" w:hAnsi="宋体" w:cs="宋体" w:eastAsia="宋体" w:hint="default"/>
                <w:sz w:val="18"/>
                <w:szCs w:val="18"/>
              </w:rPr>
            </w:pPr>
            <w:r>
              <w:rPr>
                <w:rFonts w:ascii="宋体"/>
                <w:sz w:val="18"/>
              </w:rPr>
              <w:t>13,742,523.24</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10,995,437.71</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820,363.24</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4,527,103,270.66</w:t>
            </w:r>
          </w:p>
        </w:tc>
      </w:tr>
      <w:tr>
        <w:trPr>
          <w:trHeight w:val="828"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46" w:right="0"/>
              <w:jc w:val="left"/>
              <w:rPr>
                <w:rFonts w:ascii="宋体" w:hAnsi="宋体" w:cs="宋体" w:eastAsia="宋体" w:hint="default"/>
                <w:sz w:val="21"/>
                <w:szCs w:val="21"/>
              </w:rPr>
            </w:pPr>
            <w:r>
              <w:rPr>
                <w:rFonts w:ascii="宋体"/>
                <w:sz w:val="21"/>
              </w:rPr>
              <w:t>2.</w:t>
            </w:r>
          </w:p>
          <w:p>
            <w:pPr>
              <w:pStyle w:val="TableParagraph"/>
              <w:spacing w:line="272" w:lineRule="exact" w:before="27"/>
              <w:ind w:left="26" w:right="31"/>
              <w:jc w:val="left"/>
              <w:rPr>
                <w:rFonts w:ascii="宋体" w:hAnsi="宋体" w:cs="宋体" w:eastAsia="宋体" w:hint="default"/>
                <w:sz w:val="21"/>
                <w:szCs w:val="21"/>
              </w:rPr>
            </w:pPr>
            <w:r>
              <w:rPr>
                <w:rFonts w:ascii="宋体" w:hAnsi="宋体" w:cs="宋体" w:eastAsia="宋体" w:hint="default"/>
                <w:sz w:val="21"/>
                <w:szCs w:val="21"/>
              </w:rPr>
              <w:t>期初账</w:t>
            </w:r>
            <w:r>
              <w:rPr>
                <w:rFonts w:ascii="宋体" w:hAnsi="宋体" w:cs="宋体" w:eastAsia="宋体" w:hint="default"/>
                <w:spacing w:val="-102"/>
                <w:sz w:val="21"/>
                <w:szCs w:val="21"/>
              </w:rPr>
              <w:t> </w:t>
            </w:r>
            <w:r>
              <w:rPr>
                <w:rFonts w:ascii="宋体" w:hAnsi="宋体" w:cs="宋体" w:eastAsia="宋体" w:hint="default"/>
                <w:sz w:val="21"/>
                <w:szCs w:val="21"/>
              </w:rPr>
              <w:t>面价值</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sz w:val="18"/>
              </w:rPr>
              <w:t>2,852,580,072.57</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 w:right="0"/>
              <w:jc w:val="center"/>
              <w:rPr>
                <w:rFonts w:ascii="宋体" w:hAnsi="宋体" w:cs="宋体" w:eastAsia="宋体" w:hint="default"/>
                <w:sz w:val="18"/>
                <w:szCs w:val="18"/>
              </w:rPr>
            </w:pPr>
            <w:r>
              <w:rPr>
                <w:rFonts w:ascii="宋体"/>
                <w:sz w:val="18"/>
              </w:rPr>
              <w:t>1,108,755,517.25</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 w:right="0"/>
              <w:jc w:val="center"/>
              <w:rPr>
                <w:rFonts w:ascii="宋体" w:hAnsi="宋体" w:cs="宋体" w:eastAsia="宋体" w:hint="default"/>
                <w:sz w:val="18"/>
                <w:szCs w:val="18"/>
              </w:rPr>
            </w:pPr>
            <w:r>
              <w:rPr>
                <w:rFonts w:ascii="宋体"/>
                <w:sz w:val="18"/>
              </w:rPr>
              <w:t>11,345,745.47</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8,116,326.87</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940,645.44</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3,981,738,307.60</w:t>
            </w:r>
          </w:p>
        </w:tc>
      </w:tr>
    </w:tbl>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6"/>
          <w:szCs w:val="26"/>
        </w:rPr>
      </w:pPr>
    </w:p>
    <w:p>
      <w:pPr>
        <w:spacing w:after="0" w:line="240" w:lineRule="auto"/>
        <w:rPr>
          <w:rFonts w:ascii="Times New Roman" w:hAnsi="Times New Roman" w:cs="Times New Roman" w:eastAsia="Times New Roman" w:hint="default"/>
          <w:sz w:val="26"/>
          <w:szCs w:val="26"/>
        </w:rPr>
        <w:sectPr>
          <w:footerReference w:type="default" r:id="rId45"/>
          <w:pgSz w:w="11910" w:h="16840"/>
          <w:pgMar w:footer="1195" w:header="882" w:top="1120" w:bottom="1380" w:left="1580" w:right="1040"/>
          <w:pgNumType w:start="121"/>
        </w:sectPr>
      </w:pPr>
    </w:p>
    <w:p>
      <w:pPr>
        <w:pStyle w:val="Heading2"/>
        <w:spacing w:line="240" w:lineRule="auto" w:before="36"/>
        <w:ind w:right="-18"/>
        <w:jc w:val="left"/>
        <w:rPr>
          <w:b w:val="0"/>
          <w:bCs w:val="0"/>
        </w:rPr>
      </w:pPr>
      <w:r>
        <w:rPr>
          <w:rFonts w:ascii="宋体" w:hAnsi="宋体" w:cs="宋体" w:eastAsia="宋体" w:hint="default"/>
        </w:rPr>
        <w:t>(2).</w:t>
      </w:r>
      <w:r>
        <w:rPr>
          <w:rFonts w:ascii="宋体" w:hAnsi="宋体" w:cs="宋体" w:eastAsia="宋体" w:hint="default"/>
          <w:spacing w:val="59"/>
        </w:rPr>
        <w:t> </w:t>
      </w:r>
      <w:r>
        <w:rPr/>
        <w:t>暂时闲置的固定资产情况</w:t>
      </w:r>
      <w:r>
        <w:rPr>
          <w:b w:val="0"/>
          <w:bCs w:val="0"/>
        </w:rPr>
      </w:r>
    </w:p>
    <w:p>
      <w:pPr>
        <w:pStyle w:val="BodyText"/>
        <w:spacing w:line="240" w:lineRule="auto" w:before="56"/>
        <w:ind w:right="-18"/>
        <w:jc w:val="left"/>
      </w:pPr>
      <w:r>
        <w:rPr/>
        <w:t>□适用</w:t>
      </w:r>
      <w:r>
        <w:rPr>
          <w:spacing w:val="-1"/>
        </w:rPr>
        <w:t> </w:t>
      </w:r>
      <w:r>
        <w:rPr/>
        <w:t>√不适用</w:t>
      </w:r>
    </w:p>
    <w:p>
      <w:pPr>
        <w:pStyle w:val="Heading2"/>
        <w:spacing w:line="240" w:lineRule="auto" w:before="58"/>
        <w:ind w:right="-18"/>
        <w:jc w:val="left"/>
        <w:rPr>
          <w:b w:val="0"/>
          <w:bCs w:val="0"/>
        </w:rPr>
      </w:pPr>
      <w:r>
        <w:rPr>
          <w:rFonts w:ascii="宋体" w:hAnsi="宋体" w:cs="宋体" w:eastAsia="宋体" w:hint="default"/>
        </w:rPr>
        <w:t>(3).</w:t>
      </w:r>
      <w:r>
        <w:rPr>
          <w:rFonts w:ascii="宋体" w:hAnsi="宋体" w:cs="宋体" w:eastAsia="宋体" w:hint="default"/>
          <w:spacing w:val="57"/>
        </w:rPr>
        <w:t> </w:t>
      </w:r>
      <w:r>
        <w:rPr/>
        <w:t>通过融资租赁租入的固定资产情况</w:t>
      </w:r>
      <w:r>
        <w:rPr>
          <w:b w:val="0"/>
          <w:bCs w:val="0"/>
        </w:rPr>
      </w:r>
    </w:p>
    <w:p>
      <w:pPr>
        <w:pStyle w:val="BodyText"/>
        <w:spacing w:line="240" w:lineRule="auto" w:before="56"/>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970" w:space="2552"/>
            <w:col w:w="2768"/>
          </w:cols>
        </w:sectPr>
      </w:pPr>
    </w:p>
    <w:p>
      <w:pPr>
        <w:spacing w:line="240" w:lineRule="auto" w:before="5"/>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608"/>
        <w:gridCol w:w="1897"/>
        <w:gridCol w:w="1829"/>
        <w:gridCol w:w="1819"/>
        <w:gridCol w:w="1897"/>
      </w:tblGrid>
      <w:tr>
        <w:trPr>
          <w:trHeight w:val="283" w:hRule="exact"/>
        </w:trPr>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账面原值</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9" w:right="0"/>
              <w:jc w:val="left"/>
              <w:rPr>
                <w:rFonts w:ascii="宋体" w:hAnsi="宋体" w:cs="宋体" w:eastAsia="宋体" w:hint="default"/>
                <w:sz w:val="21"/>
                <w:szCs w:val="21"/>
              </w:rPr>
            </w:pPr>
            <w:r>
              <w:rPr>
                <w:rFonts w:ascii="宋体" w:hAnsi="宋体" w:cs="宋体" w:eastAsia="宋体" w:hint="default"/>
                <w:sz w:val="21"/>
                <w:szCs w:val="21"/>
              </w:rPr>
              <w:t>累计折旧</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4"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1" w:hRule="exact"/>
        </w:trPr>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船舶</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2,068,396,139.73</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155,981,500.64</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1,912,414,639.09</w:t>
            </w:r>
          </w:p>
        </w:tc>
      </w:tr>
      <w:tr>
        <w:trPr>
          <w:trHeight w:val="283" w:hRule="exact"/>
        </w:trPr>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集装箱</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1,103,611,540.08</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165,059,775.29</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938,551,764.79</w:t>
            </w:r>
          </w:p>
        </w:tc>
      </w:tr>
      <w:tr>
        <w:trPr>
          <w:trHeight w:val="283" w:hRule="exact"/>
        </w:trPr>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6,113,637.61</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3,356,912.43</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2,756,725.18</w:t>
            </w:r>
          </w:p>
        </w:tc>
      </w:tr>
      <w:tr>
        <w:trPr>
          <w:trHeight w:val="281" w:hRule="exact"/>
        </w:trPr>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3,178,121,317.42</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324,398,188.36</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2,853,723,129.06</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spacing w:line="240" w:lineRule="auto" w:before="36"/>
        <w:ind w:right="2497"/>
        <w:jc w:val="left"/>
        <w:rPr>
          <w:b w:val="0"/>
          <w:bCs w:val="0"/>
        </w:rPr>
      </w:pPr>
      <w:r>
        <w:rPr>
          <w:rFonts w:ascii="宋体" w:hAnsi="宋体" w:cs="宋体" w:eastAsia="宋体" w:hint="default"/>
        </w:rPr>
        <w:t>(4).</w:t>
      </w:r>
      <w:r>
        <w:rPr>
          <w:rFonts w:ascii="宋体" w:hAnsi="宋体" w:cs="宋体" w:eastAsia="宋体" w:hint="default"/>
          <w:spacing w:val="56"/>
        </w:rPr>
        <w:t> </w:t>
      </w:r>
      <w:r>
        <w:rPr/>
        <w:t>通过经营租赁租出的固定资产</w:t>
      </w:r>
      <w:r>
        <w:rPr>
          <w:b w:val="0"/>
          <w:bCs w:val="0"/>
        </w:rPr>
      </w:r>
    </w:p>
    <w:p>
      <w:pPr>
        <w:pStyle w:val="BodyText"/>
        <w:spacing w:line="240" w:lineRule="auto" w:before="58"/>
        <w:ind w:right="2497"/>
        <w:jc w:val="left"/>
      </w:pPr>
      <w:r>
        <w:rPr/>
        <w:t>□适用</w:t>
      </w:r>
      <w:r>
        <w:rPr>
          <w:spacing w:val="-1"/>
        </w:rPr>
        <w:t> </w:t>
      </w:r>
      <w:r>
        <w:rPr/>
        <w:t>√不适用</w:t>
      </w:r>
    </w:p>
    <w:p>
      <w:pPr>
        <w:pStyle w:val="Heading2"/>
        <w:spacing w:line="240" w:lineRule="auto" w:before="56"/>
        <w:ind w:right="2497"/>
        <w:jc w:val="left"/>
        <w:rPr>
          <w:b w:val="0"/>
          <w:bCs w:val="0"/>
        </w:rPr>
      </w:pPr>
      <w:r>
        <w:rPr>
          <w:rFonts w:ascii="宋体" w:hAnsi="宋体" w:cs="宋体" w:eastAsia="宋体" w:hint="default"/>
        </w:rPr>
        <w:t>(5).</w:t>
      </w:r>
      <w:r>
        <w:rPr>
          <w:rFonts w:ascii="宋体" w:hAnsi="宋体" w:cs="宋体" w:eastAsia="宋体" w:hint="default"/>
          <w:spacing w:val="57"/>
        </w:rPr>
        <w:t> </w:t>
      </w:r>
      <w:r>
        <w:rPr/>
        <w:t>未办妥产权证书的固定资产情况</w:t>
      </w:r>
      <w:r>
        <w:rPr>
          <w:b w:val="0"/>
          <w:bCs w:val="0"/>
        </w:rPr>
      </w:r>
    </w:p>
    <w:p>
      <w:pPr>
        <w:pStyle w:val="BodyText"/>
        <w:spacing w:line="272" w:lineRule="exact" w:before="87"/>
        <w:ind w:right="7474"/>
        <w:jc w:val="left"/>
      </w:pPr>
      <w:r>
        <w:rPr/>
        <w:t>□适用</w:t>
      </w:r>
      <w:r>
        <w:rPr>
          <w:spacing w:val="-1"/>
        </w:rPr>
        <w:t> </w:t>
      </w:r>
      <w:r>
        <w:rPr/>
        <w:t>√不适用</w:t>
      </w:r>
      <w:r>
        <w:rPr>
          <w:w w:val="100"/>
        </w:rPr>
        <w:t> </w:t>
      </w:r>
      <w:r>
        <w:rPr/>
        <w:t>其他说明：</w:t>
      </w:r>
    </w:p>
    <w:p>
      <w:pPr>
        <w:pStyle w:val="BodyText"/>
        <w:spacing w:line="249" w:lineRule="exact"/>
        <w:ind w:right="2497"/>
        <w:jc w:val="left"/>
      </w:pPr>
      <w:r>
        <w:rPr/>
        <w:t>√适用</w:t>
      </w:r>
      <w:r>
        <w:rPr>
          <w:spacing w:val="-1"/>
        </w:rPr>
        <w:t> </w:t>
      </w:r>
      <w:r>
        <w:rPr/>
        <w:t>□不适用</w:t>
      </w:r>
    </w:p>
    <w:p>
      <w:pPr>
        <w:spacing w:after="0" w:line="249" w:lineRule="exact"/>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BodyText"/>
        <w:spacing w:line="240" w:lineRule="auto" w:before="36"/>
        <w:ind w:left="658" w:right="930"/>
        <w:jc w:val="left"/>
      </w:pPr>
      <w:r>
        <w:rPr/>
        <w:t>（</w:t>
      </w:r>
      <w:r>
        <w:rPr>
          <w:rFonts w:ascii="宋体" w:hAnsi="宋体" w:cs="宋体" w:eastAsia="宋体" w:hint="default"/>
        </w:rPr>
        <w:t>1</w:t>
      </w:r>
      <w:r>
        <w:rPr/>
        <w:t>）固定资产本年计提折旧</w:t>
      </w:r>
      <w:r>
        <w:rPr>
          <w:spacing w:val="-54"/>
        </w:rPr>
        <w:t> </w:t>
      </w:r>
      <w:r>
        <w:rPr>
          <w:rFonts w:ascii="宋体" w:hAnsi="宋体" w:cs="宋体" w:eastAsia="宋体" w:hint="default"/>
        </w:rPr>
        <w:t>208,543,622.16</w:t>
      </w:r>
      <w:r>
        <w:rPr>
          <w:rFonts w:ascii="宋体" w:hAnsi="宋体" w:cs="宋体" w:eastAsia="宋体" w:hint="default"/>
          <w:spacing w:val="-56"/>
        </w:rPr>
        <w:t> </w:t>
      </w:r>
      <w:r>
        <w:rPr/>
        <w:t>元。</w:t>
      </w:r>
    </w:p>
    <w:p>
      <w:pPr>
        <w:pStyle w:val="BodyText"/>
        <w:spacing w:line="240" w:lineRule="auto" w:before="135"/>
        <w:ind w:left="646" w:right="930"/>
        <w:jc w:val="left"/>
      </w:pPr>
      <w:r>
        <w:rPr/>
        <w:t>（</w:t>
      </w:r>
      <w:r>
        <w:rPr>
          <w:rFonts w:ascii="宋体" w:hAnsi="宋体" w:cs="宋体" w:eastAsia="宋体" w:hint="default"/>
        </w:rPr>
        <w:t>2</w:t>
      </w:r>
      <w:r>
        <w:rPr/>
        <w:t>）固定资产期末余额中</w:t>
      </w:r>
      <w:r>
        <w:rPr>
          <w:spacing w:val="-54"/>
        </w:rPr>
        <w:t> </w:t>
      </w:r>
      <w:r>
        <w:rPr>
          <w:rFonts w:ascii="宋体" w:hAnsi="宋体" w:cs="宋体" w:eastAsia="宋体" w:hint="default"/>
        </w:rPr>
        <w:t>627,613,162.93</w:t>
      </w:r>
      <w:r>
        <w:rPr>
          <w:rFonts w:ascii="宋体" w:hAnsi="宋体" w:cs="宋体" w:eastAsia="宋体" w:hint="default"/>
          <w:spacing w:val="-57"/>
        </w:rPr>
        <w:t> </w:t>
      </w:r>
      <w:r>
        <w:rPr/>
        <w:t>元的自有船舶已用于公司贷款抵押。</w:t>
      </w:r>
    </w:p>
    <w:p>
      <w:pPr>
        <w:pStyle w:val="BodyText"/>
        <w:spacing w:line="240" w:lineRule="auto" w:before="133"/>
        <w:ind w:left="658" w:right="930"/>
        <w:jc w:val="left"/>
      </w:pPr>
      <w:r>
        <w:rPr/>
        <w:t>（</w:t>
      </w:r>
      <w:r>
        <w:rPr>
          <w:rFonts w:ascii="宋体" w:hAnsi="宋体" w:cs="宋体" w:eastAsia="宋体" w:hint="default"/>
        </w:rPr>
        <w:t>3</w:t>
      </w:r>
      <w:r>
        <w:rPr/>
        <w:t>）分期付款购买的固定资产情况：</w:t>
      </w:r>
    </w:p>
    <w:p>
      <w:pPr>
        <w:spacing w:line="240" w:lineRule="auto" w:before="10"/>
        <w:rPr>
          <w:rFonts w:ascii="宋体" w:hAnsi="宋体" w:cs="宋体" w:eastAsia="宋体"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1745"/>
        <w:gridCol w:w="2225"/>
        <w:gridCol w:w="1877"/>
        <w:gridCol w:w="1525"/>
        <w:gridCol w:w="1692"/>
      </w:tblGrid>
      <w:tr>
        <w:trPr>
          <w:trHeight w:val="430" w:hRule="exact"/>
        </w:trPr>
        <w:tc>
          <w:tcPr>
            <w:tcW w:w="1745" w:type="dxa"/>
            <w:tcBorders>
              <w:top w:val="single" w:sz="12" w:space="0" w:color="000000"/>
              <w:left w:val="nil" w:sz="6" w:space="0" w:color="auto"/>
              <w:bottom w:val="single" w:sz="2" w:space="0" w:color="000000"/>
              <w:right w:val="single" w:sz="2" w:space="0" w:color="000000"/>
            </w:tcBorders>
          </w:tcPr>
          <w:p>
            <w:pPr>
              <w:pStyle w:val="TableParagraph"/>
              <w:spacing w:line="243" w:lineRule="exact"/>
              <w:ind w:left="767"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225" w:type="dxa"/>
            <w:tcBorders>
              <w:top w:val="single" w:sz="12" w:space="0" w:color="000000"/>
              <w:left w:val="single" w:sz="2" w:space="0" w:color="000000"/>
              <w:bottom w:val="single" w:sz="4" w:space="0" w:color="000000"/>
              <w:right w:val="single" w:sz="2" w:space="0" w:color="000000"/>
            </w:tcBorders>
          </w:tcPr>
          <w:p>
            <w:pPr>
              <w:pStyle w:val="TableParagraph"/>
              <w:spacing w:line="243" w:lineRule="exact"/>
              <w:ind w:left="581" w:right="0"/>
              <w:jc w:val="left"/>
              <w:rPr>
                <w:rFonts w:ascii="宋体" w:hAnsi="宋体" w:cs="宋体" w:eastAsia="宋体" w:hint="default"/>
                <w:sz w:val="21"/>
                <w:szCs w:val="21"/>
              </w:rPr>
            </w:pPr>
            <w:r>
              <w:rPr>
                <w:rFonts w:ascii="宋体" w:hAnsi="宋体" w:cs="宋体" w:eastAsia="宋体" w:hint="default"/>
                <w:sz w:val="21"/>
                <w:szCs w:val="21"/>
              </w:rPr>
              <w:t>固定资产原值</w:t>
            </w:r>
          </w:p>
        </w:tc>
        <w:tc>
          <w:tcPr>
            <w:tcW w:w="1877" w:type="dxa"/>
            <w:tcBorders>
              <w:top w:val="single" w:sz="12" w:space="0" w:color="000000"/>
              <w:left w:val="single" w:sz="2" w:space="0" w:color="000000"/>
              <w:bottom w:val="single" w:sz="4" w:space="0" w:color="000000"/>
              <w:right w:val="single" w:sz="2" w:space="0" w:color="000000"/>
            </w:tcBorders>
          </w:tcPr>
          <w:p>
            <w:pPr>
              <w:pStyle w:val="TableParagraph"/>
              <w:spacing w:line="243" w:lineRule="exact"/>
              <w:ind w:left="198" w:right="0"/>
              <w:jc w:val="center"/>
              <w:rPr>
                <w:rFonts w:ascii="宋体" w:hAnsi="宋体" w:cs="宋体" w:eastAsia="宋体" w:hint="default"/>
                <w:sz w:val="21"/>
                <w:szCs w:val="21"/>
              </w:rPr>
            </w:pPr>
            <w:r>
              <w:rPr>
                <w:rFonts w:ascii="宋体" w:hAnsi="宋体" w:cs="宋体" w:eastAsia="宋体" w:hint="default"/>
                <w:sz w:val="21"/>
                <w:szCs w:val="21"/>
              </w:rPr>
              <w:t>累计折旧</w:t>
            </w:r>
          </w:p>
        </w:tc>
        <w:tc>
          <w:tcPr>
            <w:tcW w:w="1525" w:type="dxa"/>
            <w:tcBorders>
              <w:top w:val="single" w:sz="12" w:space="0" w:color="000000"/>
              <w:left w:val="single" w:sz="2" w:space="0" w:color="000000"/>
              <w:bottom w:val="single" w:sz="4" w:space="0" w:color="000000"/>
              <w:right w:val="single" w:sz="2" w:space="0" w:color="000000"/>
            </w:tcBorders>
          </w:tcPr>
          <w:p>
            <w:pPr>
              <w:pStyle w:val="TableParagraph"/>
              <w:spacing w:line="243" w:lineRule="exact"/>
              <w:ind w:left="436"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692" w:type="dxa"/>
            <w:tcBorders>
              <w:top w:val="single" w:sz="12" w:space="0" w:color="000000"/>
              <w:left w:val="single" w:sz="2" w:space="0" w:color="000000"/>
              <w:bottom w:val="single" w:sz="4" w:space="0" w:color="000000"/>
              <w:right w:val="nil" w:sz="6" w:space="0" w:color="auto"/>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838" w:hRule="exact"/>
        </w:trPr>
        <w:tc>
          <w:tcPr>
            <w:tcW w:w="174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72"/>
              <w:ind w:left="321" w:right="0"/>
              <w:jc w:val="left"/>
              <w:rPr>
                <w:rFonts w:ascii="宋体" w:hAnsi="宋体" w:cs="宋体" w:eastAsia="宋体" w:hint="default"/>
                <w:sz w:val="21"/>
                <w:szCs w:val="21"/>
              </w:rPr>
            </w:pPr>
            <w:r>
              <w:rPr>
                <w:rFonts w:ascii="宋体" w:hAnsi="宋体" w:cs="宋体" w:eastAsia="宋体" w:hint="default"/>
                <w:sz w:val="21"/>
                <w:szCs w:val="21"/>
              </w:rPr>
              <w:t>集装箱</w:t>
            </w:r>
          </w:p>
        </w:tc>
        <w:tc>
          <w:tcPr>
            <w:tcW w:w="2225" w:type="dxa"/>
            <w:tcBorders>
              <w:top w:val="single" w:sz="4" w:space="0" w:color="000000"/>
              <w:left w:val="single" w:sz="2" w:space="0" w:color="000000"/>
              <w:bottom w:val="single" w:sz="12" w:space="0" w:color="000000"/>
              <w:right w:val="single" w:sz="4" w:space="0" w:color="000000"/>
            </w:tcBorders>
          </w:tcPr>
          <w:p>
            <w:pPr>
              <w:pStyle w:val="TableParagraph"/>
              <w:spacing w:line="240" w:lineRule="auto" w:before="170"/>
              <w:ind w:left="751" w:right="0"/>
              <w:jc w:val="left"/>
              <w:rPr>
                <w:rFonts w:ascii="宋体" w:hAnsi="宋体" w:cs="宋体" w:eastAsia="宋体" w:hint="default"/>
                <w:sz w:val="21"/>
                <w:szCs w:val="21"/>
              </w:rPr>
            </w:pPr>
            <w:r>
              <w:rPr>
                <w:rFonts w:ascii="宋体"/>
                <w:sz w:val="21"/>
              </w:rPr>
              <w:t>45,102,552.74</w:t>
            </w:r>
          </w:p>
        </w:tc>
        <w:tc>
          <w:tcPr>
            <w:tcW w:w="187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70"/>
              <w:ind w:left="292" w:right="0"/>
              <w:jc w:val="center"/>
              <w:rPr>
                <w:rFonts w:ascii="宋体" w:hAnsi="宋体" w:cs="宋体" w:eastAsia="宋体" w:hint="default"/>
                <w:sz w:val="21"/>
                <w:szCs w:val="21"/>
              </w:rPr>
            </w:pPr>
            <w:r>
              <w:rPr>
                <w:rFonts w:ascii="宋体"/>
                <w:sz w:val="21"/>
              </w:rPr>
              <w:t>10,762,899.94</w:t>
            </w:r>
          </w:p>
        </w:tc>
        <w:tc>
          <w:tcPr>
            <w:tcW w:w="152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70"/>
              <w:ind w:right="104"/>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692" w:type="dxa"/>
            <w:tcBorders>
              <w:top w:val="single" w:sz="4" w:space="0" w:color="000000"/>
              <w:left w:val="single" w:sz="4" w:space="0" w:color="000000"/>
              <w:bottom w:val="single" w:sz="12"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34,339,652.8</w:t>
            </w:r>
          </w:p>
          <w:p>
            <w:pPr>
              <w:pStyle w:val="TableParagraph"/>
              <w:spacing w:line="240" w:lineRule="auto" w:before="133"/>
              <w:ind w:right="107"/>
              <w:jc w:val="right"/>
              <w:rPr>
                <w:rFonts w:ascii="宋体" w:hAnsi="宋体" w:cs="宋体" w:eastAsia="宋体" w:hint="default"/>
                <w:sz w:val="21"/>
                <w:szCs w:val="21"/>
              </w:rPr>
            </w:pPr>
            <w:r>
              <w:rPr>
                <w:rFonts w:ascii="宋体"/>
                <w:w w:val="100"/>
                <w:sz w:val="21"/>
              </w:rPr>
              <w:t>0</w:t>
            </w:r>
          </w:p>
        </w:tc>
      </w:tr>
    </w:tbl>
    <w:p>
      <w:pPr>
        <w:pStyle w:val="BodyText"/>
        <w:spacing w:line="241" w:lineRule="exact"/>
        <w:ind w:left="646" w:right="930"/>
        <w:jc w:val="left"/>
      </w:pPr>
      <w:r>
        <w:rPr/>
        <w:t>（</w:t>
      </w:r>
      <w:r>
        <w:rPr>
          <w:rFonts w:ascii="宋体" w:hAnsi="宋体" w:cs="宋体" w:eastAsia="宋体" w:hint="default"/>
        </w:rPr>
        <w:t>4</w:t>
      </w:r>
      <w:r>
        <w:rPr/>
        <w:t>）期末固定资产未发生减值的情形，故未计提固定资产减值准备。</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60" w:right="1020"/>
        </w:sectPr>
      </w:pPr>
    </w:p>
    <w:p>
      <w:pPr>
        <w:spacing w:line="240" w:lineRule="auto" w:before="9"/>
        <w:rPr>
          <w:rFonts w:ascii="宋体" w:hAnsi="宋体" w:cs="宋体" w:eastAsia="宋体" w:hint="default"/>
          <w:sz w:val="15"/>
          <w:szCs w:val="15"/>
        </w:rPr>
      </w:pPr>
    </w:p>
    <w:p>
      <w:pPr>
        <w:pStyle w:val="Heading2"/>
        <w:spacing w:line="240" w:lineRule="auto"/>
        <w:ind w:left="238" w:right="-19"/>
        <w:jc w:val="left"/>
        <w:rPr>
          <w:b w:val="0"/>
          <w:bCs w:val="0"/>
        </w:rPr>
      </w:pPr>
      <w:r>
        <w:rPr>
          <w:rFonts w:ascii="宋体" w:hAnsi="宋体" w:cs="宋体" w:eastAsia="宋体" w:hint="default"/>
        </w:rPr>
        <w:t>20</w:t>
      </w:r>
      <w:r>
        <w:rPr/>
        <w:t>、</w:t>
      </w:r>
      <w:r>
        <w:rPr>
          <w:spacing w:val="-25"/>
        </w:rPr>
        <w:t> </w:t>
      </w:r>
      <w:r>
        <w:rPr/>
        <w:t>在建工程</w:t>
      </w:r>
      <w:r>
        <w:rPr>
          <w:b w:val="0"/>
          <w:bCs w:val="0"/>
        </w:rPr>
      </w:r>
    </w:p>
    <w:p>
      <w:pPr>
        <w:pStyle w:val="Heading2"/>
        <w:spacing w:line="240" w:lineRule="auto" w:before="56"/>
        <w:ind w:left="238" w:right="-19"/>
        <w:jc w:val="left"/>
        <w:rPr>
          <w:b w:val="0"/>
          <w:bCs w:val="0"/>
        </w:rPr>
      </w:pPr>
      <w:r>
        <w:rPr>
          <w:rFonts w:ascii="宋体" w:hAnsi="宋体" w:cs="宋体" w:eastAsia="宋体" w:hint="default"/>
        </w:rPr>
        <w:t>(1).</w:t>
      </w:r>
      <w:r>
        <w:rPr>
          <w:rFonts w:ascii="宋体" w:hAnsi="宋体" w:cs="宋体" w:eastAsia="宋体" w:hint="default"/>
          <w:spacing w:val="60"/>
        </w:rPr>
        <w:t> </w:t>
      </w:r>
      <w:r>
        <w:rPr/>
        <w:t>在建工程情况</w:t>
      </w:r>
      <w:r>
        <w:rPr>
          <w:b w:val="0"/>
          <w:bCs w:val="0"/>
        </w:rPr>
      </w:r>
    </w:p>
    <w:p>
      <w:pPr>
        <w:pStyle w:val="BodyText"/>
        <w:spacing w:line="240" w:lineRule="auto" w:before="58"/>
        <w:ind w:left="23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020"/>
          <w:cols w:num="2" w:equalWidth="0">
            <w:col w:w="2094" w:space="4428"/>
            <w:col w:w="2808"/>
          </w:cols>
        </w:sectPr>
      </w:pPr>
    </w:p>
    <w:p>
      <w:pPr>
        <w:spacing w:line="240" w:lineRule="auto" w:before="4"/>
        <w:rPr>
          <w:rFonts w:ascii="宋体" w:hAnsi="宋体" w:cs="宋体" w:eastAsia="宋体" w:hint="default"/>
          <w:sz w:val="2"/>
          <w:szCs w:val="2"/>
        </w:rPr>
      </w:pPr>
    </w:p>
    <w:tbl>
      <w:tblPr>
        <w:tblW w:w="0" w:type="auto"/>
        <w:jc w:val="left"/>
        <w:tblInd w:w="202" w:type="dxa"/>
        <w:tblLayout w:type="fixed"/>
        <w:tblCellMar>
          <w:top w:w="0" w:type="dxa"/>
          <w:left w:w="0" w:type="dxa"/>
          <w:bottom w:w="0" w:type="dxa"/>
          <w:right w:w="0" w:type="dxa"/>
        </w:tblCellMar>
        <w:tblLook w:val="01E0"/>
      </w:tblPr>
      <w:tblGrid>
        <w:gridCol w:w="1382"/>
        <w:gridCol w:w="1637"/>
        <w:gridCol w:w="708"/>
        <w:gridCol w:w="1606"/>
        <w:gridCol w:w="1428"/>
        <w:gridCol w:w="709"/>
        <w:gridCol w:w="1426"/>
      </w:tblGrid>
      <w:tr>
        <w:trPr>
          <w:trHeight w:val="283" w:hRule="exact"/>
        </w:trPr>
        <w:tc>
          <w:tcPr>
            <w:tcW w:w="138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95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56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4" w:hRule="exact"/>
        </w:trPr>
        <w:tc>
          <w:tcPr>
            <w:tcW w:w="1382" w:type="dxa"/>
            <w:vMerge/>
            <w:tcBorders>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9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减值准</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备</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76"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减值准</w:t>
            </w:r>
          </w:p>
          <w:p>
            <w:pPr>
              <w:pStyle w:val="TableParagraph"/>
              <w:spacing w:line="274" w:lineRule="exact"/>
              <w:ind w:right="5"/>
              <w:jc w:val="center"/>
              <w:rPr>
                <w:rFonts w:ascii="宋体" w:hAnsi="宋体" w:cs="宋体" w:eastAsia="宋体" w:hint="default"/>
                <w:sz w:val="21"/>
                <w:szCs w:val="21"/>
              </w:rPr>
            </w:pPr>
            <w:r>
              <w:rPr>
                <w:rFonts w:ascii="宋体" w:hAnsi="宋体" w:cs="宋体" w:eastAsia="宋体" w:hint="default"/>
                <w:w w:val="100"/>
                <w:sz w:val="21"/>
                <w:szCs w:val="21"/>
              </w:rPr>
              <w:t>备</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3" w:hRule="exact"/>
        </w:trPr>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1"/>
              <w:jc w:val="right"/>
              <w:rPr>
                <w:rFonts w:ascii="宋体" w:hAnsi="宋体" w:cs="宋体" w:eastAsia="宋体" w:hint="default"/>
                <w:sz w:val="21"/>
                <w:szCs w:val="21"/>
              </w:rPr>
            </w:pPr>
            <w:r>
              <w:rPr>
                <w:rFonts w:ascii="宋体" w:hAnsi="宋体" w:cs="宋体" w:eastAsia="宋体" w:hint="default"/>
                <w:spacing w:val="-1"/>
                <w:sz w:val="21"/>
                <w:szCs w:val="21"/>
              </w:rPr>
              <w:t>在建船舶</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478,035,544.13</w:t>
            </w:r>
          </w:p>
        </w:tc>
        <w:tc>
          <w:tcPr>
            <w:tcW w:w="708"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478,035,544.13</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52,554,191.84</w:t>
            </w:r>
          </w:p>
        </w:tc>
        <w:tc>
          <w:tcPr>
            <w:tcW w:w="70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52,554,191.84</w:t>
            </w:r>
          </w:p>
        </w:tc>
      </w:tr>
      <w:tr>
        <w:trPr>
          <w:trHeight w:val="283" w:hRule="exact"/>
        </w:trPr>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1"/>
              <w:jc w:val="right"/>
              <w:rPr>
                <w:rFonts w:ascii="宋体" w:hAnsi="宋体" w:cs="宋体" w:eastAsia="宋体" w:hint="default"/>
                <w:sz w:val="21"/>
                <w:szCs w:val="21"/>
              </w:rPr>
            </w:pPr>
            <w:r>
              <w:rPr>
                <w:rFonts w:ascii="宋体" w:hAnsi="宋体" w:cs="宋体" w:eastAsia="宋体" w:hint="default"/>
                <w:spacing w:val="-1"/>
                <w:sz w:val="21"/>
                <w:szCs w:val="21"/>
              </w:rPr>
              <w:t>厂房建设</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5,752,468.70</w:t>
            </w:r>
          </w:p>
        </w:tc>
        <w:tc>
          <w:tcPr>
            <w:tcW w:w="708"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5,752,468.70</w:t>
            </w:r>
          </w:p>
        </w:tc>
        <w:tc>
          <w:tcPr>
            <w:tcW w:w="142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73"/>
              <w:jc w:val="right"/>
              <w:rPr>
                <w:rFonts w:ascii="宋体" w:hAnsi="宋体" w:cs="宋体" w:eastAsia="宋体" w:hint="default"/>
                <w:sz w:val="21"/>
                <w:szCs w:val="21"/>
              </w:rPr>
            </w:pPr>
            <w:r>
              <w:rPr>
                <w:rFonts w:ascii="宋体" w:hAnsi="宋体" w:cs="宋体" w:eastAsia="宋体" w:hint="default"/>
                <w:sz w:val="21"/>
                <w:szCs w:val="21"/>
              </w:rPr>
              <w:t>合计</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483,788,012.83</w:t>
            </w:r>
          </w:p>
        </w:tc>
        <w:tc>
          <w:tcPr>
            <w:tcW w:w="708"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483,788,012.83</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52,554,191.84</w:t>
            </w:r>
          </w:p>
        </w:tc>
        <w:tc>
          <w:tcPr>
            <w:tcW w:w="70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52,554,191.84</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60" w:right="1020"/>
        </w:sectPr>
      </w:pPr>
    </w:p>
    <w:p>
      <w:pPr>
        <w:pStyle w:val="Heading2"/>
        <w:spacing w:line="240" w:lineRule="auto" w:before="36"/>
        <w:ind w:left="238" w:right="-18"/>
        <w:jc w:val="left"/>
        <w:rPr>
          <w:b w:val="0"/>
          <w:bCs w:val="0"/>
        </w:rPr>
      </w:pPr>
      <w:r>
        <w:rPr>
          <w:rFonts w:ascii="宋体" w:hAnsi="宋体" w:cs="宋体" w:eastAsia="宋体" w:hint="default"/>
        </w:rPr>
        <w:t>(2).</w:t>
      </w:r>
      <w:r>
        <w:rPr>
          <w:rFonts w:ascii="宋体" w:hAnsi="宋体" w:cs="宋体" w:eastAsia="宋体" w:hint="default"/>
          <w:spacing w:val="57"/>
        </w:rPr>
        <w:t> </w:t>
      </w:r>
      <w:r>
        <w:rPr/>
        <w:t>重要在建工程项目本期变动情况</w:t>
      </w:r>
      <w:r>
        <w:rPr>
          <w:b w:val="0"/>
          <w:bCs w:val="0"/>
        </w:rPr>
      </w:r>
    </w:p>
    <w:p>
      <w:pPr>
        <w:pStyle w:val="BodyText"/>
        <w:spacing w:line="240" w:lineRule="auto" w:before="56"/>
        <w:ind w:left="23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020"/>
          <w:cols w:num="2" w:equalWidth="0">
            <w:col w:w="3779" w:space="2743"/>
            <w:col w:w="2808"/>
          </w:cols>
        </w:sectPr>
      </w:pPr>
    </w:p>
    <w:p>
      <w:pPr>
        <w:spacing w:line="240" w:lineRule="auto" w:before="4"/>
        <w:rPr>
          <w:rFonts w:ascii="宋体" w:hAnsi="宋体" w:cs="宋体" w:eastAsia="宋体" w:hint="default"/>
          <w:sz w:val="2"/>
          <w:szCs w:val="2"/>
        </w:rPr>
      </w:pPr>
    </w:p>
    <w:tbl>
      <w:tblPr>
        <w:tblW w:w="0" w:type="auto"/>
        <w:jc w:val="left"/>
        <w:tblInd w:w="202" w:type="dxa"/>
        <w:tblLayout w:type="fixed"/>
        <w:tblCellMar>
          <w:top w:w="0" w:type="dxa"/>
          <w:left w:w="0" w:type="dxa"/>
          <w:bottom w:w="0" w:type="dxa"/>
          <w:right w:w="0" w:type="dxa"/>
        </w:tblCellMar>
        <w:tblLook w:val="01E0"/>
      </w:tblPr>
      <w:tblGrid>
        <w:gridCol w:w="326"/>
        <w:gridCol w:w="326"/>
        <w:gridCol w:w="1042"/>
        <w:gridCol w:w="1325"/>
        <w:gridCol w:w="1178"/>
        <w:gridCol w:w="298"/>
        <w:gridCol w:w="1116"/>
        <w:gridCol w:w="326"/>
        <w:gridCol w:w="295"/>
        <w:gridCol w:w="965"/>
        <w:gridCol w:w="965"/>
        <w:gridCol w:w="437"/>
        <w:gridCol w:w="295"/>
      </w:tblGrid>
      <w:tr>
        <w:trPr>
          <w:trHeight w:val="3553" w:hRule="exact"/>
        </w:trPr>
        <w:tc>
          <w:tcPr>
            <w:tcW w:w="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37" w:lineRule="auto" w:before="148"/>
              <w:ind w:left="26" w:right="77"/>
              <w:jc w:val="both"/>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w w:val="100"/>
                <w:sz w:val="21"/>
                <w:szCs w:val="21"/>
              </w:rPr>
              <w:t> </w:t>
            </w:r>
            <w:r>
              <w:rPr>
                <w:rFonts w:ascii="宋体" w:hAnsi="宋体" w:cs="宋体" w:eastAsia="宋体" w:hint="default"/>
                <w:sz w:val="21"/>
                <w:szCs w:val="21"/>
              </w:rPr>
              <w:t>目</w:t>
            </w:r>
            <w:r>
              <w:rPr>
                <w:rFonts w:ascii="宋体" w:hAnsi="宋体" w:cs="宋体" w:eastAsia="宋体" w:hint="default"/>
                <w:w w:val="100"/>
                <w:sz w:val="21"/>
                <w:szCs w:val="21"/>
              </w:rPr>
              <w:t> </w:t>
            </w:r>
            <w:r>
              <w:rPr>
                <w:rFonts w:ascii="宋体" w:hAnsi="宋体" w:cs="宋体" w:eastAsia="宋体" w:hint="default"/>
                <w:sz w:val="21"/>
                <w:szCs w:val="21"/>
              </w:rPr>
              <w:t>名</w:t>
            </w:r>
            <w:r>
              <w:rPr>
                <w:rFonts w:ascii="宋体" w:hAnsi="宋体" w:cs="宋体" w:eastAsia="宋体" w:hint="default"/>
                <w:w w:val="100"/>
                <w:sz w:val="21"/>
                <w:szCs w:val="21"/>
              </w:rPr>
              <w:t> </w:t>
            </w:r>
            <w:r>
              <w:rPr>
                <w:rFonts w:ascii="宋体" w:hAnsi="宋体" w:cs="宋体" w:eastAsia="宋体" w:hint="default"/>
                <w:sz w:val="21"/>
                <w:szCs w:val="21"/>
              </w:rPr>
              <w:t>称</w:t>
            </w:r>
          </w:p>
        </w:tc>
        <w:tc>
          <w:tcPr>
            <w:tcW w:w="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37" w:lineRule="auto"/>
              <w:ind w:left="26" w:right="77"/>
              <w:jc w:val="both"/>
              <w:rPr>
                <w:rFonts w:ascii="宋体" w:hAnsi="宋体" w:cs="宋体" w:eastAsia="宋体" w:hint="default"/>
                <w:sz w:val="21"/>
                <w:szCs w:val="21"/>
              </w:rPr>
            </w:pPr>
            <w:r>
              <w:rPr>
                <w:rFonts w:ascii="宋体" w:hAnsi="宋体" w:cs="宋体" w:eastAsia="宋体" w:hint="default"/>
                <w:sz w:val="21"/>
                <w:szCs w:val="21"/>
              </w:rPr>
              <w:t>预</w:t>
            </w:r>
            <w:r>
              <w:rPr>
                <w:rFonts w:ascii="宋体" w:hAnsi="宋体" w:cs="宋体" w:eastAsia="宋体" w:hint="default"/>
                <w:w w:val="100"/>
                <w:sz w:val="21"/>
                <w:szCs w:val="21"/>
              </w:rPr>
              <w:t> </w:t>
            </w:r>
            <w:r>
              <w:rPr>
                <w:rFonts w:ascii="宋体" w:hAnsi="宋体" w:cs="宋体" w:eastAsia="宋体" w:hint="default"/>
                <w:sz w:val="21"/>
                <w:szCs w:val="21"/>
              </w:rPr>
              <w:t>算</w:t>
            </w:r>
            <w:r>
              <w:rPr>
                <w:rFonts w:ascii="宋体" w:hAnsi="宋体" w:cs="宋体" w:eastAsia="宋体" w:hint="default"/>
                <w:w w:val="100"/>
                <w:sz w:val="21"/>
                <w:szCs w:val="21"/>
              </w:rPr>
              <w:t> </w:t>
            </w:r>
            <w:r>
              <w:rPr>
                <w:rFonts w:ascii="宋体" w:hAnsi="宋体" w:cs="宋体" w:eastAsia="宋体" w:hint="default"/>
                <w:sz w:val="21"/>
                <w:szCs w:val="21"/>
              </w:rPr>
              <w:t>数</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72" w:lineRule="exact"/>
              <w:ind w:left="249" w:right="359"/>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72" w:lineRule="exact"/>
              <w:ind w:left="497" w:right="183" w:hanging="421"/>
              <w:jc w:val="left"/>
              <w:rPr>
                <w:rFonts w:ascii="宋体" w:hAnsi="宋体" w:cs="宋体" w:eastAsia="宋体" w:hint="default"/>
                <w:sz w:val="21"/>
                <w:szCs w:val="21"/>
              </w:rPr>
            </w:pPr>
            <w:r>
              <w:rPr>
                <w:rFonts w:ascii="宋体" w:hAnsi="宋体" w:cs="宋体" w:eastAsia="宋体" w:hint="default"/>
                <w:sz w:val="21"/>
                <w:szCs w:val="21"/>
              </w:rPr>
              <w:t>本期增加金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37" w:lineRule="auto"/>
              <w:ind w:left="127" w:right="197"/>
              <w:jc w:val="center"/>
              <w:rPr>
                <w:rFonts w:ascii="宋体" w:hAnsi="宋体" w:cs="宋体" w:eastAsia="宋体" w:hint="default"/>
                <w:sz w:val="21"/>
                <w:szCs w:val="21"/>
              </w:rPr>
            </w:pPr>
            <w:r>
              <w:rPr>
                <w:rFonts w:ascii="宋体" w:hAnsi="宋体" w:cs="宋体" w:eastAsia="宋体" w:hint="default"/>
                <w:sz w:val="21"/>
                <w:szCs w:val="21"/>
              </w:rPr>
              <w:t>本期转入</w:t>
            </w:r>
            <w:r>
              <w:rPr>
                <w:rFonts w:ascii="宋体" w:hAnsi="宋体" w:cs="宋体" w:eastAsia="宋体" w:hint="default"/>
                <w:w w:val="100"/>
                <w:sz w:val="21"/>
                <w:szCs w:val="21"/>
              </w:rPr>
              <w:t> </w:t>
            </w:r>
            <w:r>
              <w:rPr>
                <w:rFonts w:ascii="宋体" w:hAnsi="宋体" w:cs="宋体" w:eastAsia="宋体" w:hint="default"/>
                <w:sz w:val="21"/>
                <w:szCs w:val="21"/>
              </w:rPr>
              <w:t>固定资产</w:t>
            </w:r>
            <w:r>
              <w:rPr>
                <w:rFonts w:ascii="宋体" w:hAnsi="宋体" w:cs="宋体" w:eastAsia="宋体" w:hint="default"/>
                <w:w w:val="100"/>
                <w:sz w:val="21"/>
                <w:szCs w:val="21"/>
              </w:rPr>
              <w:t> </w:t>
            </w:r>
            <w:r>
              <w:rPr>
                <w:rFonts w:ascii="宋体" w:hAnsi="宋体" w:cs="宋体" w:eastAsia="宋体" w:hint="default"/>
                <w:sz w:val="21"/>
                <w:szCs w:val="21"/>
              </w:rPr>
              <w:t>金额</w:t>
            </w:r>
          </w:p>
        </w:tc>
        <w:tc>
          <w:tcPr>
            <w:tcW w:w="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37" w:lineRule="auto"/>
              <w:ind w:left="26" w:right="48"/>
              <w:jc w:val="both"/>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w w:val="100"/>
                <w:sz w:val="21"/>
                <w:szCs w:val="21"/>
              </w:rPr>
              <w:t> </w:t>
            </w:r>
            <w:r>
              <w:rPr>
                <w:rFonts w:ascii="宋体" w:hAnsi="宋体" w:cs="宋体" w:eastAsia="宋体" w:hint="default"/>
                <w:sz w:val="21"/>
                <w:szCs w:val="21"/>
              </w:rPr>
              <w:t>少</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72" w:lineRule="exact"/>
              <w:ind w:left="343" w:right="338"/>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3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 w:right="0"/>
              <w:jc w:val="both"/>
              <w:rPr>
                <w:rFonts w:ascii="宋体" w:hAnsi="宋体" w:cs="宋体" w:eastAsia="宋体" w:hint="default"/>
                <w:sz w:val="21"/>
                <w:szCs w:val="21"/>
              </w:rPr>
            </w:pPr>
            <w:r>
              <w:rPr>
                <w:rFonts w:ascii="宋体" w:hAnsi="宋体" w:cs="宋体" w:eastAsia="宋体" w:hint="default"/>
                <w:w w:val="100"/>
                <w:sz w:val="21"/>
                <w:szCs w:val="21"/>
              </w:rPr>
              <w:t>工</w:t>
            </w:r>
          </w:p>
          <w:p>
            <w:pPr>
              <w:pStyle w:val="TableParagraph"/>
              <w:spacing w:line="237" w:lineRule="auto" w:before="2"/>
              <w:ind w:left="52" w:right="50"/>
              <w:jc w:val="both"/>
              <w:rPr>
                <w:rFonts w:ascii="宋体" w:hAnsi="宋体" w:cs="宋体" w:eastAsia="宋体" w:hint="default"/>
                <w:sz w:val="21"/>
                <w:szCs w:val="21"/>
              </w:rPr>
            </w:pPr>
            <w:r>
              <w:rPr>
                <w:rFonts w:ascii="宋体" w:hAnsi="宋体" w:cs="宋体" w:eastAsia="宋体" w:hint="default"/>
                <w:sz w:val="21"/>
                <w:szCs w:val="21"/>
              </w:rPr>
              <w:t>程</w:t>
            </w:r>
            <w:r>
              <w:rPr>
                <w:rFonts w:ascii="宋体" w:hAnsi="宋体" w:cs="宋体" w:eastAsia="宋体" w:hint="default"/>
                <w:w w:val="100"/>
                <w:sz w:val="21"/>
                <w:szCs w:val="21"/>
              </w:rPr>
              <w:t> </w:t>
            </w:r>
            <w:r>
              <w:rPr>
                <w:rFonts w:ascii="宋体" w:hAnsi="宋体" w:cs="宋体" w:eastAsia="宋体" w:hint="default"/>
                <w:sz w:val="21"/>
                <w:szCs w:val="21"/>
              </w:rPr>
              <w:t>累</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投</w:t>
            </w:r>
            <w:r>
              <w:rPr>
                <w:rFonts w:ascii="宋体" w:hAnsi="宋体" w:cs="宋体" w:eastAsia="宋体" w:hint="default"/>
                <w:w w:val="100"/>
                <w:sz w:val="21"/>
                <w:szCs w:val="21"/>
              </w:rPr>
              <w:t> </w:t>
            </w:r>
            <w:r>
              <w:rPr>
                <w:rFonts w:ascii="宋体" w:hAnsi="宋体" w:cs="宋体" w:eastAsia="宋体" w:hint="default"/>
                <w:sz w:val="21"/>
                <w:szCs w:val="21"/>
              </w:rPr>
              <w:t>入</w:t>
            </w:r>
            <w:r>
              <w:rPr>
                <w:rFonts w:ascii="宋体" w:hAnsi="宋体" w:cs="宋体" w:eastAsia="宋体" w:hint="default"/>
                <w:w w:val="100"/>
                <w:sz w:val="21"/>
                <w:szCs w:val="21"/>
              </w:rPr>
              <w:t> </w:t>
            </w:r>
            <w:r>
              <w:rPr>
                <w:rFonts w:ascii="宋体" w:hAnsi="宋体" w:cs="宋体" w:eastAsia="宋体" w:hint="default"/>
                <w:sz w:val="21"/>
                <w:szCs w:val="21"/>
              </w:rPr>
              <w:t>占</w:t>
            </w:r>
            <w:r>
              <w:rPr>
                <w:rFonts w:ascii="宋体" w:hAnsi="宋体" w:cs="宋体" w:eastAsia="宋体" w:hint="default"/>
                <w:w w:val="100"/>
                <w:sz w:val="21"/>
                <w:szCs w:val="21"/>
              </w:rPr>
              <w:t> </w:t>
            </w:r>
            <w:r>
              <w:rPr>
                <w:rFonts w:ascii="宋体" w:hAnsi="宋体" w:cs="宋体" w:eastAsia="宋体" w:hint="default"/>
                <w:sz w:val="21"/>
                <w:szCs w:val="21"/>
              </w:rPr>
              <w:t>预</w:t>
            </w:r>
            <w:r>
              <w:rPr>
                <w:rFonts w:ascii="宋体" w:hAnsi="宋体" w:cs="宋体" w:eastAsia="宋体" w:hint="default"/>
                <w:w w:val="100"/>
                <w:sz w:val="21"/>
                <w:szCs w:val="21"/>
              </w:rPr>
              <w:t> </w:t>
            </w:r>
            <w:r>
              <w:rPr>
                <w:rFonts w:ascii="宋体" w:hAnsi="宋体" w:cs="宋体" w:eastAsia="宋体" w:hint="default"/>
                <w:sz w:val="21"/>
                <w:szCs w:val="21"/>
              </w:rPr>
              <w:t>算</w:t>
            </w:r>
            <w:r>
              <w:rPr>
                <w:rFonts w:ascii="宋体" w:hAnsi="宋体" w:cs="宋体" w:eastAsia="宋体" w:hint="default"/>
                <w:w w:val="100"/>
                <w:sz w:val="21"/>
                <w:szCs w:val="21"/>
              </w:rPr>
              <w:t> </w:t>
            </w:r>
            <w:r>
              <w:rPr>
                <w:rFonts w:ascii="宋体" w:hAnsi="宋体" w:cs="宋体" w:eastAsia="宋体" w:hint="default"/>
                <w:sz w:val="21"/>
                <w:szCs w:val="21"/>
              </w:rPr>
              <w:t>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宋体" w:hAnsi="宋体" w:cs="宋体" w:eastAsia="宋体" w:hint="default"/>
                <w:sz w:val="21"/>
                <w:szCs w:val="21"/>
              </w:rPr>
              <w:t>(%</w:t>
            </w:r>
          </w:p>
          <w:p>
            <w:pPr>
              <w:pStyle w:val="TableParagraph"/>
              <w:spacing w:line="271" w:lineRule="exact"/>
              <w:ind w:left="105" w:right="0"/>
              <w:jc w:val="both"/>
              <w:rPr>
                <w:rFonts w:ascii="宋体" w:hAnsi="宋体" w:cs="宋体" w:eastAsia="宋体" w:hint="default"/>
                <w:sz w:val="21"/>
                <w:szCs w:val="21"/>
              </w:rPr>
            </w:pPr>
            <w:r>
              <w:rPr>
                <w:rFonts w:ascii="宋体"/>
                <w:w w:val="100"/>
                <w:sz w:val="21"/>
              </w:rPr>
              <w:t>)</w:t>
            </w:r>
          </w:p>
        </w:tc>
        <w:tc>
          <w:tcPr>
            <w:tcW w:w="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37" w:lineRule="auto" w:before="148"/>
              <w:ind w:left="36" w:right="36"/>
              <w:jc w:val="both"/>
              <w:rPr>
                <w:rFonts w:ascii="宋体" w:hAnsi="宋体" w:cs="宋体" w:eastAsia="宋体" w:hint="default"/>
                <w:sz w:val="21"/>
                <w:szCs w:val="21"/>
              </w:rPr>
            </w:pPr>
            <w:r>
              <w:rPr>
                <w:rFonts w:ascii="宋体" w:hAnsi="宋体" w:cs="宋体" w:eastAsia="宋体" w:hint="default"/>
                <w:sz w:val="21"/>
                <w:szCs w:val="21"/>
              </w:rPr>
              <w:t>工</w:t>
            </w:r>
            <w:r>
              <w:rPr>
                <w:rFonts w:ascii="宋体" w:hAnsi="宋体" w:cs="宋体" w:eastAsia="宋体" w:hint="default"/>
                <w:w w:val="100"/>
                <w:sz w:val="21"/>
                <w:szCs w:val="21"/>
              </w:rPr>
              <w:t> </w:t>
            </w:r>
            <w:r>
              <w:rPr>
                <w:rFonts w:ascii="宋体" w:hAnsi="宋体" w:cs="宋体" w:eastAsia="宋体" w:hint="default"/>
                <w:sz w:val="21"/>
                <w:szCs w:val="21"/>
              </w:rPr>
              <w:t>程</w:t>
            </w:r>
            <w:r>
              <w:rPr>
                <w:rFonts w:ascii="宋体" w:hAnsi="宋体" w:cs="宋体" w:eastAsia="宋体" w:hint="default"/>
                <w:w w:val="100"/>
                <w:sz w:val="21"/>
                <w:szCs w:val="21"/>
              </w:rPr>
              <w:t> </w:t>
            </w:r>
            <w:r>
              <w:rPr>
                <w:rFonts w:ascii="宋体" w:hAnsi="宋体" w:cs="宋体" w:eastAsia="宋体" w:hint="default"/>
                <w:sz w:val="21"/>
                <w:szCs w:val="21"/>
              </w:rPr>
              <w:t>进</w:t>
            </w:r>
            <w:r>
              <w:rPr>
                <w:rFonts w:ascii="宋体" w:hAnsi="宋体" w:cs="宋体" w:eastAsia="宋体" w:hint="default"/>
                <w:w w:val="100"/>
                <w:sz w:val="21"/>
                <w:szCs w:val="21"/>
              </w:rPr>
              <w:t> </w:t>
            </w:r>
            <w:r>
              <w:rPr>
                <w:rFonts w:ascii="宋体" w:hAnsi="宋体" w:cs="宋体" w:eastAsia="宋体" w:hint="default"/>
                <w:sz w:val="21"/>
                <w:szCs w:val="21"/>
              </w:rPr>
              <w:t>度</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37" w:lineRule="auto"/>
              <w:ind w:left="55" w:right="56"/>
              <w:jc w:val="center"/>
              <w:rPr>
                <w:rFonts w:ascii="宋体" w:hAnsi="宋体" w:cs="宋体" w:eastAsia="宋体" w:hint="default"/>
                <w:sz w:val="21"/>
                <w:szCs w:val="21"/>
              </w:rPr>
            </w:pPr>
            <w:r>
              <w:rPr>
                <w:rFonts w:ascii="宋体" w:hAnsi="宋体" w:cs="宋体" w:eastAsia="宋体" w:hint="default"/>
                <w:sz w:val="21"/>
                <w:szCs w:val="21"/>
              </w:rPr>
              <w:t>利息资本</w:t>
            </w:r>
            <w:r>
              <w:rPr>
                <w:rFonts w:ascii="宋体" w:hAnsi="宋体" w:cs="宋体" w:eastAsia="宋体" w:hint="default"/>
                <w:w w:val="100"/>
                <w:sz w:val="21"/>
                <w:szCs w:val="21"/>
              </w:rPr>
              <w:t> </w:t>
            </w:r>
            <w:r>
              <w:rPr>
                <w:rFonts w:ascii="宋体" w:hAnsi="宋体" w:cs="宋体" w:eastAsia="宋体" w:hint="default"/>
                <w:sz w:val="21"/>
                <w:szCs w:val="21"/>
              </w:rPr>
              <w:t>化累计金</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37" w:lineRule="auto"/>
              <w:ind w:left="57" w:right="53"/>
              <w:jc w:val="both"/>
              <w:rPr>
                <w:rFonts w:ascii="宋体" w:hAnsi="宋体" w:cs="宋体" w:eastAsia="宋体" w:hint="default"/>
                <w:sz w:val="21"/>
                <w:szCs w:val="21"/>
              </w:rPr>
            </w:pPr>
            <w:r>
              <w:rPr>
                <w:rFonts w:ascii="宋体" w:hAnsi="宋体" w:cs="宋体" w:eastAsia="宋体" w:hint="default"/>
                <w:sz w:val="21"/>
                <w:szCs w:val="21"/>
              </w:rPr>
              <w:t>其中：本</w:t>
            </w:r>
            <w:r>
              <w:rPr>
                <w:rFonts w:ascii="宋体" w:hAnsi="宋体" w:cs="宋体" w:eastAsia="宋体" w:hint="default"/>
                <w:w w:val="100"/>
                <w:sz w:val="21"/>
                <w:szCs w:val="21"/>
              </w:rPr>
              <w:t> </w:t>
            </w:r>
            <w:r>
              <w:rPr>
                <w:rFonts w:ascii="宋体" w:hAnsi="宋体" w:cs="宋体" w:eastAsia="宋体" w:hint="default"/>
                <w:sz w:val="21"/>
                <w:szCs w:val="21"/>
              </w:rPr>
              <w:t>期利息资</w:t>
            </w:r>
            <w:r>
              <w:rPr>
                <w:rFonts w:ascii="宋体" w:hAnsi="宋体" w:cs="宋体" w:eastAsia="宋体" w:hint="default"/>
                <w:w w:val="100"/>
                <w:sz w:val="21"/>
                <w:szCs w:val="21"/>
              </w:rPr>
              <w:t> </w:t>
            </w:r>
            <w:r>
              <w:rPr>
                <w:rFonts w:ascii="宋体" w:hAnsi="宋体" w:cs="宋体" w:eastAsia="宋体" w:hint="default"/>
                <w:sz w:val="21"/>
                <w:szCs w:val="21"/>
              </w:rPr>
              <w:t>本化金额</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37" w:lineRule="auto"/>
              <w:ind w:left="57" w:right="50" w:firstLine="50"/>
              <w:jc w:val="both"/>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利</w:t>
            </w:r>
            <w:r>
              <w:rPr>
                <w:rFonts w:ascii="宋体" w:hAnsi="宋体" w:cs="宋体" w:eastAsia="宋体" w:hint="default"/>
                <w:w w:val="100"/>
                <w:sz w:val="21"/>
                <w:szCs w:val="21"/>
              </w:rPr>
              <w:t> </w:t>
            </w:r>
            <w:r>
              <w:rPr>
                <w:rFonts w:ascii="宋体" w:hAnsi="宋体" w:cs="宋体" w:eastAsia="宋体" w:hint="default"/>
                <w:sz w:val="21"/>
                <w:szCs w:val="21"/>
              </w:rPr>
              <w:t>息</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化</w:t>
            </w:r>
            <w:r>
              <w:rPr>
                <w:rFonts w:ascii="宋体" w:hAnsi="宋体" w:cs="宋体" w:eastAsia="宋体" w:hint="default"/>
                <w:w w:val="100"/>
                <w:sz w:val="21"/>
                <w:szCs w:val="21"/>
              </w:rPr>
              <w:t> </w:t>
            </w:r>
            <w:r>
              <w:rPr>
                <w:rFonts w:ascii="宋体" w:hAnsi="宋体" w:cs="宋体" w:eastAsia="宋体" w:hint="default"/>
                <w:sz w:val="21"/>
                <w:szCs w:val="21"/>
              </w:rPr>
              <w:t>率</w:t>
            </w:r>
            <w:r>
              <w:rPr>
                <w:rFonts w:ascii="宋体" w:hAnsi="宋体" w:cs="宋体" w:eastAsia="宋体" w:hint="default"/>
                <w:w w:val="100"/>
                <w:sz w:val="21"/>
                <w:szCs w:val="21"/>
              </w:rPr>
              <w:t> </w:t>
            </w:r>
            <w:r>
              <w:rPr>
                <w:rFonts w:ascii="宋体" w:hAnsi="宋体" w:cs="宋体" w:eastAsia="宋体" w:hint="default"/>
                <w:sz w:val="21"/>
                <w:szCs w:val="21"/>
              </w:rPr>
              <w:t>(%)</w:t>
            </w:r>
          </w:p>
        </w:tc>
        <w:tc>
          <w:tcPr>
            <w:tcW w:w="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37" w:lineRule="auto" w:before="148"/>
              <w:ind w:left="35" w:right="36"/>
              <w:jc w:val="both"/>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来</w:t>
            </w:r>
            <w:r>
              <w:rPr>
                <w:rFonts w:ascii="宋体" w:hAnsi="宋体" w:cs="宋体" w:eastAsia="宋体" w:hint="default"/>
                <w:w w:val="100"/>
                <w:sz w:val="21"/>
                <w:szCs w:val="21"/>
              </w:rPr>
              <w:t> </w:t>
            </w:r>
            <w:r>
              <w:rPr>
                <w:rFonts w:ascii="宋体" w:hAnsi="宋体" w:cs="宋体" w:eastAsia="宋体" w:hint="default"/>
                <w:sz w:val="21"/>
                <w:szCs w:val="21"/>
              </w:rPr>
              <w:t>源</w:t>
            </w:r>
          </w:p>
        </w:tc>
      </w:tr>
      <w:tr>
        <w:trPr>
          <w:trHeight w:val="943" w:hRule="exact"/>
        </w:trPr>
        <w:tc>
          <w:tcPr>
            <w:tcW w:w="32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both"/>
              <w:rPr>
                <w:rFonts w:ascii="宋体" w:hAnsi="宋体" w:cs="宋体" w:eastAsia="宋体" w:hint="default"/>
                <w:sz w:val="18"/>
                <w:szCs w:val="18"/>
              </w:rPr>
            </w:pPr>
            <w:r>
              <w:rPr>
                <w:rFonts w:ascii="宋体" w:hAnsi="宋体" w:cs="宋体" w:eastAsia="宋体" w:hint="default"/>
                <w:sz w:val="18"/>
                <w:szCs w:val="18"/>
              </w:rPr>
              <w:t>在</w:t>
            </w:r>
          </w:p>
          <w:p>
            <w:pPr>
              <w:pStyle w:val="TableParagraph"/>
              <w:spacing w:line="237" w:lineRule="auto"/>
              <w:ind w:left="26" w:right="108"/>
              <w:jc w:val="both"/>
              <w:rPr>
                <w:rFonts w:ascii="宋体" w:hAnsi="宋体" w:cs="宋体" w:eastAsia="宋体" w:hint="default"/>
                <w:sz w:val="18"/>
                <w:szCs w:val="18"/>
              </w:rPr>
            </w:pPr>
            <w:r>
              <w:rPr>
                <w:rFonts w:ascii="宋体" w:hAnsi="宋体" w:cs="宋体" w:eastAsia="宋体" w:hint="default"/>
                <w:sz w:val="18"/>
                <w:szCs w:val="18"/>
              </w:rPr>
              <w:t>建 船 舶</w:t>
            </w:r>
          </w:p>
        </w:tc>
        <w:tc>
          <w:tcPr>
            <w:tcW w:w="326"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6"/>
              <w:jc w:val="right"/>
              <w:rPr>
                <w:rFonts w:ascii="宋体" w:hAnsi="宋体" w:cs="宋体" w:eastAsia="宋体" w:hint="default"/>
                <w:sz w:val="18"/>
                <w:szCs w:val="18"/>
              </w:rPr>
            </w:pPr>
            <w:r>
              <w:rPr>
                <w:rFonts w:ascii="宋体"/>
                <w:spacing w:val="-1"/>
                <w:sz w:val="18"/>
              </w:rPr>
              <w:t>52,554,191</w:t>
            </w:r>
          </w:p>
          <w:p>
            <w:pPr>
              <w:pStyle w:val="TableParagraph"/>
              <w:spacing w:line="234" w:lineRule="exact"/>
              <w:ind w:right="24"/>
              <w:jc w:val="right"/>
              <w:rPr>
                <w:rFonts w:ascii="宋体" w:hAnsi="宋体" w:cs="宋体" w:eastAsia="宋体" w:hint="default"/>
                <w:sz w:val="18"/>
                <w:szCs w:val="18"/>
              </w:rPr>
            </w:pPr>
            <w:r>
              <w:rPr>
                <w:rFonts w:ascii="宋体"/>
                <w:sz w:val="18"/>
              </w:rPr>
              <w:t>.84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6"/>
              <w:jc w:val="right"/>
              <w:rPr>
                <w:rFonts w:ascii="宋体" w:hAnsi="宋体" w:cs="宋体" w:eastAsia="宋体" w:hint="default"/>
                <w:sz w:val="18"/>
                <w:szCs w:val="18"/>
              </w:rPr>
            </w:pPr>
            <w:r>
              <w:rPr>
                <w:rFonts w:ascii="宋体"/>
                <w:spacing w:val="-1"/>
                <w:sz w:val="18"/>
              </w:rPr>
              <w:t>1,304,864,889</w:t>
            </w:r>
          </w:p>
          <w:p>
            <w:pPr>
              <w:pStyle w:val="TableParagraph"/>
              <w:spacing w:line="234" w:lineRule="exact"/>
              <w:ind w:right="95"/>
              <w:jc w:val="right"/>
              <w:rPr>
                <w:rFonts w:ascii="宋体" w:hAnsi="宋体" w:cs="宋体" w:eastAsia="宋体" w:hint="default"/>
                <w:sz w:val="18"/>
                <w:szCs w:val="18"/>
              </w:rPr>
            </w:pPr>
            <w:r>
              <w:rPr>
                <w:rFonts w:ascii="宋体"/>
                <w:sz w:val="18"/>
              </w:rPr>
              <w:t>.36</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8"/>
              <w:jc w:val="right"/>
              <w:rPr>
                <w:rFonts w:ascii="宋体" w:hAnsi="宋体" w:cs="宋体" w:eastAsia="宋体" w:hint="default"/>
                <w:sz w:val="18"/>
                <w:szCs w:val="18"/>
              </w:rPr>
            </w:pPr>
            <w:r>
              <w:rPr>
                <w:rFonts w:ascii="宋体"/>
                <w:spacing w:val="-1"/>
                <w:sz w:val="18"/>
              </w:rPr>
              <w:t>879,383,537</w:t>
            </w:r>
          </w:p>
          <w:p>
            <w:pPr>
              <w:pStyle w:val="TableParagraph"/>
              <w:spacing w:line="234" w:lineRule="exact"/>
              <w:ind w:right="96"/>
              <w:jc w:val="right"/>
              <w:rPr>
                <w:rFonts w:ascii="宋体" w:hAnsi="宋体" w:cs="宋体" w:eastAsia="宋体" w:hint="default"/>
                <w:sz w:val="18"/>
                <w:szCs w:val="18"/>
              </w:rPr>
            </w:pPr>
            <w:r>
              <w:rPr>
                <w:rFonts w:ascii="宋体"/>
                <w:sz w:val="18"/>
              </w:rPr>
              <w:t>.07</w:t>
            </w:r>
          </w:p>
        </w:tc>
        <w:tc>
          <w:tcPr>
            <w:tcW w:w="29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4"/>
              <w:jc w:val="right"/>
              <w:rPr>
                <w:rFonts w:ascii="宋体" w:hAnsi="宋体" w:cs="宋体" w:eastAsia="宋体" w:hint="default"/>
                <w:sz w:val="18"/>
                <w:szCs w:val="18"/>
              </w:rPr>
            </w:pPr>
            <w:r>
              <w:rPr>
                <w:rFonts w:ascii="宋体"/>
                <w:spacing w:val="-1"/>
                <w:sz w:val="18"/>
              </w:rPr>
              <w:t>478,035,544</w:t>
            </w:r>
          </w:p>
          <w:p>
            <w:pPr>
              <w:pStyle w:val="TableParagraph"/>
              <w:spacing w:line="234" w:lineRule="exact"/>
              <w:ind w:right="23"/>
              <w:jc w:val="right"/>
              <w:rPr>
                <w:rFonts w:ascii="宋体" w:hAnsi="宋体" w:cs="宋体" w:eastAsia="宋体" w:hint="default"/>
                <w:sz w:val="18"/>
                <w:szCs w:val="18"/>
              </w:rPr>
            </w:pPr>
            <w:r>
              <w:rPr>
                <w:rFonts w:ascii="宋体"/>
                <w:sz w:val="18"/>
              </w:rPr>
              <w:t>.13</w:t>
            </w:r>
          </w:p>
        </w:tc>
        <w:tc>
          <w:tcPr>
            <w:tcW w:w="326" w:type="dxa"/>
            <w:tcBorders>
              <w:top w:val="single" w:sz="4" w:space="0" w:color="000000"/>
              <w:left w:val="single" w:sz="4" w:space="0" w:color="000000"/>
              <w:bottom w:val="single" w:sz="4" w:space="0" w:color="000000"/>
              <w:right w:val="single" w:sz="4" w:space="0" w:color="000000"/>
            </w:tcBorders>
          </w:tcPr>
          <w:p>
            <w:pPr/>
          </w:p>
        </w:tc>
        <w:tc>
          <w:tcPr>
            <w:tcW w:w="295"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7"/>
              <w:jc w:val="right"/>
              <w:rPr>
                <w:rFonts w:ascii="宋体" w:hAnsi="宋体" w:cs="宋体" w:eastAsia="宋体" w:hint="default"/>
                <w:sz w:val="18"/>
                <w:szCs w:val="18"/>
              </w:rPr>
            </w:pPr>
            <w:r>
              <w:rPr>
                <w:rFonts w:ascii="宋体"/>
                <w:spacing w:val="-1"/>
                <w:sz w:val="18"/>
              </w:rPr>
              <w:t>5,260,770.</w:t>
            </w:r>
          </w:p>
          <w:p>
            <w:pPr>
              <w:pStyle w:val="TableParagraph"/>
              <w:spacing w:line="234" w:lineRule="exact"/>
              <w:ind w:right="26"/>
              <w:jc w:val="right"/>
              <w:rPr>
                <w:rFonts w:ascii="宋体" w:hAnsi="宋体" w:cs="宋体" w:eastAsia="宋体" w:hint="default"/>
                <w:sz w:val="18"/>
                <w:szCs w:val="18"/>
              </w:rPr>
            </w:pPr>
            <w:r>
              <w:rPr>
                <w:rFonts w:ascii="宋体"/>
                <w:sz w:val="18"/>
              </w:rPr>
              <w:t>55</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4"/>
              <w:jc w:val="right"/>
              <w:rPr>
                <w:rFonts w:ascii="宋体" w:hAnsi="宋体" w:cs="宋体" w:eastAsia="宋体" w:hint="default"/>
                <w:sz w:val="18"/>
                <w:szCs w:val="18"/>
              </w:rPr>
            </w:pPr>
            <w:r>
              <w:rPr>
                <w:rFonts w:ascii="宋体"/>
                <w:spacing w:val="-1"/>
                <w:sz w:val="18"/>
              </w:rPr>
              <w:t>4,226,578.</w:t>
            </w:r>
          </w:p>
          <w:p>
            <w:pPr>
              <w:pStyle w:val="TableParagraph"/>
              <w:spacing w:line="234" w:lineRule="exact"/>
              <w:ind w:right="23"/>
              <w:jc w:val="right"/>
              <w:rPr>
                <w:rFonts w:ascii="宋体" w:hAnsi="宋体" w:cs="宋体" w:eastAsia="宋体" w:hint="default"/>
                <w:sz w:val="18"/>
                <w:szCs w:val="18"/>
              </w:rPr>
            </w:pPr>
            <w:r>
              <w:rPr>
                <w:rFonts w:ascii="宋体"/>
                <w:sz w:val="18"/>
              </w:rPr>
              <w:t>71</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1"/>
              <w:jc w:val="right"/>
              <w:rPr>
                <w:rFonts w:ascii="宋体" w:hAnsi="宋体" w:cs="宋体" w:eastAsia="宋体" w:hint="default"/>
                <w:sz w:val="18"/>
                <w:szCs w:val="18"/>
              </w:rPr>
            </w:pPr>
            <w:r>
              <w:rPr>
                <w:rFonts w:ascii="宋体"/>
                <w:sz w:val="18"/>
              </w:rPr>
              <w:t>11.0</w:t>
            </w:r>
          </w:p>
          <w:p>
            <w:pPr>
              <w:pStyle w:val="TableParagraph"/>
              <w:spacing w:line="234" w:lineRule="exact"/>
              <w:ind w:right="23"/>
              <w:jc w:val="right"/>
              <w:rPr>
                <w:rFonts w:ascii="宋体" w:hAnsi="宋体" w:cs="宋体" w:eastAsia="宋体" w:hint="default"/>
                <w:sz w:val="18"/>
                <w:szCs w:val="18"/>
              </w:rPr>
            </w:pPr>
            <w:r>
              <w:rPr>
                <w:rFonts w:ascii="宋体"/>
                <w:sz w:val="18"/>
              </w:rPr>
              <w:t>0</w:t>
            </w:r>
          </w:p>
        </w:tc>
        <w:tc>
          <w:tcPr>
            <w:tcW w:w="29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自</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筹</w:t>
            </w:r>
          </w:p>
        </w:tc>
      </w:tr>
      <w:tr>
        <w:trPr>
          <w:trHeight w:val="943" w:hRule="exact"/>
        </w:trPr>
        <w:tc>
          <w:tcPr>
            <w:tcW w:w="32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both"/>
              <w:rPr>
                <w:rFonts w:ascii="宋体" w:hAnsi="宋体" w:cs="宋体" w:eastAsia="宋体" w:hint="default"/>
                <w:sz w:val="18"/>
                <w:szCs w:val="18"/>
              </w:rPr>
            </w:pPr>
            <w:r>
              <w:rPr>
                <w:rFonts w:ascii="宋体" w:hAnsi="宋体" w:cs="宋体" w:eastAsia="宋体" w:hint="default"/>
                <w:sz w:val="18"/>
                <w:szCs w:val="18"/>
              </w:rPr>
              <w:t>厂</w:t>
            </w:r>
          </w:p>
          <w:p>
            <w:pPr>
              <w:pStyle w:val="TableParagraph"/>
              <w:spacing w:line="237" w:lineRule="auto"/>
              <w:ind w:left="26" w:right="108"/>
              <w:jc w:val="both"/>
              <w:rPr>
                <w:rFonts w:ascii="宋体" w:hAnsi="宋体" w:cs="宋体" w:eastAsia="宋体" w:hint="default"/>
                <w:sz w:val="18"/>
                <w:szCs w:val="18"/>
              </w:rPr>
            </w:pPr>
            <w:r>
              <w:rPr>
                <w:rFonts w:ascii="宋体" w:hAnsi="宋体" w:cs="宋体" w:eastAsia="宋体" w:hint="default"/>
                <w:sz w:val="18"/>
                <w:szCs w:val="18"/>
              </w:rPr>
              <w:t>房 建 设</w:t>
            </w:r>
          </w:p>
        </w:tc>
        <w:tc>
          <w:tcPr>
            <w:tcW w:w="326"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6" w:right="0"/>
              <w:jc w:val="left"/>
              <w:rPr>
                <w:rFonts w:ascii="宋体" w:hAnsi="宋体" w:cs="宋体" w:eastAsia="宋体" w:hint="default"/>
                <w:sz w:val="18"/>
                <w:szCs w:val="18"/>
              </w:rPr>
            </w:pPr>
            <w:r>
              <w:rPr>
                <w:rFonts w:ascii="宋体"/>
                <w:sz w:val="18"/>
              </w:rPr>
              <w:t>5,752,468.70</w:t>
            </w:r>
          </w:p>
        </w:tc>
        <w:tc>
          <w:tcPr>
            <w:tcW w:w="1178" w:type="dxa"/>
            <w:tcBorders>
              <w:top w:val="single" w:sz="4" w:space="0" w:color="000000"/>
              <w:left w:val="single" w:sz="4" w:space="0" w:color="000000"/>
              <w:bottom w:val="single" w:sz="4" w:space="0" w:color="000000"/>
              <w:right w:val="single" w:sz="4" w:space="0" w:color="000000"/>
            </w:tcBorders>
          </w:tcPr>
          <w:p>
            <w:pPr/>
          </w:p>
        </w:tc>
        <w:tc>
          <w:tcPr>
            <w:tcW w:w="29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4"/>
              <w:jc w:val="right"/>
              <w:rPr>
                <w:rFonts w:ascii="宋体" w:hAnsi="宋体" w:cs="宋体" w:eastAsia="宋体" w:hint="default"/>
                <w:sz w:val="18"/>
                <w:szCs w:val="18"/>
              </w:rPr>
            </w:pPr>
            <w:r>
              <w:rPr>
                <w:rFonts w:ascii="宋体"/>
                <w:spacing w:val="-1"/>
                <w:sz w:val="18"/>
              </w:rPr>
              <w:t>5,752,468.7</w:t>
            </w:r>
          </w:p>
          <w:p>
            <w:pPr>
              <w:pStyle w:val="TableParagraph"/>
              <w:spacing w:line="234" w:lineRule="exact"/>
              <w:ind w:right="25"/>
              <w:jc w:val="right"/>
              <w:rPr>
                <w:rFonts w:ascii="宋体" w:hAnsi="宋体" w:cs="宋体" w:eastAsia="宋体" w:hint="default"/>
                <w:sz w:val="18"/>
                <w:szCs w:val="18"/>
              </w:rPr>
            </w:pPr>
            <w:r>
              <w:rPr>
                <w:rFonts w:ascii="宋体"/>
                <w:sz w:val="18"/>
              </w:rPr>
              <w:t>0</w:t>
            </w:r>
          </w:p>
        </w:tc>
        <w:tc>
          <w:tcPr>
            <w:tcW w:w="326" w:type="dxa"/>
            <w:tcBorders>
              <w:top w:val="single" w:sz="4" w:space="0" w:color="000000"/>
              <w:left w:val="single" w:sz="4" w:space="0" w:color="000000"/>
              <w:bottom w:val="single" w:sz="4" w:space="0" w:color="000000"/>
              <w:right w:val="single" w:sz="4" w:space="0" w:color="000000"/>
            </w:tcBorders>
          </w:tcPr>
          <w:p>
            <w:pPr/>
          </w:p>
        </w:tc>
        <w:tc>
          <w:tcPr>
            <w:tcW w:w="295"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29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自</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筹</w:t>
            </w:r>
          </w:p>
        </w:tc>
      </w:tr>
      <w:tr>
        <w:trPr>
          <w:trHeight w:val="478" w:hRule="exact"/>
        </w:trPr>
        <w:tc>
          <w:tcPr>
            <w:tcW w:w="32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合</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计</w:t>
            </w:r>
          </w:p>
        </w:tc>
        <w:tc>
          <w:tcPr>
            <w:tcW w:w="326"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6"/>
              <w:jc w:val="right"/>
              <w:rPr>
                <w:rFonts w:ascii="宋体" w:hAnsi="宋体" w:cs="宋体" w:eastAsia="宋体" w:hint="default"/>
                <w:sz w:val="18"/>
                <w:szCs w:val="18"/>
              </w:rPr>
            </w:pPr>
            <w:r>
              <w:rPr>
                <w:rFonts w:ascii="宋体"/>
                <w:spacing w:val="-1"/>
                <w:sz w:val="18"/>
              </w:rPr>
              <w:t>52,554,191</w:t>
            </w:r>
          </w:p>
          <w:p>
            <w:pPr>
              <w:pStyle w:val="TableParagraph"/>
              <w:spacing w:line="234" w:lineRule="exact"/>
              <w:ind w:right="24"/>
              <w:jc w:val="right"/>
              <w:rPr>
                <w:rFonts w:ascii="宋体" w:hAnsi="宋体" w:cs="宋体" w:eastAsia="宋体" w:hint="default"/>
                <w:sz w:val="18"/>
                <w:szCs w:val="18"/>
              </w:rPr>
            </w:pPr>
            <w:r>
              <w:rPr>
                <w:rFonts w:ascii="宋体"/>
                <w:sz w:val="18"/>
              </w:rPr>
              <w:t>.84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6"/>
              <w:jc w:val="right"/>
              <w:rPr>
                <w:rFonts w:ascii="宋体" w:hAnsi="宋体" w:cs="宋体" w:eastAsia="宋体" w:hint="default"/>
                <w:sz w:val="18"/>
                <w:szCs w:val="18"/>
              </w:rPr>
            </w:pPr>
            <w:r>
              <w:rPr>
                <w:rFonts w:ascii="宋体"/>
                <w:spacing w:val="-1"/>
                <w:sz w:val="18"/>
              </w:rPr>
              <w:t>1,310,617,358</w:t>
            </w:r>
          </w:p>
          <w:p>
            <w:pPr>
              <w:pStyle w:val="TableParagraph"/>
              <w:spacing w:line="234" w:lineRule="exact"/>
              <w:ind w:right="95"/>
              <w:jc w:val="right"/>
              <w:rPr>
                <w:rFonts w:ascii="宋体" w:hAnsi="宋体" w:cs="宋体" w:eastAsia="宋体" w:hint="default"/>
                <w:sz w:val="18"/>
                <w:szCs w:val="18"/>
              </w:rPr>
            </w:pPr>
            <w:r>
              <w:rPr>
                <w:rFonts w:ascii="宋体"/>
                <w:sz w:val="18"/>
              </w:rPr>
              <w:t>.06</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8"/>
              <w:jc w:val="right"/>
              <w:rPr>
                <w:rFonts w:ascii="宋体" w:hAnsi="宋体" w:cs="宋体" w:eastAsia="宋体" w:hint="default"/>
                <w:sz w:val="18"/>
                <w:szCs w:val="18"/>
              </w:rPr>
            </w:pPr>
            <w:r>
              <w:rPr>
                <w:rFonts w:ascii="宋体"/>
                <w:spacing w:val="-1"/>
                <w:sz w:val="18"/>
              </w:rPr>
              <w:t>879,383,537</w:t>
            </w:r>
          </w:p>
          <w:p>
            <w:pPr>
              <w:pStyle w:val="TableParagraph"/>
              <w:spacing w:line="234" w:lineRule="exact"/>
              <w:ind w:right="96"/>
              <w:jc w:val="right"/>
              <w:rPr>
                <w:rFonts w:ascii="宋体" w:hAnsi="宋体" w:cs="宋体" w:eastAsia="宋体" w:hint="default"/>
                <w:sz w:val="18"/>
                <w:szCs w:val="18"/>
              </w:rPr>
            </w:pPr>
            <w:r>
              <w:rPr>
                <w:rFonts w:ascii="宋体"/>
                <w:sz w:val="18"/>
              </w:rPr>
              <w:t>.07</w:t>
            </w:r>
          </w:p>
        </w:tc>
        <w:tc>
          <w:tcPr>
            <w:tcW w:w="29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4"/>
              <w:jc w:val="right"/>
              <w:rPr>
                <w:rFonts w:ascii="宋体" w:hAnsi="宋体" w:cs="宋体" w:eastAsia="宋体" w:hint="default"/>
                <w:sz w:val="18"/>
                <w:szCs w:val="18"/>
              </w:rPr>
            </w:pPr>
            <w:r>
              <w:rPr>
                <w:rFonts w:ascii="宋体"/>
                <w:spacing w:val="-1"/>
                <w:sz w:val="18"/>
              </w:rPr>
              <w:t>483,788,012</w:t>
            </w:r>
          </w:p>
          <w:p>
            <w:pPr>
              <w:pStyle w:val="TableParagraph"/>
              <w:spacing w:line="234" w:lineRule="exact"/>
              <w:ind w:right="23"/>
              <w:jc w:val="right"/>
              <w:rPr>
                <w:rFonts w:ascii="宋体" w:hAnsi="宋体" w:cs="宋体" w:eastAsia="宋体" w:hint="default"/>
                <w:sz w:val="18"/>
                <w:szCs w:val="18"/>
              </w:rPr>
            </w:pPr>
            <w:r>
              <w:rPr>
                <w:rFonts w:ascii="宋体"/>
                <w:sz w:val="18"/>
              </w:rPr>
              <w:t>.83</w:t>
            </w:r>
          </w:p>
        </w:tc>
        <w:tc>
          <w:tcPr>
            <w:tcW w:w="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w:t>
            </w:r>
          </w:p>
        </w:tc>
        <w:tc>
          <w:tcPr>
            <w:tcW w:w="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7"/>
              <w:jc w:val="right"/>
              <w:rPr>
                <w:rFonts w:ascii="宋体" w:hAnsi="宋体" w:cs="宋体" w:eastAsia="宋体" w:hint="default"/>
                <w:sz w:val="18"/>
                <w:szCs w:val="18"/>
              </w:rPr>
            </w:pPr>
            <w:r>
              <w:rPr>
                <w:rFonts w:ascii="宋体"/>
                <w:spacing w:val="-1"/>
                <w:sz w:val="18"/>
              </w:rPr>
              <w:t>5,260,770.</w:t>
            </w:r>
          </w:p>
          <w:p>
            <w:pPr>
              <w:pStyle w:val="TableParagraph"/>
              <w:spacing w:line="234" w:lineRule="exact"/>
              <w:ind w:right="26"/>
              <w:jc w:val="right"/>
              <w:rPr>
                <w:rFonts w:ascii="宋体" w:hAnsi="宋体" w:cs="宋体" w:eastAsia="宋体" w:hint="default"/>
                <w:sz w:val="18"/>
                <w:szCs w:val="18"/>
              </w:rPr>
            </w:pPr>
            <w:r>
              <w:rPr>
                <w:rFonts w:ascii="宋体"/>
                <w:sz w:val="18"/>
              </w:rPr>
              <w:t>55</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4"/>
              <w:jc w:val="right"/>
              <w:rPr>
                <w:rFonts w:ascii="宋体" w:hAnsi="宋体" w:cs="宋体" w:eastAsia="宋体" w:hint="default"/>
                <w:sz w:val="18"/>
                <w:szCs w:val="18"/>
              </w:rPr>
            </w:pPr>
            <w:r>
              <w:rPr>
                <w:rFonts w:ascii="宋体"/>
                <w:spacing w:val="-1"/>
                <w:sz w:val="18"/>
              </w:rPr>
              <w:t>4,226,578.</w:t>
            </w:r>
          </w:p>
          <w:p>
            <w:pPr>
              <w:pStyle w:val="TableParagraph"/>
              <w:spacing w:line="234" w:lineRule="exact"/>
              <w:ind w:right="23"/>
              <w:jc w:val="right"/>
              <w:rPr>
                <w:rFonts w:ascii="宋体" w:hAnsi="宋体" w:cs="宋体" w:eastAsia="宋体" w:hint="default"/>
                <w:sz w:val="18"/>
                <w:szCs w:val="18"/>
              </w:rPr>
            </w:pPr>
            <w:r>
              <w:rPr>
                <w:rFonts w:ascii="宋体"/>
                <w:sz w:val="18"/>
              </w:rPr>
              <w:t>71</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4" w:right="0"/>
              <w:jc w:val="left"/>
              <w:rPr>
                <w:rFonts w:ascii="宋体" w:hAnsi="宋体" w:cs="宋体" w:eastAsia="宋体" w:hint="default"/>
                <w:sz w:val="21"/>
                <w:szCs w:val="21"/>
              </w:rPr>
            </w:pPr>
            <w:r>
              <w:rPr>
                <w:rFonts w:ascii="宋体"/>
                <w:w w:val="100"/>
                <w:sz w:val="21"/>
              </w:rPr>
              <w:t>/</w:t>
            </w:r>
          </w:p>
        </w:tc>
        <w:tc>
          <w:tcPr>
            <w:tcW w:w="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w:t>
            </w:r>
          </w:p>
        </w:tc>
      </w:tr>
    </w:tbl>
    <w:p>
      <w:pPr>
        <w:spacing w:after="0" w:line="241" w:lineRule="exact"/>
        <w:jc w:val="left"/>
        <w:rPr>
          <w:rFonts w:ascii="宋体" w:hAnsi="宋体" w:cs="宋体" w:eastAsia="宋体" w:hint="default"/>
          <w:sz w:val="21"/>
          <w:szCs w:val="21"/>
        </w:rPr>
        <w:sectPr>
          <w:type w:val="continuous"/>
          <w:pgSz w:w="11910" w:h="16840"/>
          <w:pgMar w:top="1120" w:bottom="1380" w:left="1560" w:right="1020"/>
        </w:sectPr>
      </w:pPr>
    </w:p>
    <w:p>
      <w:pPr>
        <w:spacing w:line="240" w:lineRule="auto" w:before="1"/>
        <w:rPr>
          <w:rFonts w:ascii="宋体" w:hAnsi="宋体" w:cs="宋体" w:eastAsia="宋体" w:hint="default"/>
          <w:sz w:val="25"/>
          <w:szCs w:val="25"/>
        </w:rPr>
      </w:pPr>
    </w:p>
    <w:p>
      <w:pPr>
        <w:pStyle w:val="Heading2"/>
        <w:spacing w:line="240" w:lineRule="auto" w:before="36"/>
        <w:ind w:right="2497"/>
        <w:jc w:val="left"/>
        <w:rPr>
          <w:b w:val="0"/>
          <w:bCs w:val="0"/>
        </w:rPr>
      </w:pPr>
      <w:r>
        <w:rPr>
          <w:rFonts w:ascii="宋体" w:hAnsi="宋体" w:cs="宋体" w:eastAsia="宋体" w:hint="default"/>
        </w:rPr>
        <w:t>(3).</w:t>
      </w:r>
      <w:r>
        <w:rPr>
          <w:rFonts w:ascii="宋体" w:hAnsi="宋体" w:cs="宋体" w:eastAsia="宋体" w:hint="default"/>
          <w:spacing w:val="57"/>
        </w:rPr>
        <w:t> </w:t>
      </w:r>
      <w:r>
        <w:rPr/>
        <w:t>本期计提在建工程减值准备情况：</w:t>
      </w:r>
      <w:r>
        <w:rPr>
          <w:b w:val="0"/>
          <w:bCs w:val="0"/>
        </w:rPr>
      </w:r>
    </w:p>
    <w:p>
      <w:pPr>
        <w:pStyle w:val="BodyText"/>
        <w:spacing w:line="272" w:lineRule="exact" w:before="86"/>
        <w:ind w:right="7474"/>
        <w:jc w:val="left"/>
      </w:pPr>
      <w:r>
        <w:rPr/>
        <w:t>□适用</w:t>
      </w:r>
      <w:r>
        <w:rPr>
          <w:spacing w:val="-1"/>
        </w:rPr>
        <w:t> </w:t>
      </w:r>
      <w:r>
        <w:rPr/>
        <w:t>√不适用</w:t>
      </w:r>
      <w:r>
        <w:rPr>
          <w:w w:val="100"/>
        </w:rPr>
        <w:t> </w:t>
      </w:r>
      <w:r>
        <w:rPr/>
        <w:t>其他说明</w:t>
      </w:r>
    </w:p>
    <w:p>
      <w:pPr>
        <w:pStyle w:val="BodyText"/>
        <w:spacing w:line="272" w:lineRule="exact" w:before="1"/>
        <w:ind w:right="2497"/>
        <w:jc w:val="left"/>
      </w:pPr>
      <w:r>
        <w:rPr/>
        <w:t>√适用</w:t>
      </w:r>
      <w:r>
        <w:rPr>
          <w:spacing w:val="-2"/>
        </w:rPr>
        <w:t> </w:t>
      </w:r>
      <w:r>
        <w:rPr/>
        <w:t>□不适用</w:t>
      </w:r>
      <w:r>
        <w:rPr>
          <w:w w:val="100"/>
        </w:rPr>
        <w:t> </w:t>
      </w:r>
      <w:r>
        <w:rPr>
          <w:spacing w:val="-2"/>
        </w:rPr>
        <w:t>在建工程期末账面余额较期初大幅增长，主要系新增在建船舶所致。</w:t>
      </w:r>
    </w:p>
    <w:p>
      <w:pPr>
        <w:spacing w:line="240" w:lineRule="auto" w:before="4"/>
        <w:rPr>
          <w:rFonts w:ascii="宋体" w:hAnsi="宋体" w:cs="宋体" w:eastAsia="宋体" w:hint="default"/>
          <w:sz w:val="23"/>
          <w:szCs w:val="23"/>
        </w:rPr>
      </w:pPr>
    </w:p>
    <w:p>
      <w:pPr>
        <w:pStyle w:val="Heading2"/>
        <w:spacing w:line="240" w:lineRule="auto"/>
        <w:ind w:right="2497"/>
        <w:jc w:val="left"/>
        <w:rPr>
          <w:b w:val="0"/>
          <w:bCs w:val="0"/>
        </w:rPr>
      </w:pPr>
      <w:r>
        <w:rPr>
          <w:rFonts w:ascii="宋体" w:hAnsi="宋体" w:cs="宋体" w:eastAsia="宋体" w:hint="default"/>
        </w:rPr>
        <w:t>21</w:t>
      </w:r>
      <w:r>
        <w:rPr/>
        <w:t>、</w:t>
      </w:r>
      <w:r>
        <w:rPr>
          <w:spacing w:val="-25"/>
        </w:rPr>
        <w:t> </w:t>
      </w:r>
      <w:r>
        <w:rPr/>
        <w:t>工程物资</w:t>
      </w:r>
      <w:r>
        <w:rPr>
          <w:b w:val="0"/>
          <w:bCs w:val="0"/>
        </w:rPr>
      </w:r>
    </w:p>
    <w:p>
      <w:pPr>
        <w:pStyle w:val="BodyText"/>
        <w:spacing w:line="240" w:lineRule="auto" w:before="58"/>
        <w:ind w:right="249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497"/>
        <w:jc w:val="left"/>
        <w:rPr>
          <w:b w:val="0"/>
          <w:bCs w:val="0"/>
        </w:rPr>
      </w:pPr>
      <w:r>
        <w:rPr>
          <w:rFonts w:ascii="宋体" w:hAnsi="宋体" w:cs="宋体" w:eastAsia="宋体" w:hint="default"/>
        </w:rPr>
        <w:t>22</w:t>
      </w:r>
      <w:r>
        <w:rPr/>
        <w:t>、</w:t>
      </w:r>
      <w:r>
        <w:rPr>
          <w:spacing w:val="-24"/>
        </w:rPr>
        <w:t> </w:t>
      </w:r>
      <w:r>
        <w:rPr/>
        <w:t>固定资产清理</w:t>
      </w:r>
      <w:r>
        <w:rPr>
          <w:b w:val="0"/>
          <w:bCs w:val="0"/>
        </w:rPr>
      </w:r>
    </w:p>
    <w:p>
      <w:pPr>
        <w:pStyle w:val="BodyText"/>
        <w:spacing w:line="240" w:lineRule="auto" w:before="56"/>
        <w:ind w:right="249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497"/>
        <w:jc w:val="left"/>
        <w:rPr>
          <w:b w:val="0"/>
          <w:bCs w:val="0"/>
        </w:rPr>
      </w:pPr>
      <w:r>
        <w:rPr>
          <w:rFonts w:ascii="宋体" w:hAnsi="宋体" w:cs="宋体" w:eastAsia="宋体" w:hint="default"/>
        </w:rPr>
        <w:t>23</w:t>
      </w:r>
      <w:r>
        <w:rPr/>
        <w:t>、</w:t>
      </w:r>
      <w:r>
        <w:rPr>
          <w:spacing w:val="-24"/>
        </w:rPr>
        <w:t> </w:t>
      </w:r>
      <w:r>
        <w:rPr/>
        <w:t>生产性生物资产</w:t>
      </w:r>
      <w:r>
        <w:rPr>
          <w:b w:val="0"/>
          <w:bCs w:val="0"/>
        </w:rPr>
      </w:r>
    </w:p>
    <w:p>
      <w:pPr>
        <w:pStyle w:val="Heading2"/>
        <w:spacing w:line="240" w:lineRule="auto" w:before="58"/>
        <w:ind w:right="2497"/>
        <w:jc w:val="left"/>
        <w:rPr>
          <w:b w:val="0"/>
          <w:bCs w:val="0"/>
        </w:rPr>
      </w:pPr>
      <w:r>
        <w:rPr>
          <w:rFonts w:ascii="宋体" w:hAnsi="宋体" w:cs="宋体" w:eastAsia="宋体" w:hint="default"/>
        </w:rPr>
        <w:t>(1).</w:t>
      </w:r>
      <w:r>
        <w:rPr>
          <w:rFonts w:ascii="宋体" w:hAnsi="宋体" w:cs="宋体" w:eastAsia="宋体" w:hint="default"/>
          <w:spacing w:val="73"/>
        </w:rPr>
        <w:t> </w:t>
      </w:r>
      <w:r>
        <w:rPr/>
        <w:t>采用成本计量模式的生产性生物资产</w:t>
      </w:r>
      <w:r>
        <w:rPr>
          <w:b w:val="0"/>
          <w:bCs w:val="0"/>
        </w:rPr>
      </w:r>
    </w:p>
    <w:p>
      <w:pPr>
        <w:pStyle w:val="BodyText"/>
        <w:spacing w:line="240" w:lineRule="auto" w:before="56"/>
        <w:ind w:right="2497"/>
        <w:jc w:val="left"/>
      </w:pPr>
      <w:r>
        <w:rPr/>
        <w:t>□适用</w:t>
      </w:r>
      <w:r>
        <w:rPr>
          <w:spacing w:val="-1"/>
        </w:rPr>
        <w:t> </w:t>
      </w:r>
      <w:r>
        <w:rPr/>
        <w:t>√不适用</w:t>
      </w:r>
    </w:p>
    <w:p>
      <w:pPr>
        <w:pStyle w:val="Heading2"/>
        <w:spacing w:line="240" w:lineRule="auto" w:before="58"/>
        <w:ind w:right="2497"/>
        <w:jc w:val="left"/>
        <w:rPr>
          <w:b w:val="0"/>
          <w:bCs w:val="0"/>
        </w:rPr>
      </w:pPr>
      <w:r>
        <w:rPr>
          <w:rFonts w:ascii="宋体" w:hAnsi="宋体" w:cs="宋体" w:eastAsia="宋体" w:hint="default"/>
        </w:rPr>
        <w:t>(2).</w:t>
      </w:r>
      <w:r>
        <w:rPr>
          <w:rFonts w:ascii="宋体" w:hAnsi="宋体" w:cs="宋体" w:eastAsia="宋体" w:hint="default"/>
          <w:spacing w:val="73"/>
        </w:rPr>
        <w:t> </w:t>
      </w:r>
      <w:r>
        <w:rPr/>
        <w:t>采用公允价值计量模式的生产性生物资产</w:t>
      </w:r>
      <w:r>
        <w:rPr>
          <w:b w:val="0"/>
          <w:bCs w:val="0"/>
        </w:rPr>
      </w:r>
    </w:p>
    <w:p>
      <w:pPr>
        <w:pStyle w:val="BodyText"/>
        <w:spacing w:line="240" w:lineRule="auto" w:before="56"/>
        <w:ind w:right="7474"/>
        <w:jc w:val="left"/>
      </w:pPr>
      <w:r>
        <w:rPr/>
        <w:t>□适用</w:t>
      </w:r>
      <w:r>
        <w:rPr>
          <w:spacing w:val="-1"/>
        </w:rPr>
        <w:t> </w:t>
      </w:r>
      <w:r>
        <w:rPr/>
        <w:t>√不适用</w:t>
      </w:r>
      <w:r>
        <w:rPr>
          <w:w w:val="100"/>
        </w:rPr>
        <w:t> </w:t>
      </w:r>
      <w:r>
        <w:rPr/>
        <w:t>其他说明</w:t>
      </w:r>
    </w:p>
    <w:p>
      <w:pPr>
        <w:pStyle w:val="BodyText"/>
        <w:spacing w:line="271" w:lineRule="exact"/>
        <w:ind w:right="249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497"/>
        <w:jc w:val="left"/>
        <w:rPr>
          <w:b w:val="0"/>
          <w:bCs w:val="0"/>
        </w:rPr>
      </w:pPr>
      <w:r>
        <w:rPr>
          <w:rFonts w:ascii="宋体" w:hAnsi="宋体" w:cs="宋体" w:eastAsia="宋体" w:hint="default"/>
        </w:rPr>
        <w:t>24</w:t>
      </w:r>
      <w:r>
        <w:rPr/>
        <w:t>、</w:t>
      </w:r>
      <w:r>
        <w:rPr>
          <w:spacing w:val="-25"/>
        </w:rPr>
        <w:t> </w:t>
      </w:r>
      <w:r>
        <w:rPr/>
        <w:t>油气资产</w:t>
      </w:r>
      <w:r>
        <w:rPr>
          <w:b w:val="0"/>
          <w:bCs w:val="0"/>
        </w:rPr>
      </w:r>
    </w:p>
    <w:p>
      <w:pPr>
        <w:pStyle w:val="BodyText"/>
        <w:spacing w:line="240" w:lineRule="auto" w:before="56"/>
        <w:ind w:right="2497"/>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1040"/>
        </w:sectPr>
      </w:pPr>
    </w:p>
    <w:p>
      <w:pPr>
        <w:pStyle w:val="Heading2"/>
        <w:spacing w:line="240" w:lineRule="auto" w:before="36"/>
        <w:ind w:right="-20"/>
        <w:jc w:val="left"/>
        <w:rPr>
          <w:b w:val="0"/>
          <w:bCs w:val="0"/>
        </w:rPr>
      </w:pPr>
      <w:r>
        <w:rPr>
          <w:rFonts w:ascii="宋体" w:hAnsi="宋体" w:cs="宋体" w:eastAsia="宋体" w:hint="default"/>
        </w:rPr>
        <w:t>25</w:t>
      </w:r>
      <w:r>
        <w:rPr/>
        <w:t>、</w:t>
      </w:r>
      <w:r>
        <w:rPr>
          <w:spacing w:val="-25"/>
        </w:rPr>
        <w:t> </w:t>
      </w:r>
      <w:r>
        <w:rPr/>
        <w:t>无形资产</w:t>
      </w:r>
      <w:r>
        <w:rPr>
          <w:b w:val="0"/>
          <w:bCs w:val="0"/>
        </w:rPr>
      </w:r>
    </w:p>
    <w:p>
      <w:pPr>
        <w:pStyle w:val="Heading2"/>
        <w:spacing w:line="240" w:lineRule="auto" w:before="58"/>
        <w:ind w:right="-20"/>
        <w:jc w:val="left"/>
        <w:rPr>
          <w:b w:val="0"/>
          <w:bCs w:val="0"/>
        </w:rPr>
      </w:pPr>
      <w:r>
        <w:rPr>
          <w:rFonts w:ascii="宋体" w:hAnsi="宋体" w:cs="宋体" w:eastAsia="宋体" w:hint="default"/>
        </w:rPr>
        <w:t>(1).</w:t>
      </w:r>
      <w:r>
        <w:rPr>
          <w:rFonts w:ascii="宋体" w:hAnsi="宋体" w:cs="宋体" w:eastAsia="宋体" w:hint="default"/>
          <w:spacing w:val="75"/>
        </w:rPr>
        <w:t> </w:t>
      </w:r>
      <w:r>
        <w:rPr/>
        <w:t>无形资产情况</w:t>
      </w:r>
      <w:r>
        <w:rPr>
          <w:b w:val="0"/>
          <w:bCs w:val="0"/>
        </w:rPr>
      </w:r>
    </w:p>
    <w:p>
      <w:pPr>
        <w:pStyle w:val="BodyText"/>
        <w:tabs>
          <w:tab w:pos="1163" w:val="left" w:leader="none"/>
        </w:tabs>
        <w:spacing w:line="240" w:lineRule="auto" w:before="56"/>
        <w:ind w:right="-20"/>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088" w:space="4434"/>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860"/>
        <w:gridCol w:w="1582"/>
        <w:gridCol w:w="1244"/>
        <w:gridCol w:w="1202"/>
        <w:gridCol w:w="1582"/>
        <w:gridCol w:w="1579"/>
      </w:tblGrid>
      <w:tr>
        <w:trPr>
          <w:trHeight w:val="554"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土地使用权</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00" w:right="0"/>
              <w:jc w:val="left"/>
              <w:rPr>
                <w:rFonts w:ascii="宋体" w:hAnsi="宋体" w:cs="宋体" w:eastAsia="宋体" w:hint="default"/>
                <w:sz w:val="21"/>
                <w:szCs w:val="21"/>
              </w:rPr>
            </w:pPr>
            <w:r>
              <w:rPr>
                <w:rFonts w:ascii="宋体" w:hAnsi="宋体" w:cs="宋体" w:eastAsia="宋体" w:hint="default"/>
                <w:sz w:val="21"/>
                <w:szCs w:val="21"/>
              </w:rPr>
              <w:t>专利权</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非专利技</w:t>
            </w:r>
          </w:p>
          <w:p>
            <w:pPr>
              <w:pStyle w:val="TableParagraph"/>
              <w:spacing w:line="274"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术</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56" w:right="0"/>
              <w:jc w:val="left"/>
              <w:rPr>
                <w:rFonts w:ascii="宋体" w:hAnsi="宋体" w:cs="宋体" w:eastAsia="宋体" w:hint="default"/>
                <w:sz w:val="21"/>
                <w:szCs w:val="21"/>
              </w:rPr>
            </w:pPr>
            <w:r>
              <w:rPr>
                <w:rFonts w:ascii="宋体" w:hAnsi="宋体" w:cs="宋体" w:eastAsia="宋体" w:hint="default"/>
                <w:sz w:val="21"/>
                <w:szCs w:val="21"/>
              </w:rPr>
              <w:t>软件及其他</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350"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582"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71"/>
              <w:jc w:val="right"/>
              <w:rPr>
                <w:rFonts w:ascii="宋体" w:hAnsi="宋体" w:cs="宋体" w:eastAsia="宋体" w:hint="default"/>
                <w:sz w:val="21"/>
                <w:szCs w:val="21"/>
              </w:rPr>
            </w:pPr>
            <w:r>
              <w:rPr>
                <w:rFonts w:ascii="宋体" w:hAnsi="宋体" w:cs="宋体" w:eastAsia="宋体" w:hint="default"/>
                <w:spacing w:val="-1"/>
                <w:sz w:val="21"/>
                <w:szCs w:val="21"/>
              </w:rPr>
              <w:t>1.</w:t>
            </w:r>
            <w:r>
              <w:rPr>
                <w:rFonts w:ascii="宋体" w:hAnsi="宋体" w:cs="宋体" w:eastAsia="宋体" w:hint="default"/>
                <w:spacing w:val="-1"/>
                <w:sz w:val="21"/>
                <w:szCs w:val="21"/>
              </w:rPr>
              <w:t>期初余额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36,432,984.87</w:t>
            </w:r>
          </w:p>
        </w:tc>
        <w:tc>
          <w:tcPr>
            <w:tcW w:w="1244"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8,349,310.10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44,782,294.97</w:t>
            </w:r>
          </w:p>
        </w:tc>
      </w:tr>
      <w:tr>
        <w:trPr>
          <w:trHeight w:val="555"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30,310,600.00</w:t>
            </w:r>
          </w:p>
        </w:tc>
        <w:tc>
          <w:tcPr>
            <w:tcW w:w="1244"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2,775,950.07</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33,086,550.07</w:t>
            </w:r>
          </w:p>
        </w:tc>
      </w:tr>
      <w:tr>
        <w:trPr>
          <w:trHeight w:val="350"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79"/>
              <w:jc w:val="right"/>
              <w:rPr>
                <w:rFonts w:ascii="宋体" w:hAnsi="宋体" w:cs="宋体" w:eastAsia="宋体" w:hint="default"/>
                <w:sz w:val="21"/>
                <w:szCs w:val="21"/>
              </w:rPr>
            </w:pPr>
            <w:r>
              <w:rPr>
                <w:rFonts w:ascii="宋体" w:hAnsi="宋体" w:cs="宋体" w:eastAsia="宋体" w:hint="default"/>
                <w:spacing w:val="-2"/>
                <w:sz w:val="21"/>
                <w:szCs w:val="21"/>
              </w:rPr>
              <w:t>(1)</w:t>
            </w:r>
            <w:r>
              <w:rPr>
                <w:rFonts w:ascii="宋体" w:hAnsi="宋体" w:cs="宋体" w:eastAsia="宋体" w:hint="default"/>
                <w:spacing w:val="-2"/>
                <w:sz w:val="21"/>
                <w:szCs w:val="21"/>
              </w:rPr>
              <w:t>购置</w:t>
            </w:r>
            <w:r>
              <w:rPr>
                <w:rFonts w:ascii="宋体" w:hAnsi="宋体" w:cs="宋体" w:eastAsia="宋体" w:hint="default"/>
                <w:sz w:val="21"/>
                <w:szCs w:val="21"/>
              </w:rPr>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30,310,600.00</w:t>
            </w:r>
          </w:p>
        </w:tc>
        <w:tc>
          <w:tcPr>
            <w:tcW w:w="1244"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2,775,950.07</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33,086,550.07</w:t>
            </w:r>
          </w:p>
        </w:tc>
      </w:tr>
      <w:tr>
        <w:trPr>
          <w:trHeight w:val="554"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内部研</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发</w:t>
            </w:r>
          </w:p>
        </w:tc>
        <w:tc>
          <w:tcPr>
            <w:tcW w:w="1582"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企业合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并增加</w:t>
            </w:r>
          </w:p>
        </w:tc>
        <w:tc>
          <w:tcPr>
            <w:tcW w:w="1582"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5"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36,432,984.87</w:t>
            </w:r>
          </w:p>
        </w:tc>
        <w:tc>
          <w:tcPr>
            <w:tcW w:w="1244"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36,432,984.87</w:t>
            </w:r>
          </w:p>
        </w:tc>
      </w:tr>
      <w:tr>
        <w:trPr>
          <w:trHeight w:val="350"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79"/>
              <w:jc w:val="right"/>
              <w:rPr>
                <w:rFonts w:ascii="宋体" w:hAnsi="宋体" w:cs="宋体" w:eastAsia="宋体" w:hint="default"/>
                <w:sz w:val="21"/>
                <w:szCs w:val="21"/>
              </w:rPr>
            </w:pPr>
            <w:r>
              <w:rPr>
                <w:rFonts w:ascii="宋体" w:hAnsi="宋体" w:cs="宋体" w:eastAsia="宋体" w:hint="default"/>
                <w:spacing w:val="-2"/>
                <w:sz w:val="21"/>
                <w:szCs w:val="21"/>
              </w:rPr>
              <w:t>(1)</w:t>
            </w:r>
            <w:r>
              <w:rPr>
                <w:rFonts w:ascii="宋体" w:hAnsi="宋体" w:cs="宋体" w:eastAsia="宋体" w:hint="default"/>
                <w:spacing w:val="-2"/>
                <w:sz w:val="21"/>
                <w:szCs w:val="21"/>
              </w:rPr>
              <w:t>处置</w:t>
            </w:r>
            <w:r>
              <w:rPr>
                <w:rFonts w:ascii="宋体" w:hAnsi="宋体" w:cs="宋体" w:eastAsia="宋体" w:hint="default"/>
                <w:sz w:val="21"/>
                <w:szCs w:val="21"/>
              </w:rPr>
            </w:r>
          </w:p>
        </w:tc>
        <w:tc>
          <w:tcPr>
            <w:tcW w:w="1582"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）转入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36,432,984.87</w:t>
            </w:r>
          </w:p>
        </w:tc>
        <w:tc>
          <w:tcPr>
            <w:tcW w:w="1244"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36,432,984.87</w:t>
            </w:r>
          </w:p>
        </w:tc>
      </w:tr>
      <w:tr>
        <w:trPr>
          <w:trHeight w:val="351"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419"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 w:right="0"/>
              <w:jc w:val="center"/>
              <w:rPr>
                <w:rFonts w:ascii="宋体" w:hAnsi="宋体" w:cs="宋体" w:eastAsia="宋体" w:hint="default"/>
                <w:sz w:val="21"/>
                <w:szCs w:val="21"/>
              </w:rPr>
            </w:pPr>
            <w:r>
              <w:rPr>
                <w:rFonts w:ascii="宋体"/>
                <w:sz w:val="21"/>
              </w:rPr>
              <w:t>30,310,600.00</w:t>
            </w:r>
          </w:p>
        </w:tc>
        <w:tc>
          <w:tcPr>
            <w:tcW w:w="1244"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pacing w:val="-1"/>
                <w:sz w:val="21"/>
              </w:rPr>
              <w:t>11,125,260.17</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sz w:val="21"/>
              </w:rPr>
              <w:t>41,435,860.17</w:t>
            </w:r>
          </w:p>
        </w:tc>
      </w:tr>
      <w:tr>
        <w:trPr>
          <w:trHeight w:val="350"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二、累计摊销</w:t>
            </w:r>
          </w:p>
        </w:tc>
        <w:tc>
          <w:tcPr>
            <w:tcW w:w="1582"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860"/>
        <w:gridCol w:w="1582"/>
        <w:gridCol w:w="1244"/>
        <w:gridCol w:w="1202"/>
        <w:gridCol w:w="1582"/>
        <w:gridCol w:w="1579"/>
      </w:tblGrid>
      <w:tr>
        <w:trPr>
          <w:trHeight w:val="351"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71"/>
              <w:jc w:val="right"/>
              <w:rPr>
                <w:rFonts w:ascii="宋体" w:hAnsi="宋体" w:cs="宋体" w:eastAsia="宋体" w:hint="default"/>
                <w:sz w:val="21"/>
                <w:szCs w:val="21"/>
              </w:rPr>
            </w:pPr>
            <w:r>
              <w:rPr>
                <w:rFonts w:ascii="宋体" w:hAnsi="宋体" w:cs="宋体" w:eastAsia="宋体" w:hint="default"/>
                <w:spacing w:val="-1"/>
                <w:sz w:val="21"/>
                <w:szCs w:val="21"/>
              </w:rPr>
              <w:t>1.</w:t>
            </w:r>
            <w:r>
              <w:rPr>
                <w:rFonts w:ascii="宋体" w:hAnsi="宋体" w:cs="宋体" w:eastAsia="宋体" w:hint="default"/>
                <w:spacing w:val="-1"/>
                <w:sz w:val="21"/>
                <w:szCs w:val="21"/>
              </w:rPr>
              <w:t>期初余额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2,541,393.88</w:t>
            </w:r>
          </w:p>
        </w:tc>
        <w:tc>
          <w:tcPr>
            <w:tcW w:w="1244"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pacing w:val="-1"/>
                <w:sz w:val="21"/>
              </w:rPr>
              <w:t>1,465,593.24</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4,006,987.12</w:t>
            </w:r>
          </w:p>
        </w:tc>
      </w:tr>
      <w:tr>
        <w:trPr>
          <w:trHeight w:val="554"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303,927.64</w:t>
            </w:r>
          </w:p>
        </w:tc>
        <w:tc>
          <w:tcPr>
            <w:tcW w:w="1244"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969,193.13</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1,273,120.77</w:t>
            </w:r>
          </w:p>
        </w:tc>
      </w:tr>
      <w:tr>
        <w:trPr>
          <w:trHeight w:val="350"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67"/>
              <w:jc w:val="right"/>
              <w:rPr>
                <w:rFonts w:ascii="宋体" w:hAnsi="宋体" w:cs="宋体" w:eastAsia="宋体" w:hint="default"/>
                <w:sz w:val="21"/>
                <w:szCs w:val="21"/>
              </w:rPr>
            </w:pPr>
            <w:r>
              <w:rPr>
                <w:rFonts w:ascii="宋体" w:hAnsi="宋体" w:cs="宋体" w:eastAsia="宋体" w:hint="default"/>
                <w:spacing w:val="-1"/>
                <w:sz w:val="21"/>
                <w:szCs w:val="21"/>
              </w:rPr>
              <w:t>（</w:t>
            </w:r>
            <w:r>
              <w:rPr>
                <w:rFonts w:ascii="宋体" w:hAnsi="宋体" w:cs="宋体" w:eastAsia="宋体" w:hint="default"/>
                <w:spacing w:val="-1"/>
                <w:sz w:val="21"/>
                <w:szCs w:val="21"/>
              </w:rPr>
              <w:t>1</w:t>
            </w:r>
            <w:r>
              <w:rPr>
                <w:rFonts w:ascii="宋体" w:hAnsi="宋体" w:cs="宋体" w:eastAsia="宋体" w:hint="default"/>
                <w:spacing w:val="-1"/>
                <w:sz w:val="21"/>
                <w:szCs w:val="21"/>
              </w:rPr>
              <w:t>）计提</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303,927.64</w:t>
            </w:r>
          </w:p>
        </w:tc>
        <w:tc>
          <w:tcPr>
            <w:tcW w:w="1244"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969,193.13</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1,273,120.77</w:t>
            </w:r>
          </w:p>
        </w:tc>
      </w:tr>
      <w:tr>
        <w:trPr>
          <w:trHeight w:val="283" w:hRule="exact"/>
        </w:trPr>
        <w:tc>
          <w:tcPr>
            <w:tcW w:w="186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2,541,393.88</w:t>
            </w:r>
          </w:p>
        </w:tc>
        <w:tc>
          <w:tcPr>
            <w:tcW w:w="1244"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2,541,393.88</w:t>
            </w:r>
          </w:p>
        </w:tc>
      </w:tr>
      <w:tr>
        <w:trPr>
          <w:trHeight w:val="350"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75"/>
              <w:jc w:val="right"/>
              <w:rPr>
                <w:rFonts w:ascii="宋体" w:hAnsi="宋体" w:cs="宋体" w:eastAsia="宋体" w:hint="default"/>
                <w:sz w:val="21"/>
                <w:szCs w:val="21"/>
              </w:rPr>
            </w:pPr>
            <w:r>
              <w:rPr>
                <w:rFonts w:ascii="宋体" w:hAnsi="宋体" w:cs="宋体" w:eastAsia="宋体" w:hint="default"/>
                <w:spacing w:val="-2"/>
                <w:sz w:val="21"/>
                <w:szCs w:val="21"/>
              </w:rPr>
              <w:t>(1)</w:t>
            </w:r>
            <w:r>
              <w:rPr>
                <w:rFonts w:ascii="宋体" w:hAnsi="宋体" w:cs="宋体" w:eastAsia="宋体" w:hint="default"/>
                <w:spacing w:val="-2"/>
                <w:sz w:val="21"/>
                <w:szCs w:val="21"/>
              </w:rPr>
              <w:t>处置</w:t>
            </w:r>
            <w:r>
              <w:rPr>
                <w:rFonts w:ascii="宋体" w:hAnsi="宋体" w:cs="宋体" w:eastAsia="宋体" w:hint="default"/>
                <w:sz w:val="21"/>
                <w:szCs w:val="21"/>
              </w:rPr>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2,541,393.88</w:t>
            </w:r>
          </w:p>
        </w:tc>
        <w:tc>
          <w:tcPr>
            <w:tcW w:w="1244"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2,541,393.88</w:t>
            </w:r>
          </w:p>
        </w:tc>
      </w:tr>
      <w:tr>
        <w:trPr>
          <w:trHeight w:val="281" w:hRule="exact"/>
        </w:trPr>
        <w:tc>
          <w:tcPr>
            <w:tcW w:w="186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71"/>
              <w:jc w:val="right"/>
              <w:rPr>
                <w:rFonts w:ascii="宋体" w:hAnsi="宋体" w:cs="宋体" w:eastAsia="宋体" w:hint="default"/>
                <w:sz w:val="21"/>
                <w:szCs w:val="21"/>
              </w:rPr>
            </w:pPr>
            <w:r>
              <w:rPr>
                <w:rFonts w:ascii="宋体" w:hAnsi="宋体" w:cs="宋体" w:eastAsia="宋体" w:hint="default"/>
                <w:spacing w:val="-1"/>
                <w:sz w:val="21"/>
                <w:szCs w:val="21"/>
              </w:rPr>
              <w:t>4.</w:t>
            </w:r>
            <w:r>
              <w:rPr>
                <w:rFonts w:ascii="宋体" w:hAnsi="宋体" w:cs="宋体" w:eastAsia="宋体" w:hint="default"/>
                <w:spacing w:val="-1"/>
                <w:sz w:val="21"/>
                <w:szCs w:val="21"/>
              </w:rPr>
              <w:t>期末余额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303,927.64</w:t>
            </w:r>
          </w:p>
        </w:tc>
        <w:tc>
          <w:tcPr>
            <w:tcW w:w="1244"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2,434,786.37</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2,738,714.01</w:t>
            </w:r>
          </w:p>
        </w:tc>
      </w:tr>
      <w:tr>
        <w:trPr>
          <w:trHeight w:val="351"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582"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71"/>
              <w:jc w:val="right"/>
              <w:rPr>
                <w:rFonts w:ascii="宋体" w:hAnsi="宋体" w:cs="宋体" w:eastAsia="宋体" w:hint="default"/>
                <w:sz w:val="21"/>
                <w:szCs w:val="21"/>
              </w:rPr>
            </w:pPr>
            <w:r>
              <w:rPr>
                <w:rFonts w:ascii="宋体" w:hAnsi="宋体" w:cs="宋体" w:eastAsia="宋体" w:hint="default"/>
                <w:spacing w:val="-1"/>
                <w:sz w:val="21"/>
                <w:szCs w:val="21"/>
              </w:rPr>
              <w:t>1.</w:t>
            </w:r>
            <w:r>
              <w:rPr>
                <w:rFonts w:ascii="宋体" w:hAnsi="宋体" w:cs="宋体" w:eastAsia="宋体" w:hint="default"/>
                <w:spacing w:val="-1"/>
                <w:sz w:val="21"/>
                <w:szCs w:val="21"/>
              </w:rPr>
              <w:t>期初余额</w:t>
            </w:r>
          </w:p>
        </w:tc>
        <w:tc>
          <w:tcPr>
            <w:tcW w:w="1582"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582"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67"/>
              <w:jc w:val="right"/>
              <w:rPr>
                <w:rFonts w:ascii="宋体" w:hAnsi="宋体" w:cs="宋体" w:eastAsia="宋体" w:hint="default"/>
                <w:sz w:val="21"/>
                <w:szCs w:val="21"/>
              </w:rPr>
            </w:pPr>
            <w:r>
              <w:rPr>
                <w:rFonts w:ascii="宋体" w:hAnsi="宋体" w:cs="宋体" w:eastAsia="宋体" w:hint="default"/>
                <w:spacing w:val="-1"/>
                <w:sz w:val="21"/>
                <w:szCs w:val="21"/>
              </w:rPr>
              <w:t>（</w:t>
            </w:r>
            <w:r>
              <w:rPr>
                <w:rFonts w:ascii="宋体" w:hAnsi="宋体" w:cs="宋体" w:eastAsia="宋体" w:hint="default"/>
                <w:spacing w:val="-1"/>
                <w:sz w:val="21"/>
                <w:szCs w:val="21"/>
              </w:rPr>
              <w:t>1</w:t>
            </w:r>
            <w:r>
              <w:rPr>
                <w:rFonts w:ascii="宋体" w:hAnsi="宋体" w:cs="宋体" w:eastAsia="宋体" w:hint="default"/>
                <w:spacing w:val="-1"/>
                <w:sz w:val="21"/>
                <w:szCs w:val="21"/>
              </w:rPr>
              <w:t>）计提</w:t>
            </w:r>
          </w:p>
        </w:tc>
        <w:tc>
          <w:tcPr>
            <w:tcW w:w="1582"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6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582"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1582"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6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71"/>
              <w:jc w:val="right"/>
              <w:rPr>
                <w:rFonts w:ascii="宋体" w:hAnsi="宋体" w:cs="宋体" w:eastAsia="宋体" w:hint="default"/>
                <w:sz w:val="21"/>
                <w:szCs w:val="21"/>
              </w:rPr>
            </w:pPr>
            <w:r>
              <w:rPr>
                <w:rFonts w:ascii="宋体" w:hAnsi="宋体" w:cs="宋体" w:eastAsia="宋体" w:hint="default"/>
                <w:spacing w:val="-1"/>
                <w:sz w:val="21"/>
                <w:szCs w:val="21"/>
              </w:rPr>
              <w:t>4.</w:t>
            </w:r>
            <w:r>
              <w:rPr>
                <w:rFonts w:ascii="宋体" w:hAnsi="宋体" w:cs="宋体" w:eastAsia="宋体" w:hint="default"/>
                <w:spacing w:val="-1"/>
                <w:sz w:val="21"/>
                <w:szCs w:val="21"/>
              </w:rPr>
              <w:t>期末余额</w:t>
            </w:r>
          </w:p>
        </w:tc>
        <w:tc>
          <w:tcPr>
            <w:tcW w:w="1582"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351"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582"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期末账面</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30,006,672.36</w:t>
            </w:r>
          </w:p>
        </w:tc>
        <w:tc>
          <w:tcPr>
            <w:tcW w:w="1244"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8,690,473.80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38,697,146.16</w:t>
            </w:r>
          </w:p>
        </w:tc>
      </w:tr>
      <w:tr>
        <w:trPr>
          <w:trHeight w:val="554"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5"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期初账面</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33,891,590.99</w:t>
            </w:r>
          </w:p>
        </w:tc>
        <w:tc>
          <w:tcPr>
            <w:tcW w:w="1244"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6,883,716.86</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40,775,307.85</w:t>
            </w:r>
          </w:p>
        </w:tc>
      </w:tr>
    </w:tbl>
    <w:p>
      <w:pPr>
        <w:pStyle w:val="BodyText"/>
        <w:spacing w:line="241" w:lineRule="exact"/>
        <w:ind w:right="2497"/>
        <w:jc w:val="left"/>
        <w:rPr>
          <w:rFonts w:ascii="宋体" w:hAnsi="宋体" w:cs="宋体" w:eastAsia="宋体" w:hint="default"/>
        </w:rPr>
      </w:pPr>
      <w:r>
        <w:rPr>
          <w:spacing w:val="-2"/>
        </w:rPr>
        <w:t>本期末通过公司内部研发形成的无形资产占无形资产余额的比例</w:t>
      </w:r>
      <w:r>
        <w:rPr>
          <w:spacing w:val="1"/>
        </w:rPr>
        <w:t> </w:t>
      </w:r>
      <w:r>
        <w:rPr>
          <w:rFonts w:ascii="宋体" w:hAnsi="宋体" w:cs="宋体" w:eastAsia="宋体" w:hint="default"/>
        </w:rPr>
        <w:t>0</w:t>
      </w:r>
    </w:p>
    <w:p>
      <w:pPr>
        <w:pStyle w:val="Heading2"/>
        <w:spacing w:line="240" w:lineRule="auto" w:before="58"/>
        <w:ind w:right="2497"/>
        <w:jc w:val="left"/>
        <w:rPr>
          <w:b w:val="0"/>
          <w:bCs w:val="0"/>
        </w:rPr>
      </w:pPr>
      <w:r>
        <w:rPr>
          <w:rFonts w:ascii="宋体" w:hAnsi="宋体" w:cs="宋体" w:eastAsia="宋体" w:hint="default"/>
        </w:rPr>
        <w:t>(2).</w:t>
      </w:r>
      <w:r>
        <w:rPr>
          <w:rFonts w:ascii="宋体" w:hAnsi="宋体" w:cs="宋体" w:eastAsia="宋体" w:hint="default"/>
          <w:spacing w:val="73"/>
        </w:rPr>
        <w:t> </w:t>
      </w:r>
      <w:r>
        <w:rPr/>
        <w:t>未办妥产权证书的土地使用权情况：</w:t>
      </w:r>
      <w:r>
        <w:rPr>
          <w:b w:val="0"/>
          <w:bCs w:val="0"/>
        </w:rPr>
      </w:r>
    </w:p>
    <w:p>
      <w:pPr>
        <w:pStyle w:val="BodyText"/>
        <w:spacing w:line="240" w:lineRule="auto" w:before="56"/>
        <w:ind w:right="7474"/>
        <w:jc w:val="left"/>
      </w:pPr>
      <w:r>
        <w:rPr/>
        <w:t>□适用</w:t>
      </w:r>
      <w:r>
        <w:rPr>
          <w:spacing w:val="-1"/>
        </w:rPr>
        <w:t> </w:t>
      </w:r>
      <w:r>
        <w:rPr/>
        <w:t>√不适用</w:t>
      </w:r>
      <w:r>
        <w:rPr>
          <w:w w:val="100"/>
        </w:rPr>
        <w:t> </w:t>
      </w:r>
      <w:r>
        <w:rPr/>
        <w:t>其他说明：</w:t>
      </w:r>
    </w:p>
    <w:p>
      <w:pPr>
        <w:pStyle w:val="BodyText"/>
        <w:spacing w:line="271" w:lineRule="exact"/>
        <w:ind w:right="2497"/>
        <w:jc w:val="left"/>
      </w:pPr>
      <w:r>
        <w:rPr/>
        <w:t>√适用</w:t>
      </w:r>
      <w:r>
        <w:rPr>
          <w:spacing w:val="-1"/>
        </w:rPr>
        <w:t> </w:t>
      </w:r>
      <w:r>
        <w:rPr/>
        <w:t>□不适用</w:t>
      </w:r>
    </w:p>
    <w:p>
      <w:pPr>
        <w:pStyle w:val="BodyText"/>
        <w:spacing w:line="274" w:lineRule="exact"/>
        <w:ind w:right="2497"/>
        <w:jc w:val="left"/>
      </w:pPr>
      <w:r>
        <w:rPr/>
        <w:t>无形资产本期计提摊销额</w:t>
      </w:r>
      <w:r>
        <w:rPr>
          <w:spacing w:val="-55"/>
        </w:rPr>
        <w:t> </w:t>
      </w:r>
      <w:r>
        <w:rPr>
          <w:rFonts w:ascii="宋体" w:hAnsi="宋体" w:cs="宋体" w:eastAsia="宋体" w:hint="default"/>
        </w:rPr>
        <w:t>1,273,120.77</w:t>
      </w:r>
      <w:r>
        <w:rPr>
          <w:rFonts w:ascii="宋体" w:hAnsi="宋体" w:cs="宋体" w:eastAsia="宋体" w:hint="default"/>
          <w:spacing w:val="-55"/>
        </w:rPr>
        <w:t> </w:t>
      </w:r>
      <w:r>
        <w:rPr/>
        <w:t>元。</w:t>
      </w:r>
    </w:p>
    <w:p>
      <w:pPr>
        <w:spacing w:line="240" w:lineRule="auto" w:before="3"/>
        <w:rPr>
          <w:rFonts w:ascii="宋体" w:hAnsi="宋体" w:cs="宋体" w:eastAsia="宋体" w:hint="default"/>
          <w:sz w:val="25"/>
          <w:szCs w:val="25"/>
        </w:rPr>
      </w:pPr>
    </w:p>
    <w:p>
      <w:pPr>
        <w:pStyle w:val="Heading2"/>
        <w:spacing w:line="240" w:lineRule="auto"/>
        <w:ind w:right="2497"/>
        <w:jc w:val="left"/>
        <w:rPr>
          <w:b w:val="0"/>
          <w:bCs w:val="0"/>
        </w:rPr>
      </w:pPr>
      <w:r>
        <w:rPr>
          <w:rFonts w:ascii="宋体" w:hAnsi="宋体" w:cs="宋体" w:eastAsia="宋体" w:hint="default"/>
        </w:rPr>
        <w:t>26</w:t>
      </w:r>
      <w:r>
        <w:rPr/>
        <w:t>、</w:t>
      </w:r>
      <w:r>
        <w:rPr>
          <w:spacing w:val="-25"/>
        </w:rPr>
        <w:t> </w:t>
      </w:r>
      <w:r>
        <w:rPr/>
        <w:t>开发支出</w:t>
      </w:r>
      <w:r>
        <w:rPr>
          <w:b w:val="0"/>
          <w:bCs w:val="0"/>
        </w:rPr>
      </w:r>
    </w:p>
    <w:p>
      <w:pPr>
        <w:pStyle w:val="BodyText"/>
        <w:spacing w:line="240" w:lineRule="auto" w:before="56"/>
        <w:ind w:right="2497"/>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1040"/>
        </w:sectPr>
      </w:pPr>
    </w:p>
    <w:p>
      <w:pPr>
        <w:pStyle w:val="Heading2"/>
        <w:spacing w:line="240" w:lineRule="auto" w:before="36"/>
        <w:ind w:right="-19"/>
        <w:jc w:val="left"/>
        <w:rPr>
          <w:b w:val="0"/>
          <w:bCs w:val="0"/>
        </w:rPr>
      </w:pPr>
      <w:r>
        <w:rPr>
          <w:rFonts w:ascii="宋体" w:hAnsi="宋体" w:cs="宋体" w:eastAsia="宋体" w:hint="default"/>
        </w:rPr>
        <w:t>27</w:t>
      </w:r>
      <w:r>
        <w:rPr/>
        <w:t>、</w:t>
      </w:r>
      <w:r>
        <w:rPr>
          <w:spacing w:val="-26"/>
        </w:rPr>
        <w:t> </w:t>
      </w:r>
      <w:r>
        <w:rPr/>
        <w:t>商誉</w:t>
      </w:r>
      <w:r>
        <w:rPr>
          <w:b w:val="0"/>
          <w:bCs w:val="0"/>
        </w:rPr>
      </w:r>
    </w:p>
    <w:p>
      <w:pPr>
        <w:pStyle w:val="Heading2"/>
        <w:spacing w:line="240" w:lineRule="auto" w:before="56"/>
        <w:ind w:right="-19"/>
        <w:jc w:val="left"/>
        <w:rPr>
          <w:b w:val="0"/>
          <w:bCs w:val="0"/>
        </w:rPr>
      </w:pPr>
      <w:r>
        <w:rPr>
          <w:rFonts w:ascii="宋体" w:hAnsi="宋体" w:cs="宋体" w:eastAsia="宋体" w:hint="default"/>
        </w:rPr>
        <w:t>(1).</w:t>
      </w:r>
      <w:r>
        <w:rPr>
          <w:rFonts w:ascii="宋体" w:hAnsi="宋体" w:cs="宋体" w:eastAsia="宋体" w:hint="default"/>
          <w:spacing w:val="60"/>
        </w:rPr>
        <w:t> </w:t>
      </w:r>
      <w:r>
        <w:rPr/>
        <w:t>商誉账面原值</w:t>
      </w:r>
      <w:r>
        <w:rPr>
          <w:b w:val="0"/>
          <w:bCs w:val="0"/>
        </w:rPr>
      </w:r>
    </w:p>
    <w:p>
      <w:pPr>
        <w:pStyle w:val="BodyText"/>
        <w:spacing w:line="240" w:lineRule="auto" w:before="58"/>
        <w:ind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074" w:space="4448"/>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413"/>
        <w:gridCol w:w="1651"/>
        <w:gridCol w:w="1678"/>
        <w:gridCol w:w="1676"/>
        <w:gridCol w:w="1632"/>
      </w:tblGrid>
      <w:tr>
        <w:trPr>
          <w:trHeight w:val="293" w:hRule="exact"/>
        </w:trPr>
        <w:tc>
          <w:tcPr>
            <w:tcW w:w="2413" w:type="dxa"/>
            <w:vMerge w:val="restart"/>
            <w:tcBorders>
              <w:top w:val="single" w:sz="4" w:space="0" w:color="000000"/>
              <w:left w:val="single" w:sz="4" w:space="0" w:color="000000"/>
              <w:right w:val="single" w:sz="4" w:space="0" w:color="000000"/>
            </w:tcBorders>
          </w:tcPr>
          <w:p>
            <w:pPr>
              <w:pStyle w:val="TableParagraph"/>
              <w:spacing w:line="240" w:lineRule="auto" w:before="112"/>
              <w:ind w:left="674" w:right="147" w:hanging="524"/>
              <w:jc w:val="left"/>
              <w:rPr>
                <w:rFonts w:ascii="宋体" w:hAnsi="宋体" w:cs="宋体" w:eastAsia="宋体" w:hint="default"/>
                <w:sz w:val="21"/>
                <w:szCs w:val="21"/>
              </w:rPr>
            </w:pPr>
            <w:r>
              <w:rPr>
                <w:rFonts w:ascii="宋体" w:hAnsi="宋体" w:cs="宋体" w:eastAsia="宋体" w:hint="default"/>
                <w:spacing w:val="-2"/>
                <w:sz w:val="21"/>
                <w:szCs w:val="21"/>
              </w:rPr>
              <w:t>被投资单位名称或形成</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商誉的事项</w:t>
            </w:r>
          </w:p>
        </w:tc>
        <w:tc>
          <w:tcPr>
            <w:tcW w:w="1651"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98"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41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632"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91"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2413" w:type="dxa"/>
            <w:vMerge/>
            <w:tcBorders>
              <w:left w:val="single" w:sz="4" w:space="0" w:color="000000"/>
              <w:bottom w:val="single" w:sz="4" w:space="0" w:color="000000"/>
              <w:right w:val="single" w:sz="4" w:space="0" w:color="000000"/>
            </w:tcBorders>
          </w:tcPr>
          <w:p>
            <w:pPr/>
          </w:p>
        </w:tc>
        <w:tc>
          <w:tcPr>
            <w:tcW w:w="1651" w:type="dxa"/>
            <w:vMerge/>
            <w:tcBorders>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企业合并形成</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的</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处置</w:t>
            </w:r>
          </w:p>
        </w:tc>
        <w:tc>
          <w:tcPr>
            <w:tcW w:w="1632" w:type="dxa"/>
            <w:vMerge/>
            <w:tcBorders>
              <w:left w:val="single" w:sz="4" w:space="0" w:color="000000"/>
              <w:bottom w:val="single" w:sz="4" w:space="0" w:color="000000"/>
              <w:right w:val="single" w:sz="4" w:space="0" w:color="000000"/>
            </w:tcBorders>
          </w:tcPr>
          <w:p>
            <w:pPr/>
          </w:p>
        </w:tc>
      </w:tr>
      <w:tr>
        <w:trPr>
          <w:trHeight w:val="284" w:hRule="exact"/>
        </w:trPr>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1"/>
              <w:jc w:val="center"/>
              <w:rPr>
                <w:rFonts w:ascii="宋体" w:hAnsi="宋体" w:cs="宋体" w:eastAsia="宋体" w:hint="default"/>
                <w:sz w:val="21"/>
                <w:szCs w:val="21"/>
              </w:rPr>
            </w:pPr>
            <w:r>
              <w:rPr>
                <w:rFonts w:ascii="宋体" w:hAnsi="宋体" w:cs="宋体" w:eastAsia="宋体" w:hint="default"/>
                <w:sz w:val="21"/>
                <w:szCs w:val="21"/>
              </w:rPr>
              <w:t>非同一控制下企业合并</w:t>
            </w:r>
          </w:p>
        </w:tc>
        <w:tc>
          <w:tcPr>
            <w:tcW w:w="1651"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1,526,543.75</w:t>
            </w:r>
          </w:p>
        </w:tc>
        <w:tc>
          <w:tcPr>
            <w:tcW w:w="1676"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1,526,543.75</w:t>
            </w:r>
          </w:p>
        </w:tc>
      </w:tr>
      <w:tr>
        <w:trPr>
          <w:trHeight w:val="307" w:hRule="exact"/>
        </w:trPr>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51"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1,526,543.75</w:t>
            </w:r>
          </w:p>
        </w:tc>
        <w:tc>
          <w:tcPr>
            <w:tcW w:w="1676"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1,526,543.75</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80" w:right="1040"/>
        </w:sectPr>
      </w:pPr>
    </w:p>
    <w:p>
      <w:pPr>
        <w:pStyle w:val="Heading2"/>
        <w:spacing w:line="240" w:lineRule="auto" w:before="175"/>
        <w:ind w:right="0"/>
        <w:jc w:val="left"/>
        <w:rPr>
          <w:b w:val="0"/>
          <w:bCs w:val="0"/>
        </w:rPr>
      </w:pPr>
      <w:r>
        <w:rPr>
          <w:rFonts w:ascii="宋体" w:hAnsi="宋体" w:cs="宋体" w:eastAsia="宋体" w:hint="default"/>
        </w:rPr>
        <w:t>(2).</w:t>
      </w:r>
      <w:r>
        <w:rPr>
          <w:rFonts w:ascii="宋体" w:hAnsi="宋体" w:cs="宋体" w:eastAsia="宋体" w:hint="default"/>
          <w:spacing w:val="60"/>
        </w:rPr>
        <w:t> </w:t>
      </w:r>
      <w:r>
        <w:rPr/>
        <w:t>商誉减值准备</w:t>
      </w:r>
      <w:r>
        <w:rPr>
          <w:b w:val="0"/>
          <w:bCs w:val="0"/>
        </w:rPr>
      </w:r>
    </w:p>
    <w:p>
      <w:pPr>
        <w:pStyle w:val="BodyText"/>
        <w:spacing w:line="240" w:lineRule="auto" w:before="56"/>
        <w:ind w:right="0"/>
        <w:jc w:val="left"/>
      </w:pPr>
      <w:r>
        <w:rPr/>
        <w:t>□适用</w:t>
      </w:r>
      <w:r>
        <w:rPr>
          <w:spacing w:val="-2"/>
        </w:rPr>
        <w:t> </w:t>
      </w:r>
      <w:r>
        <w:rPr/>
        <w:t>√不适用</w:t>
      </w:r>
      <w:r>
        <w:rPr>
          <w:w w:val="100"/>
        </w:rPr>
        <w:t> </w:t>
      </w:r>
      <w:r>
        <w:rPr>
          <w:spacing w:val="-2"/>
        </w:rPr>
        <w:t>说明商誉减值测试过程、参数及商誉减值损失的确认方法</w:t>
      </w:r>
    </w:p>
    <w:p>
      <w:pPr>
        <w:pStyle w:val="BodyText"/>
        <w:spacing w:line="274" w:lineRule="exact" w:before="22"/>
        <w:ind w:right="3662"/>
        <w:jc w:val="left"/>
      </w:pPr>
      <w:r>
        <w:rPr/>
        <w:t>□适用</w:t>
      </w:r>
      <w:r>
        <w:rPr>
          <w:spacing w:val="-1"/>
        </w:rPr>
        <w:t> </w:t>
      </w:r>
      <w:r>
        <w:rPr/>
        <w:t>√不适用</w:t>
      </w:r>
      <w:r>
        <w:rPr>
          <w:w w:val="100"/>
        </w:rPr>
        <w:t> </w:t>
      </w:r>
      <w:r>
        <w:rPr/>
        <w:t>其他说明</w:t>
      </w:r>
    </w:p>
    <w:p>
      <w:pPr>
        <w:pStyle w:val="BodyText"/>
        <w:spacing w:line="246" w:lineRule="exact"/>
        <w:ind w:right="0"/>
        <w:jc w:val="left"/>
      </w:pPr>
      <w:r>
        <w:rPr/>
        <w:t>□适用</w:t>
      </w:r>
      <w:r>
        <w:rPr>
          <w:spacing w:val="-1"/>
        </w:rPr>
        <w:t> </w:t>
      </w:r>
      <w:r>
        <w:rPr/>
        <w:t>√不适用</w:t>
      </w:r>
    </w:p>
    <w:p>
      <w:pPr>
        <w:pStyle w:val="Heading2"/>
        <w:spacing w:line="240" w:lineRule="auto" w:before="58"/>
        <w:ind w:right="0"/>
        <w:jc w:val="left"/>
        <w:rPr>
          <w:b w:val="0"/>
          <w:bCs w:val="0"/>
        </w:rPr>
      </w:pPr>
      <w:r>
        <w:rPr>
          <w:rFonts w:ascii="宋体" w:hAnsi="宋体" w:cs="宋体" w:eastAsia="宋体" w:hint="default"/>
        </w:rPr>
        <w:t>28</w:t>
      </w:r>
      <w:r>
        <w:rPr/>
        <w:t>、</w:t>
      </w:r>
      <w:r>
        <w:rPr>
          <w:spacing w:val="-24"/>
        </w:rPr>
        <w:t> </w:t>
      </w:r>
      <w:r>
        <w:rPr/>
        <w:t>长期待摊费用</w:t>
      </w:r>
      <w:r>
        <w:rPr>
          <w:b w:val="0"/>
          <w:bCs w:val="0"/>
        </w:rPr>
      </w:r>
    </w:p>
    <w:p>
      <w:pPr>
        <w:pStyle w:val="BodyText"/>
        <w:spacing w:line="240" w:lineRule="auto" w:before="56"/>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78"/>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475" w:space="1046"/>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327"/>
        <w:gridCol w:w="1580"/>
        <w:gridCol w:w="1582"/>
        <w:gridCol w:w="1582"/>
        <w:gridCol w:w="1400"/>
        <w:gridCol w:w="1579"/>
      </w:tblGrid>
      <w:tr>
        <w:trPr>
          <w:trHeight w:val="555" w:hRule="exact"/>
        </w:trPr>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44"/>
              <w:jc w:val="right"/>
              <w:rPr>
                <w:rFonts w:ascii="宋体" w:hAnsi="宋体" w:cs="宋体" w:eastAsia="宋体" w:hint="default"/>
                <w:sz w:val="21"/>
                <w:szCs w:val="21"/>
              </w:rPr>
            </w:pPr>
            <w:r>
              <w:rPr>
                <w:rFonts w:ascii="宋体" w:hAnsi="宋体" w:cs="宋体" w:eastAsia="宋体" w:hint="default"/>
                <w:sz w:val="21"/>
                <w:szCs w:val="21"/>
              </w:rPr>
              <w:t>项目</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51"/>
              <w:jc w:val="right"/>
              <w:rPr>
                <w:rFonts w:ascii="宋体" w:hAnsi="宋体" w:cs="宋体" w:eastAsia="宋体" w:hint="default"/>
                <w:sz w:val="21"/>
                <w:szCs w:val="21"/>
              </w:rPr>
            </w:pPr>
            <w:r>
              <w:rPr>
                <w:rFonts w:ascii="宋体" w:hAnsi="宋体" w:cs="宋体" w:eastAsia="宋体" w:hint="default"/>
                <w:spacing w:val="-1"/>
                <w:sz w:val="21"/>
                <w:szCs w:val="21"/>
              </w:rPr>
              <w:t>本期增加金额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本期摊销金额</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其他减少金</w:t>
            </w:r>
          </w:p>
          <w:p>
            <w:pPr>
              <w:pStyle w:val="TableParagraph"/>
              <w:spacing w:line="275" w:lineRule="exact"/>
              <w:ind w:right="1"/>
              <w:jc w:val="center"/>
              <w:rPr>
                <w:rFonts w:ascii="宋体" w:hAnsi="宋体" w:cs="宋体" w:eastAsia="宋体" w:hint="default"/>
                <w:sz w:val="21"/>
                <w:szCs w:val="21"/>
              </w:rPr>
            </w:pPr>
            <w:r>
              <w:rPr>
                <w:rFonts w:ascii="宋体" w:hAnsi="宋体" w:cs="宋体" w:eastAsia="宋体" w:hint="default"/>
                <w:w w:val="100"/>
                <w:sz w:val="21"/>
                <w:szCs w:val="21"/>
              </w:rPr>
              <w:t>额</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坞修费</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12,769,923.94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15,033,759.32</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13,405,211.91</w:t>
            </w:r>
          </w:p>
        </w:tc>
        <w:tc>
          <w:tcPr>
            <w:tcW w:w="140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14,398,471.35</w:t>
            </w:r>
          </w:p>
        </w:tc>
      </w:tr>
      <w:tr>
        <w:trPr>
          <w:trHeight w:val="283" w:hRule="exact"/>
        </w:trPr>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装修费</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5,198,496.62</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359,234.23</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sz w:val="21"/>
              </w:rPr>
              <w:t>2,521,346.69</w:t>
            </w:r>
          </w:p>
        </w:tc>
        <w:tc>
          <w:tcPr>
            <w:tcW w:w="140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3,036,384.16</w:t>
            </w:r>
          </w:p>
        </w:tc>
      </w:tr>
      <w:tr>
        <w:trPr>
          <w:trHeight w:val="281" w:hRule="exact"/>
        </w:trPr>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44"/>
              <w:jc w:val="right"/>
              <w:rPr>
                <w:rFonts w:ascii="宋体" w:hAnsi="宋体" w:cs="宋体" w:eastAsia="宋体" w:hint="default"/>
                <w:sz w:val="21"/>
                <w:szCs w:val="21"/>
              </w:rPr>
            </w:pPr>
            <w:r>
              <w:rPr>
                <w:rFonts w:ascii="宋体" w:hAnsi="宋体" w:cs="宋体" w:eastAsia="宋体" w:hint="default"/>
                <w:sz w:val="21"/>
                <w:szCs w:val="21"/>
              </w:rPr>
              <w:t>合计</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17,968,420.56</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15,392,993.55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15,926,558.60</w:t>
            </w:r>
          </w:p>
        </w:tc>
        <w:tc>
          <w:tcPr>
            <w:tcW w:w="140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17,434,855.51</w:t>
            </w:r>
          </w:p>
        </w:tc>
      </w:tr>
    </w:tbl>
    <w:p>
      <w:pPr>
        <w:spacing w:line="240" w:lineRule="auto" w:before="7"/>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120" w:bottom="1380" w:left="1580" w:right="1040"/>
        </w:sectPr>
      </w:pPr>
    </w:p>
    <w:p>
      <w:pPr>
        <w:pStyle w:val="BodyText"/>
        <w:spacing w:line="272" w:lineRule="exact" w:before="64"/>
        <w:ind w:right="2605"/>
        <w:jc w:val="left"/>
      </w:pPr>
      <w:r>
        <w:rPr>
          <w:spacing w:val="-1"/>
        </w:rPr>
        <w:t>其他说明：</w:t>
      </w:r>
      <w:r>
        <w:rPr>
          <w:spacing w:val="-97"/>
        </w:rPr>
        <w:t> </w:t>
      </w:r>
      <w:r>
        <w:rPr>
          <w:spacing w:val="-97"/>
        </w:rPr>
      </w:r>
      <w:r>
        <w:rPr/>
        <w:t>不适用</w:t>
      </w:r>
    </w:p>
    <w:p>
      <w:pPr>
        <w:pStyle w:val="Heading2"/>
        <w:spacing w:line="290" w:lineRule="auto" w:before="34"/>
        <w:ind w:right="-18"/>
        <w:jc w:val="left"/>
        <w:rPr>
          <w:b w:val="0"/>
          <w:bCs w:val="0"/>
        </w:rPr>
      </w:pPr>
      <w:r>
        <w:rPr>
          <w:rFonts w:ascii="宋体" w:hAnsi="宋体" w:cs="宋体" w:eastAsia="宋体" w:hint="default"/>
        </w:rPr>
        <w:t>29</w:t>
      </w:r>
      <w:r>
        <w:rPr/>
        <w:t>、 递延所得税资产</w:t>
      </w:r>
      <w:r>
        <w:rPr>
          <w:rFonts w:ascii="宋体" w:hAnsi="宋体" w:cs="宋体" w:eastAsia="宋体" w:hint="default"/>
        </w:rPr>
        <w:t>/</w:t>
      </w:r>
      <w:r>
        <w:rPr>
          <w:rFonts w:ascii="宋体" w:hAnsi="宋体" w:cs="宋体" w:eastAsia="宋体" w:hint="default"/>
          <w:spacing w:val="-24"/>
        </w:rPr>
        <w:t> </w:t>
      </w:r>
      <w:r>
        <w:rPr/>
        <w:t>递延所得税负债</w:t>
      </w:r>
      <w:r>
        <w:rPr>
          <w:w w:val="100"/>
        </w:rPr>
        <w:t> </w:t>
      </w:r>
      <w:r>
        <w:rPr>
          <w:rFonts w:ascii="宋体" w:hAnsi="宋体" w:cs="宋体" w:eastAsia="宋体" w:hint="default"/>
        </w:rPr>
        <w:t>(1).</w:t>
      </w:r>
      <w:r>
        <w:rPr>
          <w:rFonts w:ascii="宋体" w:hAnsi="宋体" w:cs="宋体" w:eastAsia="宋体" w:hint="default"/>
          <w:spacing w:val="56"/>
        </w:rPr>
        <w:t> </w:t>
      </w:r>
      <w:r>
        <w:rPr/>
        <w:t>未经抵销的递延所得税资产</w:t>
      </w:r>
      <w:r>
        <w:rPr>
          <w:b w:val="0"/>
          <w:bCs w:val="0"/>
        </w:rPr>
      </w:r>
    </w:p>
    <w:p>
      <w:pPr>
        <w:pStyle w:val="BodyText"/>
        <w:spacing w:line="240" w:lineRule="auto" w:before="14"/>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889" w:space="2633"/>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425"/>
        <w:gridCol w:w="1687"/>
        <w:gridCol w:w="1628"/>
        <w:gridCol w:w="1688"/>
        <w:gridCol w:w="1625"/>
      </w:tblGrid>
      <w:tr>
        <w:trPr>
          <w:trHeight w:val="296" w:hRule="exact"/>
        </w:trPr>
        <w:tc>
          <w:tcPr>
            <w:tcW w:w="242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4" w:hRule="exact"/>
        </w:trPr>
        <w:tc>
          <w:tcPr>
            <w:tcW w:w="2425" w:type="dxa"/>
            <w:vMerge/>
            <w:tcBorders>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可抵扣暂时性差</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异</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资产</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可抵扣暂时性差</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异</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资产</w:t>
            </w:r>
          </w:p>
        </w:tc>
      </w:tr>
      <w:tr>
        <w:trPr>
          <w:trHeight w:val="295"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23,401,352.27</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5,850,338.08</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12,689,970.65</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3,172,492.67</w:t>
            </w:r>
          </w:p>
        </w:tc>
      </w:tr>
      <w:tr>
        <w:trPr>
          <w:trHeight w:val="295"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可抵扣融资租赁利息</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154,413,964.24</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38,603,491.06</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136,546,256.84</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34,136,564.21</w:t>
            </w:r>
          </w:p>
        </w:tc>
      </w:tr>
      <w:tr>
        <w:trPr>
          <w:trHeight w:val="295"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政府补助—递延收益</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27,948,466.80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6,987,116.70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37,670,900.00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9,417,725.00</w:t>
            </w:r>
          </w:p>
        </w:tc>
      </w:tr>
      <w:tr>
        <w:trPr>
          <w:trHeight w:val="295"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205,763,783.31</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51,440,945.84</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186,907,127.49</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46,726,781.88</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040"/>
        </w:sectPr>
      </w:pPr>
    </w:p>
    <w:p>
      <w:pPr>
        <w:pStyle w:val="Heading2"/>
        <w:spacing w:line="240" w:lineRule="auto" w:before="36"/>
        <w:ind w:right="-18"/>
        <w:jc w:val="left"/>
        <w:rPr>
          <w:b w:val="0"/>
          <w:bCs w:val="0"/>
        </w:rPr>
      </w:pPr>
      <w:r>
        <w:rPr>
          <w:rFonts w:ascii="宋体" w:hAnsi="宋体" w:cs="宋体" w:eastAsia="宋体" w:hint="default"/>
        </w:rPr>
        <w:t>(2).</w:t>
      </w:r>
      <w:r>
        <w:rPr>
          <w:rFonts w:ascii="宋体" w:hAnsi="宋体" w:cs="宋体" w:eastAsia="宋体" w:hint="default"/>
          <w:spacing w:val="56"/>
        </w:rPr>
        <w:t> </w:t>
      </w:r>
      <w:r>
        <w:rPr/>
        <w:t>未经抵销的递延所得税负债</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336" w:space="3185"/>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374"/>
        <w:gridCol w:w="1678"/>
        <w:gridCol w:w="1664"/>
        <w:gridCol w:w="1659"/>
        <w:gridCol w:w="1675"/>
      </w:tblGrid>
      <w:tr>
        <w:trPr>
          <w:trHeight w:val="293" w:hRule="exact"/>
        </w:trPr>
        <w:tc>
          <w:tcPr>
            <w:tcW w:w="2374" w:type="dxa"/>
            <w:vMerge w:val="restart"/>
            <w:tcBorders>
              <w:top w:val="single" w:sz="4" w:space="0" w:color="000000"/>
              <w:left w:val="single" w:sz="4" w:space="0" w:color="000000"/>
              <w:right w:val="single" w:sz="4" w:space="0" w:color="000000"/>
            </w:tcBorders>
          </w:tcPr>
          <w:p>
            <w:pPr>
              <w:pStyle w:val="TableParagraph"/>
              <w:spacing w:line="240" w:lineRule="auto" w:before="113"/>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7" w:hRule="exact"/>
        </w:trPr>
        <w:tc>
          <w:tcPr>
            <w:tcW w:w="2374" w:type="dxa"/>
            <w:vMerge/>
            <w:tcBorders>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应纳税暂时性</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差异</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负债</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应纳税暂时性</w:t>
            </w:r>
          </w:p>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sz w:val="21"/>
                <w:szCs w:val="21"/>
              </w:rPr>
              <w:t>差异</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负债</w:t>
            </w:r>
          </w:p>
        </w:tc>
      </w:tr>
      <w:tr>
        <w:trPr>
          <w:trHeight w:val="554"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非同一控制企业合并资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产评估增值</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7,549,531.16</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1,887,382.79</w:t>
            </w:r>
          </w:p>
        </w:tc>
        <w:tc>
          <w:tcPr>
            <w:tcW w:w="1659"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7,549,531.16</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1,887,382.79</w:t>
            </w:r>
          </w:p>
        </w:tc>
        <w:tc>
          <w:tcPr>
            <w:tcW w:w="1659"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040"/>
        </w:sectPr>
      </w:pPr>
    </w:p>
    <w:p>
      <w:pPr>
        <w:pStyle w:val="Heading2"/>
        <w:spacing w:line="240" w:lineRule="auto" w:before="36"/>
        <w:ind w:right="-18"/>
        <w:jc w:val="left"/>
        <w:rPr>
          <w:b w:val="0"/>
          <w:bCs w:val="0"/>
        </w:rPr>
      </w:pPr>
      <w:r>
        <w:rPr>
          <w:rFonts w:ascii="宋体" w:hAnsi="宋体" w:cs="宋体" w:eastAsia="宋体" w:hint="default"/>
        </w:rPr>
        <w:t>(3).</w:t>
      </w:r>
      <w:r>
        <w:rPr>
          <w:rFonts w:ascii="宋体" w:hAnsi="宋体" w:cs="宋体" w:eastAsia="宋体" w:hint="default"/>
          <w:spacing w:val="59"/>
        </w:rPr>
        <w:t> </w:t>
      </w:r>
      <w:r>
        <w:rPr/>
        <w:t>以抵销后净额列示的递延所得税资产或负债：</w:t>
      </w:r>
      <w:r>
        <w:rPr>
          <w:b w:val="0"/>
          <w:bCs w:val="0"/>
        </w:rPr>
      </w:r>
    </w:p>
    <w:p>
      <w:pPr>
        <w:pStyle w:val="BodyText"/>
        <w:spacing w:line="240" w:lineRule="auto" w:before="58"/>
        <w:ind w:right="-18"/>
        <w:jc w:val="left"/>
      </w:pPr>
      <w:r>
        <w:rPr/>
        <w:t>□适用</w:t>
      </w:r>
      <w:r>
        <w:rPr>
          <w:spacing w:val="-1"/>
        </w:rPr>
        <w:t> </w:t>
      </w:r>
      <w:r>
        <w:rPr/>
        <w:t>√不适用</w:t>
      </w:r>
    </w:p>
    <w:p>
      <w:pPr>
        <w:pStyle w:val="Heading2"/>
        <w:spacing w:line="240" w:lineRule="auto" w:before="56"/>
        <w:ind w:right="-18"/>
        <w:jc w:val="left"/>
        <w:rPr>
          <w:b w:val="0"/>
          <w:bCs w:val="0"/>
        </w:rPr>
      </w:pPr>
      <w:r>
        <w:rPr>
          <w:rFonts w:ascii="宋体" w:hAnsi="宋体" w:cs="宋体" w:eastAsia="宋体" w:hint="default"/>
        </w:rPr>
        <w:t>(4).</w:t>
      </w:r>
      <w:r>
        <w:rPr>
          <w:rFonts w:ascii="宋体" w:hAnsi="宋体" w:cs="宋体" w:eastAsia="宋体" w:hint="default"/>
          <w:spacing w:val="56"/>
        </w:rPr>
        <w:t> </w:t>
      </w:r>
      <w:r>
        <w:rPr/>
        <w:t>未确认递延所得税资产明细</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026" w:space="1496"/>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90"/>
        <w:gridCol w:w="3082"/>
        <w:gridCol w:w="3077"/>
      </w:tblGrid>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bl>
    <w:p>
      <w:pPr>
        <w:spacing w:after="0" w:line="246" w:lineRule="exact"/>
        <w:jc w:val="center"/>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890"/>
        <w:gridCol w:w="3082"/>
        <w:gridCol w:w="3077"/>
      </w:tblGrid>
      <w:tr>
        <w:trPr>
          <w:trHeight w:val="296"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6,842.45</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3,190.00</w:t>
            </w: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490,002,956.25</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490,002,956.25</w:t>
            </w: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490,009,798.70</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490,006,146.25</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80" w:right="1040"/>
        </w:sectPr>
      </w:pPr>
    </w:p>
    <w:p>
      <w:pPr>
        <w:pStyle w:val="Heading2"/>
        <w:spacing w:line="240" w:lineRule="auto" w:before="36"/>
        <w:ind w:right="-17"/>
        <w:jc w:val="left"/>
        <w:rPr>
          <w:b w:val="0"/>
          <w:bCs w:val="0"/>
        </w:rPr>
      </w:pPr>
      <w:r>
        <w:rPr>
          <w:rFonts w:ascii="宋体" w:hAnsi="宋体" w:cs="宋体" w:eastAsia="宋体" w:hint="default"/>
        </w:rPr>
        <w:t>(5).</w:t>
      </w:r>
      <w:r>
        <w:rPr>
          <w:rFonts w:ascii="宋体" w:hAnsi="宋体" w:cs="宋体" w:eastAsia="宋体" w:hint="default"/>
          <w:spacing w:val="55"/>
        </w:rPr>
        <w:t> </w:t>
      </w:r>
      <w:r>
        <w:rPr/>
        <w:t>未确认递延所得税资产的可抵扣亏损将于以下年度到期</w:t>
      </w:r>
      <w:r>
        <w:rPr>
          <w:b w:val="0"/>
          <w:bCs w:val="0"/>
        </w:rPr>
      </w:r>
    </w:p>
    <w:p>
      <w:pPr>
        <w:pStyle w:val="BodyText"/>
        <w:spacing w:line="240" w:lineRule="auto" w:before="56"/>
        <w:ind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866" w:space="601"/>
            <w:col w:w="2823"/>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83"/>
        <w:gridCol w:w="2288"/>
        <w:gridCol w:w="2324"/>
        <w:gridCol w:w="2355"/>
      </w:tblGrid>
      <w:tr>
        <w:trPr>
          <w:trHeight w:val="295"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823"/>
              <w:jc w:val="right"/>
              <w:rPr>
                <w:rFonts w:ascii="宋体" w:hAnsi="宋体" w:cs="宋体" w:eastAsia="宋体" w:hint="default"/>
                <w:sz w:val="21"/>
                <w:szCs w:val="21"/>
              </w:rPr>
            </w:pPr>
            <w:r>
              <w:rPr>
                <w:rFonts w:ascii="宋体" w:hAnsi="宋体" w:cs="宋体" w:eastAsia="宋体" w:hint="default"/>
                <w:sz w:val="21"/>
                <w:szCs w:val="21"/>
              </w:rPr>
              <w:t>年份</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18" w:right="0"/>
              <w:jc w:val="left"/>
              <w:rPr>
                <w:rFonts w:ascii="宋体" w:hAnsi="宋体" w:cs="宋体" w:eastAsia="宋体" w:hint="default"/>
                <w:sz w:val="21"/>
                <w:szCs w:val="21"/>
              </w:rPr>
            </w:pPr>
            <w:r>
              <w:rPr>
                <w:rFonts w:ascii="宋体" w:hAnsi="宋体" w:cs="宋体" w:eastAsia="宋体" w:hint="default"/>
                <w:sz w:val="21"/>
                <w:szCs w:val="21"/>
              </w:rPr>
              <w:t>期末金额</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37" w:right="0"/>
              <w:jc w:val="left"/>
              <w:rPr>
                <w:rFonts w:ascii="宋体" w:hAnsi="宋体" w:cs="宋体" w:eastAsia="宋体" w:hint="default"/>
                <w:sz w:val="21"/>
                <w:szCs w:val="21"/>
              </w:rPr>
            </w:pPr>
            <w:r>
              <w:rPr>
                <w:rFonts w:ascii="宋体" w:hAnsi="宋体" w:cs="宋体" w:eastAsia="宋体" w:hint="default"/>
                <w:sz w:val="21"/>
                <w:szCs w:val="21"/>
              </w:rPr>
              <w:t>期初金额</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283"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2288" w:type="dxa"/>
            <w:tcBorders>
              <w:top w:val="single" w:sz="4" w:space="0" w:color="000000"/>
              <w:left w:val="single" w:sz="4" w:space="0" w:color="000000"/>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2288" w:type="dxa"/>
            <w:tcBorders>
              <w:top w:val="single" w:sz="4" w:space="0" w:color="000000"/>
              <w:left w:val="single" w:sz="4" w:space="0" w:color="000000"/>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03" w:right="0"/>
              <w:jc w:val="left"/>
              <w:rPr>
                <w:rFonts w:ascii="宋体" w:hAnsi="宋体" w:cs="宋体" w:eastAsia="宋体" w:hint="default"/>
                <w:sz w:val="21"/>
                <w:szCs w:val="21"/>
              </w:rPr>
            </w:pPr>
            <w:r>
              <w:rPr>
                <w:rFonts w:ascii="宋体"/>
                <w:sz w:val="21"/>
              </w:rPr>
              <w:t>263,189,663.06</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9" w:right="0"/>
              <w:jc w:val="left"/>
              <w:rPr>
                <w:rFonts w:ascii="宋体" w:hAnsi="宋体" w:cs="宋体" w:eastAsia="宋体" w:hint="default"/>
                <w:sz w:val="21"/>
                <w:szCs w:val="21"/>
              </w:rPr>
            </w:pPr>
            <w:r>
              <w:rPr>
                <w:rFonts w:ascii="宋体"/>
                <w:sz w:val="21"/>
              </w:rPr>
              <w:t>263,189,663.06</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3" w:right="0"/>
              <w:jc w:val="left"/>
              <w:rPr>
                <w:rFonts w:ascii="宋体" w:hAnsi="宋体" w:cs="宋体" w:eastAsia="宋体" w:hint="default"/>
                <w:sz w:val="21"/>
                <w:szCs w:val="21"/>
              </w:rPr>
            </w:pPr>
            <w:r>
              <w:rPr>
                <w:rFonts w:ascii="宋体"/>
                <w:sz w:val="21"/>
              </w:rPr>
              <w:t>226,813,293.19</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9" w:right="0"/>
              <w:jc w:val="left"/>
              <w:rPr>
                <w:rFonts w:ascii="宋体" w:hAnsi="宋体" w:cs="宋体" w:eastAsia="宋体" w:hint="default"/>
                <w:sz w:val="21"/>
                <w:szCs w:val="21"/>
              </w:rPr>
            </w:pPr>
            <w:r>
              <w:rPr>
                <w:rFonts w:ascii="宋体"/>
                <w:sz w:val="21"/>
              </w:rPr>
              <w:t>226,813,293.19</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2288" w:type="dxa"/>
            <w:tcBorders>
              <w:top w:val="single" w:sz="4" w:space="0" w:color="000000"/>
              <w:left w:val="single" w:sz="4" w:space="0" w:color="000000"/>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823"/>
              <w:jc w:val="right"/>
              <w:rPr>
                <w:rFonts w:ascii="宋体" w:hAnsi="宋体" w:cs="宋体" w:eastAsia="宋体" w:hint="default"/>
                <w:sz w:val="21"/>
                <w:szCs w:val="21"/>
              </w:rPr>
            </w:pPr>
            <w:r>
              <w:rPr>
                <w:rFonts w:ascii="宋体" w:hAnsi="宋体" w:cs="宋体" w:eastAsia="宋体" w:hint="default"/>
                <w:sz w:val="21"/>
                <w:szCs w:val="21"/>
              </w:rPr>
              <w:t>合计</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03" w:right="0"/>
              <w:jc w:val="left"/>
              <w:rPr>
                <w:rFonts w:ascii="宋体" w:hAnsi="宋体" w:cs="宋体" w:eastAsia="宋体" w:hint="default"/>
                <w:sz w:val="21"/>
                <w:szCs w:val="21"/>
              </w:rPr>
            </w:pPr>
            <w:r>
              <w:rPr>
                <w:rFonts w:ascii="宋体"/>
                <w:sz w:val="21"/>
              </w:rPr>
              <w:t>490,002,956.25</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9" w:right="0"/>
              <w:jc w:val="left"/>
              <w:rPr>
                <w:rFonts w:ascii="宋体" w:hAnsi="宋体" w:cs="宋体" w:eastAsia="宋体" w:hint="default"/>
                <w:sz w:val="21"/>
                <w:szCs w:val="21"/>
              </w:rPr>
            </w:pPr>
            <w:r>
              <w:rPr>
                <w:rFonts w:ascii="宋体"/>
                <w:sz w:val="21"/>
              </w:rPr>
              <w:t>490,002,956.25</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w w:val="100"/>
                <w:sz w:val="21"/>
              </w:rPr>
              <w:t>/</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74" w:lineRule="exact" w:before="36"/>
        <w:ind w:right="2497"/>
        <w:jc w:val="left"/>
      </w:pPr>
      <w:r>
        <w:rPr/>
        <w:t>其他说明：</w:t>
      </w:r>
    </w:p>
    <w:p>
      <w:pPr>
        <w:pStyle w:val="BodyText"/>
        <w:spacing w:line="274" w:lineRule="exact"/>
        <w:ind w:right="2497"/>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2"/>
        <w:spacing w:line="240" w:lineRule="auto" w:before="36"/>
        <w:ind w:right="-18"/>
        <w:jc w:val="left"/>
        <w:rPr>
          <w:b w:val="0"/>
          <w:bCs w:val="0"/>
        </w:rPr>
      </w:pPr>
      <w:r>
        <w:rPr>
          <w:rFonts w:ascii="宋体" w:hAnsi="宋体" w:cs="宋体" w:eastAsia="宋体" w:hint="default"/>
        </w:rPr>
        <w:t>30</w:t>
      </w:r>
      <w:r>
        <w:rPr/>
        <w:t>、</w:t>
      </w:r>
      <w:r>
        <w:rPr>
          <w:spacing w:val="-24"/>
        </w:rPr>
        <w:t> </w:t>
      </w:r>
      <w:r>
        <w:rPr/>
        <w:t>其他非流动资产</w:t>
      </w:r>
      <w:r>
        <w:rPr>
          <w:b w:val="0"/>
          <w:bCs w:val="0"/>
        </w:rPr>
      </w:r>
    </w:p>
    <w:p>
      <w:pPr>
        <w:pStyle w:val="BodyText"/>
        <w:spacing w:line="240" w:lineRule="auto" w:before="56"/>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201" w:space="4321"/>
            <w:col w:w="27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816"/>
        <w:gridCol w:w="3080"/>
        <w:gridCol w:w="3001"/>
      </w:tblGrid>
      <w:tr>
        <w:trPr>
          <w:trHeight w:val="284"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售后回租形成的递延收益</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213,888,427.26</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110,779,943.94</w:t>
            </w:r>
          </w:p>
        </w:tc>
      </w:tr>
      <w:tr>
        <w:trPr>
          <w:trHeight w:val="281"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预付土地款</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162,864,604.00</w:t>
            </w:r>
          </w:p>
        </w:tc>
        <w:tc>
          <w:tcPr>
            <w:tcW w:w="30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待抵扣进项税</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95,897,284.45</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109,710,898.86</w:t>
            </w:r>
          </w:p>
        </w:tc>
      </w:tr>
      <w:tr>
        <w:trPr>
          <w:trHeight w:val="281"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预付造船款</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94,300,402.60</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15,284,000.00</w:t>
            </w:r>
          </w:p>
        </w:tc>
      </w:tr>
      <w:tr>
        <w:trPr>
          <w:trHeight w:val="283"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预付设备款</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76,415,188.03</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48,906,582.54</w:t>
            </w:r>
          </w:p>
        </w:tc>
      </w:tr>
      <w:tr>
        <w:trPr>
          <w:trHeight w:val="283"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643,365,906.34</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284,681,425.34</w:t>
            </w:r>
          </w:p>
        </w:tc>
      </w:tr>
    </w:tbl>
    <w:p>
      <w:pPr>
        <w:spacing w:line="240" w:lineRule="auto" w:before="5"/>
        <w:rPr>
          <w:rFonts w:ascii="宋体" w:hAnsi="宋体" w:cs="宋体" w:eastAsia="宋体" w:hint="default"/>
          <w:sz w:val="15"/>
          <w:szCs w:val="15"/>
        </w:rPr>
      </w:pPr>
    </w:p>
    <w:p>
      <w:pPr>
        <w:pStyle w:val="BodyText"/>
        <w:spacing w:line="274" w:lineRule="exact" w:before="36"/>
        <w:ind w:right="2497"/>
        <w:jc w:val="left"/>
      </w:pPr>
      <w:r>
        <w:rPr/>
        <w:t>其他说明：</w:t>
      </w:r>
    </w:p>
    <w:p>
      <w:pPr>
        <w:pStyle w:val="BodyText"/>
        <w:spacing w:line="272" w:lineRule="exact" w:before="27"/>
        <w:ind w:right="227"/>
        <w:jc w:val="left"/>
      </w:pPr>
      <w:r>
        <w:rPr>
          <w:spacing w:val="-2"/>
        </w:rPr>
        <w:t>其他非流动资产期末余额较期初大幅增长</w:t>
      </w:r>
      <w:r>
        <w:rPr/>
        <w:t> </w:t>
      </w:r>
      <w:r>
        <w:rPr>
          <w:rFonts w:ascii="宋体" w:hAnsi="宋体" w:cs="宋体" w:eastAsia="宋体" w:hint="default"/>
          <w:spacing w:val="-2"/>
        </w:rPr>
        <w:t>126.00%</w:t>
      </w:r>
      <w:r>
        <w:rPr>
          <w:spacing w:val="-2"/>
        </w:rPr>
        <w:t>，主要系购置土地款及售后回租形成递延收益</w:t>
      </w:r>
      <w:r>
        <w:rPr>
          <w:spacing w:val="-72"/>
        </w:rPr>
        <w:t> </w:t>
      </w:r>
      <w:r>
        <w:rPr>
          <w:spacing w:val="-72"/>
        </w:rPr>
      </w:r>
      <w:r>
        <w:rPr/>
        <w:t>增加所致。</w:t>
      </w:r>
    </w:p>
    <w:p>
      <w:pPr>
        <w:spacing w:line="240" w:lineRule="auto" w:before="8"/>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2"/>
        <w:spacing w:line="240" w:lineRule="auto" w:before="36"/>
        <w:ind w:right="-18"/>
        <w:jc w:val="left"/>
        <w:rPr>
          <w:b w:val="0"/>
          <w:bCs w:val="0"/>
        </w:rPr>
      </w:pPr>
      <w:r>
        <w:rPr>
          <w:rFonts w:ascii="宋体" w:hAnsi="宋体" w:cs="宋体" w:eastAsia="宋体" w:hint="default"/>
        </w:rPr>
        <w:t>31</w:t>
      </w:r>
      <w:r>
        <w:rPr/>
        <w:t>、</w:t>
      </w:r>
      <w:r>
        <w:rPr>
          <w:spacing w:val="-25"/>
        </w:rPr>
        <w:t> </w:t>
      </w:r>
      <w:r>
        <w:rPr/>
        <w:t>短期借款</w:t>
      </w:r>
      <w:r>
        <w:rPr>
          <w:b w:val="0"/>
          <w:bCs w:val="0"/>
        </w:rPr>
      </w:r>
    </w:p>
    <w:p>
      <w:pPr>
        <w:pStyle w:val="Heading2"/>
        <w:tabs>
          <w:tab w:pos="849" w:val="left" w:leader="none"/>
        </w:tabs>
        <w:spacing w:line="240" w:lineRule="auto" w:before="58"/>
        <w:ind w:right="-18"/>
        <w:jc w:val="left"/>
        <w:rPr>
          <w:b w:val="0"/>
          <w:bCs w:val="0"/>
        </w:rPr>
      </w:pPr>
      <w:r>
        <w:rPr>
          <w:rFonts w:ascii="宋体" w:hAnsi="宋体" w:cs="宋体" w:eastAsia="宋体" w:hint="default"/>
          <w:w w:val="95"/>
        </w:rPr>
        <w:t>(1).</w:t>
        <w:tab/>
      </w:r>
      <w:r>
        <w:rPr/>
        <w:t>短期借款分类</w:t>
      </w:r>
      <w:r>
        <w:rPr>
          <w:b w:val="0"/>
          <w:bCs w:val="0"/>
        </w:rPr>
      </w:r>
    </w:p>
    <w:p>
      <w:pPr>
        <w:pStyle w:val="BodyText"/>
        <w:spacing w:line="240" w:lineRule="auto" w:before="56"/>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117" w:space="4405"/>
            <w:col w:w="27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873"/>
        <w:gridCol w:w="3003"/>
        <w:gridCol w:w="3020"/>
      </w:tblGrid>
      <w:tr>
        <w:trPr>
          <w:trHeight w:val="283"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17"/>
              <w:jc w:val="right"/>
              <w:rPr>
                <w:rFonts w:ascii="宋体" w:hAnsi="宋体" w:cs="宋体" w:eastAsia="宋体" w:hint="default"/>
                <w:sz w:val="21"/>
                <w:szCs w:val="21"/>
              </w:rPr>
            </w:pPr>
            <w:r>
              <w:rPr>
                <w:rFonts w:ascii="宋体" w:hAnsi="宋体" w:cs="宋体" w:eastAsia="宋体" w:hint="default"/>
                <w:sz w:val="21"/>
                <w:szCs w:val="21"/>
              </w:rPr>
              <w:t>项目</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3003"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1"/>
              <w:jc w:val="right"/>
              <w:rPr>
                <w:rFonts w:ascii="宋体" w:hAnsi="宋体" w:cs="宋体" w:eastAsia="宋体" w:hint="default"/>
                <w:sz w:val="21"/>
                <w:szCs w:val="21"/>
              </w:rPr>
            </w:pPr>
            <w:r>
              <w:rPr>
                <w:rFonts w:ascii="宋体"/>
                <w:spacing w:val="-1"/>
                <w:sz w:val="21"/>
              </w:rPr>
              <w:t>19,400,000.00</w:t>
            </w:r>
          </w:p>
        </w:tc>
      </w:tr>
      <w:tr>
        <w:trPr>
          <w:trHeight w:val="281"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2"/>
              <w:jc w:val="right"/>
              <w:rPr>
                <w:rFonts w:ascii="宋体" w:hAnsi="宋体" w:cs="宋体" w:eastAsia="宋体" w:hint="default"/>
                <w:sz w:val="21"/>
                <w:szCs w:val="21"/>
              </w:rPr>
            </w:pPr>
            <w:r>
              <w:rPr>
                <w:rFonts w:ascii="宋体"/>
                <w:spacing w:val="-1"/>
                <w:sz w:val="21"/>
              </w:rPr>
              <w:t>259,090,000.00</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1"/>
              <w:jc w:val="right"/>
              <w:rPr>
                <w:rFonts w:ascii="宋体" w:hAnsi="宋体" w:cs="宋体" w:eastAsia="宋体" w:hint="default"/>
                <w:sz w:val="21"/>
                <w:szCs w:val="21"/>
              </w:rPr>
            </w:pPr>
            <w:r>
              <w:rPr>
                <w:rFonts w:ascii="宋体"/>
                <w:spacing w:val="-1"/>
                <w:sz w:val="21"/>
              </w:rPr>
              <w:t>452,700,000.00</w:t>
            </w:r>
          </w:p>
        </w:tc>
      </w:tr>
      <w:tr>
        <w:trPr>
          <w:trHeight w:val="283"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2"/>
              <w:jc w:val="right"/>
              <w:rPr>
                <w:rFonts w:ascii="宋体" w:hAnsi="宋体" w:cs="宋体" w:eastAsia="宋体" w:hint="default"/>
                <w:sz w:val="21"/>
                <w:szCs w:val="21"/>
              </w:rPr>
            </w:pPr>
            <w:r>
              <w:rPr>
                <w:rFonts w:ascii="宋体"/>
                <w:spacing w:val="-1"/>
                <w:sz w:val="21"/>
              </w:rPr>
              <w:t>750,000,000.00</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1"/>
              <w:jc w:val="right"/>
              <w:rPr>
                <w:rFonts w:ascii="宋体" w:hAnsi="宋体" w:cs="宋体" w:eastAsia="宋体" w:hint="default"/>
                <w:sz w:val="21"/>
                <w:szCs w:val="21"/>
              </w:rPr>
            </w:pPr>
            <w:r>
              <w:rPr>
                <w:rFonts w:ascii="宋体"/>
                <w:spacing w:val="-1"/>
                <w:sz w:val="21"/>
              </w:rPr>
              <w:t>112,000,000.00</w:t>
            </w:r>
          </w:p>
        </w:tc>
      </w:tr>
      <w:tr>
        <w:trPr>
          <w:trHeight w:val="283"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17"/>
              <w:jc w:val="right"/>
              <w:rPr>
                <w:rFonts w:ascii="宋体" w:hAnsi="宋体" w:cs="宋体" w:eastAsia="宋体" w:hint="default"/>
                <w:sz w:val="21"/>
                <w:szCs w:val="21"/>
              </w:rPr>
            </w:pPr>
            <w:r>
              <w:rPr>
                <w:rFonts w:ascii="宋体" w:hAnsi="宋体" w:cs="宋体" w:eastAsia="宋体" w:hint="default"/>
                <w:sz w:val="21"/>
                <w:szCs w:val="21"/>
              </w:rPr>
              <w:t>合计</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2"/>
              <w:jc w:val="right"/>
              <w:rPr>
                <w:rFonts w:ascii="宋体" w:hAnsi="宋体" w:cs="宋体" w:eastAsia="宋体" w:hint="default"/>
                <w:sz w:val="21"/>
                <w:szCs w:val="21"/>
              </w:rPr>
            </w:pPr>
            <w:r>
              <w:rPr>
                <w:rFonts w:ascii="宋体"/>
                <w:spacing w:val="-1"/>
                <w:sz w:val="21"/>
              </w:rPr>
              <w:t>1,009,090,000.00</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1"/>
              <w:jc w:val="right"/>
              <w:rPr>
                <w:rFonts w:ascii="宋体" w:hAnsi="宋体" w:cs="宋体" w:eastAsia="宋体" w:hint="default"/>
                <w:sz w:val="21"/>
                <w:szCs w:val="21"/>
              </w:rPr>
            </w:pPr>
            <w:r>
              <w:rPr>
                <w:rFonts w:ascii="宋体"/>
                <w:spacing w:val="-1"/>
                <w:sz w:val="21"/>
              </w:rPr>
              <w:t>584,100,000.00</w:t>
            </w:r>
          </w:p>
        </w:tc>
      </w:tr>
    </w:tbl>
    <w:p>
      <w:pPr>
        <w:spacing w:line="240" w:lineRule="auto" w:before="5"/>
        <w:rPr>
          <w:rFonts w:ascii="宋体" w:hAnsi="宋体" w:cs="宋体" w:eastAsia="宋体" w:hint="default"/>
          <w:sz w:val="15"/>
          <w:szCs w:val="15"/>
        </w:rPr>
      </w:pPr>
    </w:p>
    <w:p>
      <w:pPr>
        <w:pStyle w:val="BodyText"/>
        <w:spacing w:line="240" w:lineRule="auto" w:before="36"/>
        <w:ind w:right="6390"/>
        <w:jc w:val="left"/>
      </w:pPr>
      <w:r>
        <w:rPr>
          <w:spacing w:val="-2"/>
        </w:rPr>
        <w:t>短期借款分类的说明：</w:t>
      </w:r>
      <w:r>
        <w:rPr>
          <w:spacing w:val="-85"/>
        </w:rPr>
        <w:t> </w:t>
      </w:r>
      <w:r>
        <w:rPr>
          <w:spacing w:val="-85"/>
        </w:rPr>
      </w:r>
      <w:r>
        <w:rPr/>
        <w:t>不适用</w:t>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Heading2"/>
        <w:spacing w:line="240" w:lineRule="auto" w:before="36"/>
        <w:ind w:right="0"/>
        <w:jc w:val="both"/>
        <w:rPr>
          <w:b w:val="0"/>
          <w:bCs w:val="0"/>
        </w:rPr>
      </w:pPr>
      <w:r>
        <w:rPr>
          <w:rFonts w:ascii="宋体" w:hAnsi="宋体" w:cs="宋体" w:eastAsia="宋体" w:hint="default"/>
        </w:rPr>
        <w:t>(2).</w:t>
      </w:r>
      <w:r>
        <w:rPr>
          <w:rFonts w:ascii="宋体" w:hAnsi="宋体" w:cs="宋体" w:eastAsia="宋体" w:hint="default"/>
          <w:spacing w:val="100"/>
        </w:rPr>
        <w:t> </w:t>
      </w:r>
      <w:r>
        <w:rPr/>
        <w:t>已逾期未偿还的短期借款情况</w:t>
      </w:r>
      <w:r>
        <w:rPr>
          <w:b w:val="0"/>
          <w:bCs w:val="0"/>
        </w:rPr>
      </w:r>
    </w:p>
    <w:p>
      <w:pPr>
        <w:pStyle w:val="BodyText"/>
        <w:spacing w:line="240" w:lineRule="auto" w:before="58"/>
        <w:ind w:right="0"/>
        <w:jc w:val="both"/>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3" w:lineRule="exact"/>
        <w:ind w:right="0"/>
        <w:jc w:val="both"/>
      </w:pPr>
      <w:r>
        <w:rPr/>
        <w:t>其中重要的已逾期未偿还的短期借款情况如下：</w:t>
      </w:r>
    </w:p>
    <w:p>
      <w:pPr>
        <w:pStyle w:val="BodyText"/>
        <w:spacing w:line="240" w:lineRule="auto"/>
        <w:ind w:right="7474"/>
        <w:jc w:val="left"/>
      </w:pPr>
      <w:r>
        <w:rPr/>
        <w:t>□适用</w:t>
      </w:r>
      <w:r>
        <w:rPr>
          <w:spacing w:val="-1"/>
        </w:rPr>
        <w:t> </w:t>
      </w:r>
      <w:r>
        <w:rPr/>
        <w:t>√不适用</w:t>
      </w:r>
      <w:r>
        <w:rPr>
          <w:w w:val="100"/>
        </w:rPr>
        <w:t> </w:t>
      </w:r>
      <w:r>
        <w:rPr/>
        <w:t>其他说明</w:t>
      </w:r>
    </w:p>
    <w:p>
      <w:pPr>
        <w:pStyle w:val="BodyText"/>
        <w:spacing w:line="271" w:lineRule="exact"/>
        <w:ind w:right="0"/>
        <w:jc w:val="both"/>
      </w:pPr>
      <w:r>
        <w:rPr/>
        <w:t>√适用</w:t>
      </w:r>
      <w:r>
        <w:rPr>
          <w:spacing w:val="-1"/>
        </w:rPr>
        <w:t> </w:t>
      </w:r>
      <w:r>
        <w:rPr/>
        <w:t>□不适用</w:t>
      </w:r>
    </w:p>
    <w:p>
      <w:pPr>
        <w:pStyle w:val="BodyText"/>
        <w:spacing w:line="237" w:lineRule="auto" w:before="2"/>
        <w:ind w:right="227"/>
        <w:jc w:val="both"/>
      </w:pPr>
      <w:r>
        <w:rPr>
          <w:spacing w:val="-4"/>
        </w:rPr>
        <w:t>（</w:t>
      </w:r>
      <w:r>
        <w:rPr>
          <w:rFonts w:ascii="宋体" w:hAnsi="宋体" w:cs="宋体" w:eastAsia="宋体" w:hint="default"/>
          <w:spacing w:val="-4"/>
        </w:rPr>
        <w:t>1</w:t>
      </w:r>
      <w:r>
        <w:rPr>
          <w:spacing w:val="-4"/>
        </w:rPr>
        <w:t>）短期借款期末余额中抵押借款余额</w:t>
      </w:r>
      <w:r>
        <w:rPr>
          <w:spacing w:val="-46"/>
        </w:rPr>
        <w:t> </w:t>
      </w:r>
      <w:r>
        <w:rPr>
          <w:rFonts w:ascii="宋体" w:hAnsi="宋体" w:cs="宋体" w:eastAsia="宋体" w:hint="default"/>
        </w:rPr>
        <w:t>25,909.00</w:t>
      </w:r>
      <w:r>
        <w:rPr>
          <w:rFonts w:ascii="宋体" w:hAnsi="宋体" w:cs="宋体" w:eastAsia="宋体" w:hint="default"/>
          <w:spacing w:val="-49"/>
        </w:rPr>
        <w:t> </w:t>
      </w:r>
      <w:r>
        <w:rPr>
          <w:spacing w:val="-11"/>
        </w:rPr>
        <w:t>万元，其中</w:t>
      </w:r>
      <w:r>
        <w:rPr>
          <w:spacing w:val="-46"/>
        </w:rPr>
        <w:t> </w:t>
      </w:r>
      <w:r>
        <w:rPr>
          <w:rFonts w:ascii="宋体" w:hAnsi="宋体" w:cs="宋体" w:eastAsia="宋体" w:hint="default"/>
        </w:rPr>
        <w:t>25,249.00</w:t>
      </w:r>
      <w:r>
        <w:rPr>
          <w:rFonts w:ascii="宋体" w:hAnsi="宋体" w:cs="宋体" w:eastAsia="宋体" w:hint="default"/>
          <w:spacing w:val="-49"/>
        </w:rPr>
        <w:t> </w:t>
      </w:r>
      <w:r>
        <w:rPr/>
        <w:t>万元系由本公司以自有</w:t>
      </w:r>
      <w:r>
        <w:rPr>
          <w:spacing w:val="-102"/>
        </w:rPr>
        <w:t> </w:t>
      </w:r>
      <w:r>
        <w:rPr>
          <w:spacing w:val="-102"/>
        </w:rPr>
      </w:r>
      <w:r>
        <w:rPr/>
        <w:t>船舶提供的抵押，</w:t>
      </w:r>
      <w:r>
        <w:rPr>
          <w:rFonts w:ascii="宋体" w:hAnsi="宋体" w:cs="宋体" w:eastAsia="宋体" w:hint="default"/>
        </w:rPr>
        <w:t>660.00</w:t>
      </w:r>
      <w:r>
        <w:rPr>
          <w:rFonts w:ascii="宋体" w:hAnsi="宋体" w:cs="宋体" w:eastAsia="宋体" w:hint="default"/>
          <w:spacing w:val="-23"/>
        </w:rPr>
        <w:t> </w:t>
      </w:r>
      <w:r>
        <w:rPr>
          <w:spacing w:val="-3"/>
        </w:rPr>
        <w:t>万元系郭东泽、林亚查以其房屋产权及土地使用权提供的抵押；保证借</w:t>
      </w:r>
      <w:r>
        <w:rPr>
          <w:spacing w:val="-92"/>
        </w:rPr>
        <w:t> </w:t>
      </w:r>
      <w:r>
        <w:rPr>
          <w:spacing w:val="-92"/>
        </w:rPr>
      </w:r>
      <w:r>
        <w:rPr/>
        <w:t>款余额</w:t>
      </w:r>
      <w:r>
        <w:rPr>
          <w:spacing w:val="-55"/>
        </w:rPr>
        <w:t> </w:t>
      </w:r>
      <w:r>
        <w:rPr>
          <w:rFonts w:ascii="宋体" w:hAnsi="宋体" w:cs="宋体" w:eastAsia="宋体" w:hint="default"/>
        </w:rPr>
        <w:t>75,000.00</w:t>
      </w:r>
      <w:r>
        <w:rPr>
          <w:rFonts w:ascii="宋体" w:hAnsi="宋体" w:cs="宋体" w:eastAsia="宋体" w:hint="default"/>
          <w:spacing w:val="-55"/>
        </w:rPr>
        <w:t> </w:t>
      </w:r>
      <w:r>
        <w:rPr/>
        <w:t>万元系本公司、泉州安盛船务有限公司、郭东圣、郭东泽、林丽森、林亚查提</w:t>
      </w:r>
      <w:r>
        <w:rPr>
          <w:w w:val="100"/>
        </w:rPr>
        <w:t> </w:t>
      </w:r>
      <w:r>
        <w:rPr/>
        <w:t>供保证担保。</w:t>
      </w:r>
    </w:p>
    <w:p>
      <w:pPr>
        <w:pStyle w:val="BodyText"/>
        <w:spacing w:line="272" w:lineRule="exact"/>
        <w:ind w:right="0"/>
        <w:jc w:val="both"/>
      </w:pPr>
      <w:r>
        <w:rPr/>
        <w:t>（</w:t>
      </w:r>
      <w:r>
        <w:rPr>
          <w:rFonts w:ascii="宋体" w:hAnsi="宋体" w:cs="宋体" w:eastAsia="宋体" w:hint="default"/>
        </w:rPr>
        <w:t>2</w:t>
      </w:r>
      <w:r>
        <w:rPr/>
        <w:t>）期末无已到期未偿还的短期借款。</w:t>
      </w:r>
    </w:p>
    <w:p>
      <w:pPr>
        <w:spacing w:line="290" w:lineRule="auto" w:before="0"/>
        <w:ind w:left="218" w:right="975" w:firstLine="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3</w:t>
      </w:r>
      <w:r>
        <w:rPr>
          <w:rFonts w:ascii="宋体" w:hAnsi="宋体" w:cs="宋体" w:eastAsia="宋体" w:hint="default"/>
          <w:spacing w:val="-2"/>
          <w:sz w:val="21"/>
          <w:szCs w:val="21"/>
        </w:rPr>
        <w:t>）短期借款期末余额较期初增长</w:t>
      </w:r>
      <w:r>
        <w:rPr>
          <w:rFonts w:ascii="宋体" w:hAnsi="宋体" w:cs="宋体" w:eastAsia="宋体" w:hint="default"/>
          <w:sz w:val="21"/>
          <w:szCs w:val="21"/>
        </w:rPr>
        <w:t> </w:t>
      </w:r>
      <w:r>
        <w:rPr>
          <w:rFonts w:ascii="宋体" w:hAnsi="宋体" w:cs="宋体" w:eastAsia="宋体" w:hint="default"/>
          <w:spacing w:val="-2"/>
          <w:sz w:val="21"/>
          <w:szCs w:val="21"/>
        </w:rPr>
        <w:t>72.76%</w:t>
      </w:r>
      <w:r>
        <w:rPr>
          <w:rFonts w:ascii="宋体" w:hAnsi="宋体" w:cs="宋体" w:eastAsia="宋体" w:hint="default"/>
          <w:spacing w:val="-2"/>
          <w:sz w:val="21"/>
          <w:szCs w:val="21"/>
        </w:rPr>
        <w:t>，主要系业务扩张，资金需求较大所致。</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b/>
          <w:bCs/>
          <w:sz w:val="21"/>
          <w:szCs w:val="21"/>
        </w:rPr>
        <w:t>32</w:t>
      </w:r>
      <w:r>
        <w:rPr>
          <w:rFonts w:ascii="宋体" w:hAnsi="宋体" w:cs="宋体" w:eastAsia="宋体" w:hint="default"/>
          <w:b/>
          <w:bCs/>
          <w:sz w:val="21"/>
          <w:szCs w:val="21"/>
        </w:rPr>
        <w:t>、</w:t>
      </w:r>
      <w:r>
        <w:rPr>
          <w:rFonts w:ascii="宋体" w:hAnsi="宋体" w:cs="宋体" w:eastAsia="宋体" w:hint="default"/>
          <w:b/>
          <w:bCs/>
          <w:spacing w:val="-27"/>
          <w:sz w:val="21"/>
          <w:szCs w:val="21"/>
        </w:rPr>
        <w:t> </w:t>
      </w:r>
      <w:r>
        <w:rPr>
          <w:rFonts w:ascii="宋体" w:hAnsi="宋体" w:cs="宋体" w:eastAsia="宋体" w:hint="default"/>
          <w:b/>
          <w:bCs/>
          <w:sz w:val="21"/>
          <w:szCs w:val="21"/>
        </w:rPr>
        <w:t>以公允价值计量且其变动计入当期损益的金融负债</w:t>
      </w:r>
      <w:r>
        <w:rPr>
          <w:rFonts w:ascii="宋体" w:hAnsi="宋体" w:cs="宋体" w:eastAsia="宋体" w:hint="default"/>
          <w:sz w:val="21"/>
          <w:szCs w:val="21"/>
        </w:rPr>
      </w:r>
    </w:p>
    <w:p>
      <w:pPr>
        <w:spacing w:line="290" w:lineRule="auto" w:before="12"/>
        <w:ind w:left="218" w:right="727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33</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衍生金融负债</w:t>
      </w:r>
      <w:r>
        <w:rPr>
          <w:rFonts w:ascii="宋体" w:hAnsi="宋体" w:cs="宋体" w:eastAsia="宋体" w:hint="default"/>
          <w:sz w:val="21"/>
          <w:szCs w:val="21"/>
        </w:rPr>
      </w:r>
    </w:p>
    <w:p>
      <w:pPr>
        <w:spacing w:line="290" w:lineRule="auto" w:before="12"/>
        <w:ind w:left="218" w:right="747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34</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应付票据</w:t>
      </w:r>
      <w:r>
        <w:rPr>
          <w:rFonts w:ascii="宋体" w:hAnsi="宋体" w:cs="宋体" w:eastAsia="宋体" w:hint="default"/>
          <w:sz w:val="21"/>
          <w:szCs w:val="21"/>
        </w:rPr>
      </w:r>
    </w:p>
    <w:p>
      <w:pPr>
        <w:pStyle w:val="BodyText"/>
        <w:spacing w:line="240" w:lineRule="auto" w:before="12"/>
        <w:ind w:right="0"/>
        <w:jc w:val="both"/>
      </w:pPr>
      <w:r>
        <w:rPr/>
        <w:t>√适用</w:t>
      </w:r>
      <w:r>
        <w:rPr>
          <w:spacing w:val="-1"/>
        </w:rPr>
        <w:t> </w:t>
      </w:r>
      <w:r>
        <w:rPr/>
        <w:t>□不适用</w:t>
      </w:r>
    </w:p>
    <w:p>
      <w:pPr>
        <w:pStyle w:val="BodyText"/>
        <w:tabs>
          <w:tab w:pos="1051" w:val="left" w:leader="none"/>
        </w:tabs>
        <w:spacing w:line="271" w:lineRule="exact"/>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312"/>
        <w:gridCol w:w="3339"/>
        <w:gridCol w:w="3245"/>
      </w:tblGrid>
      <w:tr>
        <w:trPr>
          <w:trHeight w:val="283"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8"/>
              <w:jc w:val="right"/>
              <w:rPr>
                <w:rFonts w:ascii="宋体" w:hAnsi="宋体" w:cs="宋体" w:eastAsia="宋体" w:hint="default"/>
                <w:sz w:val="21"/>
                <w:szCs w:val="21"/>
              </w:rPr>
            </w:pPr>
            <w:r>
              <w:rPr>
                <w:rFonts w:ascii="宋体" w:hAnsi="宋体" w:cs="宋体" w:eastAsia="宋体" w:hint="default"/>
                <w:sz w:val="21"/>
                <w:szCs w:val="21"/>
              </w:rPr>
              <w:t>种类</w:t>
            </w:r>
          </w:p>
        </w:tc>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4"/>
              <w:jc w:val="right"/>
              <w:rPr>
                <w:rFonts w:ascii="宋体" w:hAnsi="宋体" w:cs="宋体" w:eastAsia="宋体" w:hint="default"/>
                <w:sz w:val="21"/>
                <w:szCs w:val="21"/>
              </w:rPr>
            </w:pPr>
            <w:r>
              <w:rPr>
                <w:rFonts w:ascii="宋体"/>
                <w:spacing w:val="-1"/>
                <w:sz w:val="21"/>
              </w:rPr>
              <w:t>191,420,000.00</w:t>
            </w:r>
          </w:p>
        </w:tc>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304,660,000.00</w:t>
            </w:r>
          </w:p>
        </w:tc>
      </w:tr>
      <w:tr>
        <w:trPr>
          <w:trHeight w:val="284"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8"/>
              <w:jc w:val="right"/>
              <w:rPr>
                <w:rFonts w:ascii="宋体" w:hAnsi="宋体" w:cs="宋体" w:eastAsia="宋体" w:hint="default"/>
                <w:sz w:val="21"/>
                <w:szCs w:val="21"/>
              </w:rPr>
            </w:pPr>
            <w:r>
              <w:rPr>
                <w:rFonts w:ascii="宋体" w:hAnsi="宋体" w:cs="宋体" w:eastAsia="宋体" w:hint="default"/>
                <w:sz w:val="21"/>
                <w:szCs w:val="21"/>
              </w:rPr>
              <w:t>合计</w:t>
            </w:r>
          </w:p>
        </w:tc>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191,420,000.00</w:t>
            </w:r>
          </w:p>
        </w:tc>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304,660,000.00</w:t>
            </w:r>
          </w:p>
        </w:tc>
      </w:tr>
    </w:tbl>
    <w:p>
      <w:pPr>
        <w:pStyle w:val="BodyText"/>
        <w:spacing w:line="241" w:lineRule="exact"/>
        <w:ind w:right="2497"/>
        <w:jc w:val="left"/>
      </w:pPr>
      <w:r>
        <w:rPr/>
        <w:t>本期末已到期未支付的应付票据总额为 </w:t>
      </w:r>
      <w:r>
        <w:rPr>
          <w:rFonts w:ascii="宋体" w:hAnsi="宋体" w:cs="宋体" w:eastAsia="宋体" w:hint="default"/>
        </w:rPr>
        <w:t>0</w:t>
      </w:r>
      <w:r>
        <w:rPr>
          <w:rFonts w:ascii="宋体" w:hAnsi="宋体" w:cs="宋体" w:eastAsia="宋体" w:hint="default"/>
          <w:spacing w:val="-53"/>
        </w:rPr>
        <w:t> </w:t>
      </w:r>
      <w:r>
        <w:rPr>
          <w:spacing w:val="-3"/>
        </w:rPr>
        <w:t>元。</w:t>
      </w:r>
      <w:r>
        <w:rPr/>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1040"/>
        </w:sectPr>
      </w:pPr>
    </w:p>
    <w:p>
      <w:pPr>
        <w:pStyle w:val="Heading2"/>
        <w:spacing w:line="240" w:lineRule="auto" w:before="36"/>
        <w:ind w:right="-19"/>
        <w:jc w:val="left"/>
        <w:rPr>
          <w:b w:val="0"/>
          <w:bCs w:val="0"/>
        </w:rPr>
      </w:pPr>
      <w:r>
        <w:rPr>
          <w:rFonts w:ascii="宋体" w:hAnsi="宋体" w:cs="宋体" w:eastAsia="宋体" w:hint="default"/>
        </w:rPr>
        <w:t>35</w:t>
      </w:r>
      <w:r>
        <w:rPr/>
        <w:t>、</w:t>
      </w:r>
      <w:r>
        <w:rPr>
          <w:spacing w:val="-25"/>
        </w:rPr>
        <w:t> </w:t>
      </w:r>
      <w:r>
        <w:rPr/>
        <w:t>应付账款</w:t>
      </w:r>
      <w:r>
        <w:rPr>
          <w:b w:val="0"/>
          <w:bCs w:val="0"/>
        </w:rPr>
      </w:r>
    </w:p>
    <w:p>
      <w:pPr>
        <w:pStyle w:val="Heading2"/>
        <w:spacing w:line="240" w:lineRule="auto" w:before="56"/>
        <w:ind w:right="-19"/>
        <w:jc w:val="left"/>
        <w:rPr>
          <w:b w:val="0"/>
          <w:bCs w:val="0"/>
        </w:rPr>
      </w:pPr>
      <w:r>
        <w:rPr>
          <w:rFonts w:ascii="宋体" w:hAnsi="宋体" w:cs="宋体" w:eastAsia="宋体" w:hint="default"/>
        </w:rPr>
        <w:t>(1).</w:t>
      </w:r>
      <w:r>
        <w:rPr>
          <w:rFonts w:ascii="宋体" w:hAnsi="宋体" w:cs="宋体" w:eastAsia="宋体" w:hint="default"/>
          <w:spacing w:val="60"/>
        </w:rPr>
        <w:t> </w:t>
      </w:r>
      <w:r>
        <w:rPr/>
        <w:t>应付账款列示</w:t>
      </w:r>
      <w:r>
        <w:rPr>
          <w:b w:val="0"/>
          <w:bCs w:val="0"/>
        </w:rPr>
      </w:r>
    </w:p>
    <w:p>
      <w:pPr>
        <w:pStyle w:val="BodyText"/>
        <w:spacing w:line="240" w:lineRule="auto" w:before="58"/>
        <w:ind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074" w:space="4448"/>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42"/>
        <w:gridCol w:w="2866"/>
        <w:gridCol w:w="3341"/>
      </w:tblGrid>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拖车费</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335,387,495.31</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190,328,255.56</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码头费</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249,456,741.76</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156,782,975.55</w:t>
            </w:r>
          </w:p>
        </w:tc>
      </w:tr>
      <w:tr>
        <w:trPr>
          <w:trHeight w:val="281"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航租款</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158,301,317.05</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108,058,976.80</w:t>
            </w:r>
          </w:p>
        </w:tc>
      </w:tr>
      <w:tr>
        <w:trPr>
          <w:trHeight w:val="284"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燃料款</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109,199,242.84</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55,020,993.46</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租箱费</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70,883,050.14</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28,557,251.76</w:t>
            </w:r>
          </w:p>
        </w:tc>
      </w:tr>
      <w:tr>
        <w:trPr>
          <w:trHeight w:val="281"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劳务费</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45,779,173.30</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8,813,205.00</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铁路费</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36,036,480.58</w:t>
            </w:r>
          </w:p>
        </w:tc>
        <w:tc>
          <w:tcPr>
            <w:tcW w:w="33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船舶设备及材料款</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5,947,866.15</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32,184,786.00</w:t>
            </w:r>
          </w:p>
        </w:tc>
      </w:tr>
      <w:tr>
        <w:trPr>
          <w:trHeight w:val="281"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19,050,390.51</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24,027,045.19</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1,030,041,757.64</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603,773,489.32</w:t>
            </w:r>
          </w:p>
        </w:tc>
      </w:tr>
    </w:tbl>
    <w:p>
      <w:pPr>
        <w:spacing w:line="240" w:lineRule="auto" w:before="2"/>
        <w:rPr>
          <w:rFonts w:ascii="宋体" w:hAnsi="宋体" w:cs="宋体" w:eastAsia="宋体" w:hint="default"/>
          <w:sz w:val="20"/>
          <w:szCs w:val="20"/>
        </w:rPr>
      </w:pPr>
    </w:p>
    <w:p>
      <w:pPr>
        <w:pStyle w:val="Heading2"/>
        <w:spacing w:line="240" w:lineRule="auto" w:before="36"/>
        <w:ind w:right="2497"/>
        <w:jc w:val="left"/>
        <w:rPr>
          <w:b w:val="0"/>
          <w:bCs w:val="0"/>
        </w:rPr>
      </w:pPr>
      <w:r>
        <w:rPr>
          <w:rFonts w:ascii="宋体" w:hAnsi="宋体" w:cs="宋体" w:eastAsia="宋体" w:hint="default"/>
        </w:rPr>
        <w:t>(2). </w:t>
      </w:r>
      <w:r>
        <w:rPr/>
        <w:t>账龄超过 </w:t>
      </w:r>
      <w:r>
        <w:rPr>
          <w:rFonts w:ascii="Cambria" w:hAnsi="Cambria" w:cs="Cambria" w:eastAsia="Cambria" w:hint="default"/>
        </w:rPr>
        <w:t>1</w:t>
      </w:r>
      <w:r>
        <w:rPr>
          <w:rFonts w:ascii="Cambria" w:hAnsi="Cambria" w:cs="Cambria" w:eastAsia="Cambria" w:hint="default"/>
          <w:spacing w:val="9"/>
        </w:rPr>
        <w:t> </w:t>
      </w:r>
      <w:r>
        <w:rPr/>
        <w:t>年的重要应付账款</w:t>
      </w:r>
      <w:r>
        <w:rPr>
          <w:b w:val="0"/>
          <w:bCs w:val="0"/>
        </w:rPr>
      </w:r>
    </w:p>
    <w:p>
      <w:pPr>
        <w:pStyle w:val="BodyText"/>
        <w:spacing w:line="240" w:lineRule="auto" w:before="39"/>
        <w:ind w:right="7474"/>
        <w:jc w:val="left"/>
      </w:pPr>
      <w:r>
        <w:rPr/>
        <w:t>□适用</w:t>
      </w:r>
      <w:r>
        <w:rPr>
          <w:spacing w:val="-1"/>
        </w:rPr>
        <w:t> </w:t>
      </w:r>
      <w:r>
        <w:rPr/>
        <w:t>√不适用</w:t>
      </w:r>
      <w:r>
        <w:rPr>
          <w:w w:val="100"/>
        </w:rPr>
        <w:t> </w:t>
      </w:r>
      <w:r>
        <w:rPr/>
        <w:t>其他说明</w:t>
      </w:r>
    </w:p>
    <w:p>
      <w:pPr>
        <w:pStyle w:val="BodyText"/>
        <w:spacing w:line="271" w:lineRule="exact"/>
        <w:ind w:right="2497"/>
        <w:jc w:val="left"/>
      </w:pPr>
      <w:r>
        <w:rPr/>
        <w:t>√适用</w:t>
      </w:r>
      <w:r>
        <w:rPr>
          <w:spacing w:val="-1"/>
        </w:rPr>
        <w:t> </w:t>
      </w:r>
      <w:r>
        <w:rPr/>
        <w:t>□不适用</w:t>
      </w:r>
    </w:p>
    <w:p>
      <w:pPr>
        <w:pStyle w:val="BodyText"/>
        <w:spacing w:line="274" w:lineRule="exact"/>
        <w:ind w:right="2497"/>
        <w:jc w:val="left"/>
      </w:pPr>
      <w:r>
        <w:rPr>
          <w:spacing w:val="-2"/>
        </w:rPr>
        <w:t>应付账款期末余额较期初增长</w:t>
      </w:r>
      <w:r>
        <w:rPr>
          <w:spacing w:val="3"/>
        </w:rPr>
        <w:t> </w:t>
      </w:r>
      <w:r>
        <w:rPr>
          <w:rFonts w:ascii="宋体" w:hAnsi="宋体" w:cs="宋体" w:eastAsia="宋体" w:hint="default"/>
          <w:spacing w:val="-2"/>
        </w:rPr>
        <w:t>70.60%</w:t>
      </w:r>
      <w:r>
        <w:rPr>
          <w:spacing w:val="-2"/>
        </w:rPr>
        <w:t>，主要系业务量增长所致。</w:t>
      </w:r>
    </w:p>
    <w:p>
      <w:pPr>
        <w:spacing w:after="0" w:line="274" w:lineRule="exact"/>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40"/>
        </w:sectPr>
      </w:pPr>
    </w:p>
    <w:p>
      <w:pPr>
        <w:pStyle w:val="Heading2"/>
        <w:spacing w:line="240" w:lineRule="auto" w:before="36"/>
        <w:ind w:right="-19"/>
        <w:jc w:val="left"/>
        <w:rPr>
          <w:b w:val="0"/>
          <w:bCs w:val="0"/>
        </w:rPr>
      </w:pPr>
      <w:r>
        <w:rPr>
          <w:rFonts w:ascii="宋体" w:hAnsi="宋体" w:cs="宋体" w:eastAsia="宋体" w:hint="default"/>
        </w:rPr>
        <w:t>36</w:t>
      </w:r>
      <w:r>
        <w:rPr/>
        <w:t>、</w:t>
      </w:r>
      <w:r>
        <w:rPr>
          <w:spacing w:val="-25"/>
        </w:rPr>
        <w:t> </w:t>
      </w:r>
      <w:r>
        <w:rPr/>
        <w:t>预收款项</w:t>
      </w:r>
      <w:r>
        <w:rPr>
          <w:b w:val="0"/>
          <w:bCs w:val="0"/>
        </w:rPr>
      </w:r>
    </w:p>
    <w:p>
      <w:pPr>
        <w:pStyle w:val="Heading2"/>
        <w:spacing w:line="240" w:lineRule="auto" w:before="58"/>
        <w:ind w:right="-19"/>
        <w:jc w:val="left"/>
        <w:rPr>
          <w:b w:val="0"/>
          <w:bCs w:val="0"/>
        </w:rPr>
      </w:pPr>
      <w:r>
        <w:rPr>
          <w:rFonts w:ascii="宋体" w:hAnsi="宋体" w:cs="宋体" w:eastAsia="宋体" w:hint="default"/>
        </w:rPr>
        <w:t>(1). </w:t>
      </w:r>
      <w:r>
        <w:rPr/>
        <w:t>预收账款项列示</w:t>
      </w:r>
      <w:r>
        <w:rPr>
          <w:b w:val="0"/>
          <w:bCs w:val="0"/>
        </w:rPr>
      </w:r>
    </w:p>
    <w:p>
      <w:pPr>
        <w:pStyle w:val="BodyText"/>
        <w:spacing w:line="240" w:lineRule="auto" w:before="56"/>
        <w:ind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225" w:space="4297"/>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0"/>
        <w:gridCol w:w="3077"/>
        <w:gridCol w:w="3073"/>
      </w:tblGrid>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预收物流服务业务款</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42,146,010.06</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11,427,807.41</w:t>
            </w:r>
          </w:p>
        </w:tc>
      </w:tr>
      <w:tr>
        <w:trPr>
          <w:trHeight w:val="281"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42,146,010.06</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11,427,807.41</w:t>
            </w:r>
          </w:p>
        </w:tc>
      </w:tr>
    </w:tbl>
    <w:p>
      <w:pPr>
        <w:spacing w:line="240" w:lineRule="auto" w:before="2"/>
        <w:rPr>
          <w:rFonts w:ascii="宋体" w:hAnsi="宋体" w:cs="宋体" w:eastAsia="宋体" w:hint="default"/>
          <w:sz w:val="20"/>
          <w:szCs w:val="20"/>
        </w:rPr>
      </w:pPr>
    </w:p>
    <w:p>
      <w:pPr>
        <w:pStyle w:val="Heading2"/>
        <w:spacing w:line="240" w:lineRule="auto" w:before="36"/>
        <w:ind w:right="2497"/>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Cambria" w:hAnsi="Cambria" w:cs="Cambria" w:eastAsia="Cambria" w:hint="default"/>
        </w:rPr>
        <w:t>1</w:t>
      </w:r>
      <w:r>
        <w:rPr>
          <w:rFonts w:ascii="Cambria" w:hAnsi="Cambria" w:cs="Cambria" w:eastAsia="Cambria" w:hint="default"/>
          <w:spacing w:val="3"/>
        </w:rPr>
        <w:t> </w:t>
      </w:r>
      <w:r>
        <w:rPr/>
        <w:t>年的重要预收款项</w:t>
      </w:r>
      <w:r>
        <w:rPr>
          <w:b w:val="0"/>
          <w:bCs w:val="0"/>
        </w:rPr>
      </w:r>
    </w:p>
    <w:p>
      <w:pPr>
        <w:pStyle w:val="BodyText"/>
        <w:spacing w:line="240" w:lineRule="auto" w:before="39"/>
        <w:ind w:right="2497"/>
        <w:jc w:val="left"/>
      </w:pPr>
      <w:r>
        <w:rPr/>
        <w:t>□适用</w:t>
      </w:r>
      <w:r>
        <w:rPr>
          <w:spacing w:val="-1"/>
        </w:rPr>
        <w:t> </w:t>
      </w:r>
      <w:r>
        <w:rPr/>
        <w:t>√不适用</w:t>
      </w:r>
    </w:p>
    <w:p>
      <w:pPr>
        <w:pStyle w:val="Heading2"/>
        <w:spacing w:line="240" w:lineRule="auto" w:before="58"/>
        <w:ind w:right="2497"/>
        <w:jc w:val="left"/>
        <w:rPr>
          <w:b w:val="0"/>
          <w:bCs w:val="0"/>
        </w:rPr>
      </w:pPr>
      <w:r>
        <w:rPr>
          <w:rFonts w:ascii="宋体" w:hAnsi="宋体" w:cs="宋体" w:eastAsia="宋体" w:hint="default"/>
        </w:rPr>
        <w:t>(3).</w:t>
      </w:r>
      <w:r>
        <w:rPr>
          <w:rFonts w:ascii="宋体" w:hAnsi="宋体" w:cs="宋体" w:eastAsia="宋体" w:hint="default"/>
          <w:spacing w:val="-1"/>
        </w:rPr>
        <w:t> </w:t>
      </w:r>
      <w:r>
        <w:rPr/>
        <w:t>期末建造合同形成的已结算未完工项目情况：</w:t>
      </w:r>
      <w:r>
        <w:rPr>
          <w:b w:val="0"/>
          <w:bCs w:val="0"/>
        </w:rPr>
      </w:r>
    </w:p>
    <w:p>
      <w:pPr>
        <w:pStyle w:val="BodyText"/>
        <w:spacing w:line="240" w:lineRule="auto" w:before="57"/>
        <w:ind w:right="7474"/>
        <w:jc w:val="left"/>
      </w:pPr>
      <w:r>
        <w:rPr/>
        <w:t>□适用</w:t>
      </w:r>
      <w:r>
        <w:rPr>
          <w:spacing w:val="-1"/>
        </w:rPr>
        <w:t> </w:t>
      </w:r>
      <w:r>
        <w:rPr/>
        <w:t>√不适用</w:t>
      </w:r>
      <w:r>
        <w:rPr>
          <w:w w:val="100"/>
        </w:rPr>
        <w:t> </w:t>
      </w:r>
      <w:r>
        <w:rPr/>
        <w:t>其他说明</w:t>
      </w:r>
    </w:p>
    <w:p>
      <w:pPr>
        <w:pStyle w:val="BodyText"/>
        <w:spacing w:line="271" w:lineRule="exact"/>
        <w:ind w:right="2497"/>
        <w:jc w:val="left"/>
      </w:pPr>
      <w:r>
        <w:rPr/>
        <w:t>√适用</w:t>
      </w:r>
      <w:r>
        <w:rPr>
          <w:spacing w:val="-1"/>
        </w:rPr>
        <w:t> </w:t>
      </w:r>
      <w:r>
        <w:rPr/>
        <w:t>□不适用</w:t>
      </w:r>
    </w:p>
    <w:p>
      <w:pPr>
        <w:pStyle w:val="BodyText"/>
        <w:spacing w:line="274" w:lineRule="exact"/>
        <w:ind w:right="0"/>
        <w:jc w:val="left"/>
      </w:pPr>
      <w:r>
        <w:rPr/>
        <w:t>预收账款期末余额较期初增长</w:t>
      </w:r>
      <w:r>
        <w:rPr>
          <w:spacing w:val="-12"/>
        </w:rPr>
        <w:t> </w:t>
      </w:r>
      <w:r>
        <w:rPr>
          <w:rFonts w:ascii="宋体" w:hAnsi="宋体" w:cs="宋体" w:eastAsia="宋体" w:hint="default"/>
          <w:spacing w:val="-6"/>
        </w:rPr>
        <w:t>268.80%</w:t>
      </w:r>
      <w:r>
        <w:rPr>
          <w:spacing w:val="-6"/>
        </w:rPr>
        <w:t>，主要系业务规模扩大，期末预收的物流服务款增加所致。</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2"/>
        <w:spacing w:line="290" w:lineRule="auto" w:before="36"/>
        <w:ind w:right="-16"/>
        <w:jc w:val="left"/>
        <w:rPr>
          <w:b w:val="0"/>
          <w:bCs w:val="0"/>
        </w:rPr>
      </w:pPr>
      <w:r>
        <w:rPr>
          <w:rFonts w:ascii="宋体" w:hAnsi="宋体" w:cs="宋体" w:eastAsia="宋体" w:hint="default"/>
        </w:rPr>
        <w:t>37</w:t>
      </w:r>
      <w:r>
        <w:rPr/>
        <w:t>、</w:t>
      </w:r>
      <w:r>
        <w:rPr>
          <w:spacing w:val="-25"/>
        </w:rPr>
        <w:t> </w:t>
      </w:r>
      <w:r>
        <w:rPr/>
        <w:t>应付职工薪酬</w:t>
      </w:r>
      <w:r>
        <w:rPr>
          <w:w w:val="100"/>
        </w:rPr>
        <w:t> </w:t>
      </w:r>
      <w:r>
        <w:rPr>
          <w:rFonts w:ascii="宋体" w:hAnsi="宋体" w:cs="宋体" w:eastAsia="宋体" w:hint="default"/>
        </w:rPr>
        <w:t>(1).</w:t>
      </w:r>
      <w:r>
        <w:rPr/>
        <w:t>应付职工薪酬列示：</w:t>
      </w:r>
      <w:r>
        <w:rPr>
          <w:b w:val="0"/>
          <w:bCs w:val="0"/>
        </w:rPr>
      </w:r>
    </w:p>
    <w:p>
      <w:pPr>
        <w:pStyle w:val="BodyText"/>
        <w:spacing w:line="240" w:lineRule="auto" w:before="14"/>
        <w:ind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544" w:space="3978"/>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600"/>
        <w:gridCol w:w="1613"/>
        <w:gridCol w:w="1606"/>
        <w:gridCol w:w="1611"/>
        <w:gridCol w:w="1620"/>
      </w:tblGrid>
      <w:tr>
        <w:trPr>
          <w:trHeight w:val="281"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2"/>
              <w:jc w:val="right"/>
              <w:rPr>
                <w:rFonts w:ascii="宋体" w:hAnsi="宋体" w:cs="宋体" w:eastAsia="宋体" w:hint="default"/>
                <w:sz w:val="21"/>
                <w:szCs w:val="21"/>
              </w:rPr>
            </w:pPr>
            <w:r>
              <w:rPr>
                <w:rFonts w:ascii="宋体" w:hAnsi="宋体" w:cs="宋体" w:eastAsia="宋体" w:hint="default"/>
                <w:sz w:val="21"/>
                <w:szCs w:val="21"/>
              </w:rPr>
              <w:t>项目</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5"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一、短期薪酬</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 w:right="0"/>
              <w:jc w:val="center"/>
              <w:rPr>
                <w:rFonts w:ascii="宋体" w:hAnsi="宋体" w:cs="宋体" w:eastAsia="宋体" w:hint="default"/>
                <w:sz w:val="21"/>
                <w:szCs w:val="21"/>
              </w:rPr>
            </w:pPr>
            <w:r>
              <w:rPr>
                <w:rFonts w:ascii="宋体"/>
                <w:sz w:val="21"/>
              </w:rPr>
              <w:t>13,980,668.02</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210,503,614.1</w:t>
            </w:r>
          </w:p>
          <w:p>
            <w:pPr>
              <w:pStyle w:val="TableParagraph"/>
              <w:spacing w:line="274" w:lineRule="exact"/>
              <w:ind w:right="101"/>
              <w:jc w:val="right"/>
              <w:rPr>
                <w:rFonts w:ascii="宋体" w:hAnsi="宋体" w:cs="宋体" w:eastAsia="宋体" w:hint="default"/>
                <w:sz w:val="21"/>
                <w:szCs w:val="21"/>
              </w:rPr>
            </w:pPr>
            <w:r>
              <w:rPr>
                <w:rFonts w:ascii="宋体"/>
                <w:w w:val="100"/>
                <w:sz w:val="21"/>
              </w:rPr>
              <w:t>7</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209,069,927.8</w:t>
            </w:r>
          </w:p>
          <w:p>
            <w:pPr>
              <w:pStyle w:val="TableParagraph"/>
              <w:spacing w:line="274" w:lineRule="exact"/>
              <w:ind w:right="101"/>
              <w:jc w:val="right"/>
              <w:rPr>
                <w:rFonts w:ascii="宋体" w:hAnsi="宋体" w:cs="宋体" w:eastAsia="宋体" w:hint="default"/>
                <w:sz w:val="21"/>
                <w:szCs w:val="21"/>
              </w:rPr>
            </w:pPr>
            <w:r>
              <w:rPr>
                <w:rFonts w:ascii="宋体"/>
                <w:w w:val="100"/>
                <w:sz w:val="21"/>
              </w:rPr>
              <w:t>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 w:right="0"/>
              <w:jc w:val="center"/>
              <w:rPr>
                <w:rFonts w:ascii="宋体" w:hAnsi="宋体" w:cs="宋体" w:eastAsia="宋体" w:hint="default"/>
                <w:sz w:val="21"/>
                <w:szCs w:val="21"/>
              </w:rPr>
            </w:pPr>
            <w:r>
              <w:rPr>
                <w:rFonts w:ascii="宋体"/>
                <w:sz w:val="21"/>
              </w:rPr>
              <w:t>15,414,354.39</w:t>
            </w:r>
          </w:p>
        </w:tc>
      </w:tr>
      <w:tr>
        <w:trPr>
          <w:trHeight w:val="554"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二、离职后福利</w:t>
            </w:r>
            <w:r>
              <w:rPr>
                <w:rFonts w:ascii="宋体" w:hAnsi="宋体" w:cs="宋体" w:eastAsia="宋体" w:hint="default"/>
                <w:spacing w:val="-4"/>
                <w:sz w:val="21"/>
                <w:szCs w:val="21"/>
              </w:rPr>
              <w:t>-</w:t>
            </w:r>
            <w:r>
              <w:rPr>
                <w:rFonts w:ascii="宋体" w:hAnsi="宋体" w:cs="宋体" w:eastAsia="宋体" w:hint="default"/>
                <w:spacing w:val="-4"/>
                <w:sz w:val="21"/>
                <w:szCs w:val="21"/>
              </w:rPr>
              <w:t>设定提存</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计划</w:t>
            </w:r>
          </w:p>
        </w:tc>
        <w:tc>
          <w:tcPr>
            <w:tcW w:w="1613"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2" w:right="0"/>
              <w:jc w:val="left"/>
              <w:rPr>
                <w:rFonts w:ascii="宋体" w:hAnsi="宋体" w:cs="宋体" w:eastAsia="宋体" w:hint="default"/>
                <w:sz w:val="21"/>
                <w:szCs w:val="21"/>
              </w:rPr>
            </w:pPr>
            <w:r>
              <w:rPr>
                <w:rFonts w:ascii="宋体"/>
                <w:sz w:val="21"/>
              </w:rPr>
              <w:t>4,269,260.45</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7" w:right="0"/>
              <w:jc w:val="left"/>
              <w:rPr>
                <w:rFonts w:ascii="宋体" w:hAnsi="宋体" w:cs="宋体" w:eastAsia="宋体" w:hint="default"/>
                <w:sz w:val="21"/>
                <w:szCs w:val="21"/>
              </w:rPr>
            </w:pPr>
            <w:r>
              <w:rPr>
                <w:rFonts w:ascii="宋体"/>
                <w:sz w:val="21"/>
              </w:rPr>
              <w:t>4,269,260.45</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三、辞退福利</w:t>
            </w:r>
          </w:p>
        </w:tc>
        <w:tc>
          <w:tcPr>
            <w:tcW w:w="1613"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四、一年内到期的其他福</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利</w:t>
            </w:r>
          </w:p>
        </w:tc>
        <w:tc>
          <w:tcPr>
            <w:tcW w:w="1613"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82"/>
              <w:jc w:val="right"/>
              <w:rPr>
                <w:rFonts w:ascii="宋体" w:hAnsi="宋体" w:cs="宋体" w:eastAsia="宋体" w:hint="default"/>
                <w:sz w:val="21"/>
                <w:szCs w:val="21"/>
              </w:rPr>
            </w:pPr>
            <w:r>
              <w:rPr>
                <w:rFonts w:ascii="宋体" w:hAnsi="宋体" w:cs="宋体" w:eastAsia="宋体" w:hint="default"/>
                <w:sz w:val="21"/>
                <w:szCs w:val="21"/>
              </w:rPr>
              <w:t>合计</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 w:right="0"/>
              <w:jc w:val="center"/>
              <w:rPr>
                <w:rFonts w:ascii="宋体" w:hAnsi="宋体" w:cs="宋体" w:eastAsia="宋体" w:hint="default"/>
                <w:sz w:val="21"/>
                <w:szCs w:val="21"/>
              </w:rPr>
            </w:pPr>
            <w:r>
              <w:rPr>
                <w:rFonts w:ascii="宋体"/>
                <w:sz w:val="21"/>
              </w:rPr>
              <w:t>13,980,668.02</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214,772,874.6</w:t>
            </w:r>
          </w:p>
          <w:p>
            <w:pPr>
              <w:pStyle w:val="TableParagraph"/>
              <w:spacing w:line="274" w:lineRule="exact"/>
              <w:ind w:right="101"/>
              <w:jc w:val="right"/>
              <w:rPr>
                <w:rFonts w:ascii="宋体" w:hAnsi="宋体" w:cs="宋体" w:eastAsia="宋体" w:hint="default"/>
                <w:sz w:val="21"/>
                <w:szCs w:val="21"/>
              </w:rPr>
            </w:pPr>
            <w:r>
              <w:rPr>
                <w:rFonts w:ascii="宋体"/>
                <w:w w:val="100"/>
                <w:sz w:val="21"/>
              </w:rPr>
              <w:t>2</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213,339,188.2</w:t>
            </w:r>
          </w:p>
          <w:p>
            <w:pPr>
              <w:pStyle w:val="TableParagraph"/>
              <w:spacing w:line="274" w:lineRule="exact"/>
              <w:ind w:right="101"/>
              <w:jc w:val="right"/>
              <w:rPr>
                <w:rFonts w:ascii="宋体" w:hAnsi="宋体" w:cs="宋体" w:eastAsia="宋体" w:hint="default"/>
                <w:sz w:val="21"/>
                <w:szCs w:val="21"/>
              </w:rPr>
            </w:pPr>
            <w:r>
              <w:rPr>
                <w:rFonts w:ascii="宋体"/>
                <w:w w:val="100"/>
                <w:sz w:val="21"/>
              </w:rPr>
              <w:t>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 w:right="0"/>
              <w:jc w:val="center"/>
              <w:rPr>
                <w:rFonts w:ascii="宋体" w:hAnsi="宋体" w:cs="宋体" w:eastAsia="宋体" w:hint="default"/>
                <w:sz w:val="21"/>
                <w:szCs w:val="21"/>
              </w:rPr>
            </w:pPr>
            <w:r>
              <w:rPr>
                <w:rFonts w:ascii="宋体"/>
                <w:sz w:val="21"/>
              </w:rPr>
              <w:t>15,414,354.39</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040"/>
        </w:sectPr>
      </w:pPr>
    </w:p>
    <w:p>
      <w:pPr>
        <w:pStyle w:val="Heading2"/>
        <w:spacing w:line="240" w:lineRule="auto" w:before="36"/>
        <w:ind w:right="-16"/>
        <w:jc w:val="left"/>
        <w:rPr>
          <w:b w:val="0"/>
          <w:bCs w:val="0"/>
        </w:rPr>
      </w:pPr>
      <w:r>
        <w:rPr>
          <w:rFonts w:ascii="宋体" w:hAnsi="宋体" w:cs="宋体" w:eastAsia="宋体" w:hint="default"/>
        </w:rPr>
        <w:t>(2).</w:t>
      </w:r>
      <w:r>
        <w:rPr/>
        <w:t>短期薪酬列示：</w:t>
      </w:r>
      <w:r>
        <w:rPr>
          <w:b w:val="0"/>
          <w:bCs w:val="0"/>
        </w:rPr>
      </w:r>
    </w:p>
    <w:p>
      <w:pPr>
        <w:pStyle w:val="BodyText"/>
        <w:spacing w:line="240" w:lineRule="auto" w:before="58"/>
        <w:ind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ind w:right="0"/>
        <w:jc w:val="left"/>
      </w:pPr>
      <w:r>
        <w:rPr>
          <w:spacing w:val="-1"/>
        </w:rPr>
        <w:t>单位：元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2122" w:space="4506"/>
            <w:col w:w="2662"/>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614"/>
        <w:gridCol w:w="1613"/>
        <w:gridCol w:w="1594"/>
        <w:gridCol w:w="1609"/>
        <w:gridCol w:w="1620"/>
      </w:tblGrid>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8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7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7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83"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一、工资、奖金、津贴和</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补贴</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12,747,402.88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195,519,786.9</w:t>
            </w:r>
          </w:p>
          <w:p>
            <w:pPr>
              <w:pStyle w:val="TableParagraph"/>
              <w:spacing w:line="274" w:lineRule="exact"/>
              <w:ind w:right="101"/>
              <w:jc w:val="right"/>
              <w:rPr>
                <w:rFonts w:ascii="宋体" w:hAnsi="宋体" w:cs="宋体" w:eastAsia="宋体" w:hint="default"/>
                <w:sz w:val="21"/>
                <w:szCs w:val="21"/>
              </w:rPr>
            </w:pPr>
            <w:r>
              <w:rPr>
                <w:rFonts w:ascii="宋体"/>
                <w:w w:val="100"/>
                <w:sz w:val="21"/>
              </w:rPr>
              <w:t>0</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194,696,664.5</w:t>
            </w:r>
          </w:p>
          <w:p>
            <w:pPr>
              <w:pStyle w:val="TableParagraph"/>
              <w:spacing w:line="274" w:lineRule="exact"/>
              <w:ind w:right="101"/>
              <w:jc w:val="right"/>
              <w:rPr>
                <w:rFonts w:ascii="宋体" w:hAnsi="宋体" w:cs="宋体" w:eastAsia="宋体" w:hint="default"/>
                <w:sz w:val="21"/>
                <w:szCs w:val="21"/>
              </w:rPr>
            </w:pPr>
            <w:r>
              <w:rPr>
                <w:rFonts w:ascii="宋体"/>
                <w:w w:val="100"/>
                <w:sz w:val="21"/>
              </w:rPr>
              <w:t>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13,570,525.24</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1,216,100.00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9,203,006.30</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8,749,556.30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1,669,550.00</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3,454,321.86</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3,454,321.86</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其中：医疗保险费</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2,860,512.59</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2,860,512.59</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工伤保险费</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397,059.29</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397,059.29</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生育保险费</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196,749.98</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196,749.98</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2,017,427.00</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1,859,727.00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157,700.00</w:t>
            </w:r>
          </w:p>
        </w:tc>
      </w:tr>
      <w:tr>
        <w:trPr>
          <w:trHeight w:val="55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五、工会经费和职工教育</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经费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17,165.14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309,072.11</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309,658.10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16,579.15</w:t>
            </w:r>
          </w:p>
        </w:tc>
      </w:tr>
      <w:tr>
        <w:trPr>
          <w:trHeight w:val="28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六、短期带薪缺勤</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七、短期利润分享计划</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614"/>
        <w:gridCol w:w="1613"/>
        <w:gridCol w:w="1594"/>
        <w:gridCol w:w="1609"/>
        <w:gridCol w:w="1620"/>
      </w:tblGrid>
      <w:tr>
        <w:trPr>
          <w:trHeight w:val="557"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34" w:right="0"/>
              <w:jc w:val="left"/>
              <w:rPr>
                <w:rFonts w:ascii="宋体" w:hAnsi="宋体" w:cs="宋体" w:eastAsia="宋体" w:hint="default"/>
                <w:sz w:val="21"/>
                <w:szCs w:val="21"/>
              </w:rPr>
            </w:pPr>
            <w:r>
              <w:rPr>
                <w:rFonts w:ascii="宋体"/>
                <w:sz w:val="21"/>
              </w:rPr>
              <w:t>13,980,668.02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210,503,614.1</w:t>
            </w:r>
          </w:p>
          <w:p>
            <w:pPr>
              <w:pStyle w:val="TableParagraph"/>
              <w:spacing w:line="273" w:lineRule="exact"/>
              <w:ind w:right="101"/>
              <w:jc w:val="right"/>
              <w:rPr>
                <w:rFonts w:ascii="宋体" w:hAnsi="宋体" w:cs="宋体" w:eastAsia="宋体" w:hint="default"/>
                <w:sz w:val="21"/>
                <w:szCs w:val="21"/>
              </w:rPr>
            </w:pPr>
            <w:r>
              <w:rPr>
                <w:rFonts w:ascii="宋体"/>
                <w:w w:val="100"/>
                <w:sz w:val="21"/>
              </w:rPr>
              <w:t>7</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209,069,927.8</w:t>
            </w:r>
          </w:p>
          <w:p>
            <w:pPr>
              <w:pStyle w:val="TableParagraph"/>
              <w:spacing w:line="273" w:lineRule="exact"/>
              <w:ind w:right="101"/>
              <w:jc w:val="right"/>
              <w:rPr>
                <w:rFonts w:ascii="宋体" w:hAnsi="宋体" w:cs="宋体" w:eastAsia="宋体" w:hint="default"/>
                <w:sz w:val="21"/>
                <w:szCs w:val="21"/>
              </w:rPr>
            </w:pPr>
            <w:r>
              <w:rPr>
                <w:rFonts w:ascii="宋体"/>
                <w:w w:val="100"/>
                <w:sz w:val="21"/>
              </w:rPr>
              <w:t>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41" w:right="0"/>
              <w:jc w:val="left"/>
              <w:rPr>
                <w:rFonts w:ascii="宋体" w:hAnsi="宋体" w:cs="宋体" w:eastAsia="宋体" w:hint="default"/>
                <w:sz w:val="21"/>
                <w:szCs w:val="21"/>
              </w:rPr>
            </w:pPr>
            <w:r>
              <w:rPr>
                <w:rFonts w:ascii="宋体"/>
                <w:sz w:val="21"/>
              </w:rPr>
              <w:t>15,414,354.39</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82" w:footer="1195" w:top="1120" w:bottom="1380" w:left="1580" w:right="1040"/>
        </w:sectPr>
      </w:pPr>
    </w:p>
    <w:p>
      <w:pPr>
        <w:pStyle w:val="Heading2"/>
        <w:spacing w:line="240" w:lineRule="auto" w:before="36"/>
        <w:ind w:right="-16"/>
        <w:jc w:val="left"/>
        <w:rPr>
          <w:b w:val="0"/>
          <w:bCs w:val="0"/>
        </w:rPr>
      </w:pPr>
      <w:r>
        <w:rPr>
          <w:rFonts w:ascii="宋体" w:hAnsi="宋体" w:cs="宋体" w:eastAsia="宋体" w:hint="default"/>
        </w:rPr>
        <w:t>(3).</w:t>
      </w:r>
      <w:r>
        <w:rPr/>
        <w:t>设定提存计划列示</w:t>
      </w:r>
      <w:r>
        <w:rPr>
          <w:b w:val="0"/>
          <w:bCs w:val="0"/>
        </w:rPr>
      </w:r>
    </w:p>
    <w:p>
      <w:pPr>
        <w:pStyle w:val="BodyText"/>
        <w:spacing w:line="240" w:lineRule="auto" w:before="58"/>
        <w:ind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333" w:space="4189"/>
            <w:col w:w="2768"/>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588"/>
        <w:gridCol w:w="1622"/>
        <w:gridCol w:w="1608"/>
        <w:gridCol w:w="1640"/>
        <w:gridCol w:w="1591"/>
      </w:tblGrid>
      <w:tr>
        <w:trPr>
          <w:trHeight w:val="286"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8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7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、基本养老保险</w:t>
            </w:r>
          </w:p>
        </w:tc>
        <w:tc>
          <w:tcPr>
            <w:tcW w:w="1622" w:type="dxa"/>
            <w:tcBorders>
              <w:top w:val="single" w:sz="6" w:space="0" w:color="000000"/>
              <w:left w:val="single" w:sz="6" w:space="0" w:color="000000"/>
              <w:bottom w:val="single" w:sz="4" w:space="0" w:color="000000"/>
              <w:right w:val="single" w:sz="4" w:space="0" w:color="000000"/>
            </w:tcBorders>
          </w:tcPr>
          <w:p>
            <w:pPr/>
          </w:p>
        </w:tc>
        <w:tc>
          <w:tcPr>
            <w:tcW w:w="1608" w:type="dxa"/>
            <w:tcBorders>
              <w:top w:val="single" w:sz="6"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4,140,505.71</w:t>
            </w:r>
          </w:p>
        </w:tc>
        <w:tc>
          <w:tcPr>
            <w:tcW w:w="1640" w:type="dxa"/>
            <w:tcBorders>
              <w:top w:val="single" w:sz="6"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4,140,505.71</w:t>
            </w:r>
          </w:p>
        </w:tc>
        <w:tc>
          <w:tcPr>
            <w:tcW w:w="1591" w:type="dxa"/>
            <w:tcBorders>
              <w:top w:val="single" w:sz="6" w:space="0" w:color="000000"/>
              <w:left w:val="single" w:sz="4" w:space="0" w:color="000000"/>
              <w:bottom w:val="single" w:sz="4" w:space="0" w:color="000000"/>
              <w:right w:val="single" w:sz="4" w:space="0" w:color="000000"/>
            </w:tcBorders>
          </w:tcPr>
          <w:p>
            <w:pP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、失业保险费</w:t>
            </w:r>
          </w:p>
        </w:tc>
        <w:tc>
          <w:tcPr>
            <w:tcW w:w="1622" w:type="dxa"/>
            <w:tcBorders>
              <w:top w:val="single" w:sz="4" w:space="0" w:color="000000"/>
              <w:left w:val="single" w:sz="6"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128,754.74</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128,754.74</w:t>
            </w:r>
          </w:p>
        </w:tc>
        <w:tc>
          <w:tcPr>
            <w:tcW w:w="1591"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、企业年金缴费</w:t>
            </w:r>
          </w:p>
        </w:tc>
        <w:tc>
          <w:tcPr>
            <w:tcW w:w="1622" w:type="dxa"/>
            <w:tcBorders>
              <w:top w:val="single" w:sz="4" w:space="0" w:color="000000"/>
              <w:left w:val="single" w:sz="6"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22" w:type="dxa"/>
            <w:tcBorders>
              <w:top w:val="single" w:sz="4" w:space="0" w:color="000000"/>
              <w:left w:val="single" w:sz="6"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4,269,260.45</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4,269,260.45</w:t>
            </w:r>
          </w:p>
        </w:tc>
        <w:tc>
          <w:tcPr>
            <w:tcW w:w="159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15"/>
          <w:szCs w:val="15"/>
        </w:rPr>
      </w:pPr>
    </w:p>
    <w:p>
      <w:pPr>
        <w:pStyle w:val="BodyText"/>
        <w:spacing w:line="273" w:lineRule="exact" w:before="36"/>
        <w:ind w:right="2497"/>
        <w:jc w:val="left"/>
      </w:pPr>
      <w:r>
        <w:rPr/>
        <w:t>其他说明：</w:t>
      </w:r>
    </w:p>
    <w:p>
      <w:pPr>
        <w:pStyle w:val="BodyText"/>
        <w:spacing w:line="273" w:lineRule="exact"/>
        <w:ind w:right="2497"/>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2"/>
        <w:spacing w:line="240" w:lineRule="auto" w:before="36"/>
        <w:ind w:right="-18"/>
        <w:jc w:val="left"/>
        <w:rPr>
          <w:b w:val="0"/>
          <w:bCs w:val="0"/>
        </w:rPr>
      </w:pPr>
      <w:r>
        <w:rPr>
          <w:rFonts w:ascii="宋体" w:hAnsi="宋体" w:cs="宋体" w:eastAsia="宋体" w:hint="default"/>
        </w:rPr>
        <w:t>38</w:t>
      </w:r>
      <w:r>
        <w:rPr/>
        <w:t>、</w:t>
      </w:r>
      <w:r>
        <w:rPr>
          <w:spacing w:val="-25"/>
        </w:rPr>
        <w:t> </w:t>
      </w:r>
      <w:r>
        <w:rPr/>
        <w:t>应交税费</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981"/>
        <w:gridCol w:w="2955"/>
        <w:gridCol w:w="2960"/>
      </w:tblGrid>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25"/>
              <w:jc w:val="right"/>
              <w:rPr>
                <w:rFonts w:ascii="宋体" w:hAnsi="宋体" w:cs="宋体" w:eastAsia="宋体" w:hint="default"/>
                <w:sz w:val="21"/>
                <w:szCs w:val="21"/>
              </w:rPr>
            </w:pPr>
            <w:r>
              <w:rPr>
                <w:rFonts w:ascii="宋体" w:hAnsi="宋体" w:cs="宋体" w:eastAsia="宋体" w:hint="default"/>
                <w:sz w:val="21"/>
                <w:szCs w:val="21"/>
              </w:rPr>
              <w:t>项目</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6,017,580.18</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5,562,097.14</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147,442,735.25</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138,856,212.90</w:t>
            </w:r>
          </w:p>
        </w:tc>
      </w:tr>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188,869.54</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157,678.99</w:t>
            </w:r>
          </w:p>
        </w:tc>
      </w:tr>
      <w:tr>
        <w:trPr>
          <w:trHeight w:val="284"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155,124.84</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112,627.84</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646,647.06</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381,646.54</w:t>
            </w:r>
          </w:p>
        </w:tc>
      </w:tr>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25"/>
              <w:jc w:val="right"/>
              <w:rPr>
                <w:rFonts w:ascii="宋体" w:hAnsi="宋体" w:cs="宋体" w:eastAsia="宋体" w:hint="default"/>
                <w:sz w:val="21"/>
                <w:szCs w:val="21"/>
              </w:rPr>
            </w:pPr>
            <w:r>
              <w:rPr>
                <w:rFonts w:ascii="宋体" w:hAnsi="宋体" w:cs="宋体" w:eastAsia="宋体" w:hint="default"/>
                <w:sz w:val="21"/>
                <w:szCs w:val="21"/>
              </w:rPr>
              <w:t>合计</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154,450,956.87</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145,070,263.41</w:t>
            </w:r>
          </w:p>
        </w:tc>
      </w:tr>
    </w:tbl>
    <w:p>
      <w:pPr>
        <w:pStyle w:val="BodyText"/>
        <w:spacing w:line="240" w:lineRule="exact"/>
        <w:ind w:right="2497"/>
        <w:jc w:val="left"/>
      </w:pPr>
      <w:r>
        <w:rPr/>
        <w:t>其他说明：</w:t>
      </w:r>
    </w:p>
    <w:p>
      <w:pPr>
        <w:pStyle w:val="BodyText"/>
        <w:spacing w:line="274" w:lineRule="exact"/>
        <w:ind w:right="2497"/>
        <w:jc w:val="left"/>
      </w:pP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2"/>
        <w:spacing w:line="240" w:lineRule="auto" w:before="36"/>
        <w:ind w:right="-12"/>
        <w:jc w:val="left"/>
        <w:rPr>
          <w:b w:val="0"/>
          <w:bCs w:val="0"/>
        </w:rPr>
      </w:pPr>
      <w:r>
        <w:rPr>
          <w:rFonts w:ascii="宋体" w:hAnsi="宋体" w:cs="宋体" w:eastAsia="宋体" w:hint="default"/>
        </w:rPr>
        <w:t>39</w:t>
      </w:r>
      <w:r>
        <w:rPr/>
        <w:t>、</w:t>
      </w:r>
      <w:r>
        <w:rPr>
          <w:spacing w:val="-25"/>
        </w:rPr>
        <w:t> </w:t>
      </w:r>
      <w:r>
        <w:rPr/>
        <w:t>应付利息</w:t>
      </w:r>
      <w:r>
        <w:rPr>
          <w:b w:val="0"/>
          <w:bCs w:val="0"/>
        </w:rPr>
      </w:r>
    </w:p>
    <w:p>
      <w:pPr>
        <w:pStyle w:val="BodyText"/>
        <w:tabs>
          <w:tab w:pos="1060" w:val="left" w:leader="none"/>
        </w:tabs>
        <w:spacing w:line="240" w:lineRule="auto" w:before="56"/>
        <w:ind w:right="-12"/>
        <w:jc w:val="left"/>
      </w:pPr>
      <w:r>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01" w:space="4621"/>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16"/>
        <w:gridCol w:w="2585"/>
        <w:gridCol w:w="3049"/>
      </w:tblGrid>
      <w:tr>
        <w:trPr>
          <w:trHeight w:val="283"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
              <w:jc w:val="center"/>
              <w:rPr>
                <w:rFonts w:ascii="宋体" w:hAnsi="宋体" w:cs="宋体" w:eastAsia="宋体" w:hint="default"/>
                <w:sz w:val="21"/>
                <w:szCs w:val="21"/>
              </w:rPr>
            </w:pPr>
            <w:r>
              <w:rPr>
                <w:rFonts w:ascii="宋体" w:hAnsi="宋体" w:cs="宋体" w:eastAsia="宋体" w:hint="default"/>
                <w:sz w:val="21"/>
                <w:szCs w:val="21"/>
              </w:rPr>
              <w:t>项目</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56"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分期付息到期还本的长期借款利息</w:t>
            </w:r>
          </w:p>
        </w:tc>
        <w:tc>
          <w:tcPr>
            <w:tcW w:w="2585" w:type="dxa"/>
            <w:tcBorders>
              <w:top w:val="single" w:sz="4" w:space="0" w:color="000000"/>
              <w:left w:val="single" w:sz="4" w:space="0" w:color="000000"/>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企业债券利息</w:t>
            </w:r>
          </w:p>
        </w:tc>
        <w:tc>
          <w:tcPr>
            <w:tcW w:w="2585" w:type="dxa"/>
            <w:tcBorders>
              <w:top w:val="single" w:sz="4" w:space="0" w:color="000000"/>
              <w:left w:val="single" w:sz="4" w:space="0" w:color="000000"/>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短期借款应付利息</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1"/>
              <w:jc w:val="right"/>
              <w:rPr>
                <w:rFonts w:ascii="宋体" w:hAnsi="宋体" w:cs="宋体" w:eastAsia="宋体" w:hint="default"/>
                <w:sz w:val="21"/>
                <w:szCs w:val="21"/>
              </w:rPr>
            </w:pPr>
            <w:r>
              <w:rPr>
                <w:rFonts w:ascii="宋体"/>
                <w:spacing w:val="-1"/>
                <w:sz w:val="21"/>
              </w:rPr>
              <w:t>1,824,196.95</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3,541,943.47</w:t>
            </w:r>
          </w:p>
        </w:tc>
      </w:tr>
      <w:tr>
        <w:trPr>
          <w:trHeight w:val="554"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z w:val="21"/>
                <w:szCs w:val="21"/>
              </w:rPr>
              <w:t>划分为金融负债的优先股</w:t>
            </w:r>
            <w:r>
              <w:rPr>
                <w:rFonts w:ascii="宋体" w:hAnsi="宋体" w:cs="宋体" w:eastAsia="宋体" w:hint="default"/>
                <w:sz w:val="21"/>
                <w:szCs w:val="21"/>
              </w:rPr>
              <w:t>\</w:t>
            </w:r>
            <w:r>
              <w:rPr>
                <w:rFonts w:ascii="宋体" w:hAnsi="宋体" w:cs="宋体" w:eastAsia="宋体" w:hint="default"/>
                <w:sz w:val="21"/>
                <w:szCs w:val="21"/>
              </w:rPr>
              <w:t>永续债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利息</w:t>
            </w:r>
          </w:p>
        </w:tc>
        <w:tc>
          <w:tcPr>
            <w:tcW w:w="2585" w:type="dxa"/>
            <w:tcBorders>
              <w:top w:val="single" w:sz="4" w:space="0" w:color="000000"/>
              <w:left w:val="single" w:sz="4" w:space="0" w:color="000000"/>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1,824,196.95</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3,541,943.47</w:t>
            </w:r>
          </w:p>
        </w:tc>
      </w:tr>
    </w:tbl>
    <w:p>
      <w:pPr>
        <w:spacing w:line="240" w:lineRule="auto" w:before="5"/>
        <w:rPr>
          <w:rFonts w:ascii="宋体" w:hAnsi="宋体" w:cs="宋体" w:eastAsia="宋体" w:hint="default"/>
          <w:sz w:val="15"/>
          <w:szCs w:val="15"/>
        </w:rPr>
      </w:pPr>
    </w:p>
    <w:p>
      <w:pPr>
        <w:pStyle w:val="BodyText"/>
        <w:spacing w:line="274" w:lineRule="exact" w:before="36"/>
        <w:ind w:right="2497"/>
        <w:jc w:val="left"/>
      </w:pPr>
      <w:r>
        <w:rPr/>
        <w:t>重要的已逾期未支付的利息情况：</w:t>
      </w:r>
    </w:p>
    <w:p>
      <w:pPr>
        <w:pStyle w:val="BodyText"/>
        <w:tabs>
          <w:tab w:pos="1060" w:val="left" w:leader="none"/>
        </w:tabs>
        <w:spacing w:line="290" w:lineRule="auto"/>
        <w:ind w:right="7383"/>
        <w:jc w:val="left"/>
      </w:pPr>
      <w:r>
        <w:rPr>
          <w:spacing w:val="-1"/>
        </w:rPr>
        <w:t>□适用</w:t>
        <w:tab/>
      </w:r>
      <w:r>
        <w:rPr>
          <w:spacing w:val="-2"/>
        </w:rPr>
        <w:t>√不适用</w:t>
      </w:r>
      <w:r>
        <w:rPr>
          <w:spacing w:val="-99"/>
        </w:rPr>
        <w:t> </w:t>
      </w:r>
      <w:r>
        <w:rPr>
          <w:spacing w:val="-99"/>
        </w:rPr>
      </w:r>
      <w:r>
        <w:rPr/>
        <w:t>其他说明：</w:t>
      </w:r>
    </w:p>
    <w:p>
      <w:pPr>
        <w:pStyle w:val="BodyText"/>
        <w:tabs>
          <w:tab w:pos="1060" w:val="left" w:leader="none"/>
        </w:tabs>
        <w:spacing w:line="240" w:lineRule="auto" w:before="14"/>
        <w:ind w:right="2497"/>
        <w:jc w:val="left"/>
      </w:pPr>
      <w:r>
        <w:rPr>
          <w:spacing w:val="-1"/>
        </w:rPr>
        <w:t>√适用</w:t>
        <w:tab/>
      </w:r>
      <w:r>
        <w:rPr>
          <w:spacing w:val="-2"/>
        </w:rPr>
        <w:t>□不适用</w:t>
      </w:r>
    </w:p>
    <w:p>
      <w:pPr>
        <w:pStyle w:val="BodyText"/>
        <w:spacing w:line="240" w:lineRule="auto" w:before="56"/>
        <w:ind w:right="227"/>
        <w:jc w:val="left"/>
      </w:pPr>
      <w:r>
        <w:rPr>
          <w:spacing w:val="-2"/>
        </w:rPr>
        <w:t>应付利息期末余额较期初下降</w:t>
      </w:r>
      <w:r>
        <w:rPr>
          <w:spacing w:val="19"/>
        </w:rPr>
        <w:t> </w:t>
      </w:r>
      <w:r>
        <w:rPr>
          <w:rFonts w:ascii="宋体" w:hAnsi="宋体" w:cs="宋体" w:eastAsia="宋体" w:hint="default"/>
          <w:spacing w:val="-2"/>
        </w:rPr>
        <w:t>48.50%</w:t>
      </w:r>
      <w:r>
        <w:rPr>
          <w:spacing w:val="-2"/>
        </w:rPr>
        <w:t>，主要系非银行金融机构借款金额减少所致。</w:t>
      </w:r>
    </w:p>
    <w:p>
      <w:pPr>
        <w:spacing w:line="240" w:lineRule="auto" w:before="3"/>
        <w:rPr>
          <w:rFonts w:ascii="宋体" w:hAnsi="宋体" w:cs="宋体" w:eastAsia="宋体" w:hint="default"/>
          <w:sz w:val="25"/>
          <w:szCs w:val="25"/>
        </w:rPr>
      </w:pPr>
    </w:p>
    <w:p>
      <w:pPr>
        <w:pStyle w:val="Heading2"/>
        <w:spacing w:line="240" w:lineRule="auto"/>
        <w:ind w:right="2497"/>
        <w:jc w:val="left"/>
        <w:rPr>
          <w:b w:val="0"/>
          <w:bCs w:val="0"/>
        </w:rPr>
      </w:pPr>
      <w:r>
        <w:rPr>
          <w:rFonts w:ascii="宋体" w:hAnsi="宋体" w:cs="宋体" w:eastAsia="宋体" w:hint="default"/>
        </w:rPr>
        <w:t>40</w:t>
      </w:r>
      <w:r>
        <w:rPr/>
        <w:t>、</w:t>
      </w:r>
      <w:r>
        <w:rPr>
          <w:spacing w:val="-25"/>
        </w:rPr>
        <w:t> </w:t>
      </w:r>
      <w:r>
        <w:rPr/>
        <w:t>应付股利</w:t>
      </w:r>
      <w:r>
        <w:rPr>
          <w:b w:val="0"/>
          <w:bCs w:val="0"/>
        </w:rPr>
      </w:r>
    </w:p>
    <w:p>
      <w:pPr>
        <w:pStyle w:val="BodyText"/>
        <w:spacing w:line="240" w:lineRule="auto" w:before="58"/>
        <w:ind w:right="2497"/>
        <w:jc w:val="left"/>
      </w:pPr>
      <w:r>
        <w:rPr/>
        <w:t>□适用</w:t>
      </w:r>
      <w:r>
        <w:rPr>
          <w:spacing w:val="-1"/>
        </w:rPr>
        <w:t> </w:t>
      </w:r>
      <w:r>
        <w:rPr/>
        <w:t>√不适用</w:t>
      </w:r>
    </w:p>
    <w:p>
      <w:pPr>
        <w:spacing w:after="0" w:line="240" w:lineRule="auto"/>
        <w:jc w:val="left"/>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46"/>
          <w:pgSz w:w="11910" w:h="16840"/>
          <w:pgMar w:footer="1195" w:header="882" w:top="1120" w:bottom="1380" w:left="1580" w:right="1040"/>
        </w:sectPr>
      </w:pPr>
    </w:p>
    <w:p>
      <w:pPr>
        <w:pStyle w:val="Heading2"/>
        <w:spacing w:line="240" w:lineRule="auto" w:before="175"/>
        <w:ind w:right="-18"/>
        <w:jc w:val="left"/>
        <w:rPr>
          <w:b w:val="0"/>
          <w:bCs w:val="0"/>
        </w:rPr>
      </w:pPr>
      <w:r>
        <w:rPr>
          <w:rFonts w:ascii="宋体" w:hAnsi="宋体" w:cs="宋体" w:eastAsia="宋体" w:hint="default"/>
        </w:rPr>
        <w:t>41</w:t>
      </w:r>
      <w:r>
        <w:rPr/>
        <w:t>、</w:t>
      </w:r>
      <w:r>
        <w:rPr>
          <w:spacing w:val="-25"/>
        </w:rPr>
        <w:t> </w:t>
      </w:r>
      <w:r>
        <w:rPr/>
        <w:t>其他应付款</w:t>
      </w:r>
      <w:r>
        <w:rPr>
          <w:b w:val="0"/>
          <w:bCs w:val="0"/>
        </w:rPr>
      </w:r>
    </w:p>
    <w:p>
      <w:pPr>
        <w:pStyle w:val="Heading2"/>
        <w:spacing w:line="240" w:lineRule="auto" w:before="56"/>
        <w:ind w:right="-18"/>
        <w:jc w:val="left"/>
        <w:rPr>
          <w:b w:val="0"/>
          <w:bCs w:val="0"/>
        </w:rPr>
      </w:pPr>
      <w:r>
        <w:rPr>
          <w:rFonts w:ascii="宋体" w:hAnsi="宋体" w:cs="宋体" w:eastAsia="宋体" w:hint="default"/>
        </w:rPr>
        <w:t>(1).</w:t>
      </w:r>
      <w:r>
        <w:rPr>
          <w:rFonts w:ascii="宋体" w:hAnsi="宋体" w:cs="宋体" w:eastAsia="宋体" w:hint="default"/>
          <w:spacing w:val="-4"/>
        </w:rPr>
        <w:t> </w:t>
      </w:r>
      <w:r>
        <w:rPr/>
        <w:t>按款项性质列示其他应付款</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276" w:space="3245"/>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24"/>
        <w:gridCol w:w="3000"/>
        <w:gridCol w:w="3125"/>
      </w:tblGrid>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73,328,379.30</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49,272,709.89</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代收代付保险理赔款</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2,105,177.66</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1,960,739.28</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7,168,083.82</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5,332,193.25</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82,601,640.78</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56,565,642.42</w:t>
            </w:r>
          </w:p>
        </w:tc>
      </w:tr>
    </w:tbl>
    <w:p>
      <w:pPr>
        <w:spacing w:line="240" w:lineRule="auto" w:before="2"/>
        <w:rPr>
          <w:rFonts w:ascii="宋体" w:hAnsi="宋体" w:cs="宋体" w:eastAsia="宋体" w:hint="default"/>
          <w:sz w:val="20"/>
          <w:szCs w:val="20"/>
        </w:rPr>
      </w:pPr>
    </w:p>
    <w:p>
      <w:pPr>
        <w:pStyle w:val="Heading2"/>
        <w:spacing w:line="240" w:lineRule="auto" w:before="36"/>
        <w:ind w:right="2497"/>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Cambria" w:hAnsi="Cambria" w:cs="Cambria" w:eastAsia="Cambria" w:hint="default"/>
        </w:rPr>
        <w:t>1</w:t>
      </w:r>
      <w:r>
        <w:rPr>
          <w:rFonts w:ascii="Cambria" w:hAnsi="Cambria" w:cs="Cambria" w:eastAsia="Cambria" w:hint="default"/>
          <w:spacing w:val="3"/>
        </w:rPr>
        <w:t> </w:t>
      </w:r>
      <w:r>
        <w:rPr/>
        <w:t>年的重要其他应付款</w:t>
      </w:r>
      <w:r>
        <w:rPr>
          <w:b w:val="0"/>
          <w:bCs w:val="0"/>
        </w:rPr>
      </w:r>
    </w:p>
    <w:p>
      <w:pPr>
        <w:pStyle w:val="BodyText"/>
        <w:spacing w:line="240" w:lineRule="auto" w:before="39"/>
        <w:ind w:right="7474"/>
        <w:jc w:val="left"/>
      </w:pPr>
      <w:r>
        <w:rPr/>
        <w:t>□适用</w:t>
      </w:r>
      <w:r>
        <w:rPr>
          <w:spacing w:val="-1"/>
        </w:rPr>
        <w:t> </w:t>
      </w:r>
      <w:r>
        <w:rPr/>
        <w:t>√不适用</w:t>
      </w:r>
      <w:r>
        <w:rPr>
          <w:w w:val="100"/>
        </w:rPr>
        <w:t> </w:t>
      </w:r>
      <w:r>
        <w:rPr/>
        <w:t>其他说明</w:t>
      </w:r>
    </w:p>
    <w:p>
      <w:pPr>
        <w:pStyle w:val="BodyText"/>
        <w:spacing w:line="271" w:lineRule="exact"/>
        <w:ind w:right="2497"/>
        <w:jc w:val="left"/>
      </w:pPr>
      <w:r>
        <w:rPr/>
        <w:t>√适用</w:t>
      </w:r>
      <w:r>
        <w:rPr>
          <w:spacing w:val="-1"/>
        </w:rPr>
        <w:t> </w:t>
      </w:r>
      <w:r>
        <w:rPr/>
        <w:t>□不适用</w:t>
      </w:r>
    </w:p>
    <w:p>
      <w:pPr>
        <w:pStyle w:val="BodyText"/>
        <w:spacing w:line="272" w:lineRule="exact"/>
        <w:ind w:right="227"/>
        <w:jc w:val="left"/>
      </w:pPr>
      <w:r>
        <w:rPr>
          <w:spacing w:val="-2"/>
        </w:rPr>
        <w:t>其他应付款期末余额较期初增长</w:t>
      </w:r>
      <w:r>
        <w:rPr>
          <w:spacing w:val="10"/>
        </w:rPr>
        <w:t> </w:t>
      </w:r>
      <w:r>
        <w:rPr>
          <w:rFonts w:ascii="宋体" w:hAnsi="宋体" w:cs="宋体" w:eastAsia="宋体" w:hint="default"/>
          <w:spacing w:val="-2"/>
        </w:rPr>
        <w:t>46.03%</w:t>
      </w:r>
      <w:r>
        <w:rPr>
          <w:spacing w:val="-2"/>
        </w:rPr>
        <w:t>，主要系供应商保证金增加所致。</w:t>
      </w:r>
    </w:p>
    <w:p>
      <w:pPr>
        <w:pStyle w:val="BodyText"/>
        <w:spacing w:line="240" w:lineRule="auto"/>
        <w:ind w:right="238"/>
        <w:jc w:val="left"/>
      </w:pPr>
      <w:r>
        <w:rPr/>
        <w:t>期末余额中超过</w:t>
      </w:r>
      <w:r>
        <w:rPr>
          <w:spacing w:val="-55"/>
        </w:rPr>
        <w:t> </w:t>
      </w:r>
      <w:r>
        <w:rPr>
          <w:rFonts w:ascii="宋体" w:hAnsi="宋体" w:cs="宋体" w:eastAsia="宋体" w:hint="default"/>
        </w:rPr>
        <w:t>1</w:t>
      </w:r>
      <w:r>
        <w:rPr>
          <w:rFonts w:ascii="宋体" w:hAnsi="宋体" w:cs="宋体" w:eastAsia="宋体" w:hint="default"/>
          <w:spacing w:val="-55"/>
        </w:rPr>
        <w:t> </w:t>
      </w:r>
      <w:r>
        <w:rPr/>
        <w:t>年的其他应付款为</w:t>
      </w:r>
      <w:r>
        <w:rPr>
          <w:spacing w:val="-55"/>
        </w:rPr>
        <w:t> </w:t>
      </w:r>
      <w:r>
        <w:rPr>
          <w:rFonts w:ascii="宋体" w:hAnsi="宋体" w:cs="宋体" w:eastAsia="宋体" w:hint="default"/>
        </w:rPr>
        <w:t>30,984,590.51</w:t>
      </w:r>
      <w:r>
        <w:rPr>
          <w:rFonts w:ascii="宋体" w:hAnsi="宋体" w:cs="宋体" w:eastAsia="宋体" w:hint="default"/>
          <w:spacing w:val="-55"/>
        </w:rPr>
        <w:t> </w:t>
      </w:r>
      <w:r>
        <w:rPr/>
        <w:t>元，主要为应付供应商的质保金，在业务合</w:t>
      </w:r>
      <w:r>
        <w:rPr>
          <w:w w:val="100"/>
        </w:rPr>
        <w:t> </w:t>
      </w:r>
      <w:r>
        <w:rPr/>
        <w:t>作期间，供应商质保金暂不退还。</w:t>
      </w:r>
    </w:p>
    <w:p>
      <w:pPr>
        <w:spacing w:line="240" w:lineRule="auto" w:before="0"/>
        <w:rPr>
          <w:rFonts w:ascii="宋体" w:hAnsi="宋体" w:cs="宋体" w:eastAsia="宋体" w:hint="default"/>
          <w:sz w:val="25"/>
          <w:szCs w:val="25"/>
        </w:rPr>
      </w:pPr>
    </w:p>
    <w:p>
      <w:pPr>
        <w:pStyle w:val="Heading2"/>
        <w:spacing w:line="240" w:lineRule="auto"/>
        <w:ind w:right="2497"/>
        <w:jc w:val="left"/>
        <w:rPr>
          <w:b w:val="0"/>
          <w:bCs w:val="0"/>
        </w:rPr>
      </w:pPr>
      <w:r>
        <w:rPr>
          <w:rFonts w:ascii="宋体" w:hAnsi="宋体" w:cs="宋体" w:eastAsia="宋体" w:hint="default"/>
        </w:rPr>
        <w:t>42</w:t>
      </w:r>
      <w:r>
        <w:rPr/>
        <w:t>、</w:t>
      </w:r>
      <w:r>
        <w:rPr>
          <w:spacing w:val="-24"/>
        </w:rPr>
        <w:t> </w:t>
      </w:r>
      <w:r>
        <w:rPr/>
        <w:t>持有待售负债</w:t>
      </w:r>
      <w:r>
        <w:rPr>
          <w:b w:val="0"/>
          <w:bCs w:val="0"/>
        </w:rPr>
      </w:r>
    </w:p>
    <w:p>
      <w:pPr>
        <w:pStyle w:val="BodyText"/>
        <w:spacing w:line="240" w:lineRule="auto" w:before="58"/>
        <w:ind w:right="2497"/>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2"/>
        <w:spacing w:line="240" w:lineRule="auto" w:before="36"/>
        <w:ind w:right="-17"/>
        <w:jc w:val="left"/>
        <w:rPr>
          <w:b w:val="0"/>
          <w:bCs w:val="0"/>
        </w:rPr>
      </w:pPr>
      <w:r>
        <w:rPr>
          <w:rFonts w:ascii="宋体" w:hAnsi="宋体" w:cs="宋体" w:eastAsia="宋体" w:hint="default"/>
        </w:rPr>
        <w:t>43</w:t>
      </w:r>
      <w:r>
        <w:rPr/>
        <w:t>、 </w:t>
      </w:r>
      <w:r>
        <w:rPr>
          <w:rFonts w:ascii="宋体" w:hAnsi="宋体" w:cs="宋体" w:eastAsia="宋体" w:hint="default"/>
        </w:rPr>
        <w:t>1</w:t>
      </w:r>
      <w:r>
        <w:rPr>
          <w:rFonts w:ascii="宋体" w:hAnsi="宋体" w:cs="宋体" w:eastAsia="宋体" w:hint="default"/>
          <w:spacing w:val="-77"/>
        </w:rPr>
        <w:t> </w:t>
      </w:r>
      <w:r>
        <w:rPr/>
        <w:t>年内到期的非流动负债</w:t>
      </w:r>
      <w:r>
        <w:rPr>
          <w:b w:val="0"/>
          <w:bCs w:val="0"/>
        </w:rPr>
      </w:r>
    </w:p>
    <w:p>
      <w:pPr>
        <w:pStyle w:val="BodyText"/>
        <w:spacing w:line="240" w:lineRule="auto" w:before="56"/>
        <w:ind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993" w:space="3529"/>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9"/>
        <w:gridCol w:w="3036"/>
        <w:gridCol w:w="3104"/>
      </w:tblGrid>
      <w:tr>
        <w:trPr>
          <w:trHeight w:val="28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年内到期的长期借款</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502,314,193.82</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797,097,041.34</w:t>
            </w:r>
          </w:p>
        </w:tc>
      </w:tr>
      <w:tr>
        <w:trPr>
          <w:trHeight w:val="281"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年内到期的应付债券</w:t>
            </w:r>
          </w:p>
        </w:tc>
        <w:tc>
          <w:tcPr>
            <w:tcW w:w="3036" w:type="dxa"/>
            <w:tcBorders>
              <w:top w:val="single" w:sz="4" w:space="0" w:color="000000"/>
              <w:left w:val="single" w:sz="4" w:space="0" w:color="000000"/>
              <w:bottom w:val="single" w:sz="4" w:space="0" w:color="000000"/>
              <w:right w:val="single" w:sz="4" w:space="0" w:color="000000"/>
            </w:tcBorders>
          </w:tcPr>
          <w:p>
            <w:pPr/>
          </w:p>
        </w:tc>
        <w:tc>
          <w:tcPr>
            <w:tcW w:w="310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年内到期的长期应付款</w:t>
            </w:r>
          </w:p>
        </w:tc>
        <w:tc>
          <w:tcPr>
            <w:tcW w:w="3036" w:type="dxa"/>
            <w:tcBorders>
              <w:top w:val="single" w:sz="4" w:space="0" w:color="000000"/>
              <w:left w:val="single" w:sz="4" w:space="0" w:color="000000"/>
              <w:bottom w:val="single" w:sz="4" w:space="0" w:color="000000"/>
              <w:right w:val="single" w:sz="4" w:space="0" w:color="000000"/>
            </w:tcBorders>
          </w:tcPr>
          <w:p>
            <w:pPr/>
          </w:p>
        </w:tc>
        <w:tc>
          <w:tcPr>
            <w:tcW w:w="310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售后回租形成的递延收益</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10,135,270.08</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1,147,635.43</w:t>
            </w:r>
          </w:p>
        </w:tc>
      </w:tr>
      <w:tr>
        <w:trPr>
          <w:trHeight w:val="281"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512,449,463.90</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798,244,676.77</w:t>
            </w:r>
          </w:p>
        </w:tc>
      </w:tr>
    </w:tbl>
    <w:p>
      <w:pPr>
        <w:pStyle w:val="BodyText"/>
        <w:spacing w:line="240" w:lineRule="auto" w:before="26"/>
        <w:ind w:right="2497"/>
        <w:jc w:val="left"/>
      </w:pPr>
      <w:r>
        <w:rPr/>
        <w:t>其他说明：</w:t>
      </w:r>
    </w:p>
    <w:p>
      <w:pPr>
        <w:pStyle w:val="BodyText"/>
        <w:spacing w:line="290" w:lineRule="auto" w:before="58"/>
        <w:ind w:right="0"/>
        <w:jc w:val="left"/>
        <w:rPr>
          <w:rFonts w:ascii="宋体" w:hAnsi="宋体" w:cs="宋体" w:eastAsia="宋体" w:hint="default"/>
        </w:rPr>
      </w:pPr>
      <w:r>
        <w:rPr>
          <w:spacing w:val="-2"/>
          <w:w w:val="100"/>
        </w:rPr>
        <w:t>一年内到期的非流动负债期末余额较期初下降</w:t>
      </w:r>
      <w:r>
        <w:rPr>
          <w:spacing w:val="-60"/>
          <w:w w:val="100"/>
        </w:rPr>
        <w:t> </w:t>
      </w:r>
      <w:r>
        <w:rPr>
          <w:rFonts w:ascii="宋体" w:hAnsi="宋体" w:cs="宋体" w:eastAsia="宋体" w:hint="default"/>
          <w:spacing w:val="-12"/>
          <w:w w:val="100"/>
        </w:rPr>
        <w:t>35.80%</w:t>
      </w:r>
      <w:r>
        <w:rPr>
          <w:spacing w:val="-12"/>
          <w:w w:val="100"/>
        </w:rPr>
        <w:t>，主要系</w:t>
      </w:r>
      <w:r>
        <w:rPr>
          <w:spacing w:val="-60"/>
          <w:w w:val="100"/>
        </w:rPr>
        <w:t> </w:t>
      </w:r>
      <w:r>
        <w:rPr>
          <w:rFonts w:ascii="宋体" w:hAnsi="宋体" w:cs="宋体" w:eastAsia="宋体" w:hint="default"/>
          <w:w w:val="100"/>
        </w:rPr>
        <w:t>1</w:t>
      </w:r>
      <w:r>
        <w:rPr>
          <w:rFonts w:ascii="宋体" w:hAnsi="宋体" w:cs="宋体" w:eastAsia="宋体" w:hint="default"/>
          <w:spacing w:val="-60"/>
          <w:w w:val="100"/>
        </w:rPr>
        <w:t> </w:t>
      </w:r>
      <w:r>
        <w:rPr>
          <w:spacing w:val="-2"/>
          <w:w w:val="100"/>
        </w:rPr>
        <w:t>年内到期的长期应付款减少所致。</w:t>
      </w:r>
      <w:r>
        <w:rPr>
          <w:spacing w:val="-102"/>
          <w:w w:val="100"/>
        </w:rPr>
        <w:t> </w:t>
      </w:r>
      <w:r>
        <w:rPr>
          <w:spacing w:val="-102"/>
          <w:w w:val="100"/>
        </w:rPr>
      </w:r>
      <w:r>
        <w:rPr>
          <w:rFonts w:ascii="宋体" w:hAnsi="宋体" w:cs="宋体" w:eastAsia="宋体" w:hint="default"/>
          <w:b/>
          <w:bCs/>
        </w:rPr>
        <w:t>44</w:t>
      </w:r>
      <w:r>
        <w:rPr>
          <w:rFonts w:ascii="宋体" w:hAnsi="宋体" w:cs="宋体" w:eastAsia="宋体" w:hint="default"/>
          <w:b/>
          <w:bCs/>
        </w:rPr>
        <w:t>、</w:t>
      </w:r>
      <w:r>
        <w:rPr>
          <w:rFonts w:ascii="宋体" w:hAnsi="宋体" w:cs="宋体" w:eastAsia="宋体" w:hint="default"/>
          <w:b/>
          <w:bCs/>
          <w:spacing w:val="-24"/>
        </w:rPr>
        <w:t> </w:t>
      </w:r>
      <w:r>
        <w:rPr>
          <w:rFonts w:ascii="宋体" w:hAnsi="宋体" w:cs="宋体" w:eastAsia="宋体" w:hint="default"/>
          <w:b/>
          <w:bCs/>
        </w:rPr>
        <w:t>其他流动负债</w:t>
      </w:r>
      <w:r>
        <w:rPr>
          <w:rFonts w:ascii="宋体" w:hAnsi="宋体" w:cs="宋体" w:eastAsia="宋体" w:hint="default"/>
        </w:rPr>
      </w:r>
    </w:p>
    <w:p>
      <w:pPr>
        <w:pStyle w:val="BodyText"/>
        <w:spacing w:line="273" w:lineRule="exact" w:before="14"/>
        <w:ind w:right="2497"/>
        <w:jc w:val="left"/>
      </w:pPr>
      <w:r>
        <w:rPr/>
        <w:t>其他流动负债情况</w:t>
      </w:r>
    </w:p>
    <w:p>
      <w:pPr>
        <w:pStyle w:val="BodyText"/>
        <w:spacing w:line="273" w:lineRule="exact"/>
        <w:ind w:right="2497"/>
        <w:jc w:val="left"/>
      </w:pPr>
      <w:r>
        <w:rPr/>
        <w:t>√适用</w:t>
      </w:r>
      <w:r>
        <w:rPr>
          <w:spacing w:val="-1"/>
        </w:rPr>
        <w:t> </w:t>
      </w:r>
      <w:r>
        <w:rPr/>
        <w:t>□不适用</w:t>
      </w:r>
    </w:p>
    <w:p>
      <w:pPr>
        <w:pStyle w:val="BodyText"/>
        <w:tabs>
          <w:tab w:pos="1051" w:val="left" w:leader="none"/>
        </w:tabs>
        <w:spacing w:line="274" w:lineRule="exact"/>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04"/>
        <w:gridCol w:w="3118"/>
        <w:gridCol w:w="3128"/>
      </w:tblGrid>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38"/>
              <w:jc w:val="right"/>
              <w:rPr>
                <w:rFonts w:ascii="宋体" w:hAnsi="宋体" w:cs="宋体" w:eastAsia="宋体" w:hint="default"/>
                <w:sz w:val="21"/>
                <w:szCs w:val="21"/>
              </w:rPr>
            </w:pPr>
            <w:r>
              <w:rPr>
                <w:rFonts w:ascii="宋体" w:hAnsi="宋体" w:cs="宋体" w:eastAsia="宋体" w:hint="default"/>
                <w:sz w:val="21"/>
                <w:szCs w:val="21"/>
              </w:rPr>
              <w:t>项目</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短期应付债券</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505,624,589.69</w:t>
            </w:r>
          </w:p>
        </w:tc>
        <w:tc>
          <w:tcPr>
            <w:tcW w:w="312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84"/>
              <w:jc w:val="right"/>
              <w:rPr>
                <w:rFonts w:ascii="宋体" w:hAnsi="宋体" w:cs="宋体" w:eastAsia="宋体" w:hint="default"/>
                <w:sz w:val="21"/>
                <w:szCs w:val="21"/>
              </w:rPr>
            </w:pPr>
            <w:r>
              <w:rPr>
                <w:rFonts w:ascii="宋体" w:hAnsi="宋体" w:cs="宋体" w:eastAsia="宋体" w:hint="default"/>
                <w:sz w:val="21"/>
                <w:szCs w:val="21"/>
              </w:rPr>
              <w:t>合计</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505,624,589.69</w:t>
            </w:r>
          </w:p>
        </w:tc>
        <w:tc>
          <w:tcPr>
            <w:tcW w:w="312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120" w:bottom="1380" w:left="1580" w:right="1040"/>
        </w:sectPr>
      </w:pPr>
    </w:p>
    <w:p>
      <w:pPr>
        <w:pStyle w:val="BodyText"/>
        <w:spacing w:line="273" w:lineRule="exact" w:before="36"/>
        <w:ind w:right="0"/>
        <w:jc w:val="left"/>
      </w:pPr>
      <w:r>
        <w:rPr>
          <w:spacing w:val="-2"/>
        </w:rPr>
        <w:t>短期应付债券的增减变动：</w:t>
      </w:r>
    </w:p>
    <w:p>
      <w:pPr>
        <w:pStyle w:val="BodyText"/>
        <w:tabs>
          <w:tab w:pos="1060" w:val="left" w:leader="none"/>
        </w:tabs>
        <w:spacing w:line="273" w:lineRule="exact"/>
        <w:ind w:right="0"/>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742" w:space="3780"/>
            <w:col w:w="2768"/>
          </w:cols>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254"/>
        <w:gridCol w:w="350"/>
        <w:gridCol w:w="1030"/>
        <w:gridCol w:w="252"/>
        <w:gridCol w:w="1417"/>
        <w:gridCol w:w="254"/>
        <w:gridCol w:w="1416"/>
        <w:gridCol w:w="1222"/>
        <w:gridCol w:w="1030"/>
        <w:gridCol w:w="254"/>
        <w:gridCol w:w="1416"/>
      </w:tblGrid>
      <w:tr>
        <w:trPr>
          <w:trHeight w:val="1100" w:hRule="exact"/>
        </w:trPr>
        <w:tc>
          <w:tcPr>
            <w:tcW w:w="25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both"/>
              <w:rPr>
                <w:rFonts w:ascii="宋体" w:hAnsi="宋体" w:cs="宋体" w:eastAsia="宋体" w:hint="default"/>
                <w:sz w:val="21"/>
                <w:szCs w:val="21"/>
              </w:rPr>
            </w:pPr>
            <w:r>
              <w:rPr>
                <w:rFonts w:ascii="宋体" w:hAnsi="宋体" w:cs="宋体" w:eastAsia="宋体" w:hint="default"/>
                <w:w w:val="100"/>
                <w:sz w:val="21"/>
                <w:szCs w:val="21"/>
              </w:rPr>
              <w:t>债</w:t>
            </w:r>
          </w:p>
          <w:p>
            <w:pPr>
              <w:pStyle w:val="TableParagraph"/>
              <w:spacing w:line="237" w:lineRule="auto"/>
              <w:ind w:left="26" w:right="5"/>
              <w:jc w:val="both"/>
              <w:rPr>
                <w:rFonts w:ascii="宋体" w:hAnsi="宋体" w:cs="宋体" w:eastAsia="宋体" w:hint="default"/>
                <w:sz w:val="21"/>
                <w:szCs w:val="21"/>
              </w:rPr>
            </w:pPr>
            <w:r>
              <w:rPr>
                <w:rFonts w:ascii="宋体" w:hAnsi="宋体" w:cs="宋体" w:eastAsia="宋体" w:hint="default"/>
                <w:sz w:val="21"/>
                <w:szCs w:val="21"/>
              </w:rPr>
              <w:t>券</w:t>
            </w:r>
            <w:r>
              <w:rPr>
                <w:rFonts w:ascii="宋体" w:hAnsi="宋体" w:cs="宋体" w:eastAsia="宋体" w:hint="default"/>
                <w:w w:val="100"/>
                <w:sz w:val="21"/>
                <w:szCs w:val="21"/>
              </w:rPr>
              <w:t> </w:t>
            </w:r>
            <w:r>
              <w:rPr>
                <w:rFonts w:ascii="宋体" w:hAnsi="宋体" w:cs="宋体" w:eastAsia="宋体" w:hint="default"/>
                <w:sz w:val="21"/>
                <w:szCs w:val="21"/>
              </w:rPr>
              <w:t>名</w:t>
            </w:r>
            <w:r>
              <w:rPr>
                <w:rFonts w:ascii="宋体" w:hAnsi="宋体" w:cs="宋体" w:eastAsia="宋体" w:hint="default"/>
                <w:w w:val="100"/>
                <w:sz w:val="21"/>
                <w:szCs w:val="21"/>
              </w:rPr>
              <w:t> </w:t>
            </w:r>
            <w:r>
              <w:rPr>
                <w:rFonts w:ascii="宋体" w:hAnsi="宋体" w:cs="宋体" w:eastAsia="宋体" w:hint="default"/>
                <w:sz w:val="21"/>
                <w:szCs w:val="21"/>
              </w:rPr>
              <w:t>称</w:t>
            </w: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62" w:right="65"/>
              <w:jc w:val="left"/>
              <w:rPr>
                <w:rFonts w:ascii="宋体" w:hAnsi="宋体" w:cs="宋体" w:eastAsia="宋体" w:hint="default"/>
                <w:sz w:val="21"/>
                <w:szCs w:val="21"/>
              </w:rPr>
            </w:pPr>
            <w:r>
              <w:rPr>
                <w:rFonts w:ascii="宋体" w:hAnsi="宋体" w:cs="宋体" w:eastAsia="宋体" w:hint="default"/>
                <w:sz w:val="21"/>
                <w:szCs w:val="21"/>
              </w:rPr>
              <w:t>面</w:t>
            </w:r>
            <w:r>
              <w:rPr>
                <w:rFonts w:ascii="宋体" w:hAnsi="宋体" w:cs="宋体" w:eastAsia="宋体" w:hint="default"/>
                <w:w w:val="100"/>
                <w:sz w:val="21"/>
                <w:szCs w:val="21"/>
              </w:rPr>
              <w:t> </w:t>
            </w:r>
            <w:r>
              <w:rPr>
                <w:rFonts w:ascii="宋体" w:hAnsi="宋体" w:cs="宋体" w:eastAsia="宋体" w:hint="default"/>
                <w:sz w:val="21"/>
                <w:szCs w:val="21"/>
              </w:rPr>
              <w:t>值</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97" w:right="299"/>
              <w:jc w:val="left"/>
              <w:rPr>
                <w:rFonts w:ascii="宋体" w:hAnsi="宋体" w:cs="宋体" w:eastAsia="宋体" w:hint="default"/>
                <w:sz w:val="21"/>
                <w:szCs w:val="21"/>
              </w:rPr>
            </w:pPr>
            <w:r>
              <w:rPr>
                <w:rFonts w:ascii="宋体" w:hAnsi="宋体" w:cs="宋体" w:eastAsia="宋体" w:hint="default"/>
                <w:sz w:val="21"/>
                <w:szCs w:val="21"/>
              </w:rPr>
              <w:t>发行</w:t>
            </w:r>
            <w:r>
              <w:rPr>
                <w:rFonts w:ascii="宋体" w:hAnsi="宋体" w:cs="宋体" w:eastAsia="宋体" w:hint="default"/>
                <w:spacing w:val="-103"/>
                <w:sz w:val="21"/>
                <w:szCs w:val="21"/>
              </w:rPr>
              <w:t> </w:t>
            </w:r>
            <w:r>
              <w:rPr>
                <w:rFonts w:ascii="宋体" w:hAnsi="宋体" w:cs="宋体" w:eastAsia="宋体" w:hint="default"/>
                <w:sz w:val="21"/>
                <w:szCs w:val="21"/>
              </w:rPr>
              <w:t>日期</w:t>
            </w:r>
          </w:p>
        </w:tc>
        <w:tc>
          <w:tcPr>
            <w:tcW w:w="25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3" w:right="0"/>
              <w:jc w:val="both"/>
              <w:rPr>
                <w:rFonts w:ascii="宋体" w:hAnsi="宋体" w:cs="宋体" w:eastAsia="宋体" w:hint="default"/>
                <w:sz w:val="21"/>
                <w:szCs w:val="21"/>
              </w:rPr>
            </w:pPr>
            <w:r>
              <w:rPr>
                <w:rFonts w:ascii="宋体" w:hAnsi="宋体" w:cs="宋体" w:eastAsia="宋体" w:hint="default"/>
                <w:w w:val="100"/>
                <w:sz w:val="21"/>
                <w:szCs w:val="21"/>
              </w:rPr>
              <w:t>债</w:t>
            </w:r>
          </w:p>
          <w:p>
            <w:pPr>
              <w:pStyle w:val="TableParagraph"/>
              <w:spacing w:line="237" w:lineRule="auto"/>
              <w:ind w:left="23" w:right="5"/>
              <w:jc w:val="both"/>
              <w:rPr>
                <w:rFonts w:ascii="宋体" w:hAnsi="宋体" w:cs="宋体" w:eastAsia="宋体" w:hint="default"/>
                <w:sz w:val="21"/>
                <w:szCs w:val="21"/>
              </w:rPr>
            </w:pPr>
            <w:r>
              <w:rPr>
                <w:rFonts w:ascii="宋体" w:hAnsi="宋体" w:cs="宋体" w:eastAsia="宋体" w:hint="default"/>
                <w:sz w:val="21"/>
                <w:szCs w:val="21"/>
              </w:rPr>
              <w:t>券</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限</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94" w:right="487"/>
              <w:jc w:val="center"/>
              <w:rPr>
                <w:rFonts w:ascii="宋体" w:hAnsi="宋体" w:cs="宋体" w:eastAsia="宋体" w:hint="default"/>
                <w:sz w:val="21"/>
                <w:szCs w:val="21"/>
              </w:rPr>
            </w:pPr>
            <w:r>
              <w:rPr>
                <w:rFonts w:ascii="宋体" w:hAnsi="宋体" w:cs="宋体" w:eastAsia="宋体" w:hint="default"/>
                <w:sz w:val="21"/>
                <w:szCs w:val="21"/>
              </w:rPr>
              <w:t>发行</w:t>
            </w:r>
            <w:r>
              <w:rPr>
                <w:rFonts w:ascii="宋体" w:hAnsi="宋体" w:cs="宋体" w:eastAsia="宋体" w:hint="default"/>
                <w:w w:val="100"/>
                <w:sz w:val="21"/>
                <w:szCs w:val="21"/>
              </w:rPr>
              <w:t> </w:t>
            </w:r>
            <w:r>
              <w:rPr>
                <w:rFonts w:ascii="宋体" w:hAnsi="宋体" w:cs="宋体" w:eastAsia="宋体" w:hint="default"/>
                <w:sz w:val="21"/>
                <w:szCs w:val="21"/>
              </w:rPr>
              <w:t>金额</w:t>
            </w:r>
          </w:p>
        </w:tc>
        <w:tc>
          <w:tcPr>
            <w:tcW w:w="25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both"/>
              <w:rPr>
                <w:rFonts w:ascii="宋体" w:hAnsi="宋体" w:cs="宋体" w:eastAsia="宋体" w:hint="default"/>
                <w:sz w:val="21"/>
                <w:szCs w:val="21"/>
              </w:rPr>
            </w:pPr>
            <w:r>
              <w:rPr>
                <w:rFonts w:ascii="宋体" w:hAnsi="宋体" w:cs="宋体" w:eastAsia="宋体" w:hint="default"/>
                <w:w w:val="100"/>
                <w:sz w:val="21"/>
                <w:szCs w:val="21"/>
              </w:rPr>
              <w:t>期</w:t>
            </w:r>
          </w:p>
          <w:p>
            <w:pPr>
              <w:pStyle w:val="TableParagraph"/>
              <w:spacing w:line="237" w:lineRule="auto"/>
              <w:ind w:left="26" w:right="5"/>
              <w:jc w:val="both"/>
              <w:rPr>
                <w:rFonts w:ascii="宋体" w:hAnsi="宋体" w:cs="宋体" w:eastAsia="宋体" w:hint="default"/>
                <w:sz w:val="21"/>
                <w:szCs w:val="21"/>
              </w:rPr>
            </w:pPr>
            <w:r>
              <w:rPr>
                <w:rFonts w:ascii="宋体" w:hAnsi="宋体" w:cs="宋体" w:eastAsia="宋体" w:hint="default"/>
                <w:sz w:val="21"/>
                <w:szCs w:val="21"/>
              </w:rPr>
              <w:t>初</w:t>
            </w:r>
            <w:r>
              <w:rPr>
                <w:rFonts w:ascii="宋体" w:hAnsi="宋体" w:cs="宋体" w:eastAsia="宋体" w:hint="default"/>
                <w:w w:val="100"/>
                <w:sz w:val="21"/>
                <w:szCs w:val="21"/>
              </w:rPr>
              <w:t> </w:t>
            </w:r>
            <w:r>
              <w:rPr>
                <w:rFonts w:ascii="宋体" w:hAnsi="宋体" w:cs="宋体" w:eastAsia="宋体" w:hint="default"/>
                <w:sz w:val="21"/>
                <w:szCs w:val="21"/>
              </w:rPr>
              <w:t>余</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91" w:right="490"/>
              <w:jc w:val="center"/>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w w:val="100"/>
                <w:sz w:val="21"/>
                <w:szCs w:val="21"/>
              </w:rPr>
              <w:t> </w:t>
            </w:r>
            <w:r>
              <w:rPr>
                <w:rFonts w:ascii="宋体" w:hAnsi="宋体" w:cs="宋体" w:eastAsia="宋体" w:hint="default"/>
                <w:sz w:val="21"/>
                <w:szCs w:val="21"/>
              </w:rPr>
              <w:t>发行</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93" w:right="77" w:hanging="315"/>
              <w:jc w:val="left"/>
              <w:rPr>
                <w:rFonts w:ascii="宋体" w:hAnsi="宋体" w:cs="宋体" w:eastAsia="宋体" w:hint="default"/>
                <w:sz w:val="21"/>
                <w:szCs w:val="21"/>
              </w:rPr>
            </w:pPr>
            <w:r>
              <w:rPr>
                <w:rFonts w:ascii="宋体" w:hAnsi="宋体" w:cs="宋体" w:eastAsia="宋体" w:hint="default"/>
                <w:sz w:val="21"/>
                <w:szCs w:val="21"/>
              </w:rPr>
              <w:t>按面值计提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利息</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05" w:right="84" w:hanging="315"/>
              <w:jc w:val="left"/>
              <w:rPr>
                <w:rFonts w:ascii="宋体" w:hAnsi="宋体" w:cs="宋体" w:eastAsia="宋体" w:hint="default"/>
                <w:sz w:val="21"/>
                <w:szCs w:val="21"/>
              </w:rPr>
            </w:pPr>
            <w:r>
              <w:rPr>
                <w:rFonts w:ascii="宋体" w:hAnsi="宋体" w:cs="宋体" w:eastAsia="宋体" w:hint="default"/>
                <w:sz w:val="21"/>
                <w:szCs w:val="21"/>
              </w:rPr>
              <w:t>溢折价摊</w:t>
            </w:r>
            <w:r>
              <w:rPr>
                <w:rFonts w:ascii="宋体" w:hAnsi="宋体" w:cs="宋体" w:eastAsia="宋体" w:hint="default"/>
                <w:w w:val="100"/>
                <w:sz w:val="21"/>
                <w:szCs w:val="21"/>
              </w:rPr>
              <w:t> </w:t>
            </w:r>
            <w:r>
              <w:rPr>
                <w:rFonts w:ascii="宋体" w:hAnsi="宋体" w:cs="宋体" w:eastAsia="宋体" w:hint="default"/>
                <w:sz w:val="21"/>
                <w:szCs w:val="21"/>
              </w:rPr>
              <w:t>销</w:t>
            </w:r>
          </w:p>
        </w:tc>
        <w:tc>
          <w:tcPr>
            <w:tcW w:w="25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3" w:right="0"/>
              <w:jc w:val="both"/>
              <w:rPr>
                <w:rFonts w:ascii="宋体" w:hAnsi="宋体" w:cs="宋体" w:eastAsia="宋体" w:hint="default"/>
                <w:sz w:val="21"/>
                <w:szCs w:val="21"/>
              </w:rPr>
            </w:pPr>
            <w:r>
              <w:rPr>
                <w:rFonts w:ascii="宋体" w:hAnsi="宋体" w:cs="宋体" w:eastAsia="宋体" w:hint="default"/>
                <w:w w:val="100"/>
                <w:sz w:val="21"/>
                <w:szCs w:val="21"/>
              </w:rPr>
              <w:t>本</w:t>
            </w:r>
          </w:p>
          <w:p>
            <w:pPr>
              <w:pStyle w:val="TableParagraph"/>
              <w:spacing w:line="237" w:lineRule="auto"/>
              <w:ind w:left="23" w:right="7"/>
              <w:jc w:val="both"/>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偿</w:t>
            </w:r>
            <w:r>
              <w:rPr>
                <w:rFonts w:ascii="宋体" w:hAnsi="宋体" w:cs="宋体" w:eastAsia="宋体" w:hint="default"/>
                <w:w w:val="100"/>
                <w:sz w:val="21"/>
                <w:szCs w:val="21"/>
              </w:rPr>
              <w:t> </w:t>
            </w:r>
            <w:r>
              <w:rPr>
                <w:rFonts w:ascii="宋体" w:hAnsi="宋体" w:cs="宋体" w:eastAsia="宋体" w:hint="default"/>
                <w:sz w:val="21"/>
                <w:szCs w:val="21"/>
              </w:rPr>
              <w:t>还</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92" w:right="491"/>
              <w:jc w:val="center"/>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p>
        </w:tc>
      </w:tr>
      <w:tr>
        <w:trPr>
          <w:trHeight w:val="1373" w:hRule="exact"/>
        </w:trPr>
        <w:tc>
          <w:tcPr>
            <w:tcW w:w="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both"/>
              <w:rPr>
                <w:rFonts w:ascii="宋体" w:hAnsi="宋体" w:cs="宋体" w:eastAsia="宋体" w:hint="default"/>
                <w:sz w:val="21"/>
                <w:szCs w:val="21"/>
              </w:rPr>
            </w:pPr>
            <w:r>
              <w:rPr>
                <w:rFonts w:ascii="宋体" w:hAnsi="宋体" w:cs="宋体" w:eastAsia="宋体" w:hint="default"/>
                <w:w w:val="100"/>
                <w:sz w:val="21"/>
                <w:szCs w:val="21"/>
              </w:rPr>
              <w:t>短</w:t>
            </w:r>
          </w:p>
          <w:p>
            <w:pPr>
              <w:pStyle w:val="TableParagraph"/>
              <w:spacing w:line="237" w:lineRule="auto"/>
              <w:ind w:left="26" w:right="5"/>
              <w:jc w:val="both"/>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融</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券</w:t>
            </w: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 w:right="0"/>
              <w:jc w:val="center"/>
              <w:rPr>
                <w:rFonts w:ascii="宋体" w:hAnsi="宋体" w:cs="宋体" w:eastAsia="宋体" w:hint="default"/>
                <w:sz w:val="21"/>
                <w:szCs w:val="21"/>
              </w:rPr>
            </w:pPr>
            <w:r>
              <w:rPr>
                <w:rFonts w:ascii="宋体"/>
                <w:sz w:val="21"/>
              </w:rPr>
              <w:t>10</w:t>
            </w:r>
          </w:p>
          <w:p>
            <w:pPr>
              <w:pStyle w:val="TableParagraph"/>
              <w:spacing w:line="273" w:lineRule="exact"/>
              <w:ind w:left="182" w:right="0"/>
              <w:jc w:val="center"/>
              <w:rPr>
                <w:rFonts w:ascii="宋体" w:hAnsi="宋体" w:cs="宋体" w:eastAsia="宋体" w:hint="default"/>
                <w:sz w:val="21"/>
                <w:szCs w:val="21"/>
              </w:rPr>
            </w:pPr>
            <w:r>
              <w:rPr>
                <w:rFonts w:ascii="宋体"/>
                <w:w w:val="100"/>
                <w:sz w:val="21"/>
              </w:rPr>
              <w:t>0</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2017-10-1</w:t>
            </w:r>
          </w:p>
          <w:p>
            <w:pPr>
              <w:pStyle w:val="TableParagraph"/>
              <w:spacing w:line="273" w:lineRule="exact"/>
              <w:ind w:left="23" w:right="0"/>
              <w:jc w:val="left"/>
              <w:rPr>
                <w:rFonts w:ascii="宋体" w:hAnsi="宋体" w:cs="宋体" w:eastAsia="宋体" w:hint="default"/>
                <w:sz w:val="21"/>
                <w:szCs w:val="21"/>
              </w:rPr>
            </w:pPr>
            <w:r>
              <w:rPr>
                <w:rFonts w:ascii="宋体"/>
                <w:w w:val="100"/>
                <w:sz w:val="21"/>
              </w:rPr>
              <w:t>0</w:t>
            </w:r>
          </w:p>
        </w:tc>
        <w:tc>
          <w:tcPr>
            <w:tcW w:w="2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1</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年</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500,000,000.</w:t>
            </w:r>
          </w:p>
          <w:p>
            <w:pPr>
              <w:pStyle w:val="TableParagraph"/>
              <w:spacing w:line="273" w:lineRule="exact"/>
              <w:ind w:right="23"/>
              <w:jc w:val="right"/>
              <w:rPr>
                <w:rFonts w:ascii="宋体" w:hAnsi="宋体" w:cs="宋体" w:eastAsia="宋体" w:hint="default"/>
                <w:sz w:val="21"/>
                <w:szCs w:val="21"/>
              </w:rPr>
            </w:pPr>
            <w:r>
              <w:rPr>
                <w:rFonts w:ascii="宋体"/>
                <w:sz w:val="21"/>
              </w:rPr>
              <w:t>00</w:t>
            </w:r>
          </w:p>
        </w:tc>
        <w:tc>
          <w:tcPr>
            <w:tcW w:w="2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498,113,207.</w:t>
            </w:r>
          </w:p>
          <w:p>
            <w:pPr>
              <w:pStyle w:val="TableParagraph"/>
              <w:spacing w:line="273" w:lineRule="exact"/>
              <w:ind w:right="24"/>
              <w:jc w:val="right"/>
              <w:rPr>
                <w:rFonts w:ascii="宋体" w:hAnsi="宋体" w:cs="宋体" w:eastAsia="宋体" w:hint="default"/>
                <w:sz w:val="21"/>
                <w:szCs w:val="21"/>
              </w:rPr>
            </w:pPr>
            <w:r>
              <w:rPr>
                <w:rFonts w:ascii="宋体"/>
                <w:sz w:val="21"/>
              </w:rPr>
              <w:t>55</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7,087,500.0</w:t>
            </w:r>
          </w:p>
          <w:p>
            <w:pPr>
              <w:pStyle w:val="TableParagraph"/>
              <w:spacing w:line="273" w:lineRule="exact"/>
              <w:ind w:right="24"/>
              <w:jc w:val="right"/>
              <w:rPr>
                <w:rFonts w:ascii="宋体" w:hAnsi="宋体" w:cs="宋体" w:eastAsia="宋体" w:hint="default"/>
                <w:sz w:val="21"/>
                <w:szCs w:val="21"/>
              </w:rPr>
            </w:pPr>
            <w:r>
              <w:rPr>
                <w:rFonts w:ascii="宋体"/>
                <w:w w:val="100"/>
                <w:sz w:val="21"/>
              </w:rPr>
              <w:t>0</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423,882.1</w:t>
            </w:r>
          </w:p>
          <w:p>
            <w:pPr>
              <w:pStyle w:val="TableParagraph"/>
              <w:spacing w:line="273" w:lineRule="exact"/>
              <w:ind w:right="22"/>
              <w:jc w:val="right"/>
              <w:rPr>
                <w:rFonts w:ascii="宋体" w:hAnsi="宋体" w:cs="宋体" w:eastAsia="宋体" w:hint="default"/>
                <w:sz w:val="21"/>
                <w:szCs w:val="21"/>
              </w:rPr>
            </w:pPr>
            <w:r>
              <w:rPr>
                <w:rFonts w:ascii="宋体"/>
                <w:w w:val="100"/>
                <w:sz w:val="21"/>
              </w:rPr>
              <w:t>4</w:t>
            </w:r>
          </w:p>
        </w:tc>
        <w:tc>
          <w:tcPr>
            <w:tcW w:w="25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505,624,589.</w:t>
            </w:r>
          </w:p>
          <w:p>
            <w:pPr>
              <w:pStyle w:val="TableParagraph"/>
              <w:spacing w:line="273" w:lineRule="exact"/>
              <w:ind w:right="24"/>
              <w:jc w:val="right"/>
              <w:rPr>
                <w:rFonts w:ascii="宋体" w:hAnsi="宋体" w:cs="宋体" w:eastAsia="宋体" w:hint="default"/>
                <w:sz w:val="21"/>
                <w:szCs w:val="21"/>
              </w:rPr>
            </w:pPr>
            <w:r>
              <w:rPr>
                <w:rFonts w:ascii="宋体"/>
                <w:sz w:val="21"/>
              </w:rPr>
              <w:t>69</w:t>
            </w:r>
          </w:p>
        </w:tc>
      </w:tr>
      <w:tr>
        <w:trPr>
          <w:trHeight w:val="329" w:hRule="exact"/>
        </w:trPr>
        <w:tc>
          <w:tcPr>
            <w:tcW w:w="254"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25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5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25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合</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计</w:t>
            </w: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2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 w:right="0"/>
              <w:jc w:val="left"/>
              <w:rPr>
                <w:rFonts w:ascii="宋体" w:hAnsi="宋体" w:cs="宋体" w:eastAsia="宋体" w:hint="default"/>
                <w:sz w:val="21"/>
                <w:szCs w:val="21"/>
              </w:rPr>
            </w:pPr>
            <w:r>
              <w:rPr>
                <w:rFonts w:ascii="宋体"/>
                <w:w w:val="100"/>
                <w:sz w:val="21"/>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pacing w:val="-1"/>
                <w:sz w:val="21"/>
              </w:rPr>
              <w:t>500,000,000.</w:t>
            </w:r>
          </w:p>
          <w:p>
            <w:pPr>
              <w:pStyle w:val="TableParagraph"/>
              <w:spacing w:line="274" w:lineRule="exact"/>
              <w:ind w:right="23"/>
              <w:jc w:val="right"/>
              <w:rPr>
                <w:rFonts w:ascii="宋体" w:hAnsi="宋体" w:cs="宋体" w:eastAsia="宋体" w:hint="default"/>
                <w:sz w:val="21"/>
                <w:szCs w:val="21"/>
              </w:rPr>
            </w:pPr>
            <w:r>
              <w:rPr>
                <w:rFonts w:ascii="宋体"/>
                <w:sz w:val="21"/>
              </w:rPr>
              <w:t>00</w:t>
            </w:r>
          </w:p>
        </w:tc>
        <w:tc>
          <w:tcPr>
            <w:tcW w:w="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pacing w:val="-1"/>
                <w:sz w:val="21"/>
              </w:rPr>
              <w:t>498,113,207.</w:t>
            </w:r>
          </w:p>
          <w:p>
            <w:pPr>
              <w:pStyle w:val="TableParagraph"/>
              <w:spacing w:line="274" w:lineRule="exact"/>
              <w:ind w:right="24"/>
              <w:jc w:val="right"/>
              <w:rPr>
                <w:rFonts w:ascii="宋体" w:hAnsi="宋体" w:cs="宋体" w:eastAsia="宋体" w:hint="default"/>
                <w:sz w:val="21"/>
                <w:szCs w:val="21"/>
              </w:rPr>
            </w:pPr>
            <w:r>
              <w:rPr>
                <w:rFonts w:ascii="宋体"/>
                <w:sz w:val="21"/>
              </w:rPr>
              <w:t>55</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7,087,500.0</w:t>
            </w:r>
          </w:p>
          <w:p>
            <w:pPr>
              <w:pStyle w:val="TableParagraph"/>
              <w:spacing w:line="274" w:lineRule="exact"/>
              <w:ind w:right="24"/>
              <w:jc w:val="right"/>
              <w:rPr>
                <w:rFonts w:ascii="宋体" w:hAnsi="宋体" w:cs="宋体" w:eastAsia="宋体" w:hint="default"/>
                <w:sz w:val="21"/>
                <w:szCs w:val="21"/>
              </w:rPr>
            </w:pPr>
            <w:r>
              <w:rPr>
                <w:rFonts w:ascii="宋体"/>
                <w:w w:val="100"/>
                <w:sz w:val="21"/>
              </w:rPr>
              <w:t>0</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pacing w:val="-1"/>
                <w:sz w:val="21"/>
              </w:rPr>
              <w:t>423,882.1</w:t>
            </w:r>
          </w:p>
          <w:p>
            <w:pPr>
              <w:pStyle w:val="TableParagraph"/>
              <w:spacing w:line="274" w:lineRule="exact"/>
              <w:ind w:right="22"/>
              <w:jc w:val="right"/>
              <w:rPr>
                <w:rFonts w:ascii="宋体" w:hAnsi="宋体" w:cs="宋体" w:eastAsia="宋体" w:hint="default"/>
                <w:sz w:val="21"/>
                <w:szCs w:val="21"/>
              </w:rPr>
            </w:pPr>
            <w:r>
              <w:rPr>
                <w:rFonts w:ascii="宋体"/>
                <w:w w:val="100"/>
                <w:sz w:val="21"/>
              </w:rPr>
              <w:t>4</w:t>
            </w:r>
          </w:p>
        </w:tc>
        <w:tc>
          <w:tcPr>
            <w:tcW w:w="25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505,624,589.</w:t>
            </w:r>
          </w:p>
          <w:p>
            <w:pPr>
              <w:pStyle w:val="TableParagraph"/>
              <w:spacing w:line="274" w:lineRule="exact"/>
              <w:ind w:right="24"/>
              <w:jc w:val="right"/>
              <w:rPr>
                <w:rFonts w:ascii="宋体" w:hAnsi="宋体" w:cs="宋体" w:eastAsia="宋体" w:hint="default"/>
                <w:sz w:val="21"/>
                <w:szCs w:val="21"/>
              </w:rPr>
            </w:pPr>
            <w:r>
              <w:rPr>
                <w:rFonts w:ascii="宋体"/>
                <w:sz w:val="21"/>
              </w:rPr>
              <w:t>69</w:t>
            </w:r>
          </w:p>
        </w:tc>
      </w:tr>
    </w:tbl>
    <w:p>
      <w:pPr>
        <w:spacing w:line="240" w:lineRule="auto" w:before="2"/>
        <w:rPr>
          <w:rFonts w:ascii="宋体" w:hAnsi="宋体" w:cs="宋体" w:eastAsia="宋体" w:hint="default"/>
          <w:sz w:val="20"/>
          <w:szCs w:val="20"/>
        </w:rPr>
      </w:pPr>
    </w:p>
    <w:p>
      <w:pPr>
        <w:pStyle w:val="BodyText"/>
        <w:spacing w:line="240" w:lineRule="auto" w:before="36"/>
        <w:ind w:left="138" w:right="4983"/>
        <w:jc w:val="left"/>
      </w:pPr>
      <w:r>
        <w:rPr/>
        <w:t>其他说明：</w:t>
      </w:r>
    </w:p>
    <w:p>
      <w:pPr>
        <w:pStyle w:val="BodyText"/>
        <w:spacing w:line="240" w:lineRule="auto" w:before="56"/>
        <w:ind w:left="138" w:right="4983"/>
        <w:jc w:val="left"/>
      </w:pPr>
      <w:r>
        <w:rPr/>
        <w:t>□适用</w:t>
      </w:r>
      <w:r>
        <w:rPr>
          <w:spacing w:val="-1"/>
        </w:rPr>
        <w:t> </w:t>
      </w:r>
      <w:r>
        <w:rPr/>
        <w:t>√不适用</w:t>
      </w:r>
    </w:p>
    <w:p>
      <w:pPr>
        <w:spacing w:line="240" w:lineRule="auto" w:before="11"/>
        <w:rPr>
          <w:rFonts w:ascii="宋体" w:hAnsi="宋体" w:cs="宋体" w:eastAsia="宋体" w:hint="default"/>
          <w:sz w:val="29"/>
          <w:szCs w:val="29"/>
        </w:rPr>
      </w:pPr>
    </w:p>
    <w:p>
      <w:pPr>
        <w:pStyle w:val="Heading2"/>
        <w:spacing w:line="240" w:lineRule="auto"/>
        <w:ind w:left="138" w:right="4983"/>
        <w:jc w:val="left"/>
        <w:rPr>
          <w:b w:val="0"/>
          <w:bCs w:val="0"/>
        </w:rPr>
      </w:pPr>
      <w:r>
        <w:rPr>
          <w:rFonts w:ascii="宋体" w:hAnsi="宋体" w:cs="宋体" w:eastAsia="宋体" w:hint="default"/>
        </w:rPr>
        <w:t>45</w:t>
      </w:r>
      <w:r>
        <w:rPr/>
        <w:t>、</w:t>
      </w:r>
      <w:r>
        <w:rPr>
          <w:spacing w:val="-25"/>
        </w:rPr>
        <w:t> </w:t>
      </w:r>
      <w:r>
        <w:rPr/>
        <w:t>长期借款</w:t>
      </w:r>
      <w:r>
        <w:rPr>
          <w:b w:val="0"/>
          <w:bCs w:val="0"/>
        </w:rPr>
      </w:r>
    </w:p>
    <w:p>
      <w:pPr>
        <w:pStyle w:val="Heading2"/>
        <w:tabs>
          <w:tab w:pos="769" w:val="left" w:leader="none"/>
        </w:tabs>
        <w:spacing w:line="240" w:lineRule="auto" w:before="58"/>
        <w:ind w:left="138" w:right="4983"/>
        <w:jc w:val="left"/>
        <w:rPr>
          <w:b w:val="0"/>
          <w:bCs w:val="0"/>
        </w:rPr>
      </w:pPr>
      <w:r>
        <w:rPr>
          <w:rFonts w:ascii="宋体" w:hAnsi="宋体" w:cs="宋体" w:eastAsia="宋体" w:hint="default"/>
          <w:w w:val="95"/>
        </w:rPr>
        <w:t>(1).</w:t>
        <w:tab/>
      </w:r>
      <w:r>
        <w:rPr/>
        <w:t>长期借款分类</w:t>
      </w:r>
      <w:r>
        <w:rPr>
          <w:b w:val="0"/>
          <w:bCs w:val="0"/>
        </w:rPr>
      </w:r>
    </w:p>
    <w:p>
      <w:pPr>
        <w:pStyle w:val="BodyText"/>
        <w:spacing w:line="240" w:lineRule="auto" w:before="56"/>
        <w:ind w:left="138" w:right="4983"/>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4" w:lineRule="exact"/>
        <w:ind w:left="138" w:right="4983"/>
        <w:jc w:val="left"/>
      </w:pPr>
      <w:r>
        <w:rPr/>
        <w:t>其他说明，包括利率区间：</w:t>
      </w:r>
    </w:p>
    <w:p>
      <w:pPr>
        <w:pStyle w:val="BodyText"/>
        <w:spacing w:line="274" w:lineRule="exact"/>
        <w:ind w:left="138" w:right="4983"/>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tabs>
          <w:tab w:pos="809" w:val="left" w:leader="none"/>
        </w:tabs>
        <w:spacing w:line="290" w:lineRule="auto"/>
        <w:ind w:left="138" w:right="7469"/>
        <w:jc w:val="left"/>
        <w:rPr>
          <w:b w:val="0"/>
          <w:bCs w:val="0"/>
        </w:rPr>
      </w:pPr>
      <w:r>
        <w:rPr>
          <w:rFonts w:ascii="宋体" w:hAnsi="宋体" w:cs="宋体" w:eastAsia="宋体" w:hint="default"/>
        </w:rPr>
        <w:t>46</w:t>
      </w:r>
      <w:r>
        <w:rPr/>
        <w:t>、</w:t>
      </w:r>
      <w:r>
        <w:rPr>
          <w:spacing w:val="-25"/>
        </w:rPr>
        <w:t> </w:t>
      </w:r>
      <w:r>
        <w:rPr/>
        <w:t>应付债券</w:t>
      </w:r>
      <w:r>
        <w:rPr>
          <w:w w:val="100"/>
        </w:rPr>
        <w:t> </w:t>
      </w:r>
      <w:r>
        <w:rPr>
          <w:rFonts w:ascii="宋体" w:hAnsi="宋体" w:cs="宋体" w:eastAsia="宋体" w:hint="default"/>
          <w:w w:val="95"/>
        </w:rPr>
        <w:t>(1).</w:t>
        <w:tab/>
      </w:r>
      <w:r>
        <w:rPr/>
        <w:t>应付债券</w:t>
      </w:r>
      <w:r>
        <w:rPr>
          <w:b w:val="0"/>
          <w:bCs w:val="0"/>
        </w:rPr>
      </w:r>
    </w:p>
    <w:p>
      <w:pPr>
        <w:pStyle w:val="BodyText"/>
        <w:spacing w:line="240" w:lineRule="auto" w:before="14"/>
        <w:ind w:left="138" w:right="4983"/>
        <w:jc w:val="left"/>
      </w:pPr>
      <w:r>
        <w:rPr/>
        <w:t>□适用</w:t>
      </w:r>
      <w:r>
        <w:rPr>
          <w:spacing w:val="-1"/>
        </w:rPr>
        <w:t> </w:t>
      </w:r>
      <w:r>
        <w:rPr/>
        <w:t>√不适用</w:t>
      </w:r>
    </w:p>
    <w:p>
      <w:pPr>
        <w:pStyle w:val="Heading2"/>
        <w:tabs>
          <w:tab w:pos="809" w:val="left" w:leader="none"/>
        </w:tabs>
        <w:spacing w:line="240" w:lineRule="auto" w:before="56"/>
        <w:ind w:left="138" w:right="0"/>
        <w:jc w:val="left"/>
        <w:rPr>
          <w:b w:val="0"/>
          <w:bCs w:val="0"/>
        </w:rPr>
      </w:pPr>
      <w:r>
        <w:rPr>
          <w:rFonts w:ascii="宋体" w:hAnsi="宋体" w:cs="宋体" w:eastAsia="宋体" w:hint="default"/>
          <w:w w:val="99"/>
        </w:rPr>
        <w:t>(2).</w:t>
      </w:r>
      <w:r>
        <w:rPr>
          <w:rFonts w:ascii="宋体" w:hAnsi="宋体" w:cs="宋体" w:eastAsia="宋体" w:hint="default"/>
        </w:rPr>
        <w:tab/>
      </w:r>
      <w:r>
        <w:rPr>
          <w:w w:val="100"/>
        </w:rPr>
        <w:t>应付债券的增减变动</w:t>
      </w:r>
      <w:r>
        <w:rPr>
          <w:spacing w:val="-108"/>
          <w:w w:val="100"/>
        </w:rPr>
        <w:t>：</w:t>
      </w:r>
      <w:r>
        <w:rPr>
          <w:w w:val="100"/>
        </w:rPr>
        <w:t>（</w:t>
      </w:r>
      <w:r>
        <w:rPr>
          <w:spacing w:val="-3"/>
          <w:w w:val="100"/>
        </w:rPr>
        <w:t>不</w:t>
      </w:r>
      <w:r>
        <w:rPr>
          <w:w w:val="100"/>
        </w:rPr>
        <w:t>包括划分为金融负</w:t>
      </w:r>
      <w:r>
        <w:rPr>
          <w:spacing w:val="-3"/>
          <w:w w:val="100"/>
        </w:rPr>
        <w:t>债</w:t>
      </w:r>
      <w:r>
        <w:rPr>
          <w:w w:val="100"/>
        </w:rPr>
        <w:t>的</w:t>
      </w:r>
      <w:r>
        <w:rPr>
          <w:spacing w:val="-3"/>
          <w:w w:val="100"/>
        </w:rPr>
        <w:t>优</w:t>
      </w:r>
      <w:r>
        <w:rPr>
          <w:w w:val="100"/>
        </w:rPr>
        <w:t>先股、永续债等其</w:t>
      </w:r>
      <w:r>
        <w:rPr>
          <w:spacing w:val="-3"/>
          <w:w w:val="100"/>
        </w:rPr>
        <w:t>他</w:t>
      </w:r>
      <w:r>
        <w:rPr>
          <w:w w:val="100"/>
        </w:rPr>
        <w:t>金</w:t>
      </w:r>
      <w:r>
        <w:rPr>
          <w:spacing w:val="-3"/>
          <w:w w:val="100"/>
        </w:rPr>
        <w:t>融</w:t>
      </w:r>
      <w:r>
        <w:rPr>
          <w:w w:val="100"/>
        </w:rPr>
        <w:t>工具）</w:t>
      </w:r>
      <w:r>
        <w:rPr>
          <w:b w:val="0"/>
          <w:bCs w:val="0"/>
          <w:w w:val="100"/>
        </w:rPr>
      </w:r>
    </w:p>
    <w:p>
      <w:pPr>
        <w:pStyle w:val="BodyText"/>
        <w:spacing w:line="240" w:lineRule="auto" w:before="58"/>
        <w:ind w:left="138" w:right="4983"/>
        <w:jc w:val="left"/>
      </w:pPr>
      <w:r>
        <w:rPr/>
        <w:t>□适用</w:t>
      </w:r>
      <w:r>
        <w:rPr>
          <w:spacing w:val="-1"/>
        </w:rPr>
        <w:t> </w:t>
      </w:r>
      <w:r>
        <w:rPr/>
        <w:t>√不适用</w:t>
      </w:r>
    </w:p>
    <w:p>
      <w:pPr>
        <w:pStyle w:val="Heading2"/>
        <w:tabs>
          <w:tab w:pos="809" w:val="left" w:leader="none"/>
        </w:tabs>
        <w:spacing w:line="240" w:lineRule="auto" w:before="56"/>
        <w:ind w:left="138" w:right="2859"/>
        <w:jc w:val="left"/>
        <w:rPr>
          <w:b w:val="0"/>
          <w:bCs w:val="0"/>
        </w:rPr>
      </w:pPr>
      <w:r>
        <w:rPr>
          <w:rFonts w:ascii="宋体" w:hAnsi="宋体" w:cs="宋体" w:eastAsia="宋体" w:hint="default"/>
          <w:w w:val="95"/>
        </w:rPr>
        <w:t>(3).</w:t>
        <w:tab/>
      </w:r>
      <w:r>
        <w:rPr/>
        <w:t>可转换公司债券的转股条件、转股时间说明：</w:t>
      </w:r>
      <w:r>
        <w:rPr>
          <w:b w:val="0"/>
          <w:bCs w:val="0"/>
        </w:rPr>
      </w:r>
    </w:p>
    <w:p>
      <w:pPr>
        <w:pStyle w:val="BodyText"/>
        <w:spacing w:line="240" w:lineRule="auto" w:before="58"/>
        <w:ind w:left="138" w:right="4983"/>
        <w:jc w:val="left"/>
      </w:pPr>
      <w:r>
        <w:rPr/>
        <w:t>□适用</w:t>
      </w:r>
      <w:r>
        <w:rPr>
          <w:spacing w:val="-1"/>
        </w:rPr>
        <w:t> </w:t>
      </w:r>
      <w:r>
        <w:rPr/>
        <w:t>√不适用</w:t>
      </w:r>
    </w:p>
    <w:p>
      <w:pPr>
        <w:tabs>
          <w:tab w:pos="809" w:val="left" w:leader="none"/>
        </w:tabs>
        <w:spacing w:line="290" w:lineRule="auto" w:before="56"/>
        <w:ind w:left="138" w:right="3729" w:firstLine="0"/>
        <w:jc w:val="left"/>
        <w:rPr>
          <w:rFonts w:ascii="宋体" w:hAnsi="宋体" w:cs="宋体" w:eastAsia="宋体" w:hint="default"/>
          <w:sz w:val="21"/>
          <w:szCs w:val="21"/>
        </w:rPr>
      </w:pPr>
      <w:r>
        <w:rPr>
          <w:rFonts w:ascii="宋体" w:hAnsi="宋体" w:cs="宋体" w:eastAsia="宋体" w:hint="default"/>
          <w:b/>
          <w:bCs/>
          <w:w w:val="95"/>
          <w:sz w:val="21"/>
          <w:szCs w:val="21"/>
        </w:rPr>
        <w:t>(4).</w:t>
        <w:tab/>
      </w:r>
      <w:r>
        <w:rPr>
          <w:rFonts w:ascii="宋体" w:hAnsi="宋体" w:cs="宋体" w:eastAsia="宋体" w:hint="default"/>
          <w:b/>
          <w:bCs/>
          <w:sz w:val="21"/>
          <w:szCs w:val="21"/>
        </w:rPr>
        <w:t>划分为金融负债的其他金融工具说明：</w:t>
      </w:r>
      <w:r>
        <w:rPr>
          <w:rFonts w:ascii="宋体" w:hAnsi="宋体" w:cs="宋体" w:eastAsia="宋体" w:hint="default"/>
          <w:b/>
          <w:bCs/>
          <w:w w:val="100"/>
          <w:sz w:val="21"/>
          <w:szCs w:val="21"/>
        </w:rPr>
        <w:t> </w:t>
      </w:r>
      <w:r>
        <w:rPr>
          <w:rFonts w:ascii="宋体" w:hAnsi="宋体" w:cs="宋体" w:eastAsia="宋体" w:hint="default"/>
          <w:spacing w:val="-2"/>
          <w:sz w:val="21"/>
          <w:szCs w:val="21"/>
        </w:rPr>
        <w:t>期末发行在外的优先股、永续债等其他金融工具基本情况</w:t>
      </w:r>
    </w:p>
    <w:p>
      <w:pPr>
        <w:pStyle w:val="BodyText"/>
        <w:spacing w:line="230" w:lineRule="exact"/>
        <w:ind w:left="138" w:right="4983"/>
        <w:jc w:val="left"/>
      </w:pPr>
      <w:r>
        <w:rPr/>
        <w:t>□适用</w:t>
      </w:r>
      <w:r>
        <w:rPr>
          <w:spacing w:val="-1"/>
        </w:rPr>
        <w:t> </w:t>
      </w:r>
      <w:r>
        <w:rPr/>
        <w:t>√不适用</w:t>
      </w:r>
    </w:p>
    <w:p>
      <w:pPr>
        <w:spacing w:line="240" w:lineRule="auto" w:before="11"/>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footerReference w:type="default" r:id="rId47"/>
          <w:pgSz w:w="11910" w:h="16840"/>
          <w:pgMar w:footer="1195" w:header="882" w:top="1120" w:bottom="1380" w:left="1660" w:right="1120"/>
          <w:pgNumType w:start="131"/>
        </w:sectPr>
      </w:pPr>
    </w:p>
    <w:p>
      <w:pPr>
        <w:pStyle w:val="BodyText"/>
        <w:spacing w:line="273" w:lineRule="exact" w:before="36"/>
        <w:ind w:left="138" w:right="0"/>
        <w:jc w:val="left"/>
      </w:pPr>
      <w:r>
        <w:rPr>
          <w:spacing w:val="-2"/>
        </w:rPr>
        <w:t>期末发行在外的优先股、永续债等金融工具变动情况表</w:t>
      </w:r>
    </w:p>
    <w:p>
      <w:pPr>
        <w:pStyle w:val="BodyText"/>
        <w:spacing w:line="290" w:lineRule="auto"/>
        <w:ind w:left="138" w:right="0"/>
        <w:jc w:val="left"/>
      </w:pPr>
      <w:r>
        <w:rPr/>
        <w:t>□适用</w:t>
      </w:r>
      <w:r>
        <w:rPr>
          <w:spacing w:val="-2"/>
        </w:rPr>
        <w:t> </w:t>
      </w:r>
      <w:r>
        <w:rPr/>
        <w:t>√不适用</w:t>
      </w:r>
      <w:r>
        <w:rPr>
          <w:w w:val="100"/>
        </w:rPr>
        <w:t> </w:t>
      </w:r>
      <w:r>
        <w:rPr>
          <w:spacing w:val="-2"/>
        </w:rPr>
        <w:t>其他金融工具划分为金融负债的依据说明</w:t>
      </w:r>
    </w:p>
    <w:p>
      <w:pPr>
        <w:pStyle w:val="BodyText"/>
        <w:spacing w:line="290" w:lineRule="auto" w:before="12"/>
        <w:ind w:left="138" w:right="3451"/>
        <w:jc w:val="left"/>
      </w:pPr>
      <w:r>
        <w:rPr/>
        <w:t>□适用</w:t>
      </w:r>
      <w:r>
        <w:rPr>
          <w:spacing w:val="-1"/>
        </w:rPr>
        <w:t> </w:t>
      </w:r>
      <w:r>
        <w:rPr/>
        <w:t>√不适用</w:t>
      </w:r>
      <w:r>
        <w:rPr>
          <w:w w:val="100"/>
        </w:rPr>
        <w:t> </w:t>
      </w:r>
      <w:r>
        <w:rPr/>
        <w:t>其他说明：</w:t>
      </w:r>
    </w:p>
    <w:p>
      <w:pPr>
        <w:spacing w:line="290" w:lineRule="auto" w:before="12"/>
        <w:ind w:left="138" w:right="345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47</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长期应付款</w:t>
      </w:r>
      <w:r>
        <w:rPr>
          <w:rFonts w:ascii="宋体" w:hAnsi="宋体" w:cs="宋体" w:eastAsia="宋体" w:hint="default"/>
          <w:sz w:val="21"/>
          <w:szCs w:val="21"/>
        </w:rPr>
      </w:r>
    </w:p>
    <w:p>
      <w:pPr>
        <w:pStyle w:val="Heading2"/>
        <w:spacing w:line="274" w:lineRule="exact" w:before="12"/>
        <w:ind w:left="138" w:right="0"/>
        <w:jc w:val="left"/>
        <w:rPr>
          <w:b w:val="0"/>
          <w:bCs w:val="0"/>
        </w:rPr>
      </w:pPr>
      <w:r>
        <w:rPr>
          <w:rFonts w:ascii="宋体" w:hAnsi="宋体" w:cs="宋体" w:eastAsia="宋体" w:hint="default"/>
        </w:rPr>
        <w:t>(1) </w:t>
      </w:r>
      <w:r>
        <w:rPr/>
        <w:t>按款项性质列示长期应付款：</w:t>
      </w:r>
      <w:r>
        <w:rPr>
          <w:b w:val="0"/>
          <w:bCs w:val="0"/>
        </w:rPr>
      </w:r>
    </w:p>
    <w:p>
      <w:pPr>
        <w:pStyle w:val="BodyText"/>
        <w:spacing w:line="274" w:lineRule="exact"/>
        <w:ind w:left="13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5184" w:space="1338"/>
            <w:col w:w="2608"/>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152"/>
        <w:gridCol w:w="2873"/>
        <w:gridCol w:w="2871"/>
      </w:tblGrid>
      <w:tr>
        <w:trPr>
          <w:trHeight w:val="317"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bl>
    <w:p>
      <w:pPr>
        <w:spacing w:after="0" w:line="258" w:lineRule="exact"/>
        <w:jc w:val="center"/>
        <w:rPr>
          <w:rFonts w:ascii="宋体" w:hAnsi="宋体" w:cs="宋体" w:eastAsia="宋体" w:hint="default"/>
          <w:sz w:val="21"/>
          <w:szCs w:val="21"/>
        </w:rPr>
        <w:sectPr>
          <w:type w:val="continuous"/>
          <w:pgSz w:w="11910" w:h="16840"/>
          <w:pgMar w:top="1120" w:bottom="1380" w:left="166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3152"/>
        <w:gridCol w:w="2873"/>
        <w:gridCol w:w="2871"/>
      </w:tblGrid>
      <w:tr>
        <w:trPr>
          <w:trHeight w:val="284"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应付融资租赁款</w:t>
            </w:r>
          </w:p>
        </w:tc>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156" w:right="0"/>
              <w:jc w:val="left"/>
              <w:rPr>
                <w:rFonts w:ascii="宋体" w:hAnsi="宋体" w:cs="宋体" w:eastAsia="宋体" w:hint="default"/>
                <w:sz w:val="21"/>
                <w:szCs w:val="21"/>
              </w:rPr>
            </w:pPr>
            <w:r>
              <w:rPr>
                <w:rFonts w:ascii="宋体"/>
                <w:sz w:val="21"/>
              </w:rPr>
              <w:t>1,965,431,730.18</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154" w:right="0"/>
              <w:jc w:val="left"/>
              <w:rPr>
                <w:rFonts w:ascii="宋体" w:hAnsi="宋体" w:cs="宋体" w:eastAsia="宋体" w:hint="default"/>
                <w:sz w:val="21"/>
                <w:szCs w:val="21"/>
              </w:rPr>
            </w:pPr>
            <w:r>
              <w:rPr>
                <w:rFonts w:ascii="宋体"/>
                <w:sz w:val="21"/>
              </w:rPr>
              <w:t>1,616,255,882.73</w:t>
            </w:r>
          </w:p>
        </w:tc>
      </w:tr>
    </w:tbl>
    <w:p>
      <w:pPr>
        <w:spacing w:line="240" w:lineRule="auto" w:before="2"/>
        <w:rPr>
          <w:rFonts w:ascii="宋体" w:hAnsi="宋体" w:cs="宋体" w:eastAsia="宋体" w:hint="default"/>
          <w:sz w:val="20"/>
          <w:szCs w:val="20"/>
        </w:rPr>
      </w:pPr>
    </w:p>
    <w:p>
      <w:pPr>
        <w:pStyle w:val="BodyText"/>
        <w:spacing w:line="240" w:lineRule="auto" w:before="36"/>
        <w:ind w:right="2497"/>
        <w:jc w:val="left"/>
      </w:pPr>
      <w:r>
        <w:rPr/>
        <w:t>其他说明：</w:t>
      </w:r>
    </w:p>
    <w:p>
      <w:pPr>
        <w:pStyle w:val="BodyText"/>
        <w:spacing w:line="240" w:lineRule="auto" w:before="56"/>
        <w:ind w:right="2497"/>
        <w:jc w:val="left"/>
      </w:pPr>
      <w:r>
        <w:rPr/>
        <w:t>□适用</w:t>
      </w:r>
      <w:r>
        <w:rPr>
          <w:spacing w:val="-1"/>
        </w:rPr>
        <w:t> </w:t>
      </w:r>
      <w:r>
        <w:rPr/>
        <w:t>√不适用</w:t>
      </w:r>
    </w:p>
    <w:p>
      <w:pPr>
        <w:spacing w:line="240" w:lineRule="auto" w:before="11"/>
        <w:rPr>
          <w:rFonts w:ascii="宋体" w:hAnsi="宋体" w:cs="宋体" w:eastAsia="宋体" w:hint="default"/>
          <w:sz w:val="29"/>
          <w:szCs w:val="29"/>
        </w:rPr>
      </w:pPr>
    </w:p>
    <w:p>
      <w:pPr>
        <w:pStyle w:val="Heading2"/>
        <w:spacing w:line="240" w:lineRule="auto"/>
        <w:ind w:right="2497"/>
        <w:jc w:val="left"/>
        <w:rPr>
          <w:b w:val="0"/>
          <w:bCs w:val="0"/>
        </w:rPr>
      </w:pPr>
      <w:r>
        <w:rPr>
          <w:rFonts w:ascii="宋体" w:hAnsi="宋体" w:cs="宋体" w:eastAsia="宋体" w:hint="default"/>
        </w:rPr>
        <w:t>48</w:t>
      </w:r>
      <w:r>
        <w:rPr/>
        <w:t>、</w:t>
      </w:r>
      <w:r>
        <w:rPr>
          <w:spacing w:val="-24"/>
        </w:rPr>
        <w:t> </w:t>
      </w:r>
      <w:r>
        <w:rPr/>
        <w:t>长期应付职工薪酬</w:t>
      </w:r>
      <w:r>
        <w:rPr>
          <w:b w:val="0"/>
          <w:bCs w:val="0"/>
        </w:rPr>
      </w:r>
    </w:p>
    <w:p>
      <w:pPr>
        <w:pStyle w:val="BodyText"/>
        <w:spacing w:line="240" w:lineRule="auto" w:before="58"/>
        <w:ind w:right="249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497"/>
        <w:jc w:val="left"/>
        <w:rPr>
          <w:b w:val="0"/>
          <w:bCs w:val="0"/>
        </w:rPr>
      </w:pPr>
      <w:r>
        <w:rPr>
          <w:rFonts w:ascii="宋体" w:hAnsi="宋体" w:cs="宋体" w:eastAsia="宋体" w:hint="default"/>
        </w:rPr>
        <w:t>49</w:t>
      </w:r>
      <w:r>
        <w:rPr/>
        <w:t>、</w:t>
      </w:r>
      <w:r>
        <w:rPr>
          <w:spacing w:val="-25"/>
        </w:rPr>
        <w:t> </w:t>
      </w:r>
      <w:r>
        <w:rPr/>
        <w:t>专项应付款</w:t>
      </w:r>
      <w:r>
        <w:rPr>
          <w:b w:val="0"/>
          <w:bCs w:val="0"/>
        </w:rPr>
      </w:r>
    </w:p>
    <w:p>
      <w:pPr>
        <w:pStyle w:val="BodyText"/>
        <w:spacing w:line="240" w:lineRule="auto" w:before="56"/>
        <w:ind w:right="249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497"/>
        <w:jc w:val="left"/>
        <w:rPr>
          <w:b w:val="0"/>
          <w:bCs w:val="0"/>
        </w:rPr>
      </w:pPr>
      <w:r>
        <w:rPr>
          <w:rFonts w:ascii="宋体" w:hAnsi="宋体" w:cs="宋体" w:eastAsia="宋体" w:hint="default"/>
        </w:rPr>
        <w:t>50</w:t>
      </w:r>
      <w:r>
        <w:rPr/>
        <w:t>、</w:t>
      </w:r>
      <w:r>
        <w:rPr>
          <w:spacing w:val="-25"/>
        </w:rPr>
        <w:t> </w:t>
      </w:r>
      <w:r>
        <w:rPr/>
        <w:t>预计负债</w:t>
      </w:r>
      <w:r>
        <w:rPr>
          <w:b w:val="0"/>
          <w:bCs w:val="0"/>
        </w:rPr>
      </w:r>
    </w:p>
    <w:p>
      <w:pPr>
        <w:pStyle w:val="BodyText"/>
        <w:spacing w:line="240" w:lineRule="auto" w:before="56"/>
        <w:ind w:right="2497"/>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1040"/>
        </w:sectPr>
      </w:pPr>
    </w:p>
    <w:p>
      <w:pPr>
        <w:spacing w:line="290" w:lineRule="auto" w:before="36"/>
        <w:ind w:left="218" w:right="210" w:firstLine="0"/>
        <w:jc w:val="left"/>
        <w:rPr>
          <w:rFonts w:ascii="宋体" w:hAnsi="宋体" w:cs="宋体" w:eastAsia="宋体" w:hint="default"/>
          <w:sz w:val="21"/>
          <w:szCs w:val="21"/>
        </w:rPr>
      </w:pPr>
      <w:r>
        <w:rPr>
          <w:rFonts w:ascii="宋体" w:hAnsi="宋体" w:cs="宋体" w:eastAsia="宋体" w:hint="default"/>
          <w:b/>
          <w:bCs/>
          <w:sz w:val="21"/>
          <w:szCs w:val="21"/>
        </w:rPr>
        <w:t>51</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递延收益</w:t>
      </w:r>
      <w:r>
        <w:rPr>
          <w:rFonts w:ascii="宋体" w:hAnsi="宋体" w:cs="宋体" w:eastAsia="宋体" w:hint="default"/>
          <w:b/>
          <w:bCs/>
          <w:w w:val="100"/>
          <w:sz w:val="21"/>
          <w:szCs w:val="21"/>
        </w:rPr>
        <w:t> </w:t>
      </w:r>
      <w:r>
        <w:rPr>
          <w:rFonts w:ascii="宋体" w:hAnsi="宋体" w:cs="宋体" w:eastAsia="宋体" w:hint="default"/>
          <w:sz w:val="21"/>
          <w:szCs w:val="21"/>
        </w:rPr>
        <w:t>递延收益情况</w:t>
      </w:r>
    </w:p>
    <w:p>
      <w:pPr>
        <w:pStyle w:val="BodyText"/>
        <w:spacing w:line="227" w:lineRule="exact"/>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471"/>
        <w:gridCol w:w="1426"/>
        <w:gridCol w:w="1531"/>
        <w:gridCol w:w="1400"/>
        <w:gridCol w:w="1529"/>
        <w:gridCol w:w="1538"/>
      </w:tblGrid>
      <w:tr>
        <w:trPr>
          <w:trHeight w:val="346" w:hRule="exact"/>
        </w:trPr>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16"/>
              <w:jc w:val="right"/>
              <w:rPr>
                <w:rFonts w:ascii="宋体" w:hAnsi="宋体" w:cs="宋体" w:eastAsia="宋体" w:hint="default"/>
                <w:sz w:val="21"/>
                <w:szCs w:val="21"/>
              </w:rPr>
            </w:pPr>
            <w:r>
              <w:rPr>
                <w:rFonts w:ascii="宋体" w:hAnsi="宋体" w:cs="宋体" w:eastAsia="宋体" w:hint="default"/>
                <w:sz w:val="21"/>
                <w:szCs w:val="21"/>
              </w:rPr>
              <w:t>项目</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38"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形成原因</w:t>
            </w:r>
          </w:p>
        </w:tc>
      </w:tr>
      <w:tr>
        <w:trPr>
          <w:trHeight w:val="554" w:hRule="exact"/>
        </w:trPr>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售后回租形成</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的递延收益</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19,169,590.27</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121,685,892.48</w:t>
            </w:r>
          </w:p>
        </w:tc>
        <w:tc>
          <w:tcPr>
            <w:tcW w:w="1400"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140,855,482.75</w:t>
            </w: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融资租赁利息</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款</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37,670,900.00</w:t>
            </w:r>
          </w:p>
        </w:tc>
        <w:tc>
          <w:tcPr>
            <w:tcW w:w="1531"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8" w:right="0"/>
              <w:jc w:val="center"/>
              <w:rPr>
                <w:rFonts w:ascii="宋体" w:hAnsi="宋体" w:cs="宋体" w:eastAsia="宋体" w:hint="default"/>
                <w:sz w:val="21"/>
                <w:szCs w:val="21"/>
              </w:rPr>
            </w:pPr>
            <w:r>
              <w:rPr>
                <w:rFonts w:ascii="宋体"/>
                <w:sz w:val="21"/>
              </w:rPr>
              <w:t>9,722,433.20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27,948,466.80</w:t>
            </w: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16"/>
              <w:jc w:val="right"/>
              <w:rPr>
                <w:rFonts w:ascii="宋体" w:hAnsi="宋体" w:cs="宋体" w:eastAsia="宋体" w:hint="default"/>
                <w:sz w:val="21"/>
                <w:szCs w:val="21"/>
              </w:rPr>
            </w:pPr>
            <w:r>
              <w:rPr>
                <w:rFonts w:ascii="宋体" w:hAnsi="宋体" w:cs="宋体" w:eastAsia="宋体" w:hint="default"/>
                <w:sz w:val="21"/>
                <w:szCs w:val="21"/>
              </w:rPr>
              <w:t>合计</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56,840,490.27</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121,685,892.48</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8" w:right="0"/>
              <w:jc w:val="center"/>
              <w:rPr>
                <w:rFonts w:ascii="宋体" w:hAnsi="宋体" w:cs="宋体" w:eastAsia="宋体" w:hint="default"/>
                <w:sz w:val="21"/>
                <w:szCs w:val="21"/>
              </w:rPr>
            </w:pPr>
            <w:r>
              <w:rPr>
                <w:rFonts w:ascii="宋体"/>
                <w:sz w:val="21"/>
              </w:rPr>
              <w:t>9,722,433.20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168,803,949.55</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BodyText"/>
        <w:spacing w:line="240" w:lineRule="auto" w:before="36"/>
        <w:ind w:right="2497"/>
        <w:jc w:val="left"/>
      </w:pPr>
      <w:r>
        <w:rPr/>
        <w:t>涉及政府补助的项目：</w:t>
      </w:r>
    </w:p>
    <w:p>
      <w:pPr>
        <w:pStyle w:val="BodyText"/>
        <w:spacing w:line="240" w:lineRule="auto" w:before="58"/>
        <w:ind w:right="2497"/>
        <w:jc w:val="left"/>
      </w:pPr>
      <w:r>
        <w:rPr/>
        <w:t>□适用</w:t>
      </w:r>
      <w:r>
        <w:rPr>
          <w:spacing w:val="-1"/>
        </w:rPr>
        <w:t> </w:t>
      </w:r>
      <w:r>
        <w:rPr/>
        <w:t>√不适用</w:t>
      </w:r>
    </w:p>
    <w:p>
      <w:pPr>
        <w:spacing w:line="240" w:lineRule="auto" w:before="11"/>
        <w:rPr>
          <w:rFonts w:ascii="宋体" w:hAnsi="宋体" w:cs="宋体" w:eastAsia="宋体" w:hint="default"/>
          <w:sz w:val="29"/>
          <w:szCs w:val="29"/>
        </w:rPr>
      </w:pPr>
    </w:p>
    <w:p>
      <w:pPr>
        <w:pStyle w:val="BodyText"/>
        <w:spacing w:line="240" w:lineRule="auto"/>
        <w:ind w:right="2497"/>
        <w:jc w:val="left"/>
      </w:pPr>
      <w:r>
        <w:rPr/>
        <w:t>其他说明：</w:t>
      </w:r>
    </w:p>
    <w:p>
      <w:pPr>
        <w:pStyle w:val="BodyText"/>
        <w:spacing w:line="240" w:lineRule="auto" w:before="56"/>
        <w:ind w:right="2497"/>
        <w:jc w:val="left"/>
      </w:pPr>
      <w:r>
        <w:rPr/>
        <w:t>□适用</w:t>
      </w:r>
      <w:r>
        <w:rPr>
          <w:spacing w:val="-1"/>
        </w:rPr>
        <w:t> </w:t>
      </w:r>
      <w:r>
        <w:rPr/>
        <w:t>√不适用</w:t>
      </w:r>
    </w:p>
    <w:p>
      <w:pPr>
        <w:spacing w:line="240" w:lineRule="auto" w:before="11"/>
        <w:rPr>
          <w:rFonts w:ascii="宋体" w:hAnsi="宋体" w:cs="宋体" w:eastAsia="宋体" w:hint="default"/>
          <w:sz w:val="29"/>
          <w:szCs w:val="29"/>
        </w:rPr>
      </w:pPr>
    </w:p>
    <w:p>
      <w:pPr>
        <w:pStyle w:val="Heading2"/>
        <w:spacing w:line="240" w:lineRule="auto"/>
        <w:ind w:right="2497"/>
        <w:jc w:val="left"/>
        <w:rPr>
          <w:b w:val="0"/>
          <w:bCs w:val="0"/>
        </w:rPr>
      </w:pPr>
      <w:r>
        <w:rPr>
          <w:rFonts w:ascii="宋体" w:hAnsi="宋体" w:cs="宋体" w:eastAsia="宋体" w:hint="default"/>
        </w:rPr>
        <w:t>52</w:t>
      </w:r>
      <w:r>
        <w:rPr/>
        <w:t>、</w:t>
      </w:r>
      <w:r>
        <w:rPr>
          <w:spacing w:val="-24"/>
        </w:rPr>
        <w:t> </w:t>
      </w:r>
      <w:r>
        <w:rPr/>
        <w:t>其他非流动负债</w:t>
      </w:r>
      <w:r>
        <w:rPr>
          <w:b w:val="0"/>
          <w:bCs w:val="0"/>
        </w:rPr>
      </w:r>
    </w:p>
    <w:p>
      <w:pPr>
        <w:pStyle w:val="BodyText"/>
        <w:spacing w:line="240" w:lineRule="auto" w:before="56"/>
        <w:ind w:right="2497"/>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2"/>
        <w:spacing w:line="240" w:lineRule="auto" w:before="36"/>
        <w:ind w:right="-18"/>
        <w:jc w:val="left"/>
        <w:rPr>
          <w:b w:val="0"/>
          <w:bCs w:val="0"/>
        </w:rPr>
      </w:pPr>
      <w:r>
        <w:rPr>
          <w:rFonts w:ascii="宋体" w:hAnsi="宋体" w:cs="宋体" w:eastAsia="宋体" w:hint="default"/>
        </w:rPr>
        <w:t>53</w:t>
      </w:r>
      <w:r>
        <w:rPr/>
        <w:t>、</w:t>
      </w:r>
      <w:r>
        <w:rPr>
          <w:spacing w:val="-26"/>
        </w:rPr>
        <w:t> </w:t>
      </w:r>
      <w:r>
        <w:rPr/>
        <w:t>股本</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996"/>
        <w:gridCol w:w="1817"/>
        <w:gridCol w:w="840"/>
        <w:gridCol w:w="840"/>
        <w:gridCol w:w="915"/>
        <w:gridCol w:w="926"/>
        <w:gridCol w:w="901"/>
        <w:gridCol w:w="1814"/>
      </w:tblGrid>
      <w:tr>
        <w:trPr>
          <w:trHeight w:val="281" w:hRule="exact"/>
        </w:trPr>
        <w:tc>
          <w:tcPr>
            <w:tcW w:w="996" w:type="dxa"/>
            <w:vMerge w:val="restart"/>
            <w:tcBorders>
              <w:top w:val="single" w:sz="4" w:space="0" w:color="000000"/>
              <w:left w:val="single" w:sz="4" w:space="0" w:color="000000"/>
              <w:right w:val="single" w:sz="4" w:space="0" w:color="000000"/>
            </w:tcBorders>
          </w:tcPr>
          <w:p>
            <w:pPr/>
          </w:p>
        </w:tc>
        <w:tc>
          <w:tcPr>
            <w:tcW w:w="181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8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442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1"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宋体" w:hAnsi="宋体" w:cs="宋体" w:eastAsia="宋体" w:hint="default"/>
                <w:sz w:val="21"/>
                <w:szCs w:val="21"/>
              </w:rPr>
              <w:t>+</w:t>
            </w:r>
            <w:r>
              <w:rPr>
                <w:rFonts w:ascii="宋体" w:hAnsi="宋体" w:cs="宋体" w:eastAsia="宋体" w:hint="default"/>
                <w:sz w:val="21"/>
                <w:szCs w:val="21"/>
              </w:rPr>
              <w:t>、一）</w:t>
            </w:r>
          </w:p>
        </w:tc>
        <w:tc>
          <w:tcPr>
            <w:tcW w:w="181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8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7" w:hRule="exact"/>
        </w:trPr>
        <w:tc>
          <w:tcPr>
            <w:tcW w:w="996" w:type="dxa"/>
            <w:vMerge/>
            <w:tcBorders>
              <w:left w:val="single" w:sz="4" w:space="0" w:color="000000"/>
              <w:bottom w:val="single" w:sz="4" w:space="0" w:color="000000"/>
              <w:right w:val="single" w:sz="4" w:space="0" w:color="000000"/>
            </w:tcBorders>
          </w:tcPr>
          <w:p>
            <w:pPr/>
          </w:p>
        </w:tc>
        <w:tc>
          <w:tcPr>
            <w:tcW w:w="1817" w:type="dxa"/>
            <w:vMerge/>
            <w:tcBorders>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3" w:right="0"/>
              <w:jc w:val="left"/>
              <w:rPr>
                <w:rFonts w:ascii="宋体" w:hAnsi="宋体" w:cs="宋体" w:eastAsia="宋体" w:hint="default"/>
                <w:sz w:val="21"/>
                <w:szCs w:val="21"/>
              </w:rPr>
            </w:pPr>
            <w:r>
              <w:rPr>
                <w:rFonts w:ascii="宋体" w:hAnsi="宋体" w:cs="宋体" w:eastAsia="宋体" w:hint="default"/>
                <w:sz w:val="21"/>
                <w:szCs w:val="21"/>
              </w:rPr>
              <w:t>发行</w:t>
            </w:r>
          </w:p>
          <w:p>
            <w:pPr>
              <w:pStyle w:val="TableParagraph"/>
              <w:spacing w:line="273" w:lineRule="exact"/>
              <w:ind w:left="203" w:right="0"/>
              <w:jc w:val="left"/>
              <w:rPr>
                <w:rFonts w:ascii="宋体" w:hAnsi="宋体" w:cs="宋体" w:eastAsia="宋体" w:hint="default"/>
                <w:sz w:val="21"/>
                <w:szCs w:val="21"/>
              </w:rPr>
            </w:pPr>
            <w:r>
              <w:rPr>
                <w:rFonts w:ascii="宋体" w:hAnsi="宋体" w:cs="宋体" w:eastAsia="宋体" w:hint="default"/>
                <w:sz w:val="21"/>
                <w:szCs w:val="21"/>
              </w:rPr>
              <w:t>新股</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04"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公积金</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转股</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5"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814" w:type="dxa"/>
            <w:vMerge/>
            <w:tcBorders>
              <w:left w:val="single" w:sz="4" w:space="0" w:color="000000"/>
              <w:bottom w:val="single" w:sz="4" w:space="0" w:color="000000"/>
              <w:right w:val="single" w:sz="4" w:space="0" w:color="000000"/>
            </w:tcBorders>
          </w:tcPr>
          <w:p>
            <w:pPr/>
          </w:p>
        </w:tc>
      </w:tr>
      <w:tr>
        <w:trPr>
          <w:trHeight w:val="555" w:hRule="exact"/>
        </w:trPr>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股份总</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数</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3" w:right="0"/>
              <w:jc w:val="left"/>
              <w:rPr>
                <w:rFonts w:ascii="宋体" w:hAnsi="宋体" w:cs="宋体" w:eastAsia="宋体" w:hint="default"/>
                <w:sz w:val="20"/>
                <w:szCs w:val="20"/>
              </w:rPr>
            </w:pPr>
            <w:r>
              <w:rPr>
                <w:rFonts w:ascii="宋体"/>
                <w:sz w:val="20"/>
              </w:rPr>
              <w:t>1,360,711,170.98</w:t>
            </w:r>
          </w:p>
        </w:tc>
        <w:tc>
          <w:tcPr>
            <w:tcW w:w="840"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915"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3" w:right="0"/>
              <w:jc w:val="left"/>
              <w:rPr>
                <w:rFonts w:ascii="宋体" w:hAnsi="宋体" w:cs="宋体" w:eastAsia="宋体" w:hint="default"/>
                <w:sz w:val="20"/>
                <w:szCs w:val="20"/>
              </w:rPr>
            </w:pPr>
            <w:r>
              <w:rPr>
                <w:rFonts w:ascii="宋体"/>
                <w:sz w:val="20"/>
              </w:rPr>
              <w:t>1,360,711,170.98</w:t>
            </w:r>
          </w:p>
        </w:tc>
      </w:tr>
    </w:tbl>
    <w:p>
      <w:pPr>
        <w:pStyle w:val="BodyText"/>
        <w:spacing w:line="240" w:lineRule="auto" w:before="26"/>
        <w:ind w:right="2497"/>
        <w:jc w:val="left"/>
      </w:pPr>
      <w:r>
        <w:rPr/>
        <w:t>其他说明：</w:t>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BodyText"/>
        <w:spacing w:line="237" w:lineRule="auto" w:before="38"/>
        <w:ind w:left="238" w:right="250" w:firstLine="419"/>
        <w:jc w:val="both"/>
      </w:pPr>
      <w:r>
        <w:rPr>
          <w:spacing w:val="-2"/>
        </w:rPr>
        <w:t>本次合并报表编制过程中，假定原购买方（安通物流、安盛船务）保持在合并后报告主体中</w:t>
      </w:r>
      <w:r>
        <w:rPr>
          <w:w w:val="100"/>
        </w:rPr>
        <w:t> </w:t>
      </w:r>
      <w:r>
        <w:rPr>
          <w:spacing w:val="-4"/>
        </w:rPr>
        <w:t>享有其在本公司同等的权益，模拟增发后本公司总股本为</w:t>
      </w:r>
      <w:r>
        <w:rPr>
          <w:spacing w:val="-26"/>
        </w:rPr>
        <w:t> </w:t>
      </w:r>
      <w:r>
        <w:rPr>
          <w:rFonts w:ascii="宋体" w:hAnsi="宋体" w:cs="宋体" w:eastAsia="宋体" w:hint="default"/>
        </w:rPr>
        <w:t>1,360,711,170.98</w:t>
      </w:r>
      <w:r>
        <w:rPr>
          <w:rFonts w:ascii="宋体" w:hAnsi="宋体" w:cs="宋体" w:eastAsia="宋体" w:hint="default"/>
          <w:spacing w:val="-29"/>
        </w:rPr>
        <w:t> </w:t>
      </w:r>
      <w:r>
        <w:rPr>
          <w:spacing w:val="-7"/>
        </w:rPr>
        <w:t>元，即合并财务报表</w:t>
      </w:r>
      <w:r>
        <w:rPr>
          <w:spacing w:val="-95"/>
        </w:rPr>
        <w:t> </w:t>
      </w:r>
      <w:r>
        <w:rPr>
          <w:spacing w:val="-95"/>
        </w:rPr>
      </w:r>
      <w:r>
        <w:rPr/>
        <w:t>股本金额。</w:t>
      </w:r>
    </w:p>
    <w:p>
      <w:pPr>
        <w:pStyle w:val="BodyText"/>
        <w:spacing w:line="240" w:lineRule="auto" w:before="119"/>
        <w:ind w:left="658" w:right="930"/>
        <w:jc w:val="left"/>
        <w:rPr>
          <w:rFonts w:ascii="宋体" w:hAnsi="宋体" w:cs="宋体" w:eastAsia="宋体" w:hint="default"/>
        </w:rPr>
      </w:pPr>
      <w:r>
        <w:rPr/>
        <w:t>期末本公司发行在外的股份情况</w:t>
      </w:r>
      <w:r>
        <w:rPr>
          <w:rFonts w:ascii="宋体" w:hAnsi="宋体" w:cs="宋体" w:eastAsia="宋体" w:hint="default"/>
        </w:rPr>
        <w:t>:</w:t>
      </w:r>
    </w:p>
    <w:p>
      <w:pPr>
        <w:spacing w:line="240" w:lineRule="auto" w:before="10"/>
        <w:rPr>
          <w:rFonts w:ascii="宋体" w:hAnsi="宋体" w:cs="宋体" w:eastAsia="宋体"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2014"/>
        <w:gridCol w:w="1897"/>
        <w:gridCol w:w="1762"/>
        <w:gridCol w:w="1495"/>
        <w:gridCol w:w="1896"/>
      </w:tblGrid>
      <w:tr>
        <w:trPr>
          <w:trHeight w:val="415" w:hRule="exact"/>
        </w:trPr>
        <w:tc>
          <w:tcPr>
            <w:tcW w:w="201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0"/>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9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0"/>
              <w:ind w:left="526"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76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0"/>
              <w:ind w:left="458"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49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0"/>
              <w:ind w:left="324"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9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0"/>
              <w:ind w:left="526"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401" w:hRule="exact"/>
        </w:trPr>
        <w:tc>
          <w:tcPr>
            <w:tcW w:w="20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sz w:val="21"/>
                <w:szCs w:val="21"/>
              </w:rPr>
              <w:t>有限售条件股份</w:t>
            </w:r>
          </w:p>
        </w:tc>
        <w:tc>
          <w:tcPr>
            <w:tcW w:w="18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580,957,489.00</w:t>
            </w:r>
          </w:p>
        </w:tc>
        <w:tc>
          <w:tcPr>
            <w:tcW w:w="17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103"/>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4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103"/>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8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8"/>
              <w:ind w:right="103"/>
              <w:jc w:val="right"/>
              <w:rPr>
                <w:rFonts w:ascii="宋体" w:hAnsi="宋体" w:cs="宋体" w:eastAsia="宋体" w:hint="default"/>
                <w:sz w:val="21"/>
                <w:szCs w:val="21"/>
              </w:rPr>
            </w:pPr>
            <w:r>
              <w:rPr>
                <w:rFonts w:ascii="宋体"/>
                <w:spacing w:val="-1"/>
                <w:sz w:val="21"/>
              </w:rPr>
              <w:t>580,957,489.00</w:t>
            </w:r>
          </w:p>
        </w:tc>
      </w:tr>
      <w:tr>
        <w:trPr>
          <w:trHeight w:val="552" w:hRule="exact"/>
        </w:trPr>
        <w:tc>
          <w:tcPr>
            <w:tcW w:w="2014" w:type="dxa"/>
            <w:tcBorders>
              <w:top w:val="single" w:sz="2" w:space="0" w:color="000000"/>
              <w:left w:val="nil" w:sz="6" w:space="0" w:color="auto"/>
              <w:bottom w:val="single" w:sz="2" w:space="0" w:color="000000"/>
              <w:right w:val="single" w:sz="2"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无限售条件流通股</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w w:val="100"/>
                <w:sz w:val="21"/>
                <w:szCs w:val="21"/>
              </w:rPr>
              <w:t>份</w:t>
            </w:r>
          </w:p>
        </w:tc>
        <w:tc>
          <w:tcPr>
            <w:tcW w:w="18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481,171,022.00</w:t>
            </w:r>
          </w:p>
        </w:tc>
        <w:tc>
          <w:tcPr>
            <w:tcW w:w="17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4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8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2"/>
              <w:ind w:right="103"/>
              <w:jc w:val="right"/>
              <w:rPr>
                <w:rFonts w:ascii="宋体" w:hAnsi="宋体" w:cs="宋体" w:eastAsia="宋体" w:hint="default"/>
                <w:sz w:val="21"/>
                <w:szCs w:val="21"/>
              </w:rPr>
            </w:pPr>
            <w:r>
              <w:rPr>
                <w:rFonts w:ascii="宋体"/>
                <w:spacing w:val="-1"/>
                <w:sz w:val="21"/>
              </w:rPr>
              <w:t>481,171,022.00</w:t>
            </w:r>
          </w:p>
        </w:tc>
      </w:tr>
      <w:tr>
        <w:trPr>
          <w:trHeight w:val="415" w:hRule="exact"/>
        </w:trPr>
        <w:tc>
          <w:tcPr>
            <w:tcW w:w="201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8"/>
              <w:ind w:left="1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9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1,062,128,511.00</w:t>
            </w:r>
          </w:p>
        </w:tc>
        <w:tc>
          <w:tcPr>
            <w:tcW w:w="176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8"/>
              <w:ind w:right="103"/>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49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8"/>
              <w:ind w:right="103"/>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89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8"/>
              <w:ind w:right="103"/>
              <w:jc w:val="right"/>
              <w:rPr>
                <w:rFonts w:ascii="宋体" w:hAnsi="宋体" w:cs="宋体" w:eastAsia="宋体" w:hint="default"/>
                <w:sz w:val="21"/>
                <w:szCs w:val="21"/>
              </w:rPr>
            </w:pPr>
            <w:r>
              <w:rPr>
                <w:rFonts w:ascii="宋体"/>
                <w:spacing w:val="-1"/>
                <w:sz w:val="21"/>
              </w:rPr>
              <w:t>1,062,128,511.00</w:t>
            </w:r>
          </w:p>
        </w:tc>
      </w:tr>
    </w:tbl>
    <w:p>
      <w:pPr>
        <w:spacing w:line="240" w:lineRule="auto" w:before="13"/>
        <w:rPr>
          <w:rFonts w:ascii="宋体" w:hAnsi="宋体" w:cs="宋体" w:eastAsia="宋体" w:hint="default"/>
          <w:sz w:val="19"/>
          <w:szCs w:val="19"/>
        </w:rPr>
      </w:pPr>
    </w:p>
    <w:p>
      <w:pPr>
        <w:pStyle w:val="Heading2"/>
        <w:spacing w:line="240" w:lineRule="auto" w:before="36"/>
        <w:ind w:left="238" w:right="930"/>
        <w:jc w:val="left"/>
        <w:rPr>
          <w:b w:val="0"/>
          <w:bCs w:val="0"/>
        </w:rPr>
      </w:pPr>
      <w:r>
        <w:rPr>
          <w:rFonts w:ascii="宋体" w:hAnsi="宋体" w:cs="宋体" w:eastAsia="宋体" w:hint="default"/>
        </w:rPr>
        <w:t>54</w:t>
      </w:r>
      <w:r>
        <w:rPr/>
        <w:t>、</w:t>
      </w:r>
      <w:r>
        <w:rPr>
          <w:spacing w:val="-24"/>
        </w:rPr>
        <w:t> </w:t>
      </w:r>
      <w:r>
        <w:rPr/>
        <w:t>其他权益工具</w:t>
      </w:r>
      <w:r>
        <w:rPr>
          <w:b w:val="0"/>
          <w:bCs w:val="0"/>
        </w:rPr>
      </w:r>
    </w:p>
    <w:p>
      <w:pPr>
        <w:pStyle w:val="Heading2"/>
        <w:spacing w:line="240" w:lineRule="auto" w:before="56"/>
        <w:ind w:left="238" w:right="930"/>
        <w:jc w:val="left"/>
        <w:rPr>
          <w:b w:val="0"/>
          <w:bCs w:val="0"/>
        </w:rPr>
      </w:pPr>
      <w:r>
        <w:rPr>
          <w:rFonts w:ascii="宋体" w:hAnsi="宋体" w:cs="宋体" w:eastAsia="宋体" w:hint="default"/>
        </w:rPr>
        <w:t>(1)</w:t>
      </w:r>
      <w:r>
        <w:rPr>
          <w:rFonts w:ascii="宋体" w:hAnsi="宋体" w:cs="宋体" w:eastAsia="宋体" w:hint="default"/>
          <w:spacing w:val="-2"/>
        </w:rPr>
        <w:t> </w:t>
      </w:r>
      <w:r>
        <w:rPr/>
        <w:t>期末发行在外的优先股、永续债等其他金融工具基本情况</w:t>
      </w:r>
      <w:r>
        <w:rPr>
          <w:b w:val="0"/>
          <w:bCs w:val="0"/>
        </w:rPr>
      </w:r>
    </w:p>
    <w:p>
      <w:pPr>
        <w:pStyle w:val="BodyText"/>
        <w:spacing w:line="240" w:lineRule="auto" w:before="58"/>
        <w:ind w:left="238" w:right="93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238" w:right="930"/>
        <w:jc w:val="left"/>
        <w:rPr>
          <w:b w:val="0"/>
          <w:bCs w:val="0"/>
        </w:rPr>
      </w:pPr>
      <w:r>
        <w:rPr>
          <w:rFonts w:ascii="宋体" w:hAnsi="宋体" w:cs="宋体" w:eastAsia="宋体" w:hint="default"/>
        </w:rPr>
        <w:t>(2)</w:t>
      </w:r>
      <w:r>
        <w:rPr>
          <w:rFonts w:ascii="宋体" w:hAnsi="宋体" w:cs="宋体" w:eastAsia="宋体" w:hint="default"/>
          <w:spacing w:val="-2"/>
        </w:rPr>
        <w:t> </w:t>
      </w:r>
      <w:r>
        <w:rPr/>
        <w:t>期末发行在外的优先股、永续债等金融工具变动情况表</w:t>
      </w:r>
      <w:r>
        <w:rPr>
          <w:b w:val="0"/>
          <w:bCs w:val="0"/>
        </w:rPr>
      </w:r>
    </w:p>
    <w:p>
      <w:pPr>
        <w:pStyle w:val="BodyText"/>
        <w:spacing w:line="240" w:lineRule="auto" w:before="56"/>
        <w:ind w:left="238" w:right="930"/>
        <w:jc w:val="left"/>
      </w:pPr>
      <w:r>
        <w:rPr/>
        <w:t>□适用</w:t>
      </w:r>
      <w:r>
        <w:rPr>
          <w:spacing w:val="-2"/>
        </w:rPr>
        <w:t> </w:t>
      </w:r>
      <w:r>
        <w:rPr/>
        <w:t>√不适用</w:t>
      </w:r>
      <w:r>
        <w:rPr>
          <w:w w:val="100"/>
        </w:rPr>
        <w:t> </w:t>
      </w:r>
      <w:r>
        <w:rPr>
          <w:spacing w:val="-2"/>
        </w:rPr>
        <w:t>其他权益工具本期增减变动情况、变动原因说明，以及相关会计处理的依据：</w:t>
      </w:r>
    </w:p>
    <w:p>
      <w:pPr>
        <w:pStyle w:val="BodyText"/>
        <w:spacing w:line="271" w:lineRule="exact"/>
        <w:ind w:left="238" w:right="930"/>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4" w:lineRule="exact"/>
        <w:ind w:left="238" w:right="930"/>
        <w:jc w:val="left"/>
        <w:rPr>
          <w:rFonts w:ascii="宋体" w:hAnsi="宋体" w:cs="宋体" w:eastAsia="宋体" w:hint="default"/>
        </w:rPr>
      </w:pPr>
      <w:r>
        <w:rPr/>
        <w:t>其他说明</w:t>
      </w:r>
      <w:r>
        <w:rPr>
          <w:rFonts w:ascii="宋体" w:hAnsi="宋体" w:cs="宋体" w:eastAsia="宋体" w:hint="default"/>
        </w:rPr>
        <w:t>:</w:t>
      </w:r>
    </w:p>
    <w:p>
      <w:pPr>
        <w:pStyle w:val="BodyText"/>
        <w:spacing w:line="274" w:lineRule="exact"/>
        <w:ind w:left="238" w:right="93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60" w:right="1020"/>
        </w:sectPr>
      </w:pPr>
    </w:p>
    <w:p>
      <w:pPr>
        <w:pStyle w:val="Heading2"/>
        <w:spacing w:line="240" w:lineRule="auto" w:before="36"/>
        <w:ind w:left="238" w:right="-18"/>
        <w:jc w:val="left"/>
        <w:rPr>
          <w:b w:val="0"/>
          <w:bCs w:val="0"/>
        </w:rPr>
      </w:pPr>
      <w:r>
        <w:rPr>
          <w:rFonts w:ascii="宋体" w:hAnsi="宋体" w:cs="宋体" w:eastAsia="宋体" w:hint="default"/>
        </w:rPr>
        <w:t>55</w:t>
      </w:r>
      <w:r>
        <w:rPr/>
        <w:t>、</w:t>
      </w:r>
      <w:r>
        <w:rPr>
          <w:spacing w:val="-25"/>
        </w:rPr>
        <w:t> </w:t>
      </w:r>
      <w:r>
        <w:rPr/>
        <w:t>资本公积</w:t>
      </w:r>
      <w:r>
        <w:rPr>
          <w:b w:val="0"/>
          <w:bCs w:val="0"/>
        </w:rPr>
      </w:r>
    </w:p>
    <w:p>
      <w:pPr>
        <w:pStyle w:val="BodyText"/>
        <w:spacing w:line="240" w:lineRule="auto" w:before="56"/>
        <w:ind w:left="23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020"/>
          <w:cols w:num="2" w:equalWidth="0">
            <w:col w:w="1815" w:space="4706"/>
            <w:col w:w="2809"/>
          </w:cols>
        </w:sectPr>
      </w:pPr>
    </w:p>
    <w:p>
      <w:pPr>
        <w:spacing w:line="240" w:lineRule="auto" w:before="4"/>
        <w:rPr>
          <w:rFonts w:ascii="宋体" w:hAnsi="宋体" w:cs="宋体" w:eastAsia="宋体" w:hint="default"/>
          <w:sz w:val="2"/>
          <w:szCs w:val="2"/>
        </w:rPr>
      </w:pPr>
    </w:p>
    <w:tbl>
      <w:tblPr>
        <w:tblW w:w="0" w:type="auto"/>
        <w:jc w:val="left"/>
        <w:tblInd w:w="202" w:type="dxa"/>
        <w:tblLayout w:type="fixed"/>
        <w:tblCellMar>
          <w:top w:w="0" w:type="dxa"/>
          <w:left w:w="0" w:type="dxa"/>
          <w:bottom w:w="0" w:type="dxa"/>
          <w:right w:w="0" w:type="dxa"/>
        </w:tblCellMar>
        <w:tblLook w:val="01E0"/>
      </w:tblPr>
      <w:tblGrid>
        <w:gridCol w:w="1678"/>
        <w:gridCol w:w="1786"/>
        <w:gridCol w:w="1822"/>
        <w:gridCol w:w="1805"/>
        <w:gridCol w:w="1805"/>
      </w:tblGrid>
      <w:tr>
        <w:trPr>
          <w:trHeight w:val="283" w:hRule="exact"/>
        </w:trPr>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8"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7"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8"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10"/>
                <w:sz w:val="21"/>
                <w:szCs w:val="21"/>
              </w:rPr>
              <w:t>资本溢价（股本溢</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价）</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553,328,437.06</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553,328,437.06</w:t>
            </w:r>
          </w:p>
        </w:tc>
      </w:tr>
      <w:tr>
        <w:trPr>
          <w:trHeight w:val="283" w:hRule="exact"/>
        </w:trPr>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3,039,385.74</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3,039,385.74</w:t>
            </w:r>
          </w:p>
        </w:tc>
      </w:tr>
      <w:tr>
        <w:trPr>
          <w:trHeight w:val="281" w:hRule="exact"/>
        </w:trPr>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556,367,822.80</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556,367,822.80</w:t>
            </w:r>
          </w:p>
        </w:tc>
      </w:tr>
    </w:tbl>
    <w:p>
      <w:pPr>
        <w:spacing w:line="240" w:lineRule="auto" w:before="7"/>
        <w:rPr>
          <w:rFonts w:ascii="宋体" w:hAnsi="宋体" w:cs="宋体" w:eastAsia="宋体" w:hint="default"/>
          <w:sz w:val="15"/>
          <w:szCs w:val="15"/>
        </w:rPr>
      </w:pPr>
    </w:p>
    <w:p>
      <w:pPr>
        <w:pStyle w:val="BodyText"/>
        <w:spacing w:line="272" w:lineRule="exact" w:before="64"/>
        <w:ind w:left="238" w:right="3694"/>
        <w:jc w:val="left"/>
      </w:pPr>
      <w:r>
        <w:rPr>
          <w:spacing w:val="-2"/>
        </w:rPr>
        <w:t>其他说明，包括本期增减变动情况、变动原因说明：</w:t>
      </w:r>
      <w:r>
        <w:rPr>
          <w:spacing w:val="-62"/>
        </w:rPr>
        <w:t> </w:t>
      </w:r>
      <w:r>
        <w:rPr>
          <w:spacing w:val="-62"/>
        </w:rPr>
      </w:r>
      <w:r>
        <w:rPr/>
        <w:t>不适用</w:t>
      </w:r>
    </w:p>
    <w:p>
      <w:pPr>
        <w:spacing w:line="240" w:lineRule="auto" w:before="7"/>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60" w:right="1020"/>
        </w:sectPr>
      </w:pPr>
    </w:p>
    <w:p>
      <w:pPr>
        <w:pStyle w:val="Heading2"/>
        <w:spacing w:line="240" w:lineRule="auto" w:before="36"/>
        <w:ind w:left="238" w:right="-18"/>
        <w:jc w:val="left"/>
        <w:rPr>
          <w:b w:val="0"/>
          <w:bCs w:val="0"/>
        </w:rPr>
      </w:pPr>
      <w:r>
        <w:rPr>
          <w:rFonts w:ascii="宋体" w:hAnsi="宋体" w:cs="宋体" w:eastAsia="宋体" w:hint="default"/>
        </w:rPr>
        <w:t>56</w:t>
      </w:r>
      <w:r>
        <w:rPr/>
        <w:t>、</w:t>
      </w:r>
      <w:r>
        <w:rPr>
          <w:spacing w:val="-25"/>
        </w:rPr>
        <w:t> </w:t>
      </w:r>
      <w:r>
        <w:rPr/>
        <w:t>库存股</w:t>
      </w:r>
      <w:r>
        <w:rPr>
          <w:b w:val="0"/>
          <w:bCs w:val="0"/>
        </w:rPr>
      </w:r>
    </w:p>
    <w:p>
      <w:pPr>
        <w:pStyle w:val="BodyText"/>
        <w:spacing w:line="240" w:lineRule="auto" w:before="58"/>
        <w:ind w:left="23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020"/>
          <w:cols w:num="2" w:equalWidth="0">
            <w:col w:w="1815" w:space="4706"/>
            <w:col w:w="2809"/>
          </w:cols>
        </w:sectPr>
      </w:pPr>
    </w:p>
    <w:p>
      <w:pPr>
        <w:spacing w:line="240" w:lineRule="auto" w:before="7"/>
        <w:rPr>
          <w:rFonts w:ascii="宋体" w:hAnsi="宋体" w:cs="宋体" w:eastAsia="宋体" w:hint="default"/>
          <w:sz w:val="2"/>
          <w:szCs w:val="2"/>
        </w:rPr>
      </w:pPr>
    </w:p>
    <w:tbl>
      <w:tblPr>
        <w:tblW w:w="0" w:type="auto"/>
        <w:jc w:val="left"/>
        <w:tblInd w:w="202" w:type="dxa"/>
        <w:tblLayout w:type="fixed"/>
        <w:tblCellMar>
          <w:top w:w="0" w:type="dxa"/>
          <w:left w:w="0" w:type="dxa"/>
          <w:bottom w:w="0" w:type="dxa"/>
          <w:right w:w="0" w:type="dxa"/>
        </w:tblCellMar>
        <w:tblLook w:val="01E0"/>
      </w:tblPr>
      <w:tblGrid>
        <w:gridCol w:w="1682"/>
        <w:gridCol w:w="1774"/>
        <w:gridCol w:w="1805"/>
        <w:gridCol w:w="1814"/>
        <w:gridCol w:w="1820"/>
      </w:tblGrid>
      <w:tr>
        <w:trPr>
          <w:trHeight w:val="281" w:hRule="exact"/>
        </w:trPr>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5"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会计上子公司对</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母公司出资</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
              <w:jc w:val="right"/>
              <w:rPr>
                <w:rFonts w:ascii="宋体" w:hAnsi="宋体" w:cs="宋体" w:eastAsia="宋体" w:hint="default"/>
                <w:sz w:val="21"/>
                <w:szCs w:val="21"/>
              </w:rPr>
            </w:pPr>
            <w:r>
              <w:rPr>
                <w:rFonts w:ascii="宋体"/>
                <w:spacing w:val="-1"/>
                <w:sz w:val="21"/>
              </w:rPr>
              <w:t>643,647,291.29</w:t>
            </w: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643,647,291.29</w:t>
            </w:r>
          </w:p>
        </w:tc>
      </w:tr>
      <w:tr>
        <w:trPr>
          <w:trHeight w:val="283" w:hRule="exact"/>
        </w:trPr>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
              <w:jc w:val="right"/>
              <w:rPr>
                <w:rFonts w:ascii="宋体" w:hAnsi="宋体" w:cs="宋体" w:eastAsia="宋体" w:hint="default"/>
                <w:sz w:val="21"/>
                <w:szCs w:val="21"/>
              </w:rPr>
            </w:pPr>
            <w:r>
              <w:rPr>
                <w:rFonts w:ascii="宋体"/>
                <w:spacing w:val="-1"/>
                <w:sz w:val="21"/>
              </w:rPr>
              <w:t>643,647,291.29</w:t>
            </w: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643,647,291.29</w:t>
            </w:r>
          </w:p>
        </w:tc>
      </w:tr>
    </w:tbl>
    <w:p>
      <w:pPr>
        <w:spacing w:line="240" w:lineRule="auto" w:before="7"/>
        <w:rPr>
          <w:rFonts w:ascii="宋体" w:hAnsi="宋体" w:cs="宋体" w:eastAsia="宋体" w:hint="default"/>
          <w:sz w:val="15"/>
          <w:szCs w:val="15"/>
        </w:rPr>
      </w:pPr>
    </w:p>
    <w:p>
      <w:pPr>
        <w:pStyle w:val="BodyText"/>
        <w:spacing w:line="272" w:lineRule="exact" w:before="64"/>
        <w:ind w:left="238" w:right="3694"/>
        <w:jc w:val="left"/>
      </w:pPr>
      <w:r>
        <w:rPr>
          <w:spacing w:val="-2"/>
        </w:rPr>
        <w:t>其他说明，包括本期增减变动情况、变动原因说明：</w:t>
      </w:r>
      <w:r>
        <w:rPr>
          <w:spacing w:val="-62"/>
        </w:rPr>
        <w:t> </w:t>
      </w:r>
      <w:r>
        <w:rPr>
          <w:spacing w:val="-62"/>
        </w:rPr>
      </w:r>
      <w:r>
        <w:rPr/>
        <w:t>不适用</w:t>
      </w:r>
    </w:p>
    <w:p>
      <w:pPr>
        <w:spacing w:after="0" w:line="272" w:lineRule="exact"/>
        <w:jc w:val="left"/>
        <w:sectPr>
          <w:type w:val="continuous"/>
          <w:pgSz w:w="11910" w:h="16840"/>
          <w:pgMar w:top="1120" w:bottom="1380" w:left="1560" w:right="102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660" w:right="1140"/>
        </w:sectPr>
      </w:pPr>
    </w:p>
    <w:p>
      <w:pPr>
        <w:pStyle w:val="Heading2"/>
        <w:spacing w:line="240" w:lineRule="auto" w:before="36"/>
        <w:ind w:left="138" w:right="-18"/>
        <w:jc w:val="left"/>
        <w:rPr>
          <w:b w:val="0"/>
          <w:bCs w:val="0"/>
        </w:rPr>
      </w:pPr>
      <w:r>
        <w:rPr>
          <w:rFonts w:ascii="宋体" w:hAnsi="宋体" w:cs="宋体" w:eastAsia="宋体" w:hint="default"/>
        </w:rPr>
        <w:t>57</w:t>
      </w:r>
      <w:r>
        <w:rPr/>
        <w:t>、</w:t>
      </w:r>
      <w:r>
        <w:rPr>
          <w:spacing w:val="-24"/>
        </w:rPr>
        <w:t> </w:t>
      </w:r>
      <w:r>
        <w:rPr/>
        <w:t>其他综合收益</w:t>
      </w:r>
      <w:r>
        <w:rPr>
          <w:b w:val="0"/>
          <w:bCs w:val="0"/>
        </w:rPr>
      </w:r>
    </w:p>
    <w:p>
      <w:pPr>
        <w:pStyle w:val="BodyText"/>
        <w:spacing w:line="240" w:lineRule="auto" w:before="58"/>
        <w:ind w:left="13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40"/>
          <w:cols w:num="2" w:equalWidth="0">
            <w:col w:w="1910" w:space="4612"/>
            <w:col w:w="2588"/>
          </w:cols>
        </w:sectPr>
      </w:pP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502"/>
        <w:gridCol w:w="1205"/>
        <w:gridCol w:w="1027"/>
        <w:gridCol w:w="1078"/>
        <w:gridCol w:w="898"/>
        <w:gridCol w:w="1025"/>
        <w:gridCol w:w="937"/>
        <w:gridCol w:w="1205"/>
      </w:tblGrid>
      <w:tr>
        <w:trPr>
          <w:trHeight w:val="281" w:hRule="exact"/>
        </w:trPr>
        <w:tc>
          <w:tcPr>
            <w:tcW w:w="15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20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86" w:right="386"/>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496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本期发生金额</w:t>
            </w:r>
          </w:p>
        </w:tc>
        <w:tc>
          <w:tcPr>
            <w:tcW w:w="120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88" w:right="383"/>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r>
      <w:tr>
        <w:trPr>
          <w:trHeight w:val="1373" w:hRule="exact"/>
        </w:trPr>
        <w:tc>
          <w:tcPr>
            <w:tcW w:w="1502" w:type="dxa"/>
            <w:vMerge/>
            <w:tcBorders>
              <w:left w:val="single" w:sz="4" w:space="0" w:color="000000"/>
              <w:bottom w:val="single" w:sz="4" w:space="0" w:color="000000"/>
              <w:right w:val="single" w:sz="4" w:space="0" w:color="000000"/>
            </w:tcBorders>
          </w:tcPr>
          <w:p>
            <w:pPr/>
          </w:p>
        </w:tc>
        <w:tc>
          <w:tcPr>
            <w:tcW w:w="1205" w:type="dxa"/>
            <w:vMerge/>
            <w:tcBorders>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91" w:right="191"/>
              <w:jc w:val="both"/>
              <w:rPr>
                <w:rFonts w:ascii="宋体" w:hAnsi="宋体" w:cs="宋体" w:eastAsia="宋体" w:hint="default"/>
                <w:sz w:val="21"/>
                <w:szCs w:val="21"/>
              </w:rPr>
            </w:pPr>
            <w:r>
              <w:rPr>
                <w:rFonts w:ascii="宋体" w:hAnsi="宋体" w:cs="宋体" w:eastAsia="宋体" w:hint="default"/>
                <w:sz w:val="21"/>
                <w:szCs w:val="21"/>
              </w:rPr>
              <w:t>本期所</w:t>
            </w:r>
            <w:r>
              <w:rPr>
                <w:rFonts w:ascii="宋体" w:hAnsi="宋体" w:cs="宋体" w:eastAsia="宋体" w:hint="default"/>
                <w:spacing w:val="-102"/>
                <w:sz w:val="21"/>
                <w:szCs w:val="21"/>
              </w:rPr>
              <w:t> </w:t>
            </w:r>
            <w:r>
              <w:rPr>
                <w:rFonts w:ascii="宋体" w:hAnsi="宋体" w:cs="宋体" w:eastAsia="宋体" w:hint="default"/>
                <w:sz w:val="21"/>
                <w:szCs w:val="21"/>
              </w:rPr>
              <w:t>得税前</w:t>
            </w:r>
            <w:r>
              <w:rPr>
                <w:rFonts w:ascii="宋体" w:hAnsi="宋体" w:cs="宋体" w:eastAsia="宋体" w:hint="default"/>
                <w:spacing w:val="-102"/>
                <w:sz w:val="21"/>
                <w:szCs w:val="21"/>
              </w:rPr>
              <w:t> </w:t>
            </w:r>
            <w:r>
              <w:rPr>
                <w:rFonts w:ascii="宋体" w:hAnsi="宋体" w:cs="宋体" w:eastAsia="宋体" w:hint="default"/>
                <w:sz w:val="21"/>
                <w:szCs w:val="21"/>
              </w:rPr>
              <w:t>发生额</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减：前期</w:t>
            </w:r>
          </w:p>
          <w:p>
            <w:pPr>
              <w:pStyle w:val="TableParagraph"/>
              <w:spacing w:line="237" w:lineRule="auto"/>
              <w:ind w:left="112" w:right="111"/>
              <w:jc w:val="center"/>
              <w:rPr>
                <w:rFonts w:ascii="宋体" w:hAnsi="宋体" w:cs="宋体" w:eastAsia="宋体" w:hint="default"/>
                <w:sz w:val="21"/>
                <w:szCs w:val="21"/>
              </w:rPr>
            </w:pPr>
            <w:r>
              <w:rPr>
                <w:rFonts w:ascii="宋体" w:hAnsi="宋体" w:cs="宋体" w:eastAsia="宋体" w:hint="default"/>
                <w:sz w:val="21"/>
                <w:szCs w:val="21"/>
              </w:rPr>
              <w:t>计入其他</w:t>
            </w:r>
            <w:r>
              <w:rPr>
                <w:rFonts w:ascii="宋体" w:hAnsi="宋体" w:cs="宋体" w:eastAsia="宋体" w:hint="default"/>
                <w:w w:val="100"/>
                <w:sz w:val="21"/>
                <w:szCs w:val="21"/>
              </w:rPr>
              <w:t> </w:t>
            </w:r>
            <w:r>
              <w:rPr>
                <w:rFonts w:ascii="宋体" w:hAnsi="宋体" w:cs="宋体" w:eastAsia="宋体" w:hint="default"/>
                <w:sz w:val="21"/>
                <w:szCs w:val="21"/>
              </w:rPr>
              <w:t>综合收益</w:t>
            </w:r>
            <w:r>
              <w:rPr>
                <w:rFonts w:ascii="宋体" w:hAnsi="宋体" w:cs="宋体" w:eastAsia="宋体" w:hint="default"/>
                <w:w w:val="100"/>
                <w:sz w:val="21"/>
                <w:szCs w:val="21"/>
              </w:rPr>
              <w:t> </w:t>
            </w:r>
            <w:r>
              <w:rPr>
                <w:rFonts w:ascii="宋体" w:hAnsi="宋体" w:cs="宋体" w:eastAsia="宋体" w:hint="default"/>
                <w:sz w:val="21"/>
                <w:szCs w:val="21"/>
              </w:rPr>
              <w:t>当期转入</w:t>
            </w:r>
            <w:r>
              <w:rPr>
                <w:rFonts w:ascii="宋体" w:hAnsi="宋体" w:cs="宋体" w:eastAsia="宋体" w:hint="default"/>
                <w:w w:val="100"/>
                <w:sz w:val="21"/>
                <w:szCs w:val="21"/>
              </w:rPr>
              <w:t> </w:t>
            </w:r>
            <w:r>
              <w:rPr>
                <w:rFonts w:ascii="宋体" w:hAnsi="宋体" w:cs="宋体" w:eastAsia="宋体" w:hint="default"/>
                <w:sz w:val="21"/>
                <w:szCs w:val="21"/>
              </w:rPr>
              <w:t>损益</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24" w:right="127"/>
              <w:jc w:val="center"/>
              <w:rPr>
                <w:rFonts w:ascii="宋体" w:hAnsi="宋体" w:cs="宋体" w:eastAsia="宋体" w:hint="default"/>
                <w:sz w:val="21"/>
                <w:szCs w:val="21"/>
              </w:rPr>
            </w:pPr>
            <w:r>
              <w:rPr>
                <w:rFonts w:ascii="宋体" w:hAnsi="宋体" w:cs="宋体" w:eastAsia="宋体" w:hint="default"/>
                <w:sz w:val="21"/>
                <w:szCs w:val="21"/>
              </w:rPr>
              <w:t>减：所</w:t>
            </w:r>
            <w:r>
              <w:rPr>
                <w:rFonts w:ascii="宋体" w:hAnsi="宋体" w:cs="宋体" w:eastAsia="宋体" w:hint="default"/>
                <w:w w:val="100"/>
                <w:sz w:val="21"/>
                <w:szCs w:val="21"/>
              </w:rPr>
              <w:t> </w:t>
            </w:r>
            <w:r>
              <w:rPr>
                <w:rFonts w:ascii="宋体" w:hAnsi="宋体" w:cs="宋体" w:eastAsia="宋体" w:hint="default"/>
                <w:sz w:val="21"/>
                <w:szCs w:val="21"/>
              </w:rPr>
              <w:t>得税费</w:t>
            </w:r>
            <w:r>
              <w:rPr>
                <w:rFonts w:ascii="宋体" w:hAnsi="宋体" w:cs="宋体" w:eastAsia="宋体" w:hint="default"/>
                <w:w w:val="100"/>
                <w:sz w:val="21"/>
                <w:szCs w:val="21"/>
              </w:rPr>
              <w:t> </w:t>
            </w:r>
            <w:r>
              <w:rPr>
                <w:rFonts w:ascii="宋体" w:hAnsi="宋体" w:cs="宋体" w:eastAsia="宋体" w:hint="default"/>
                <w:sz w:val="21"/>
                <w:szCs w:val="21"/>
              </w:rPr>
              <w:t>用</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89" w:right="191"/>
              <w:jc w:val="both"/>
              <w:rPr>
                <w:rFonts w:ascii="宋体" w:hAnsi="宋体" w:cs="宋体" w:eastAsia="宋体" w:hint="default"/>
                <w:sz w:val="21"/>
                <w:szCs w:val="21"/>
              </w:rPr>
            </w:pPr>
            <w:r>
              <w:rPr>
                <w:rFonts w:ascii="宋体" w:hAnsi="宋体" w:cs="宋体" w:eastAsia="宋体" w:hint="default"/>
                <w:sz w:val="21"/>
                <w:szCs w:val="21"/>
              </w:rPr>
              <w:t>税后归</w:t>
            </w:r>
            <w:r>
              <w:rPr>
                <w:rFonts w:ascii="宋体" w:hAnsi="宋体" w:cs="宋体" w:eastAsia="宋体" w:hint="default"/>
                <w:spacing w:val="-102"/>
                <w:sz w:val="21"/>
                <w:szCs w:val="21"/>
              </w:rPr>
              <w:t> </w:t>
            </w:r>
            <w:r>
              <w:rPr>
                <w:rFonts w:ascii="宋体" w:hAnsi="宋体" w:cs="宋体" w:eastAsia="宋体" w:hint="default"/>
                <w:sz w:val="21"/>
                <w:szCs w:val="21"/>
              </w:rPr>
              <w:t>属于母</w:t>
            </w:r>
            <w:r>
              <w:rPr>
                <w:rFonts w:ascii="宋体" w:hAnsi="宋体" w:cs="宋体" w:eastAsia="宋体" w:hint="default"/>
                <w:spacing w:val="-102"/>
                <w:sz w:val="21"/>
                <w:szCs w:val="21"/>
              </w:rPr>
              <w:t> </w:t>
            </w:r>
            <w:r>
              <w:rPr>
                <w:rFonts w:ascii="宋体" w:hAnsi="宋体" w:cs="宋体" w:eastAsia="宋体" w:hint="default"/>
                <w:sz w:val="21"/>
                <w:szCs w:val="21"/>
              </w:rPr>
              <w:t>公司</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46" w:right="146"/>
              <w:jc w:val="both"/>
              <w:rPr>
                <w:rFonts w:ascii="宋体" w:hAnsi="宋体" w:cs="宋体" w:eastAsia="宋体" w:hint="default"/>
                <w:sz w:val="21"/>
                <w:szCs w:val="21"/>
              </w:rPr>
            </w:pPr>
            <w:r>
              <w:rPr>
                <w:rFonts w:ascii="宋体" w:hAnsi="宋体" w:cs="宋体" w:eastAsia="宋体" w:hint="default"/>
                <w:sz w:val="21"/>
                <w:szCs w:val="21"/>
              </w:rPr>
              <w:t>税后归</w:t>
            </w:r>
            <w:r>
              <w:rPr>
                <w:rFonts w:ascii="宋体" w:hAnsi="宋体" w:cs="宋体" w:eastAsia="宋体" w:hint="default"/>
                <w:spacing w:val="-102"/>
                <w:sz w:val="21"/>
                <w:szCs w:val="21"/>
              </w:rPr>
              <w:t> </w:t>
            </w:r>
            <w:r>
              <w:rPr>
                <w:rFonts w:ascii="宋体" w:hAnsi="宋体" w:cs="宋体" w:eastAsia="宋体" w:hint="default"/>
                <w:sz w:val="21"/>
                <w:szCs w:val="21"/>
              </w:rPr>
              <w:t>属于少</w:t>
            </w:r>
            <w:r>
              <w:rPr>
                <w:rFonts w:ascii="宋体" w:hAnsi="宋体" w:cs="宋体" w:eastAsia="宋体" w:hint="default"/>
                <w:spacing w:val="-102"/>
                <w:sz w:val="21"/>
                <w:szCs w:val="21"/>
              </w:rPr>
              <w:t> </w:t>
            </w:r>
            <w:r>
              <w:rPr>
                <w:rFonts w:ascii="宋体" w:hAnsi="宋体" w:cs="宋体" w:eastAsia="宋体" w:hint="default"/>
                <w:sz w:val="21"/>
                <w:szCs w:val="21"/>
              </w:rPr>
              <w:t>数股东</w:t>
            </w:r>
          </w:p>
        </w:tc>
        <w:tc>
          <w:tcPr>
            <w:tcW w:w="1205" w:type="dxa"/>
            <w:vMerge/>
            <w:tcBorders>
              <w:left w:val="single" w:sz="4" w:space="0" w:color="000000"/>
              <w:bottom w:val="single" w:sz="4" w:space="0" w:color="000000"/>
              <w:right w:val="single" w:sz="4" w:space="0" w:color="000000"/>
            </w:tcBorders>
          </w:tcPr>
          <w:p>
            <w:pPr/>
          </w:p>
        </w:tc>
      </w:tr>
      <w:tr>
        <w:trPr>
          <w:trHeight w:val="1100" w:hRule="exact"/>
        </w:trPr>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一、以后不能</w:t>
            </w:r>
          </w:p>
          <w:p>
            <w:pPr>
              <w:pStyle w:val="TableParagraph"/>
              <w:spacing w:line="237" w:lineRule="auto" w:before="2"/>
              <w:ind w:left="103" w:right="124"/>
              <w:jc w:val="both"/>
              <w:rPr>
                <w:rFonts w:ascii="宋体" w:hAnsi="宋体" w:cs="宋体" w:eastAsia="宋体" w:hint="default"/>
                <w:sz w:val="21"/>
                <w:szCs w:val="21"/>
              </w:rPr>
            </w:pPr>
            <w:r>
              <w:rPr>
                <w:rFonts w:ascii="宋体" w:hAnsi="宋体" w:cs="宋体" w:eastAsia="宋体" w:hint="default"/>
                <w:sz w:val="21"/>
                <w:szCs w:val="21"/>
              </w:rPr>
              <w:t>重分类进损益</w:t>
            </w:r>
            <w:r>
              <w:rPr>
                <w:rFonts w:ascii="宋体" w:hAnsi="宋体" w:cs="宋体" w:eastAsia="宋体" w:hint="default"/>
                <w:w w:val="100"/>
                <w:sz w:val="21"/>
                <w:szCs w:val="21"/>
              </w:rPr>
              <w:t> </w:t>
            </w:r>
            <w:r>
              <w:rPr>
                <w:rFonts w:ascii="宋体" w:hAnsi="宋体" w:cs="宋体" w:eastAsia="宋体" w:hint="default"/>
                <w:sz w:val="21"/>
                <w:szCs w:val="21"/>
              </w:rPr>
              <w:t>的其他综合收</w:t>
            </w:r>
            <w:r>
              <w:rPr>
                <w:rFonts w:ascii="宋体" w:hAnsi="宋体" w:cs="宋体" w:eastAsia="宋体" w:hint="default"/>
                <w:w w:val="100"/>
                <w:sz w:val="21"/>
                <w:szCs w:val="21"/>
              </w:rPr>
              <w:t> </w:t>
            </w:r>
            <w:r>
              <w:rPr>
                <w:rFonts w:ascii="宋体" w:hAnsi="宋体" w:cs="宋体" w:eastAsia="宋体" w:hint="default"/>
                <w:sz w:val="21"/>
                <w:szCs w:val="21"/>
              </w:rPr>
              <w:t>益</w:t>
            </w:r>
          </w:p>
        </w:tc>
        <w:tc>
          <w:tcPr>
            <w:tcW w:w="1205"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其中：重新计</w:t>
            </w:r>
          </w:p>
          <w:p>
            <w:pPr>
              <w:pStyle w:val="TableParagraph"/>
              <w:spacing w:line="237" w:lineRule="auto" w:before="2"/>
              <w:ind w:left="103" w:right="124"/>
              <w:jc w:val="both"/>
              <w:rPr>
                <w:rFonts w:ascii="宋体" w:hAnsi="宋体" w:cs="宋体" w:eastAsia="宋体" w:hint="default"/>
                <w:sz w:val="21"/>
                <w:szCs w:val="21"/>
              </w:rPr>
            </w:pPr>
            <w:r>
              <w:rPr>
                <w:rFonts w:ascii="宋体" w:hAnsi="宋体" w:cs="宋体" w:eastAsia="宋体" w:hint="default"/>
                <w:sz w:val="21"/>
                <w:szCs w:val="21"/>
              </w:rPr>
              <w:t>算设定受益计</w:t>
            </w:r>
            <w:r>
              <w:rPr>
                <w:rFonts w:ascii="宋体" w:hAnsi="宋体" w:cs="宋体" w:eastAsia="宋体" w:hint="default"/>
                <w:w w:val="100"/>
                <w:sz w:val="21"/>
                <w:szCs w:val="21"/>
              </w:rPr>
              <w:t> </w:t>
            </w:r>
            <w:r>
              <w:rPr>
                <w:rFonts w:ascii="宋体" w:hAnsi="宋体" w:cs="宋体" w:eastAsia="宋体" w:hint="default"/>
                <w:sz w:val="21"/>
                <w:szCs w:val="21"/>
              </w:rPr>
              <w:t>划净负债和净</w:t>
            </w:r>
            <w:r>
              <w:rPr>
                <w:rFonts w:ascii="宋体" w:hAnsi="宋体" w:cs="宋体" w:eastAsia="宋体" w:hint="default"/>
                <w:w w:val="100"/>
                <w:sz w:val="21"/>
                <w:szCs w:val="21"/>
              </w:rPr>
              <w:t> </w:t>
            </w:r>
            <w:r>
              <w:rPr>
                <w:rFonts w:ascii="宋体" w:hAnsi="宋体" w:cs="宋体" w:eastAsia="宋体" w:hint="default"/>
                <w:sz w:val="21"/>
                <w:szCs w:val="21"/>
              </w:rPr>
              <w:t>资产的变动</w:t>
            </w:r>
          </w:p>
        </w:tc>
        <w:tc>
          <w:tcPr>
            <w:tcW w:w="1205"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firstLine="211"/>
              <w:jc w:val="left"/>
              <w:rPr>
                <w:rFonts w:ascii="宋体" w:hAnsi="宋体" w:cs="宋体" w:eastAsia="宋体" w:hint="default"/>
                <w:sz w:val="21"/>
                <w:szCs w:val="21"/>
              </w:rPr>
            </w:pPr>
            <w:r>
              <w:rPr>
                <w:rFonts w:ascii="宋体" w:hAnsi="宋体" w:cs="宋体" w:eastAsia="宋体" w:hint="default"/>
                <w:sz w:val="21"/>
                <w:szCs w:val="21"/>
              </w:rPr>
              <w:t>权益法下在</w:t>
            </w:r>
          </w:p>
          <w:p>
            <w:pPr>
              <w:pStyle w:val="TableParagraph"/>
              <w:spacing w:line="237" w:lineRule="auto" w:before="2"/>
              <w:ind w:left="103" w:right="124"/>
              <w:jc w:val="both"/>
              <w:rPr>
                <w:rFonts w:ascii="宋体" w:hAnsi="宋体" w:cs="宋体" w:eastAsia="宋体" w:hint="default"/>
                <w:sz w:val="21"/>
                <w:szCs w:val="21"/>
              </w:rPr>
            </w:pPr>
            <w:r>
              <w:rPr>
                <w:rFonts w:ascii="宋体" w:hAnsi="宋体" w:cs="宋体" w:eastAsia="宋体" w:hint="default"/>
                <w:sz w:val="21"/>
                <w:szCs w:val="21"/>
              </w:rPr>
              <w:t>被投资单位不</w:t>
            </w:r>
            <w:r>
              <w:rPr>
                <w:rFonts w:ascii="宋体" w:hAnsi="宋体" w:cs="宋体" w:eastAsia="宋体" w:hint="default"/>
                <w:w w:val="100"/>
                <w:sz w:val="21"/>
                <w:szCs w:val="21"/>
              </w:rPr>
              <w:t> </w:t>
            </w:r>
            <w:r>
              <w:rPr>
                <w:rFonts w:ascii="宋体" w:hAnsi="宋体" w:cs="宋体" w:eastAsia="宋体" w:hint="default"/>
                <w:sz w:val="21"/>
                <w:szCs w:val="21"/>
              </w:rPr>
              <w:t>能重分类进损</w:t>
            </w:r>
            <w:r>
              <w:rPr>
                <w:rFonts w:ascii="宋体" w:hAnsi="宋体" w:cs="宋体" w:eastAsia="宋体" w:hint="default"/>
                <w:w w:val="100"/>
                <w:sz w:val="21"/>
                <w:szCs w:val="21"/>
              </w:rPr>
              <w:t> </w:t>
            </w:r>
            <w:r>
              <w:rPr>
                <w:rFonts w:ascii="宋体" w:hAnsi="宋体" w:cs="宋体" w:eastAsia="宋体" w:hint="default"/>
                <w:sz w:val="21"/>
                <w:szCs w:val="21"/>
              </w:rPr>
              <w:t>益的其他综合</w:t>
            </w:r>
            <w:r>
              <w:rPr>
                <w:rFonts w:ascii="宋体" w:hAnsi="宋体" w:cs="宋体" w:eastAsia="宋体" w:hint="default"/>
                <w:w w:val="100"/>
                <w:sz w:val="21"/>
                <w:szCs w:val="21"/>
              </w:rPr>
              <w:t> </w:t>
            </w:r>
            <w:r>
              <w:rPr>
                <w:rFonts w:ascii="宋体" w:hAnsi="宋体" w:cs="宋体" w:eastAsia="宋体" w:hint="default"/>
                <w:sz w:val="21"/>
                <w:szCs w:val="21"/>
              </w:rPr>
              <w:t>收益中享有的</w:t>
            </w:r>
            <w:r>
              <w:rPr>
                <w:rFonts w:ascii="宋体" w:hAnsi="宋体" w:cs="宋体" w:eastAsia="宋体" w:hint="default"/>
                <w:w w:val="100"/>
                <w:sz w:val="21"/>
                <w:szCs w:val="21"/>
              </w:rPr>
              <w:t> </w:t>
            </w:r>
            <w:r>
              <w:rPr>
                <w:rFonts w:ascii="宋体" w:hAnsi="宋体" w:cs="宋体" w:eastAsia="宋体" w:hint="default"/>
                <w:sz w:val="21"/>
                <w:szCs w:val="21"/>
              </w:rPr>
              <w:t>份额</w:t>
            </w:r>
          </w:p>
        </w:tc>
        <w:tc>
          <w:tcPr>
            <w:tcW w:w="1205"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二、以后将重</w:t>
            </w:r>
          </w:p>
          <w:p>
            <w:pPr>
              <w:pStyle w:val="TableParagraph"/>
              <w:spacing w:line="272" w:lineRule="exact" w:before="27"/>
              <w:ind w:left="103" w:right="124"/>
              <w:jc w:val="left"/>
              <w:rPr>
                <w:rFonts w:ascii="宋体" w:hAnsi="宋体" w:cs="宋体" w:eastAsia="宋体" w:hint="default"/>
                <w:sz w:val="21"/>
                <w:szCs w:val="21"/>
              </w:rPr>
            </w:pPr>
            <w:r>
              <w:rPr>
                <w:rFonts w:ascii="宋体" w:hAnsi="宋体" w:cs="宋体" w:eastAsia="宋体" w:hint="default"/>
                <w:sz w:val="21"/>
                <w:szCs w:val="21"/>
              </w:rPr>
              <w:t>分类进损益的</w:t>
            </w:r>
            <w:r>
              <w:rPr>
                <w:rFonts w:ascii="宋体" w:hAnsi="宋体" w:cs="宋体" w:eastAsia="宋体" w:hint="default"/>
                <w:w w:val="100"/>
                <w:sz w:val="21"/>
                <w:szCs w:val="21"/>
              </w:rPr>
              <w:t> </w:t>
            </w:r>
            <w:r>
              <w:rPr>
                <w:rFonts w:ascii="宋体" w:hAnsi="宋体" w:cs="宋体" w:eastAsia="宋体" w:hint="default"/>
                <w:sz w:val="21"/>
                <w:szCs w:val="21"/>
              </w:rPr>
              <w:t>其他综合收益</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-153,055.10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-8,232.63</w:t>
            </w:r>
          </w:p>
        </w:tc>
        <w:tc>
          <w:tcPr>
            <w:tcW w:w="107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-8,232.63</w:t>
            </w:r>
          </w:p>
        </w:tc>
        <w:tc>
          <w:tcPr>
            <w:tcW w:w="937"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sz w:val="18"/>
              </w:rPr>
              <w:t>-161,287.73</w:t>
            </w:r>
          </w:p>
        </w:tc>
      </w:tr>
      <w:tr>
        <w:trPr>
          <w:trHeight w:val="1644" w:hRule="exact"/>
        </w:trPr>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其中：权益法</w:t>
            </w:r>
          </w:p>
          <w:p>
            <w:pPr>
              <w:pStyle w:val="TableParagraph"/>
              <w:spacing w:line="237" w:lineRule="auto"/>
              <w:ind w:left="103" w:right="124"/>
              <w:jc w:val="both"/>
              <w:rPr>
                <w:rFonts w:ascii="宋体" w:hAnsi="宋体" w:cs="宋体" w:eastAsia="宋体" w:hint="default"/>
                <w:sz w:val="21"/>
                <w:szCs w:val="21"/>
              </w:rPr>
            </w:pPr>
            <w:r>
              <w:rPr>
                <w:rFonts w:ascii="宋体" w:hAnsi="宋体" w:cs="宋体" w:eastAsia="宋体" w:hint="default"/>
                <w:sz w:val="21"/>
                <w:szCs w:val="21"/>
              </w:rPr>
              <w:t>下在被投资单</w:t>
            </w:r>
            <w:r>
              <w:rPr>
                <w:rFonts w:ascii="宋体" w:hAnsi="宋体" w:cs="宋体" w:eastAsia="宋体" w:hint="default"/>
                <w:w w:val="100"/>
                <w:sz w:val="21"/>
                <w:szCs w:val="21"/>
              </w:rPr>
              <w:t> </w:t>
            </w:r>
            <w:r>
              <w:rPr>
                <w:rFonts w:ascii="宋体" w:hAnsi="宋体" w:cs="宋体" w:eastAsia="宋体" w:hint="default"/>
                <w:sz w:val="21"/>
                <w:szCs w:val="21"/>
              </w:rPr>
              <w:t>位以后将重分</w:t>
            </w:r>
            <w:r>
              <w:rPr>
                <w:rFonts w:ascii="宋体" w:hAnsi="宋体" w:cs="宋体" w:eastAsia="宋体" w:hint="default"/>
                <w:w w:val="100"/>
                <w:sz w:val="21"/>
                <w:szCs w:val="21"/>
              </w:rPr>
              <w:t> </w:t>
            </w:r>
            <w:r>
              <w:rPr>
                <w:rFonts w:ascii="宋体" w:hAnsi="宋体" w:cs="宋体" w:eastAsia="宋体" w:hint="default"/>
                <w:sz w:val="21"/>
                <w:szCs w:val="21"/>
              </w:rPr>
              <w:t>类进损益的其</w:t>
            </w:r>
            <w:r>
              <w:rPr>
                <w:rFonts w:ascii="宋体" w:hAnsi="宋体" w:cs="宋体" w:eastAsia="宋体" w:hint="default"/>
                <w:w w:val="100"/>
                <w:sz w:val="21"/>
                <w:szCs w:val="21"/>
              </w:rPr>
              <w:t> </w:t>
            </w:r>
            <w:r>
              <w:rPr>
                <w:rFonts w:ascii="宋体" w:hAnsi="宋体" w:cs="宋体" w:eastAsia="宋体" w:hint="default"/>
                <w:sz w:val="21"/>
                <w:szCs w:val="21"/>
              </w:rPr>
              <w:t>他综合收益中</w:t>
            </w:r>
            <w:r>
              <w:rPr>
                <w:rFonts w:ascii="宋体" w:hAnsi="宋体" w:cs="宋体" w:eastAsia="宋体" w:hint="default"/>
                <w:w w:val="100"/>
                <w:sz w:val="21"/>
                <w:szCs w:val="21"/>
              </w:rPr>
              <w:t> </w:t>
            </w:r>
            <w:r>
              <w:rPr>
                <w:rFonts w:ascii="宋体" w:hAnsi="宋体" w:cs="宋体" w:eastAsia="宋体" w:hint="default"/>
                <w:sz w:val="21"/>
                <w:szCs w:val="21"/>
              </w:rPr>
              <w:t>享有的份额</w:t>
            </w:r>
          </w:p>
        </w:tc>
        <w:tc>
          <w:tcPr>
            <w:tcW w:w="1205"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firstLine="211"/>
              <w:jc w:val="left"/>
              <w:rPr>
                <w:rFonts w:ascii="宋体" w:hAnsi="宋体" w:cs="宋体" w:eastAsia="宋体" w:hint="default"/>
                <w:sz w:val="21"/>
                <w:szCs w:val="21"/>
              </w:rPr>
            </w:pPr>
            <w:r>
              <w:rPr>
                <w:rFonts w:ascii="宋体" w:hAnsi="宋体" w:cs="宋体" w:eastAsia="宋体" w:hint="default"/>
                <w:sz w:val="21"/>
                <w:szCs w:val="21"/>
              </w:rPr>
              <w:t>可供出售金</w:t>
            </w:r>
          </w:p>
          <w:p>
            <w:pPr>
              <w:pStyle w:val="TableParagraph"/>
              <w:spacing w:line="240" w:lineRule="auto"/>
              <w:ind w:left="103" w:right="124"/>
              <w:jc w:val="left"/>
              <w:rPr>
                <w:rFonts w:ascii="宋体" w:hAnsi="宋体" w:cs="宋体" w:eastAsia="宋体" w:hint="default"/>
                <w:sz w:val="21"/>
                <w:szCs w:val="21"/>
              </w:rPr>
            </w:pPr>
            <w:r>
              <w:rPr>
                <w:rFonts w:ascii="宋体" w:hAnsi="宋体" w:cs="宋体" w:eastAsia="宋体" w:hint="default"/>
                <w:sz w:val="21"/>
                <w:szCs w:val="21"/>
              </w:rPr>
              <w:t>融资产公允价</w:t>
            </w:r>
            <w:r>
              <w:rPr>
                <w:rFonts w:ascii="宋体" w:hAnsi="宋体" w:cs="宋体" w:eastAsia="宋体" w:hint="default"/>
                <w:w w:val="100"/>
                <w:sz w:val="21"/>
                <w:szCs w:val="21"/>
              </w:rPr>
              <w:t> </w:t>
            </w:r>
            <w:r>
              <w:rPr>
                <w:rFonts w:ascii="宋体" w:hAnsi="宋体" w:cs="宋体" w:eastAsia="宋体" w:hint="default"/>
                <w:sz w:val="21"/>
                <w:szCs w:val="21"/>
              </w:rPr>
              <w:t>值变动损益</w:t>
            </w:r>
          </w:p>
        </w:tc>
        <w:tc>
          <w:tcPr>
            <w:tcW w:w="1205"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1102" w:hRule="exact"/>
        </w:trPr>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firstLine="211"/>
              <w:jc w:val="left"/>
              <w:rPr>
                <w:rFonts w:ascii="宋体" w:hAnsi="宋体" w:cs="宋体" w:eastAsia="宋体" w:hint="default"/>
                <w:sz w:val="21"/>
                <w:szCs w:val="21"/>
              </w:rPr>
            </w:pPr>
            <w:r>
              <w:rPr>
                <w:rFonts w:ascii="宋体" w:hAnsi="宋体" w:cs="宋体" w:eastAsia="宋体" w:hint="default"/>
                <w:sz w:val="21"/>
                <w:szCs w:val="21"/>
              </w:rPr>
              <w:t>持有至到期</w:t>
            </w:r>
          </w:p>
          <w:p>
            <w:pPr>
              <w:pStyle w:val="TableParagraph"/>
              <w:spacing w:line="237" w:lineRule="auto"/>
              <w:ind w:left="103" w:right="124"/>
              <w:jc w:val="both"/>
              <w:rPr>
                <w:rFonts w:ascii="宋体" w:hAnsi="宋体" w:cs="宋体" w:eastAsia="宋体" w:hint="default"/>
                <w:sz w:val="21"/>
                <w:szCs w:val="21"/>
              </w:rPr>
            </w:pPr>
            <w:r>
              <w:rPr>
                <w:rFonts w:ascii="宋体" w:hAnsi="宋体" w:cs="宋体" w:eastAsia="宋体" w:hint="default"/>
                <w:sz w:val="21"/>
                <w:szCs w:val="21"/>
              </w:rPr>
              <w:t>投资重分类为</w:t>
            </w:r>
            <w:r>
              <w:rPr>
                <w:rFonts w:ascii="宋体" w:hAnsi="宋体" w:cs="宋体" w:eastAsia="宋体" w:hint="default"/>
                <w:w w:val="100"/>
                <w:sz w:val="21"/>
                <w:szCs w:val="21"/>
              </w:rPr>
              <w:t> </w:t>
            </w:r>
            <w:r>
              <w:rPr>
                <w:rFonts w:ascii="宋体" w:hAnsi="宋体" w:cs="宋体" w:eastAsia="宋体" w:hint="default"/>
                <w:sz w:val="21"/>
                <w:szCs w:val="21"/>
              </w:rPr>
              <w:t>可供出售金融</w:t>
            </w:r>
            <w:r>
              <w:rPr>
                <w:rFonts w:ascii="宋体" w:hAnsi="宋体" w:cs="宋体" w:eastAsia="宋体" w:hint="default"/>
                <w:w w:val="100"/>
                <w:sz w:val="21"/>
                <w:szCs w:val="21"/>
              </w:rPr>
              <w:t> </w:t>
            </w:r>
            <w:r>
              <w:rPr>
                <w:rFonts w:ascii="宋体" w:hAnsi="宋体" w:cs="宋体" w:eastAsia="宋体" w:hint="default"/>
                <w:sz w:val="21"/>
                <w:szCs w:val="21"/>
              </w:rPr>
              <w:t>资产损益</w:t>
            </w:r>
          </w:p>
        </w:tc>
        <w:tc>
          <w:tcPr>
            <w:tcW w:w="1205"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firstLine="211"/>
              <w:jc w:val="left"/>
              <w:rPr>
                <w:rFonts w:ascii="宋体" w:hAnsi="宋体" w:cs="宋体" w:eastAsia="宋体" w:hint="default"/>
                <w:sz w:val="21"/>
                <w:szCs w:val="21"/>
              </w:rPr>
            </w:pPr>
            <w:r>
              <w:rPr>
                <w:rFonts w:ascii="宋体" w:hAnsi="宋体" w:cs="宋体" w:eastAsia="宋体" w:hint="default"/>
                <w:sz w:val="21"/>
                <w:szCs w:val="21"/>
              </w:rPr>
              <w:t>现金流量套</w:t>
            </w:r>
          </w:p>
          <w:p>
            <w:pPr>
              <w:pStyle w:val="TableParagraph"/>
              <w:spacing w:line="240" w:lineRule="auto"/>
              <w:ind w:left="103" w:right="124"/>
              <w:jc w:val="left"/>
              <w:rPr>
                <w:rFonts w:ascii="宋体" w:hAnsi="宋体" w:cs="宋体" w:eastAsia="宋体" w:hint="default"/>
                <w:sz w:val="21"/>
                <w:szCs w:val="21"/>
              </w:rPr>
            </w:pPr>
            <w:r>
              <w:rPr>
                <w:rFonts w:ascii="宋体" w:hAnsi="宋体" w:cs="宋体" w:eastAsia="宋体" w:hint="default"/>
                <w:sz w:val="21"/>
                <w:szCs w:val="21"/>
              </w:rPr>
              <w:t>期损益的有效</w:t>
            </w:r>
            <w:r>
              <w:rPr>
                <w:rFonts w:ascii="宋体" w:hAnsi="宋体" w:cs="宋体" w:eastAsia="宋体" w:hint="default"/>
                <w:w w:val="100"/>
                <w:sz w:val="21"/>
                <w:szCs w:val="21"/>
              </w:rPr>
              <w:t> </w:t>
            </w:r>
            <w:r>
              <w:rPr>
                <w:rFonts w:ascii="宋体" w:hAnsi="宋体" w:cs="宋体" w:eastAsia="宋体" w:hint="default"/>
                <w:sz w:val="21"/>
                <w:szCs w:val="21"/>
              </w:rPr>
              <w:t>部分</w:t>
            </w:r>
          </w:p>
        </w:tc>
        <w:tc>
          <w:tcPr>
            <w:tcW w:w="1205"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外币财务报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表折算差额</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-153,055.10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-8,232.63</w:t>
            </w:r>
          </w:p>
        </w:tc>
        <w:tc>
          <w:tcPr>
            <w:tcW w:w="107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-8,232.63</w:t>
            </w:r>
          </w:p>
        </w:tc>
        <w:tc>
          <w:tcPr>
            <w:tcW w:w="937"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sz w:val="18"/>
              </w:rPr>
              <w:t>-161,287.73</w:t>
            </w:r>
          </w:p>
        </w:tc>
      </w:tr>
      <w:tr>
        <w:trPr>
          <w:trHeight w:val="557" w:hRule="exact"/>
        </w:trPr>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其他综合收益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-153,055.10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-8,232.63</w:t>
            </w:r>
          </w:p>
        </w:tc>
        <w:tc>
          <w:tcPr>
            <w:tcW w:w="107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-8,232.63</w:t>
            </w:r>
          </w:p>
        </w:tc>
        <w:tc>
          <w:tcPr>
            <w:tcW w:w="937"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sz w:val="18"/>
              </w:rPr>
              <w:t>-161,287.73</w:t>
            </w:r>
          </w:p>
        </w:tc>
      </w:tr>
    </w:tbl>
    <w:p>
      <w:pPr>
        <w:spacing w:line="240" w:lineRule="auto" w:before="13"/>
        <w:rPr>
          <w:rFonts w:ascii="宋体" w:hAnsi="宋体" w:cs="宋体" w:eastAsia="宋体" w:hint="default"/>
          <w:sz w:val="19"/>
          <w:szCs w:val="19"/>
        </w:rPr>
      </w:pPr>
    </w:p>
    <w:p>
      <w:pPr>
        <w:pStyle w:val="BodyText"/>
        <w:spacing w:line="290" w:lineRule="auto" w:before="36"/>
        <w:ind w:left="138" w:right="662"/>
        <w:jc w:val="left"/>
      </w:pPr>
      <w:r>
        <w:rPr>
          <w:spacing w:val="-2"/>
        </w:rPr>
        <w:t>其他说明，包括对现金流量套期损益的有效部分转为被套期项目初始确认金额调整：</w:t>
      </w:r>
      <w:r>
        <w:rPr>
          <w:spacing w:val="-35"/>
        </w:rPr>
        <w:t> </w:t>
      </w:r>
      <w:r>
        <w:rPr>
          <w:spacing w:val="-35"/>
        </w:rPr>
      </w:r>
      <w:r>
        <w:rPr/>
        <w:t>不适用</w:t>
      </w:r>
    </w:p>
    <w:p>
      <w:pPr>
        <w:spacing w:after="0" w:line="290" w:lineRule="auto"/>
        <w:jc w:val="left"/>
        <w:sectPr>
          <w:type w:val="continuous"/>
          <w:pgSz w:w="11910" w:h="16840"/>
          <w:pgMar w:top="1120" w:bottom="138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48"/>
          <w:pgSz w:w="11910" w:h="16840"/>
          <w:pgMar w:footer="1195" w:header="882" w:top="1120" w:bottom="1380" w:left="1660" w:right="1120"/>
          <w:pgNumType w:start="135"/>
        </w:sectPr>
      </w:pPr>
    </w:p>
    <w:p>
      <w:pPr>
        <w:pStyle w:val="Heading2"/>
        <w:spacing w:line="240" w:lineRule="auto" w:before="175"/>
        <w:ind w:left="138" w:right="-18"/>
        <w:jc w:val="left"/>
        <w:rPr>
          <w:b w:val="0"/>
          <w:bCs w:val="0"/>
        </w:rPr>
      </w:pPr>
      <w:r>
        <w:rPr>
          <w:rFonts w:ascii="宋体" w:hAnsi="宋体" w:cs="宋体" w:eastAsia="宋体" w:hint="default"/>
        </w:rPr>
        <w:t>58</w:t>
      </w:r>
      <w:r>
        <w:rPr/>
        <w:t>、</w:t>
      </w:r>
      <w:r>
        <w:rPr>
          <w:spacing w:val="-25"/>
        </w:rPr>
        <w:t> </w:t>
      </w:r>
      <w:r>
        <w:rPr/>
        <w:t>专项储备</w:t>
      </w:r>
      <w:r>
        <w:rPr>
          <w:b w:val="0"/>
          <w:bCs w:val="0"/>
        </w:rPr>
      </w:r>
    </w:p>
    <w:p>
      <w:pPr>
        <w:pStyle w:val="BodyText"/>
        <w:spacing w:line="240" w:lineRule="auto" w:before="56"/>
        <w:ind w:left="13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1715" w:space="4806"/>
            <w:col w:w="2609"/>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682"/>
        <w:gridCol w:w="1789"/>
        <w:gridCol w:w="1791"/>
        <w:gridCol w:w="1829"/>
        <w:gridCol w:w="1805"/>
      </w:tblGrid>
      <w:tr>
        <w:trPr>
          <w:trHeight w:val="283" w:hRule="exact"/>
        </w:trPr>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23"/>
              <w:jc w:val="right"/>
              <w:rPr>
                <w:rFonts w:ascii="宋体" w:hAnsi="宋体" w:cs="宋体" w:eastAsia="宋体" w:hint="default"/>
                <w:sz w:val="21"/>
                <w:szCs w:val="21"/>
              </w:rPr>
            </w:pPr>
            <w:r>
              <w:rPr>
                <w:rFonts w:ascii="宋体" w:hAnsi="宋体" w:cs="宋体" w:eastAsia="宋体" w:hint="default"/>
                <w:sz w:val="21"/>
                <w:szCs w:val="21"/>
              </w:rPr>
              <w:t>项目</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8"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0"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8"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90"/>
              <w:jc w:val="right"/>
              <w:rPr>
                <w:rFonts w:ascii="宋体" w:hAnsi="宋体" w:cs="宋体" w:eastAsia="宋体" w:hint="default"/>
                <w:sz w:val="21"/>
                <w:szCs w:val="21"/>
              </w:rPr>
            </w:pPr>
            <w:r>
              <w:rPr>
                <w:rFonts w:ascii="宋体" w:hAnsi="宋体" w:cs="宋体" w:eastAsia="宋体" w:hint="default"/>
                <w:spacing w:val="-1"/>
                <w:sz w:val="21"/>
                <w:szCs w:val="21"/>
              </w:rPr>
              <w:t>安全生产费</w:t>
            </w:r>
          </w:p>
        </w:tc>
        <w:tc>
          <w:tcPr>
            <w:tcW w:w="1789"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4" w:right="0"/>
              <w:jc w:val="left"/>
              <w:rPr>
                <w:rFonts w:ascii="宋体" w:hAnsi="宋体" w:cs="宋体" w:eastAsia="宋体" w:hint="default"/>
                <w:sz w:val="21"/>
                <w:szCs w:val="21"/>
              </w:rPr>
            </w:pPr>
            <w:r>
              <w:rPr>
                <w:rFonts w:ascii="宋体"/>
                <w:sz w:val="21"/>
              </w:rPr>
              <w:t>8,907,449.85</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5" w:right="0"/>
              <w:jc w:val="left"/>
              <w:rPr>
                <w:rFonts w:ascii="宋体" w:hAnsi="宋体" w:cs="宋体" w:eastAsia="宋体" w:hint="default"/>
                <w:sz w:val="21"/>
                <w:szCs w:val="21"/>
              </w:rPr>
            </w:pPr>
            <w:r>
              <w:rPr>
                <w:rFonts w:ascii="宋体"/>
                <w:sz w:val="21"/>
              </w:rPr>
              <w:t>8,907,449.85</w:t>
            </w: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23"/>
              <w:jc w:val="right"/>
              <w:rPr>
                <w:rFonts w:ascii="宋体" w:hAnsi="宋体" w:cs="宋体" w:eastAsia="宋体" w:hint="default"/>
                <w:sz w:val="21"/>
                <w:szCs w:val="21"/>
              </w:rPr>
            </w:pPr>
            <w:r>
              <w:rPr>
                <w:rFonts w:ascii="宋体" w:hAnsi="宋体" w:cs="宋体" w:eastAsia="宋体" w:hint="default"/>
                <w:sz w:val="21"/>
                <w:szCs w:val="21"/>
              </w:rPr>
              <w:t>合计</w:t>
            </w:r>
          </w:p>
        </w:tc>
        <w:tc>
          <w:tcPr>
            <w:tcW w:w="1789"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4" w:right="0"/>
              <w:jc w:val="left"/>
              <w:rPr>
                <w:rFonts w:ascii="宋体" w:hAnsi="宋体" w:cs="宋体" w:eastAsia="宋体" w:hint="default"/>
                <w:sz w:val="21"/>
                <w:szCs w:val="21"/>
              </w:rPr>
            </w:pPr>
            <w:r>
              <w:rPr>
                <w:rFonts w:ascii="宋体"/>
                <w:sz w:val="21"/>
              </w:rPr>
              <w:t>8,907,449.85</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5" w:right="0"/>
              <w:jc w:val="left"/>
              <w:rPr>
                <w:rFonts w:ascii="宋体" w:hAnsi="宋体" w:cs="宋体" w:eastAsia="宋体" w:hint="default"/>
                <w:sz w:val="21"/>
                <w:szCs w:val="21"/>
              </w:rPr>
            </w:pPr>
            <w:r>
              <w:rPr>
                <w:rFonts w:ascii="宋体"/>
                <w:sz w:val="21"/>
              </w:rPr>
              <w:t>8,907,449.85</w:t>
            </w:r>
          </w:p>
        </w:tc>
        <w:tc>
          <w:tcPr>
            <w:tcW w:w="180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5"/>
          <w:szCs w:val="15"/>
        </w:rPr>
      </w:pPr>
    </w:p>
    <w:p>
      <w:pPr>
        <w:pStyle w:val="BodyText"/>
        <w:spacing w:line="340" w:lineRule="auto" w:before="36"/>
        <w:ind w:left="558" w:right="0" w:hanging="420"/>
        <w:jc w:val="left"/>
      </w:pPr>
      <w:r>
        <w:rPr/>
        <w:t>其他说明，包括本期增减变动情况、变动原因说明：</w:t>
      </w:r>
      <w:r>
        <w:rPr>
          <w:w w:val="100"/>
        </w:rPr>
        <w:t> </w:t>
      </w:r>
      <w:r>
        <w:rPr>
          <w:spacing w:val="-2"/>
        </w:rPr>
        <w:t>按照财政部、国家安全生产监管总局《关于印发</w:t>
      </w:r>
      <w:r>
        <w:rPr>
          <w:rFonts w:ascii="宋体" w:hAnsi="宋体" w:cs="宋体" w:eastAsia="宋体" w:hint="default"/>
          <w:spacing w:val="-2"/>
        </w:rPr>
        <w:t>&lt;</w:t>
      </w:r>
      <w:r>
        <w:rPr>
          <w:spacing w:val="-2"/>
        </w:rPr>
        <w:t>企业安全生产费用提取和使用管理办法</w:t>
      </w:r>
      <w:r>
        <w:rPr>
          <w:rFonts w:ascii="宋体" w:hAnsi="宋体" w:cs="宋体" w:eastAsia="宋体" w:hint="default"/>
          <w:spacing w:val="-2"/>
        </w:rPr>
        <w:t>&gt;</w:t>
      </w:r>
      <w:r>
        <w:rPr>
          <w:spacing w:val="-2"/>
        </w:rPr>
        <w:t>的</w:t>
      </w:r>
    </w:p>
    <w:p>
      <w:pPr>
        <w:pStyle w:val="BodyText"/>
        <w:spacing w:line="240" w:lineRule="auto" w:before="47"/>
        <w:ind w:left="138" w:right="2859"/>
        <w:jc w:val="left"/>
      </w:pPr>
      <w:r>
        <w:rPr/>
        <w:t>通知》（财企</w:t>
      </w:r>
      <w:r>
        <w:rPr>
          <w:rFonts w:ascii="宋体" w:hAnsi="宋体" w:cs="宋体" w:eastAsia="宋体" w:hint="default"/>
        </w:rPr>
        <w:t>[2012]16</w:t>
      </w:r>
      <w:r>
        <w:rPr>
          <w:rFonts w:ascii="宋体" w:hAnsi="宋体" w:cs="宋体" w:eastAsia="宋体" w:hint="default"/>
          <w:spacing w:val="-58"/>
        </w:rPr>
        <w:t> </w:t>
      </w:r>
      <w:r>
        <w:rPr/>
        <w:t>号）的规定计提和使用。</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660" w:right="1120"/>
        </w:sectPr>
      </w:pPr>
    </w:p>
    <w:p>
      <w:pPr>
        <w:spacing w:line="240" w:lineRule="auto" w:before="7"/>
        <w:rPr>
          <w:rFonts w:ascii="宋体" w:hAnsi="宋体" w:cs="宋体" w:eastAsia="宋体" w:hint="default"/>
          <w:sz w:val="15"/>
          <w:szCs w:val="15"/>
        </w:rPr>
      </w:pPr>
    </w:p>
    <w:p>
      <w:pPr>
        <w:pStyle w:val="Heading2"/>
        <w:spacing w:line="240" w:lineRule="auto"/>
        <w:ind w:left="138" w:right="-18"/>
        <w:jc w:val="left"/>
        <w:rPr>
          <w:b w:val="0"/>
          <w:bCs w:val="0"/>
        </w:rPr>
      </w:pPr>
      <w:r>
        <w:rPr>
          <w:rFonts w:ascii="宋体" w:hAnsi="宋体" w:cs="宋体" w:eastAsia="宋体" w:hint="default"/>
        </w:rPr>
        <w:t>59</w:t>
      </w:r>
      <w:r>
        <w:rPr/>
        <w:t>、</w:t>
      </w:r>
      <w:r>
        <w:rPr>
          <w:spacing w:val="-25"/>
        </w:rPr>
        <w:t> </w:t>
      </w:r>
      <w:r>
        <w:rPr/>
        <w:t>盈余公积</w:t>
      </w:r>
      <w:r>
        <w:rPr>
          <w:b w:val="0"/>
          <w:bCs w:val="0"/>
        </w:rPr>
      </w:r>
    </w:p>
    <w:p>
      <w:pPr>
        <w:pStyle w:val="BodyText"/>
        <w:spacing w:line="240" w:lineRule="auto" w:before="58"/>
        <w:ind w:left="13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1715" w:space="4806"/>
            <w:col w:w="2609"/>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673"/>
        <w:gridCol w:w="1798"/>
        <w:gridCol w:w="1805"/>
        <w:gridCol w:w="1814"/>
        <w:gridCol w:w="1805"/>
      </w:tblGrid>
      <w:tr>
        <w:trPr>
          <w:trHeight w:val="281"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8"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2"/>
              <w:jc w:val="center"/>
              <w:rPr>
                <w:rFonts w:ascii="宋体" w:hAnsi="宋体" w:cs="宋体" w:eastAsia="宋体" w:hint="default"/>
                <w:sz w:val="21"/>
                <w:szCs w:val="21"/>
              </w:rPr>
            </w:pPr>
            <w:r>
              <w:rPr>
                <w:rFonts w:ascii="宋体"/>
                <w:sz w:val="21"/>
              </w:rPr>
              <w:t>117,813,704.26</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8" w:right="0"/>
              <w:jc w:val="center"/>
              <w:rPr>
                <w:rFonts w:ascii="宋体" w:hAnsi="宋体" w:cs="宋体" w:eastAsia="宋体" w:hint="default"/>
                <w:sz w:val="21"/>
                <w:szCs w:val="21"/>
              </w:rPr>
            </w:pPr>
            <w:r>
              <w:rPr>
                <w:rFonts w:ascii="宋体"/>
                <w:sz w:val="21"/>
              </w:rPr>
              <w:t>55,310,077.96</w:t>
            </w: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20" w:right="0"/>
              <w:jc w:val="left"/>
              <w:rPr>
                <w:rFonts w:ascii="宋体" w:hAnsi="宋体" w:cs="宋体" w:eastAsia="宋体" w:hint="default"/>
                <w:sz w:val="21"/>
                <w:szCs w:val="21"/>
              </w:rPr>
            </w:pPr>
            <w:r>
              <w:rPr>
                <w:rFonts w:ascii="宋体"/>
                <w:sz w:val="21"/>
              </w:rPr>
              <w:t>173,123,782.22</w:t>
            </w: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2"/>
              <w:jc w:val="center"/>
              <w:rPr>
                <w:rFonts w:ascii="宋体" w:hAnsi="宋体" w:cs="宋体" w:eastAsia="宋体" w:hint="default"/>
                <w:sz w:val="21"/>
                <w:szCs w:val="21"/>
              </w:rPr>
            </w:pPr>
            <w:r>
              <w:rPr>
                <w:rFonts w:ascii="宋体"/>
                <w:sz w:val="21"/>
              </w:rPr>
              <w:t>117,813,704.26</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 w:right="0"/>
              <w:jc w:val="center"/>
              <w:rPr>
                <w:rFonts w:ascii="宋体" w:hAnsi="宋体" w:cs="宋体" w:eastAsia="宋体" w:hint="default"/>
                <w:sz w:val="21"/>
                <w:szCs w:val="21"/>
              </w:rPr>
            </w:pPr>
            <w:r>
              <w:rPr>
                <w:rFonts w:ascii="宋体"/>
                <w:sz w:val="21"/>
              </w:rPr>
              <w:t>55,310,077.96</w:t>
            </w: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 w:right="0"/>
              <w:jc w:val="left"/>
              <w:rPr>
                <w:rFonts w:ascii="宋体" w:hAnsi="宋体" w:cs="宋体" w:eastAsia="宋体" w:hint="default"/>
                <w:sz w:val="21"/>
                <w:szCs w:val="21"/>
              </w:rPr>
            </w:pPr>
            <w:r>
              <w:rPr>
                <w:rFonts w:ascii="宋体"/>
                <w:sz w:val="21"/>
              </w:rPr>
              <w:t>173,123,782.22</w:t>
            </w:r>
          </w:p>
        </w:tc>
      </w:tr>
    </w:tbl>
    <w:p>
      <w:pPr>
        <w:spacing w:after="0" w:line="241" w:lineRule="exact"/>
        <w:jc w:val="left"/>
        <w:rPr>
          <w:rFonts w:ascii="宋体" w:hAnsi="宋体" w:cs="宋体" w:eastAsia="宋体" w:hint="default"/>
          <w:sz w:val="21"/>
          <w:szCs w:val="21"/>
        </w:rPr>
        <w:sectPr>
          <w:type w:val="continuous"/>
          <w:pgSz w:w="11910" w:h="16840"/>
          <w:pgMar w:top="1120" w:bottom="1380" w:left="1660" w:right="1120"/>
        </w:sectPr>
      </w:pPr>
    </w:p>
    <w:p>
      <w:pPr>
        <w:pStyle w:val="BodyText"/>
        <w:spacing w:line="290" w:lineRule="auto" w:before="26"/>
        <w:ind w:left="138" w:right="0"/>
        <w:jc w:val="left"/>
      </w:pPr>
      <w:r>
        <w:rPr>
          <w:spacing w:val="-2"/>
        </w:rPr>
        <w:t>盈余公积说明，包括本期增减变动情况、变动原因说明：</w:t>
      </w:r>
      <w:r>
        <w:rPr>
          <w:spacing w:val="-55"/>
        </w:rPr>
        <w:t> </w:t>
      </w:r>
      <w:r>
        <w:rPr>
          <w:spacing w:val="-55"/>
        </w:rPr>
      </w:r>
      <w:r>
        <w:rPr/>
        <w:t>不适用</w:t>
      </w:r>
    </w:p>
    <w:p>
      <w:pPr>
        <w:pStyle w:val="Heading2"/>
        <w:spacing w:line="240" w:lineRule="auto" w:before="14"/>
        <w:ind w:left="138" w:right="0"/>
        <w:jc w:val="left"/>
        <w:rPr>
          <w:b w:val="0"/>
          <w:bCs w:val="0"/>
        </w:rPr>
      </w:pPr>
      <w:r>
        <w:rPr>
          <w:rFonts w:ascii="宋体" w:hAnsi="宋体" w:cs="宋体" w:eastAsia="宋体" w:hint="default"/>
        </w:rPr>
        <w:t>60</w:t>
      </w:r>
      <w:r>
        <w:rPr/>
        <w:t>、</w:t>
      </w:r>
      <w:r>
        <w:rPr>
          <w:spacing w:val="-25"/>
        </w:rPr>
        <w:t> </w:t>
      </w:r>
      <w:r>
        <w:rPr/>
        <w:t>未分配利润</w:t>
      </w:r>
      <w:r>
        <w:rPr>
          <w:b w:val="0"/>
          <w:bCs w:val="0"/>
        </w:rPr>
      </w:r>
    </w:p>
    <w:p>
      <w:pPr>
        <w:pStyle w:val="BodyText"/>
        <w:spacing w:line="240" w:lineRule="auto" w:before="56"/>
        <w:ind w:left="13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5395" w:space="1126"/>
            <w:col w:w="2609"/>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430"/>
        <w:gridCol w:w="2777"/>
        <w:gridCol w:w="2689"/>
      </w:tblGrid>
      <w:tr>
        <w:trPr>
          <w:trHeight w:val="283"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281"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1,055,412,382.90</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694,883,863.93</w:t>
            </w:r>
          </w:p>
        </w:tc>
      </w:tr>
      <w:tr>
        <w:trPr>
          <w:trHeight w:val="557"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调整期初未分配利润合计数（调增</w:t>
            </w:r>
            <w:r>
              <w:rPr>
                <w:rFonts w:ascii="宋体" w:hAnsi="宋体" w:cs="宋体" w:eastAsia="宋体" w:hint="default"/>
                <w:sz w:val="21"/>
                <w:szCs w:val="21"/>
              </w:rPr>
              <w:t>+</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调减－）</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47"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268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1,055,412,382.90</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694,883,863.93</w:t>
            </w:r>
          </w:p>
        </w:tc>
      </w:tr>
      <w:tr>
        <w:trPr>
          <w:trHeight w:val="554"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润</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552,366,107.62</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401,292,805.45</w:t>
            </w:r>
          </w:p>
        </w:tc>
      </w:tr>
      <w:tr>
        <w:trPr>
          <w:trHeight w:val="283"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55,310,077.96</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9"/>
              <w:jc w:val="right"/>
              <w:rPr>
                <w:rFonts w:ascii="宋体" w:hAnsi="宋体" w:cs="宋体" w:eastAsia="宋体" w:hint="default"/>
                <w:sz w:val="21"/>
                <w:szCs w:val="21"/>
              </w:rPr>
            </w:pPr>
            <w:r>
              <w:rPr>
                <w:rFonts w:ascii="宋体"/>
                <w:spacing w:val="-1"/>
                <w:sz w:val="21"/>
              </w:rPr>
              <w:t>40,764,286.48</w:t>
            </w:r>
          </w:p>
        </w:tc>
      </w:tr>
      <w:tr>
        <w:trPr>
          <w:trHeight w:val="283"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2777" w:type="dxa"/>
            <w:tcBorders>
              <w:top w:val="single" w:sz="4" w:space="0" w:color="000000"/>
              <w:left w:val="single" w:sz="4" w:space="0" w:color="000000"/>
              <w:bottom w:val="single" w:sz="4" w:space="0" w:color="000000"/>
              <w:right w:val="single" w:sz="4" w:space="0" w:color="000000"/>
            </w:tcBorders>
          </w:tcPr>
          <w:p>
            <w:pPr/>
          </w:p>
        </w:tc>
        <w:tc>
          <w:tcPr>
            <w:tcW w:w="268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提取一般风险准备</w:t>
            </w:r>
          </w:p>
        </w:tc>
        <w:tc>
          <w:tcPr>
            <w:tcW w:w="2777" w:type="dxa"/>
            <w:tcBorders>
              <w:top w:val="single" w:sz="4" w:space="0" w:color="000000"/>
              <w:left w:val="single" w:sz="4" w:space="0" w:color="000000"/>
              <w:bottom w:val="single" w:sz="4" w:space="0" w:color="000000"/>
              <w:right w:val="single" w:sz="4" w:space="0" w:color="000000"/>
            </w:tcBorders>
          </w:tcPr>
          <w:p>
            <w:pPr/>
          </w:p>
        </w:tc>
        <w:tc>
          <w:tcPr>
            <w:tcW w:w="268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777" w:type="dxa"/>
            <w:tcBorders>
              <w:top w:val="single" w:sz="4" w:space="0" w:color="000000"/>
              <w:left w:val="single" w:sz="4" w:space="0" w:color="000000"/>
              <w:bottom w:val="single" w:sz="4" w:space="0" w:color="000000"/>
              <w:right w:val="single" w:sz="4" w:space="0" w:color="000000"/>
            </w:tcBorders>
          </w:tcPr>
          <w:p>
            <w:pPr/>
          </w:p>
        </w:tc>
        <w:tc>
          <w:tcPr>
            <w:tcW w:w="268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2777" w:type="dxa"/>
            <w:tcBorders>
              <w:top w:val="single" w:sz="4" w:space="0" w:color="000000"/>
              <w:left w:val="single" w:sz="4" w:space="0" w:color="000000"/>
              <w:bottom w:val="single" w:sz="4" w:space="0" w:color="000000"/>
              <w:right w:val="single" w:sz="4" w:space="0" w:color="000000"/>
            </w:tcBorders>
          </w:tcPr>
          <w:p>
            <w:pPr/>
          </w:p>
        </w:tc>
        <w:tc>
          <w:tcPr>
            <w:tcW w:w="268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1,552,468,412.56</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8"/>
              <w:jc w:val="right"/>
              <w:rPr>
                <w:rFonts w:ascii="宋体" w:hAnsi="宋体" w:cs="宋体" w:eastAsia="宋体" w:hint="default"/>
                <w:sz w:val="21"/>
                <w:szCs w:val="21"/>
              </w:rPr>
            </w:pPr>
            <w:r>
              <w:rPr>
                <w:rFonts w:ascii="宋体"/>
                <w:spacing w:val="-1"/>
                <w:sz w:val="21"/>
              </w:rPr>
              <w:t>1,055,412,382.90</w:t>
            </w:r>
          </w:p>
        </w:tc>
      </w:tr>
    </w:tbl>
    <w:p>
      <w:pPr>
        <w:spacing w:line="240" w:lineRule="auto" w:before="2"/>
        <w:rPr>
          <w:rFonts w:ascii="宋体" w:hAnsi="宋体" w:cs="宋体" w:eastAsia="宋体" w:hint="default"/>
          <w:sz w:val="20"/>
          <w:szCs w:val="20"/>
        </w:rPr>
      </w:pPr>
    </w:p>
    <w:p>
      <w:pPr>
        <w:pStyle w:val="BodyText"/>
        <w:spacing w:line="290" w:lineRule="auto" w:before="36"/>
        <w:ind w:left="138" w:right="1046"/>
        <w:jc w:val="left"/>
      </w:pPr>
      <w:r>
        <w:rPr/>
        <w:t>调整期初未分配利润明细：</w:t>
      </w:r>
      <w:r>
        <w:rPr>
          <w:w w:val="100"/>
        </w:rPr>
        <w:t> </w:t>
      </w:r>
      <w:r>
        <w:rPr>
          <w:rFonts w:ascii="宋体" w:hAnsi="宋体" w:cs="宋体" w:eastAsia="宋体" w:hint="default"/>
        </w:rPr>
        <w:t>1</w:t>
      </w:r>
      <w:r>
        <w:rPr/>
        <w:t>、由于《企业会计准则》及其相关新规定进行追溯调整，影响期初未分配利润 </w:t>
      </w:r>
      <w:r>
        <w:rPr>
          <w:rFonts w:ascii="宋体" w:hAnsi="宋体" w:cs="宋体" w:eastAsia="宋体" w:hint="default"/>
        </w:rPr>
        <w:t>0</w:t>
      </w:r>
      <w:r>
        <w:rPr>
          <w:rFonts w:ascii="宋体" w:hAnsi="宋体" w:cs="宋体" w:eastAsia="宋体" w:hint="default"/>
          <w:spacing w:val="-58"/>
        </w:rPr>
        <w:t> </w:t>
      </w:r>
      <w:r>
        <w:rPr/>
        <w:t>元。</w:t>
      </w:r>
    </w:p>
    <w:p>
      <w:pPr>
        <w:pStyle w:val="BodyText"/>
        <w:spacing w:line="228" w:lineRule="exact"/>
        <w:ind w:left="138" w:right="2859"/>
        <w:jc w:val="left"/>
      </w:pPr>
      <w:r>
        <w:rPr>
          <w:rFonts w:ascii="宋体" w:hAnsi="宋体" w:cs="宋体" w:eastAsia="宋体" w:hint="default"/>
        </w:rPr>
        <w:t>2</w:t>
      </w:r>
      <w:r>
        <w:rPr/>
        <w:t>、由于会计政策变更，影响期初未分配利润 </w:t>
      </w:r>
      <w:r>
        <w:rPr>
          <w:rFonts w:ascii="宋体" w:hAnsi="宋体" w:cs="宋体" w:eastAsia="宋体" w:hint="default"/>
        </w:rPr>
        <w:t>0</w:t>
      </w:r>
      <w:r>
        <w:rPr>
          <w:rFonts w:ascii="宋体" w:hAnsi="宋体" w:cs="宋体" w:eastAsia="宋体" w:hint="default"/>
          <w:spacing w:val="-56"/>
        </w:rPr>
        <w:t> </w:t>
      </w:r>
      <w:r>
        <w:rPr>
          <w:spacing w:val="-3"/>
        </w:rPr>
        <w:t>元。</w:t>
      </w:r>
      <w:r>
        <w:rPr/>
      </w:r>
    </w:p>
    <w:p>
      <w:pPr>
        <w:pStyle w:val="BodyText"/>
        <w:spacing w:line="272" w:lineRule="exact"/>
        <w:ind w:left="138" w:right="2859"/>
        <w:jc w:val="left"/>
      </w:pPr>
      <w:r>
        <w:rPr>
          <w:rFonts w:ascii="宋体" w:hAnsi="宋体" w:cs="宋体" w:eastAsia="宋体" w:hint="default"/>
        </w:rPr>
        <w:t>3</w:t>
      </w:r>
      <w:r>
        <w:rPr/>
        <w:t>、由于重大会计差错更正，影响期初未分配利润 </w:t>
      </w:r>
      <w:r>
        <w:rPr>
          <w:rFonts w:ascii="宋体" w:hAnsi="宋体" w:cs="宋体" w:eastAsia="宋体" w:hint="default"/>
        </w:rPr>
        <w:t>0</w:t>
      </w:r>
      <w:r>
        <w:rPr>
          <w:rFonts w:ascii="宋体" w:hAnsi="宋体" w:cs="宋体" w:eastAsia="宋体" w:hint="default"/>
          <w:spacing w:val="-60"/>
        </w:rPr>
        <w:t> </w:t>
      </w:r>
      <w:r>
        <w:rPr/>
        <w:t>元。</w:t>
      </w:r>
    </w:p>
    <w:p>
      <w:pPr>
        <w:pStyle w:val="BodyText"/>
        <w:spacing w:line="272" w:lineRule="exact"/>
        <w:ind w:left="138" w:right="0"/>
        <w:jc w:val="left"/>
      </w:pPr>
      <w:r>
        <w:rPr>
          <w:rFonts w:ascii="宋体" w:hAnsi="宋体" w:cs="宋体" w:eastAsia="宋体" w:hint="default"/>
        </w:rPr>
        <w:t>4</w:t>
      </w:r>
      <w:r>
        <w:rPr/>
        <w:t>、由于同一控制导致的合并范围变更，影响期初未分配利润 </w:t>
      </w:r>
      <w:r>
        <w:rPr>
          <w:rFonts w:ascii="宋体" w:hAnsi="宋体" w:cs="宋体" w:eastAsia="宋体" w:hint="default"/>
        </w:rPr>
        <w:t>0</w:t>
      </w:r>
      <w:r>
        <w:rPr>
          <w:rFonts w:ascii="宋体" w:hAnsi="宋体" w:cs="宋体" w:eastAsia="宋体" w:hint="default"/>
          <w:spacing w:val="-57"/>
        </w:rPr>
        <w:t> </w:t>
      </w:r>
      <w:r>
        <w:rPr>
          <w:spacing w:val="-3"/>
        </w:rPr>
        <w:t>元。</w:t>
      </w:r>
      <w:r>
        <w:rPr/>
      </w:r>
    </w:p>
    <w:p>
      <w:pPr>
        <w:pStyle w:val="BodyText"/>
        <w:spacing w:line="273" w:lineRule="exact"/>
        <w:ind w:left="138" w:right="2859"/>
        <w:jc w:val="left"/>
      </w:pPr>
      <w:r>
        <w:rPr>
          <w:rFonts w:ascii="宋体" w:hAnsi="宋体" w:cs="宋体" w:eastAsia="宋体" w:hint="default"/>
        </w:rPr>
        <w:t>5</w:t>
      </w:r>
      <w:r>
        <w:rPr/>
        <w:t>、其他调整合计影响期初未分配利润 </w:t>
      </w:r>
      <w:r>
        <w:rPr>
          <w:rFonts w:ascii="宋体" w:hAnsi="宋体" w:cs="宋体" w:eastAsia="宋体" w:hint="default"/>
        </w:rPr>
        <w:t>0</w:t>
      </w:r>
      <w:r>
        <w:rPr>
          <w:rFonts w:ascii="宋体" w:hAnsi="宋体" w:cs="宋体" w:eastAsia="宋体" w:hint="default"/>
          <w:spacing w:val="-57"/>
        </w:rPr>
        <w:t> </w:t>
      </w:r>
      <w:r>
        <w:rPr/>
        <w:t>元。</w:t>
      </w:r>
    </w:p>
    <w:p>
      <w:pPr>
        <w:spacing w:line="240" w:lineRule="auto" w:before="3"/>
        <w:rPr>
          <w:rFonts w:ascii="宋体" w:hAnsi="宋体" w:cs="宋体" w:eastAsia="宋体" w:hint="default"/>
          <w:sz w:val="25"/>
          <w:szCs w:val="25"/>
        </w:rPr>
      </w:pPr>
    </w:p>
    <w:p>
      <w:pPr>
        <w:pStyle w:val="Heading2"/>
        <w:spacing w:line="240" w:lineRule="auto"/>
        <w:ind w:left="138" w:right="4983"/>
        <w:jc w:val="left"/>
        <w:rPr>
          <w:b w:val="0"/>
          <w:bCs w:val="0"/>
        </w:rPr>
      </w:pPr>
      <w:r>
        <w:rPr>
          <w:rFonts w:ascii="宋体" w:hAnsi="宋体" w:cs="宋体" w:eastAsia="宋体" w:hint="default"/>
        </w:rPr>
        <w:t>61</w:t>
      </w:r>
      <w:r>
        <w:rPr/>
        <w:t>、</w:t>
      </w:r>
      <w:r>
        <w:rPr>
          <w:spacing w:val="-23"/>
        </w:rPr>
        <w:t> </w:t>
      </w:r>
      <w:r>
        <w:rPr/>
        <w:t>营业收入和营业成本</w:t>
      </w:r>
      <w:r>
        <w:rPr>
          <w:b w:val="0"/>
          <w:bCs w:val="0"/>
        </w:rPr>
      </w:r>
    </w:p>
    <w:p>
      <w:pPr>
        <w:pStyle w:val="BodyText"/>
        <w:spacing w:line="240" w:lineRule="auto" w:before="58"/>
        <w:ind w:left="138" w:right="4983"/>
        <w:jc w:val="left"/>
      </w:pPr>
      <w:r>
        <w:rPr/>
        <w:t>√适用</w:t>
      </w:r>
      <w:r>
        <w:rPr>
          <w:spacing w:val="-1"/>
        </w:rPr>
        <w:t> </w:t>
      </w:r>
      <w:r>
        <w:rPr/>
        <w:t>□不适用</w:t>
      </w:r>
    </w:p>
    <w:p>
      <w:pPr>
        <w:spacing w:after="0" w:line="240" w:lineRule="auto"/>
        <w:jc w:val="left"/>
        <w:sectPr>
          <w:type w:val="continuous"/>
          <w:pgSz w:w="11910" w:h="16840"/>
          <w:pgMar w:top="1120" w:bottom="1380" w:left="1660" w:right="1120"/>
        </w:sectPr>
      </w:pPr>
    </w:p>
    <w:p>
      <w:pPr>
        <w:spacing w:line="240" w:lineRule="auto" w:before="1"/>
        <w:rPr>
          <w:rFonts w:ascii="宋体" w:hAnsi="宋体" w:cs="宋体" w:eastAsia="宋体" w:hint="default"/>
          <w:sz w:val="25"/>
          <w:szCs w:val="25"/>
        </w:rPr>
      </w:pPr>
    </w:p>
    <w:p>
      <w:pPr>
        <w:pStyle w:val="BodyText"/>
        <w:tabs>
          <w:tab w:pos="1051" w:val="left" w:leader="none"/>
        </w:tabs>
        <w:spacing w:line="240" w:lineRule="auto" w:before="3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227" w:type="dxa"/>
        <w:tblLayout w:type="fixed"/>
        <w:tblCellMar>
          <w:top w:w="0" w:type="dxa"/>
          <w:left w:w="0" w:type="dxa"/>
          <w:bottom w:w="0" w:type="dxa"/>
          <w:right w:w="0" w:type="dxa"/>
        </w:tblCellMar>
        <w:tblLook w:val="01E0"/>
      </w:tblPr>
      <w:tblGrid>
        <w:gridCol w:w="1344"/>
        <w:gridCol w:w="1897"/>
        <w:gridCol w:w="1896"/>
        <w:gridCol w:w="1896"/>
        <w:gridCol w:w="1897"/>
      </w:tblGrid>
      <w:tr>
        <w:trPr>
          <w:trHeight w:val="283" w:hRule="exact"/>
        </w:trPr>
        <w:tc>
          <w:tcPr>
            <w:tcW w:w="1344"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1344" w:type="dxa"/>
            <w:vMerge/>
            <w:tcBorders>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3"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6,758,644,870.31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5,674,277,006.83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3,797,020,557.80</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sz w:val="21"/>
              </w:rPr>
              <w:t>2,933,240,601.70</w:t>
            </w:r>
          </w:p>
        </w:tc>
      </w:tr>
      <w:tr>
        <w:trPr>
          <w:trHeight w:val="281"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1,976,985.51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762,383.28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1,106,543.37</w:t>
            </w:r>
          </w:p>
        </w:tc>
        <w:tc>
          <w:tcPr>
            <w:tcW w:w="189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6,760,621,855.82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5,675,039,390.11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3,798,127,101.17</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 w:right="0"/>
              <w:jc w:val="center"/>
              <w:rPr>
                <w:rFonts w:ascii="宋体" w:hAnsi="宋体" w:cs="宋体" w:eastAsia="宋体" w:hint="default"/>
                <w:sz w:val="21"/>
                <w:szCs w:val="21"/>
              </w:rPr>
            </w:pPr>
            <w:r>
              <w:rPr>
                <w:rFonts w:ascii="宋体"/>
                <w:sz w:val="21"/>
              </w:rPr>
              <w:t>2,933,240,601.70</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80" w:right="1040"/>
        </w:sectPr>
      </w:pPr>
    </w:p>
    <w:p>
      <w:pPr>
        <w:pStyle w:val="Heading2"/>
        <w:spacing w:line="240" w:lineRule="auto" w:before="36"/>
        <w:ind w:right="-12"/>
        <w:jc w:val="left"/>
        <w:rPr>
          <w:b w:val="0"/>
          <w:bCs w:val="0"/>
        </w:rPr>
      </w:pPr>
      <w:r>
        <w:rPr>
          <w:rFonts w:ascii="宋体" w:hAnsi="宋体" w:cs="宋体" w:eastAsia="宋体" w:hint="default"/>
        </w:rPr>
        <w:t>62</w:t>
      </w:r>
      <w:r>
        <w:rPr/>
        <w:t>、</w:t>
      </w:r>
      <w:r>
        <w:rPr>
          <w:spacing w:val="-25"/>
        </w:rPr>
        <w:t> </w:t>
      </w:r>
      <w:r>
        <w:rPr/>
        <w:t>税金及附加</w:t>
      </w:r>
      <w:r>
        <w:rPr>
          <w:b w:val="0"/>
          <w:bCs w:val="0"/>
        </w:rPr>
      </w:r>
    </w:p>
    <w:p>
      <w:pPr>
        <w:pStyle w:val="BodyText"/>
        <w:tabs>
          <w:tab w:pos="1060" w:val="left" w:leader="none"/>
        </w:tabs>
        <w:spacing w:line="240" w:lineRule="auto" w:before="56"/>
        <w:ind w:right="-12"/>
        <w:jc w:val="left"/>
      </w:pPr>
      <w:r>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01" w:space="4621"/>
            <w:col w:w="2768"/>
          </w:cols>
        </w:sectPr>
      </w:pPr>
    </w:p>
    <w:p>
      <w:pPr>
        <w:spacing w:line="240" w:lineRule="auto" w:before="4"/>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859"/>
        <w:gridCol w:w="3017"/>
        <w:gridCol w:w="3020"/>
      </w:tblGrid>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08"/>
              <w:jc w:val="right"/>
              <w:rPr>
                <w:rFonts w:ascii="宋体" w:hAnsi="宋体" w:cs="宋体" w:eastAsia="宋体" w:hint="default"/>
                <w:sz w:val="21"/>
                <w:szCs w:val="21"/>
              </w:rPr>
            </w:pPr>
            <w:r>
              <w:rPr>
                <w:rFonts w:ascii="宋体" w:hAnsi="宋体" w:cs="宋体" w:eastAsia="宋体" w:hint="default"/>
                <w:sz w:val="21"/>
                <w:szCs w:val="21"/>
              </w:rPr>
              <w:t>项目</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7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7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9"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3017"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017"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50,000.00</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2,823,687.36</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1,639,245.01</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1,397,527.10</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702,962.16</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资源税</w:t>
            </w:r>
          </w:p>
        </w:tc>
        <w:tc>
          <w:tcPr>
            <w:tcW w:w="3017"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3,780.00</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703,281.19</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274,146.16</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16,666.64</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车船使用税</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2,280,568.79</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1,765,997.00</w:t>
            </w:r>
          </w:p>
        </w:tc>
      </w:tr>
      <w:tr>
        <w:trPr>
          <w:trHeight w:val="286"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713,207.90</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6,479.97</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地方教育费</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931,684.72</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468,641.42</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堤围税</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1,619,694.65</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2,817,620.93</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08"/>
              <w:jc w:val="right"/>
              <w:rPr>
                <w:rFonts w:ascii="宋体" w:hAnsi="宋体" w:cs="宋体" w:eastAsia="宋体" w:hint="default"/>
                <w:sz w:val="21"/>
                <w:szCs w:val="21"/>
              </w:rPr>
            </w:pPr>
            <w:r>
              <w:rPr>
                <w:rFonts w:ascii="宋体" w:hAnsi="宋体" w:cs="宋体" w:eastAsia="宋体" w:hint="default"/>
                <w:sz w:val="21"/>
                <w:szCs w:val="21"/>
              </w:rPr>
              <w:t>合计</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10,044,296.68</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8,170,894.32</w:t>
            </w:r>
          </w:p>
        </w:tc>
      </w:tr>
    </w:tbl>
    <w:p>
      <w:pPr>
        <w:pStyle w:val="BodyText"/>
        <w:spacing w:line="290" w:lineRule="auto" w:before="26"/>
        <w:ind w:right="7998"/>
        <w:jc w:val="left"/>
      </w:pPr>
      <w:r>
        <w:rPr/>
        <w:t>其他说明：</w:t>
      </w:r>
      <w:r>
        <w:rPr>
          <w:spacing w:val="-102"/>
        </w:rPr>
        <w:t> </w:t>
      </w:r>
      <w:r>
        <w:rPr>
          <w:spacing w:val="-102"/>
        </w:rPr>
      </w:r>
      <w:r>
        <w:rPr/>
        <w:t>不适用</w:t>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040"/>
        </w:sectPr>
      </w:pPr>
    </w:p>
    <w:p>
      <w:pPr>
        <w:pStyle w:val="Heading2"/>
        <w:spacing w:line="240" w:lineRule="auto" w:before="36"/>
        <w:ind w:right="-18"/>
        <w:jc w:val="left"/>
        <w:rPr>
          <w:b w:val="0"/>
          <w:bCs w:val="0"/>
        </w:rPr>
      </w:pPr>
      <w:r>
        <w:rPr>
          <w:rFonts w:ascii="宋体" w:hAnsi="宋体" w:cs="宋体" w:eastAsia="宋体" w:hint="default"/>
        </w:rPr>
        <w:t>63</w:t>
      </w:r>
      <w:r>
        <w:rPr/>
        <w:t>、</w:t>
      </w:r>
      <w:r>
        <w:rPr>
          <w:spacing w:val="-25"/>
        </w:rPr>
        <w:t> </w:t>
      </w:r>
      <w:r>
        <w:rPr/>
        <w:t>销售费用</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32"/>
        <w:gridCol w:w="2861"/>
        <w:gridCol w:w="2857"/>
      </w:tblGrid>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48"/>
              <w:jc w:val="right"/>
              <w:rPr>
                <w:rFonts w:ascii="宋体" w:hAnsi="宋体" w:cs="宋体" w:eastAsia="宋体" w:hint="default"/>
                <w:sz w:val="21"/>
                <w:szCs w:val="21"/>
              </w:rPr>
            </w:pPr>
            <w:r>
              <w:rPr>
                <w:rFonts w:ascii="宋体" w:hAnsi="宋体" w:cs="宋体" w:eastAsia="宋体" w:hint="default"/>
                <w:sz w:val="21"/>
                <w:szCs w:val="21"/>
              </w:rPr>
              <w:t>项目</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5,697,268.13</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6,613,076.44</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3,690,766.49</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1,520,143.96</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广告宣传费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2,177,769.53</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2,148,982.16</w:t>
            </w:r>
          </w:p>
        </w:tc>
      </w:tr>
      <w:tr>
        <w:trPr>
          <w:trHeight w:val="284"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1,420,647.67</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894,266.98</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折旧及摊销</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1,229,419.94</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1,252,790.99</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1,224,653.76</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1,186,657.16</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48,558.92</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293,484.77</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48"/>
              <w:jc w:val="right"/>
              <w:rPr>
                <w:rFonts w:ascii="宋体" w:hAnsi="宋体" w:cs="宋体" w:eastAsia="宋体" w:hint="default"/>
                <w:sz w:val="21"/>
                <w:szCs w:val="21"/>
              </w:rPr>
            </w:pPr>
            <w:r>
              <w:rPr>
                <w:rFonts w:ascii="宋体" w:hAnsi="宋体" w:cs="宋体" w:eastAsia="宋体" w:hint="default"/>
                <w:sz w:val="21"/>
                <w:szCs w:val="21"/>
              </w:rPr>
              <w:t>合计</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15,489,084.44</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13,909,402.46</w:t>
            </w:r>
          </w:p>
        </w:tc>
      </w:tr>
    </w:tbl>
    <w:p>
      <w:pPr>
        <w:pStyle w:val="BodyText"/>
        <w:spacing w:line="290" w:lineRule="auto" w:before="26"/>
        <w:ind w:right="7998"/>
        <w:jc w:val="left"/>
      </w:pPr>
      <w:r>
        <w:rPr/>
        <w:t>其他说明：</w:t>
      </w:r>
      <w:r>
        <w:rPr>
          <w:spacing w:val="-102"/>
        </w:rPr>
        <w:t> </w:t>
      </w:r>
      <w:r>
        <w:rPr>
          <w:spacing w:val="-102"/>
        </w:rPr>
      </w:r>
      <w:r>
        <w:rPr/>
        <w:t>不适用</w:t>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040"/>
        </w:sectPr>
      </w:pPr>
    </w:p>
    <w:p>
      <w:pPr>
        <w:pStyle w:val="Heading2"/>
        <w:spacing w:line="240" w:lineRule="auto" w:before="36"/>
        <w:ind w:right="-18"/>
        <w:jc w:val="left"/>
        <w:rPr>
          <w:b w:val="0"/>
          <w:bCs w:val="0"/>
        </w:rPr>
      </w:pPr>
      <w:r>
        <w:rPr>
          <w:rFonts w:ascii="宋体" w:hAnsi="宋体" w:cs="宋体" w:eastAsia="宋体" w:hint="default"/>
        </w:rPr>
        <w:t>64</w:t>
      </w:r>
      <w:r>
        <w:rPr/>
        <w:t>、</w:t>
      </w:r>
      <w:r>
        <w:rPr>
          <w:spacing w:val="-25"/>
        </w:rPr>
        <w:t> </w:t>
      </w:r>
      <w:r>
        <w:rPr/>
        <w:t>管理费用</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39"/>
      </w:tblGrid>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105,365,930.12</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72,073,697.48</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15,265,551.39</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12,692,891.96</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39"/>
      </w:tblGrid>
      <w:tr>
        <w:trPr>
          <w:trHeight w:val="284"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16,793,906.51</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9,577,904.70</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折旧及摊销</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7,493,106.27</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8,000,491.45</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6,556,922.21</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3,758,991.09</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5,311,526.09</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4,147,583.37</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中介服务及咨询费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7,106,796.59</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4,339,882.19</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税金</w:t>
            </w:r>
          </w:p>
        </w:tc>
        <w:tc>
          <w:tcPr>
            <w:tcW w:w="2604" w:type="dxa"/>
            <w:tcBorders>
              <w:top w:val="single" w:sz="4" w:space="0" w:color="000000"/>
              <w:left w:val="single" w:sz="4" w:space="0" w:color="000000"/>
              <w:bottom w:val="single" w:sz="4" w:space="0" w:color="000000"/>
              <w:right w:val="single" w:sz="4" w:space="0" w:color="000000"/>
            </w:tcBorders>
          </w:tcPr>
          <w:p>
            <w:pP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650,854.14</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广告宣传费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3,219,967.76</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658,320.71</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6,867,349.52</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5,462,906.97</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173,981,056.46</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121,363,524.06</w:t>
            </w:r>
          </w:p>
        </w:tc>
      </w:tr>
    </w:tbl>
    <w:p>
      <w:pPr>
        <w:spacing w:line="240" w:lineRule="auto" w:before="7"/>
        <w:rPr>
          <w:rFonts w:ascii="宋体" w:hAnsi="宋体" w:cs="宋体" w:eastAsia="宋体" w:hint="default"/>
          <w:sz w:val="15"/>
          <w:szCs w:val="15"/>
        </w:rPr>
      </w:pPr>
    </w:p>
    <w:p>
      <w:pPr>
        <w:pStyle w:val="BodyText"/>
        <w:spacing w:line="273" w:lineRule="exact" w:before="36"/>
        <w:ind w:right="2497"/>
        <w:jc w:val="left"/>
      </w:pPr>
      <w:r>
        <w:rPr/>
        <w:t>其他说明：</w:t>
      </w:r>
    </w:p>
    <w:p>
      <w:pPr>
        <w:pStyle w:val="BodyText"/>
        <w:spacing w:line="273" w:lineRule="exact"/>
        <w:ind w:right="0"/>
        <w:jc w:val="left"/>
      </w:pPr>
      <w:r>
        <w:rPr/>
        <w:t>管理费用本期发生额较上期增长</w:t>
      </w:r>
      <w:r>
        <w:rPr>
          <w:spacing w:val="1"/>
        </w:rPr>
        <w:t> </w:t>
      </w:r>
      <w:r>
        <w:rPr>
          <w:rFonts w:ascii="宋体" w:hAnsi="宋体" w:cs="宋体" w:eastAsia="宋体" w:hint="default"/>
        </w:rPr>
        <w:t>43.36%</w:t>
      </w:r>
      <w:r>
        <w:rPr/>
        <w:t>，主要系公司规模扩大，人员工资及办公经费增长所致。</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1040"/>
        </w:sectPr>
      </w:pPr>
    </w:p>
    <w:p>
      <w:pPr>
        <w:pStyle w:val="Heading2"/>
        <w:spacing w:line="240" w:lineRule="auto" w:before="36"/>
        <w:ind w:right="-12"/>
        <w:jc w:val="left"/>
        <w:rPr>
          <w:b w:val="0"/>
          <w:bCs w:val="0"/>
        </w:rPr>
      </w:pPr>
      <w:r>
        <w:rPr>
          <w:rFonts w:ascii="宋体" w:hAnsi="宋体" w:cs="宋体" w:eastAsia="宋体" w:hint="default"/>
        </w:rPr>
        <w:t>65</w:t>
      </w:r>
      <w:r>
        <w:rPr/>
        <w:t>、</w:t>
      </w:r>
      <w:r>
        <w:rPr>
          <w:spacing w:val="-25"/>
        </w:rPr>
        <w:t> </w:t>
      </w:r>
      <w:r>
        <w:rPr/>
        <w:t>财务费用</w:t>
      </w:r>
      <w:r>
        <w:rPr>
          <w:b w:val="0"/>
          <w:bCs w:val="0"/>
        </w:rPr>
      </w:r>
    </w:p>
    <w:p>
      <w:pPr>
        <w:pStyle w:val="BodyText"/>
        <w:tabs>
          <w:tab w:pos="1060" w:val="left" w:leader="none"/>
        </w:tabs>
        <w:spacing w:line="240" w:lineRule="auto" w:before="58"/>
        <w:ind w:right="-12"/>
        <w:jc w:val="left"/>
      </w:pPr>
      <w:r>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01" w:space="4621"/>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39"/>
      </w:tblGrid>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48,371,565.01</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38,062,685.10</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-5,950,769.31</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-4,959,600.26</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汇兑损益</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-3,315,808.10</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8,166,885.37</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未确认融资费用</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148,387,368.63</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193,270,683.25</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手续费及其他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3,215,050.83</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2,696,869.70</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190,707,407.06</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237,237,523.16</w:t>
            </w:r>
          </w:p>
        </w:tc>
      </w:tr>
    </w:tbl>
    <w:p>
      <w:pPr>
        <w:pStyle w:val="BodyText"/>
        <w:spacing w:line="241" w:lineRule="exact"/>
        <w:ind w:right="2497"/>
        <w:jc w:val="left"/>
      </w:pPr>
      <w:r>
        <w:rPr/>
        <w:t>其他说明：</w:t>
      </w:r>
    </w:p>
    <w:p>
      <w:pPr>
        <w:pStyle w:val="BodyText"/>
        <w:spacing w:line="274" w:lineRule="exact"/>
        <w:ind w:right="227"/>
        <w:jc w:val="left"/>
      </w:pPr>
      <w:r>
        <w:rPr/>
        <w:t>本期收到</w:t>
      </w:r>
      <w:r>
        <w:rPr>
          <w:spacing w:val="-53"/>
        </w:rPr>
        <w:t> </w:t>
      </w:r>
      <w:r>
        <w:rPr>
          <w:rFonts w:ascii="宋体" w:hAnsi="宋体" w:cs="宋体" w:eastAsia="宋体" w:hint="default"/>
        </w:rPr>
        <w:t>28,840,638.20</w:t>
      </w:r>
      <w:r>
        <w:rPr>
          <w:rFonts w:ascii="宋体" w:hAnsi="宋体" w:cs="宋体" w:eastAsia="宋体" w:hint="default"/>
          <w:spacing w:val="-55"/>
        </w:rPr>
        <w:t> </w:t>
      </w:r>
      <w:r>
        <w:rPr/>
        <w:t>元的政府融资利息补贴款冲减了未确认融资费用。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1580" w:right="1040"/>
        </w:sectPr>
      </w:pPr>
    </w:p>
    <w:p>
      <w:pPr>
        <w:pStyle w:val="Heading2"/>
        <w:spacing w:line="240" w:lineRule="auto" w:before="36"/>
        <w:ind w:right="-18"/>
        <w:jc w:val="left"/>
        <w:rPr>
          <w:b w:val="0"/>
          <w:bCs w:val="0"/>
        </w:rPr>
      </w:pPr>
      <w:r>
        <w:rPr>
          <w:rFonts w:ascii="宋体" w:hAnsi="宋体" w:cs="宋体" w:eastAsia="宋体" w:hint="default"/>
        </w:rPr>
        <w:t>66</w:t>
      </w:r>
      <w:r>
        <w:rPr/>
        <w:t>、</w:t>
      </w:r>
      <w:r>
        <w:rPr>
          <w:spacing w:val="-24"/>
        </w:rPr>
        <w:t> </w:t>
      </w:r>
      <w:r>
        <w:rPr/>
        <w:t>资产减值损失</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90" w:space="4532"/>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9"/>
        <w:gridCol w:w="2573"/>
        <w:gridCol w:w="3077"/>
      </w:tblGrid>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10,702,677.66</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3,623,522.08</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十三、商誉减值损失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10,702,677.66</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3,623,522.08</w:t>
            </w:r>
          </w:p>
        </w:tc>
      </w:tr>
    </w:tbl>
    <w:p>
      <w:pPr>
        <w:spacing w:line="240" w:lineRule="auto" w:before="2"/>
        <w:rPr>
          <w:rFonts w:ascii="宋体" w:hAnsi="宋体" w:cs="宋体" w:eastAsia="宋体" w:hint="default"/>
          <w:sz w:val="20"/>
          <w:szCs w:val="20"/>
        </w:rPr>
      </w:pPr>
    </w:p>
    <w:p>
      <w:pPr>
        <w:pStyle w:val="BodyText"/>
        <w:spacing w:line="240" w:lineRule="auto" w:before="36"/>
        <w:ind w:right="2497"/>
        <w:jc w:val="left"/>
      </w:pPr>
      <w:r>
        <w:rPr/>
        <w:t>其他说明：</w:t>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BodyText"/>
        <w:spacing w:line="240" w:lineRule="auto" w:before="36"/>
        <w:ind w:right="227"/>
        <w:jc w:val="left"/>
      </w:pPr>
      <w:r>
        <w:rPr>
          <w:spacing w:val="-2"/>
        </w:rPr>
        <w:t>资产减值损失本期发生额较上期增长</w:t>
      </w:r>
      <w:r>
        <w:rPr/>
        <w:t> </w:t>
      </w:r>
      <w:r>
        <w:rPr>
          <w:rFonts w:ascii="宋体" w:hAnsi="宋体" w:cs="宋体" w:eastAsia="宋体" w:hint="default"/>
          <w:spacing w:val="-2"/>
        </w:rPr>
        <w:t>195.37%</w:t>
      </w:r>
      <w:r>
        <w:rPr>
          <w:spacing w:val="-2"/>
        </w:rPr>
        <w:t>，主要系按账龄计提坏账准备的应收账款余额增加</w:t>
      </w:r>
      <w:r>
        <w:rPr>
          <w:spacing w:val="-73"/>
        </w:rPr>
        <w:t> </w:t>
      </w:r>
      <w:r>
        <w:rPr>
          <w:spacing w:val="-73"/>
        </w:rPr>
      </w:r>
      <w:r>
        <w:rPr/>
        <w:t>所致。</w:t>
      </w:r>
    </w:p>
    <w:p>
      <w:pPr>
        <w:spacing w:line="240" w:lineRule="auto" w:before="3"/>
        <w:rPr>
          <w:rFonts w:ascii="宋体" w:hAnsi="宋体" w:cs="宋体" w:eastAsia="宋体" w:hint="default"/>
          <w:sz w:val="25"/>
          <w:szCs w:val="25"/>
        </w:rPr>
      </w:pPr>
    </w:p>
    <w:p>
      <w:pPr>
        <w:pStyle w:val="Heading2"/>
        <w:spacing w:line="240" w:lineRule="auto"/>
        <w:ind w:right="2497"/>
        <w:jc w:val="left"/>
        <w:rPr>
          <w:b w:val="0"/>
          <w:bCs w:val="0"/>
        </w:rPr>
      </w:pPr>
      <w:r>
        <w:rPr>
          <w:rFonts w:ascii="宋体" w:hAnsi="宋体" w:cs="宋体" w:eastAsia="宋体" w:hint="default"/>
        </w:rPr>
        <w:t>67</w:t>
      </w:r>
      <w:r>
        <w:rPr/>
        <w:t>、</w:t>
      </w:r>
      <w:r>
        <w:rPr>
          <w:spacing w:val="-24"/>
        </w:rPr>
        <w:t> </w:t>
      </w:r>
      <w:r>
        <w:rPr/>
        <w:t>公允价值变动收益</w:t>
      </w:r>
      <w:r>
        <w:rPr>
          <w:b w:val="0"/>
          <w:bCs w:val="0"/>
        </w:rPr>
      </w:r>
    </w:p>
    <w:p>
      <w:pPr>
        <w:pStyle w:val="BodyText"/>
        <w:spacing w:line="240" w:lineRule="auto" w:before="56"/>
        <w:ind w:right="2497"/>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1040"/>
        </w:sectPr>
      </w:pPr>
    </w:p>
    <w:p>
      <w:pPr>
        <w:pStyle w:val="Heading2"/>
        <w:spacing w:line="240" w:lineRule="auto" w:before="36"/>
        <w:ind w:right="-18"/>
        <w:jc w:val="left"/>
        <w:rPr>
          <w:b w:val="0"/>
          <w:bCs w:val="0"/>
        </w:rPr>
      </w:pPr>
      <w:r>
        <w:rPr>
          <w:rFonts w:ascii="宋体" w:hAnsi="宋体" w:cs="宋体" w:eastAsia="宋体" w:hint="default"/>
        </w:rPr>
        <w:t>68</w:t>
      </w:r>
      <w:r>
        <w:rPr/>
        <w:t>、</w:t>
      </w:r>
      <w:r>
        <w:rPr>
          <w:spacing w:val="-25"/>
        </w:rPr>
        <w:t> </w:t>
      </w:r>
      <w:r>
        <w:rPr/>
        <w:t>投资收益</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9"/>
        <w:gridCol w:w="2573"/>
        <w:gridCol w:w="3077"/>
      </w:tblGrid>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1,061,933.53</w:t>
            </w: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40" w:lineRule="auto"/>
              <w:ind w:left="103" w:right="130"/>
              <w:jc w:val="left"/>
              <w:rPr>
                <w:rFonts w:ascii="宋体" w:hAnsi="宋体" w:cs="宋体" w:eastAsia="宋体" w:hint="default"/>
                <w:sz w:val="21"/>
                <w:szCs w:val="21"/>
              </w:rPr>
            </w:pPr>
            <w:r>
              <w:rPr>
                <w:rFonts w:ascii="宋体" w:hAnsi="宋体" w:cs="宋体" w:eastAsia="宋体" w:hint="default"/>
                <w:spacing w:val="-2"/>
                <w:sz w:val="21"/>
                <w:szCs w:val="21"/>
              </w:rPr>
              <w:t>损益的金融资产在持有期间的投资</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收益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w:t>
            </w:r>
          </w:p>
          <w:p>
            <w:pPr>
              <w:pStyle w:val="TableParagraph"/>
              <w:spacing w:line="272" w:lineRule="exact" w:before="27"/>
              <w:ind w:left="103" w:right="130"/>
              <w:jc w:val="left"/>
              <w:rPr>
                <w:rFonts w:ascii="宋体" w:hAnsi="宋体" w:cs="宋体" w:eastAsia="宋体" w:hint="default"/>
                <w:sz w:val="21"/>
                <w:szCs w:val="21"/>
              </w:rPr>
            </w:pPr>
            <w:r>
              <w:rPr>
                <w:rFonts w:ascii="宋体" w:hAnsi="宋体" w:cs="宋体" w:eastAsia="宋体" w:hint="default"/>
                <w:spacing w:val="-2"/>
                <w:sz w:val="21"/>
                <w:szCs w:val="21"/>
              </w:rPr>
              <w:t>当期损益的金融资产取得的投资收</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可供出售金融资产等取得的投资收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丧失控制权后，剩余股权按公允价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值重新计量产生的利得</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1,061,933.53</w:t>
            </w:r>
          </w:p>
        </w:tc>
        <w:tc>
          <w:tcPr>
            <w:tcW w:w="307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10" w:h="16840"/>
          <w:pgMar w:top="1120" w:bottom="1380" w:left="1580" w:right="1040"/>
        </w:sectPr>
      </w:pPr>
    </w:p>
    <w:p>
      <w:pPr>
        <w:pStyle w:val="BodyText"/>
        <w:spacing w:line="300" w:lineRule="auto" w:before="36"/>
        <w:ind w:right="511"/>
        <w:jc w:val="left"/>
      </w:pPr>
      <w:r>
        <w:rPr>
          <w:spacing w:val="-1"/>
        </w:rPr>
        <w:t>其他说明：</w:t>
      </w:r>
      <w:r>
        <w:rPr>
          <w:spacing w:val="-97"/>
        </w:rPr>
        <w:t> </w:t>
      </w:r>
      <w:r>
        <w:rPr>
          <w:spacing w:val="-97"/>
        </w:rPr>
      </w:r>
      <w:r>
        <w:rPr/>
        <w:t>不适用</w:t>
      </w:r>
    </w:p>
    <w:p>
      <w:pPr>
        <w:spacing w:line="290" w:lineRule="auto" w:before="4"/>
        <w:ind w:left="218" w:right="-1" w:firstLine="0"/>
        <w:jc w:val="left"/>
        <w:rPr>
          <w:rFonts w:ascii="宋体" w:hAnsi="宋体" w:cs="宋体" w:eastAsia="宋体" w:hint="default"/>
          <w:sz w:val="21"/>
          <w:szCs w:val="21"/>
        </w:rPr>
      </w:pPr>
      <w:r>
        <w:rPr>
          <w:rFonts w:ascii="宋体" w:hAnsi="宋体" w:cs="宋体" w:eastAsia="宋体" w:hint="default"/>
          <w:b/>
          <w:bCs/>
          <w:sz w:val="21"/>
          <w:szCs w:val="21"/>
        </w:rPr>
        <w:t>69</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营业外收入</w:t>
      </w:r>
      <w:r>
        <w:rPr>
          <w:rFonts w:ascii="宋体" w:hAnsi="宋体" w:cs="宋体" w:eastAsia="宋体" w:hint="default"/>
          <w:b/>
          <w:bCs/>
          <w:w w:val="100"/>
          <w:sz w:val="21"/>
          <w:szCs w:val="21"/>
        </w:rPr>
        <w:t> </w:t>
      </w:r>
      <w:r>
        <w:rPr>
          <w:rFonts w:ascii="宋体" w:hAnsi="宋体" w:cs="宋体" w:eastAsia="宋体" w:hint="default"/>
          <w:sz w:val="21"/>
          <w:szCs w:val="21"/>
        </w:rPr>
        <w:t>营业外收入情况</w:t>
      </w:r>
    </w:p>
    <w:p>
      <w:pPr>
        <w:pStyle w:val="BodyText"/>
        <w:spacing w:line="227" w:lineRule="exact"/>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112"/>
        <w:gridCol w:w="2304"/>
        <w:gridCol w:w="2316"/>
        <w:gridCol w:w="2317"/>
      </w:tblGrid>
      <w:tr>
        <w:trPr>
          <w:trHeight w:val="5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1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26"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4" w:lineRule="exact"/>
              <w:ind w:left="3"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5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非流动资产处置利得</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其中：固定资产处置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利得</w:t>
            </w: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无形资产处置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利得</w:t>
            </w: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债务重组利得</w:t>
            </w: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非货币性资产交换利</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得</w:t>
            </w: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接受捐赠</w:t>
            </w: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64,133,718.30</w:t>
            </w: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31" w:right="0"/>
              <w:jc w:val="left"/>
              <w:rPr>
                <w:rFonts w:ascii="宋体" w:hAnsi="宋体" w:cs="宋体" w:eastAsia="宋体" w:hint="default"/>
                <w:sz w:val="21"/>
                <w:szCs w:val="21"/>
              </w:rPr>
            </w:pPr>
            <w:r>
              <w:rPr>
                <w:rFonts w:ascii="宋体"/>
                <w:sz w:val="21"/>
              </w:rPr>
              <w:t>1,116,902.79</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57,538.71</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sz w:val="21"/>
              </w:rPr>
              <w:t>1,116,902.79</w:t>
            </w:r>
          </w:p>
        </w:tc>
      </w:tr>
    </w:tbl>
    <w:p>
      <w:pPr>
        <w:spacing w:after="0" w:line="241"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112"/>
        <w:gridCol w:w="2304"/>
        <w:gridCol w:w="2316"/>
        <w:gridCol w:w="2317"/>
      </w:tblGrid>
      <w:tr>
        <w:trPr>
          <w:trHeight w:val="28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931" w:right="0"/>
              <w:jc w:val="left"/>
              <w:rPr>
                <w:rFonts w:ascii="宋体" w:hAnsi="宋体" w:cs="宋体" w:eastAsia="宋体" w:hint="default"/>
                <w:sz w:val="21"/>
                <w:szCs w:val="21"/>
              </w:rPr>
            </w:pPr>
            <w:r>
              <w:rPr>
                <w:rFonts w:ascii="宋体"/>
                <w:sz w:val="21"/>
              </w:rPr>
              <w:t>1,116,902.79</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838" w:right="0"/>
              <w:jc w:val="left"/>
              <w:rPr>
                <w:rFonts w:ascii="宋体" w:hAnsi="宋体" w:cs="宋体" w:eastAsia="宋体" w:hint="default"/>
                <w:sz w:val="21"/>
                <w:szCs w:val="21"/>
              </w:rPr>
            </w:pPr>
            <w:r>
              <w:rPr>
                <w:rFonts w:ascii="宋体"/>
                <w:sz w:val="21"/>
              </w:rPr>
              <w:t>64,191,257.01</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943" w:right="0"/>
              <w:jc w:val="left"/>
              <w:rPr>
                <w:rFonts w:ascii="宋体" w:hAnsi="宋体" w:cs="宋体" w:eastAsia="宋体" w:hint="default"/>
                <w:sz w:val="21"/>
                <w:szCs w:val="21"/>
              </w:rPr>
            </w:pPr>
            <w:r>
              <w:rPr>
                <w:rFonts w:ascii="宋体"/>
                <w:sz w:val="21"/>
              </w:rPr>
              <w:t>1,116,902.79</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882" w:footer="1195" w:top="1120" w:bottom="1380" w:left="1580" w:right="1040"/>
        </w:sectPr>
      </w:pPr>
    </w:p>
    <w:p>
      <w:pPr>
        <w:pStyle w:val="BodyText"/>
        <w:spacing w:line="274" w:lineRule="exact" w:before="36"/>
        <w:ind w:right="0"/>
        <w:jc w:val="left"/>
      </w:pPr>
      <w:r>
        <w:rPr>
          <w:spacing w:val="-2"/>
        </w:rPr>
        <w:t>计入当期损益的政府补助</w:t>
      </w:r>
    </w:p>
    <w:p>
      <w:pPr>
        <w:pStyle w:val="BodyText"/>
        <w:spacing w:line="274" w:lineRule="exact"/>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532" w:space="3992"/>
            <w:col w:w="2766"/>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060"/>
        <w:gridCol w:w="2278"/>
        <w:gridCol w:w="2278"/>
        <w:gridCol w:w="2281"/>
      </w:tblGrid>
      <w:tr>
        <w:trPr>
          <w:trHeight w:val="564"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 w:right="0"/>
              <w:jc w:val="center"/>
              <w:rPr>
                <w:rFonts w:ascii="宋体" w:hAnsi="宋体" w:cs="宋体" w:eastAsia="宋体" w:hint="default"/>
                <w:sz w:val="21"/>
                <w:szCs w:val="21"/>
              </w:rPr>
            </w:pPr>
            <w:r>
              <w:rPr>
                <w:rFonts w:ascii="宋体" w:hAnsi="宋体" w:cs="宋体" w:eastAsia="宋体" w:hint="default"/>
                <w:sz w:val="21"/>
                <w:szCs w:val="21"/>
              </w:rPr>
              <w:t>补助项目</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503" w:right="0"/>
              <w:jc w:val="left"/>
              <w:rPr>
                <w:rFonts w:ascii="宋体" w:hAnsi="宋体" w:cs="宋体" w:eastAsia="宋体" w:hint="default"/>
                <w:sz w:val="21"/>
                <w:szCs w:val="21"/>
              </w:rPr>
            </w:pPr>
            <w:r>
              <w:rPr>
                <w:rFonts w:ascii="宋体" w:hAnsi="宋体" w:cs="宋体" w:eastAsia="宋体" w:hint="default"/>
                <w:sz w:val="21"/>
                <w:szCs w:val="21"/>
              </w:rPr>
              <w:t>本期发生金额</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502" w:right="0"/>
              <w:jc w:val="left"/>
              <w:rPr>
                <w:rFonts w:ascii="宋体" w:hAnsi="宋体" w:cs="宋体" w:eastAsia="宋体" w:hint="default"/>
                <w:sz w:val="21"/>
                <w:szCs w:val="21"/>
              </w:rPr>
            </w:pPr>
            <w:r>
              <w:rPr>
                <w:rFonts w:ascii="宋体" w:hAnsi="宋体" w:cs="宋体" w:eastAsia="宋体" w:hint="default"/>
                <w:sz w:val="21"/>
                <w:szCs w:val="21"/>
              </w:rPr>
              <w:t>上期发生金额</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31" w:right="0"/>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w:t>
            </w:r>
            <w:r>
              <w:rPr>
                <w:rFonts w:ascii="宋体" w:hAnsi="宋体" w:cs="宋体" w:eastAsia="宋体" w:hint="default"/>
                <w:sz w:val="21"/>
                <w:szCs w:val="21"/>
              </w:rPr>
              <w:t>与收益相关</w:t>
            </w:r>
          </w:p>
        </w:tc>
      </w:tr>
      <w:tr>
        <w:trPr>
          <w:trHeight w:val="557"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提升高栏港区集装箱</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吞吐量补贴</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16,915,250.00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2,372,800.00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826"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经福建省省港口中转</w:t>
            </w:r>
          </w:p>
          <w:p>
            <w:pPr>
              <w:pStyle w:val="TableParagraph"/>
              <w:spacing w:line="240" w:lineRule="auto"/>
              <w:ind w:left="26" w:right="127"/>
              <w:jc w:val="left"/>
              <w:rPr>
                <w:rFonts w:ascii="宋体" w:hAnsi="宋体" w:cs="宋体" w:eastAsia="宋体" w:hint="default"/>
                <w:sz w:val="21"/>
                <w:szCs w:val="21"/>
              </w:rPr>
            </w:pPr>
            <w:r>
              <w:rPr>
                <w:rFonts w:ascii="宋体" w:hAnsi="宋体" w:cs="宋体" w:eastAsia="宋体" w:hint="default"/>
                <w:sz w:val="21"/>
                <w:szCs w:val="21"/>
              </w:rPr>
              <w:t>的内贸集装箱吞吐量</w:t>
            </w:r>
            <w:r>
              <w:rPr>
                <w:rFonts w:ascii="宋体" w:hAnsi="宋体" w:cs="宋体" w:eastAsia="宋体" w:hint="default"/>
                <w:w w:val="100"/>
                <w:sz w:val="21"/>
                <w:szCs w:val="21"/>
              </w:rPr>
              <w:t> </w:t>
            </w:r>
            <w:r>
              <w:rPr>
                <w:rFonts w:ascii="宋体" w:hAnsi="宋体" w:cs="宋体" w:eastAsia="宋体" w:hint="default"/>
                <w:sz w:val="21"/>
                <w:szCs w:val="21"/>
              </w:rPr>
              <w:t>奖励</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15,789,350.00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12,629,237.50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828"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关于印发福建省省级</w:t>
            </w:r>
          </w:p>
          <w:p>
            <w:pPr>
              <w:pStyle w:val="TableParagraph"/>
              <w:spacing w:line="272" w:lineRule="exact" w:before="27"/>
              <w:ind w:left="26" w:right="127"/>
              <w:jc w:val="left"/>
              <w:rPr>
                <w:rFonts w:ascii="宋体" w:hAnsi="宋体" w:cs="宋体" w:eastAsia="宋体" w:hint="default"/>
                <w:sz w:val="21"/>
                <w:szCs w:val="21"/>
              </w:rPr>
            </w:pPr>
            <w:r>
              <w:rPr>
                <w:rFonts w:ascii="宋体" w:hAnsi="宋体" w:cs="宋体" w:eastAsia="宋体" w:hint="default"/>
                <w:sz w:val="21"/>
                <w:szCs w:val="21"/>
              </w:rPr>
              <w:t>港航发展专项资金管</w:t>
            </w:r>
            <w:r>
              <w:rPr>
                <w:rFonts w:ascii="宋体" w:hAnsi="宋体" w:cs="宋体" w:eastAsia="宋体" w:hint="default"/>
                <w:w w:val="100"/>
                <w:sz w:val="21"/>
                <w:szCs w:val="21"/>
              </w:rPr>
              <w:t> </w:t>
            </w:r>
            <w:r>
              <w:rPr>
                <w:rFonts w:ascii="宋体" w:hAnsi="宋体" w:cs="宋体" w:eastAsia="宋体" w:hint="default"/>
                <w:sz w:val="21"/>
                <w:szCs w:val="21"/>
              </w:rPr>
              <w:t>理办法的通知</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15,641,400.00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1099"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both"/>
              <w:rPr>
                <w:rFonts w:ascii="宋体" w:hAnsi="宋体" w:cs="宋体" w:eastAsia="宋体" w:hint="default"/>
                <w:sz w:val="21"/>
                <w:szCs w:val="21"/>
              </w:rPr>
            </w:pPr>
            <w:r>
              <w:rPr>
                <w:rFonts w:ascii="宋体" w:hAnsi="宋体" w:cs="宋体" w:eastAsia="宋体" w:hint="default"/>
                <w:sz w:val="21"/>
                <w:szCs w:val="21"/>
              </w:rPr>
              <w:t>老旧运输船舶和单壳</w:t>
            </w:r>
          </w:p>
          <w:p>
            <w:pPr>
              <w:pStyle w:val="TableParagraph"/>
              <w:spacing w:line="237" w:lineRule="auto"/>
              <w:ind w:left="26" w:right="127"/>
              <w:jc w:val="both"/>
              <w:rPr>
                <w:rFonts w:ascii="宋体" w:hAnsi="宋体" w:cs="宋体" w:eastAsia="宋体" w:hint="default"/>
                <w:sz w:val="21"/>
                <w:szCs w:val="21"/>
              </w:rPr>
            </w:pPr>
            <w:r>
              <w:rPr>
                <w:rFonts w:ascii="宋体" w:hAnsi="宋体" w:cs="宋体" w:eastAsia="宋体" w:hint="default"/>
                <w:sz w:val="21"/>
                <w:szCs w:val="21"/>
              </w:rPr>
              <w:t>油轮报废更新中央财</w:t>
            </w:r>
            <w:r>
              <w:rPr>
                <w:rFonts w:ascii="宋体" w:hAnsi="宋体" w:cs="宋体" w:eastAsia="宋体" w:hint="default"/>
                <w:w w:val="100"/>
                <w:sz w:val="21"/>
                <w:szCs w:val="21"/>
              </w:rPr>
              <w:t> </w:t>
            </w:r>
            <w:r>
              <w:rPr>
                <w:rFonts w:ascii="宋体" w:hAnsi="宋体" w:cs="宋体" w:eastAsia="宋体" w:hint="default"/>
                <w:sz w:val="21"/>
                <w:szCs w:val="21"/>
              </w:rPr>
              <w:t>政补助专项资金管理</w:t>
            </w:r>
            <w:r>
              <w:rPr>
                <w:rFonts w:ascii="宋体" w:hAnsi="宋体" w:cs="宋体" w:eastAsia="宋体" w:hint="default"/>
                <w:w w:val="100"/>
                <w:sz w:val="21"/>
                <w:szCs w:val="21"/>
              </w:rPr>
              <w:t> </w:t>
            </w:r>
            <w:r>
              <w:rPr>
                <w:rFonts w:ascii="宋体" w:hAnsi="宋体" w:cs="宋体" w:eastAsia="宋体" w:hint="default"/>
                <w:sz w:val="21"/>
                <w:szCs w:val="21"/>
              </w:rPr>
              <w:t>办法</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15,440,400.00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826"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关于进一步促进集装</w:t>
            </w:r>
          </w:p>
          <w:p>
            <w:pPr>
              <w:pStyle w:val="TableParagraph"/>
              <w:spacing w:line="240" w:lineRule="auto"/>
              <w:ind w:left="26" w:right="127"/>
              <w:jc w:val="left"/>
              <w:rPr>
                <w:rFonts w:ascii="宋体" w:hAnsi="宋体" w:cs="宋体" w:eastAsia="宋体" w:hint="default"/>
                <w:sz w:val="21"/>
                <w:szCs w:val="21"/>
              </w:rPr>
            </w:pPr>
            <w:r>
              <w:rPr>
                <w:rFonts w:ascii="宋体" w:hAnsi="宋体" w:cs="宋体" w:eastAsia="宋体" w:hint="default"/>
                <w:sz w:val="21"/>
                <w:szCs w:val="21"/>
              </w:rPr>
              <w:t>箱从泉州港进出的若</w:t>
            </w:r>
            <w:r>
              <w:rPr>
                <w:rFonts w:ascii="宋体" w:hAnsi="宋体" w:cs="宋体" w:eastAsia="宋体" w:hint="default"/>
                <w:w w:val="100"/>
                <w:sz w:val="21"/>
                <w:szCs w:val="21"/>
              </w:rPr>
              <w:t> </w:t>
            </w:r>
            <w:r>
              <w:rPr>
                <w:rFonts w:ascii="宋体" w:hAnsi="宋体" w:cs="宋体" w:eastAsia="宋体" w:hint="default"/>
                <w:sz w:val="21"/>
                <w:szCs w:val="21"/>
              </w:rPr>
              <w:t>干意见</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11,073,000.00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7"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泉州港集装箱进出奖</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励</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3,648,000.00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战略性新兴产业发展</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专项资金</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3,117,500.00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沧州渤海黄骅港集装</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箱产业发展奖励</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2,285,175.00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4,365,840.00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温州市级现代港口物</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流发展奖励</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1,309,040.00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138,721.80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河北省沿海港口集装</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箱运输发展补贴资金</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1,266,000.00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4,812,400.00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连云港港口控股集团</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集装箱航线补贴款</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768,000.00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829"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泉州市经信委关于组</w:t>
            </w:r>
          </w:p>
          <w:p>
            <w:pPr>
              <w:pStyle w:val="TableParagraph"/>
              <w:spacing w:line="272" w:lineRule="exact" w:before="27"/>
              <w:ind w:left="26" w:right="128"/>
              <w:jc w:val="left"/>
              <w:rPr>
                <w:rFonts w:ascii="宋体" w:hAnsi="宋体" w:cs="宋体" w:eastAsia="宋体" w:hint="default"/>
                <w:sz w:val="21"/>
                <w:szCs w:val="21"/>
              </w:rPr>
            </w:pPr>
            <w:r>
              <w:rPr>
                <w:rFonts w:ascii="宋体" w:hAnsi="宋体" w:cs="宋体" w:eastAsia="宋体" w:hint="default"/>
                <w:sz w:val="21"/>
                <w:szCs w:val="21"/>
              </w:rPr>
              <w:t>织申报</w:t>
            </w:r>
            <w:r>
              <w:rPr>
                <w:rFonts w:ascii="宋体" w:hAnsi="宋体" w:cs="宋体" w:eastAsia="宋体" w:hint="default"/>
                <w:spacing w:val="-53"/>
                <w:sz w:val="21"/>
                <w:szCs w:val="21"/>
              </w:rPr>
              <w:t> </w:t>
            </w:r>
            <w:r>
              <w:rPr>
                <w:rFonts w:ascii="宋体" w:hAnsi="宋体" w:cs="宋体" w:eastAsia="宋体" w:hint="default"/>
                <w:sz w:val="21"/>
                <w:szCs w:val="21"/>
              </w:rPr>
              <w:t>A</w:t>
            </w:r>
            <w:r>
              <w:rPr>
                <w:rFonts w:ascii="宋体" w:hAnsi="宋体" w:cs="宋体" w:eastAsia="宋体" w:hint="default"/>
                <w:spacing w:val="-53"/>
                <w:sz w:val="21"/>
                <w:szCs w:val="21"/>
              </w:rPr>
              <w:t> </w:t>
            </w:r>
            <w:r>
              <w:rPr>
                <w:rFonts w:ascii="宋体" w:hAnsi="宋体" w:cs="宋体" w:eastAsia="宋体" w:hint="default"/>
                <w:sz w:val="21"/>
                <w:szCs w:val="21"/>
              </w:rPr>
              <w:t>级物流企业</w:t>
            </w:r>
            <w:r>
              <w:rPr>
                <w:rFonts w:ascii="宋体" w:hAnsi="宋体" w:cs="宋体" w:eastAsia="宋体" w:hint="default"/>
                <w:w w:val="100"/>
                <w:sz w:val="21"/>
                <w:szCs w:val="21"/>
              </w:rPr>
              <w:t> </w:t>
            </w:r>
            <w:r>
              <w:rPr>
                <w:rFonts w:ascii="宋体" w:hAnsi="宋体" w:cs="宋体" w:eastAsia="宋体" w:hint="default"/>
                <w:sz w:val="21"/>
                <w:szCs w:val="21"/>
              </w:rPr>
              <w:t>奖励资金</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500,000.00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丰泽区服务业发展奖</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励</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400,000.00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210,000.00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南京市港口物流发展</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专项资金</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142,240.00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86,300.00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年江阴港口发展</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奖励基金</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139,580.00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47,384.00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828"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关于加快产业转型升</w:t>
            </w:r>
          </w:p>
          <w:p>
            <w:pPr>
              <w:pStyle w:val="TableParagraph"/>
              <w:spacing w:line="272" w:lineRule="exact" w:before="27"/>
              <w:ind w:left="26" w:right="128"/>
              <w:jc w:val="left"/>
              <w:rPr>
                <w:rFonts w:ascii="宋体" w:hAnsi="宋体" w:cs="宋体" w:eastAsia="宋体" w:hint="default"/>
                <w:sz w:val="21"/>
                <w:szCs w:val="21"/>
              </w:rPr>
            </w:pPr>
            <w:r>
              <w:rPr>
                <w:rFonts w:ascii="宋体" w:hAnsi="宋体" w:cs="宋体" w:eastAsia="宋体" w:hint="default"/>
                <w:sz w:val="21"/>
                <w:szCs w:val="21"/>
              </w:rPr>
              <w:t>级推进民营企业“二</w:t>
            </w:r>
            <w:r>
              <w:rPr>
                <w:rFonts w:ascii="宋体" w:hAnsi="宋体" w:cs="宋体" w:eastAsia="宋体" w:hint="default"/>
                <w:w w:val="100"/>
                <w:sz w:val="21"/>
                <w:szCs w:val="21"/>
              </w:rPr>
              <w:t> </w:t>
            </w:r>
            <w:r>
              <w:rPr>
                <w:rFonts w:ascii="宋体" w:hAnsi="宋体" w:cs="宋体" w:eastAsia="宋体" w:hint="default"/>
                <w:sz w:val="21"/>
                <w:szCs w:val="21"/>
              </w:rPr>
              <w:t>次创业”的实施意见</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30,000.00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60,000.00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5"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潍坊港集装箱运输业</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发展奖励</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8,600.00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133,500.00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center"/>
              <w:rPr>
                <w:rFonts w:ascii="宋体" w:hAnsi="宋体" w:cs="宋体" w:eastAsia="宋体" w:hint="default"/>
                <w:sz w:val="21"/>
                <w:szCs w:val="21"/>
              </w:rPr>
            </w:pPr>
            <w:r>
              <w:rPr>
                <w:rFonts w:ascii="宋体" w:hAnsi="宋体" w:cs="宋体" w:eastAsia="宋体" w:hint="default"/>
                <w:sz w:val="21"/>
                <w:szCs w:val="21"/>
              </w:rPr>
              <w:t>促进航运业发展省级</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19,118,205.00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27,608,270.00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bl>
    <w:p>
      <w:pPr>
        <w:spacing w:after="0" w:line="241"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2060"/>
        <w:gridCol w:w="2278"/>
        <w:gridCol w:w="2278"/>
        <w:gridCol w:w="2281"/>
      </w:tblGrid>
      <w:tr>
        <w:trPr>
          <w:trHeight w:val="284"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专项补助资金</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促进航运业发展省级</w:t>
            </w:r>
          </w:p>
          <w:p>
            <w:pPr>
              <w:pStyle w:val="TableParagraph"/>
              <w:spacing w:line="272" w:lineRule="exact" w:before="27"/>
              <w:ind w:left="26" w:right="24"/>
              <w:jc w:val="left"/>
              <w:rPr>
                <w:rFonts w:ascii="宋体" w:hAnsi="宋体" w:cs="宋体" w:eastAsia="宋体" w:hint="default"/>
                <w:sz w:val="21"/>
                <w:szCs w:val="21"/>
              </w:rPr>
            </w:pPr>
            <w:r>
              <w:rPr>
                <w:rFonts w:ascii="宋体" w:hAnsi="宋体" w:cs="宋体" w:eastAsia="宋体" w:hint="default"/>
                <w:spacing w:val="-2"/>
                <w:sz w:val="21"/>
                <w:szCs w:val="21"/>
              </w:rPr>
              <w:t>专项补助资金</w:t>
            </w:r>
            <w:r>
              <w:rPr>
                <w:rFonts w:ascii="宋体" w:hAnsi="宋体" w:cs="宋体" w:eastAsia="宋体" w:hint="default"/>
                <w:spacing w:val="-2"/>
                <w:sz w:val="21"/>
                <w:szCs w:val="21"/>
              </w:rPr>
              <w:t>-</w:t>
            </w:r>
            <w:r>
              <w:rPr>
                <w:rFonts w:ascii="宋体" w:hAnsi="宋体" w:cs="宋体" w:eastAsia="宋体" w:hint="default"/>
                <w:spacing w:val="-2"/>
                <w:sz w:val="21"/>
                <w:szCs w:val="21"/>
              </w:rPr>
              <w:t>运力补</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贴</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7,136,543.00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大连港口与口岸局集</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装箱补贴款</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4,821,000.00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1"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14</w:t>
            </w:r>
            <w:r>
              <w:rPr>
                <w:rFonts w:ascii="宋体" w:hAnsi="宋体" w:cs="宋体" w:eastAsia="宋体" w:hint="default"/>
                <w:spacing w:val="-53"/>
                <w:sz w:val="21"/>
                <w:szCs w:val="21"/>
              </w:rPr>
              <w:t> </w:t>
            </w:r>
            <w:r>
              <w:rPr>
                <w:rFonts w:ascii="宋体" w:hAnsi="宋体" w:cs="宋体" w:eastAsia="宋体" w:hint="default"/>
                <w:sz w:val="21"/>
                <w:szCs w:val="21"/>
              </w:rPr>
              <w:t>年湛江政府返还</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2,294,650.00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7"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广州港务局支付集装</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箱奖励金</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1,500,000.00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826"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泉州市丰泽区东湖街</w:t>
            </w:r>
          </w:p>
          <w:p>
            <w:pPr>
              <w:pStyle w:val="TableParagraph"/>
              <w:spacing w:line="240" w:lineRule="auto"/>
              <w:ind w:left="26" w:right="127"/>
              <w:jc w:val="left"/>
              <w:rPr>
                <w:rFonts w:ascii="宋体" w:hAnsi="宋体" w:cs="宋体" w:eastAsia="宋体" w:hint="default"/>
                <w:sz w:val="21"/>
                <w:szCs w:val="21"/>
              </w:rPr>
            </w:pPr>
            <w:r>
              <w:rPr>
                <w:rFonts w:ascii="宋体" w:hAnsi="宋体" w:cs="宋体" w:eastAsia="宋体" w:hint="default"/>
                <w:sz w:val="21"/>
                <w:szCs w:val="21"/>
              </w:rPr>
              <w:t>道财经管理服务中心</w:t>
            </w:r>
            <w:r>
              <w:rPr>
                <w:rFonts w:ascii="宋体" w:hAnsi="宋体" w:cs="宋体" w:eastAsia="宋体" w:hint="default"/>
                <w:w w:val="100"/>
                <w:sz w:val="21"/>
                <w:szCs w:val="21"/>
              </w:rPr>
              <w:t> </w:t>
            </w:r>
            <w:r>
              <w:rPr>
                <w:rFonts w:ascii="宋体" w:hAnsi="宋体" w:cs="宋体" w:eastAsia="宋体" w:hint="default"/>
                <w:sz w:val="21"/>
                <w:szCs w:val="21"/>
              </w:rPr>
              <w:t>补贴款</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1,479,700.00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4"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促进航运业发展奖励</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674,100.00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826"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深圳市港航和货运交</w:t>
            </w:r>
          </w:p>
          <w:p>
            <w:pPr>
              <w:pStyle w:val="TableParagraph"/>
              <w:spacing w:line="240" w:lineRule="auto"/>
              <w:ind w:left="26" w:right="127"/>
              <w:jc w:val="left"/>
              <w:rPr>
                <w:rFonts w:ascii="宋体" w:hAnsi="宋体" w:cs="宋体" w:eastAsia="宋体" w:hint="default"/>
                <w:sz w:val="21"/>
                <w:szCs w:val="21"/>
              </w:rPr>
            </w:pPr>
            <w:r>
              <w:rPr>
                <w:rFonts w:ascii="宋体" w:hAnsi="宋体" w:cs="宋体" w:eastAsia="宋体" w:hint="default"/>
                <w:sz w:val="21"/>
                <w:szCs w:val="21"/>
              </w:rPr>
              <w:t>通管理局港航子项财</w:t>
            </w:r>
            <w:r>
              <w:rPr>
                <w:rFonts w:ascii="宋体" w:hAnsi="宋体" w:cs="宋体" w:eastAsia="宋体" w:hint="default"/>
                <w:w w:val="100"/>
                <w:sz w:val="21"/>
                <w:szCs w:val="21"/>
              </w:rPr>
              <w:t> </w:t>
            </w:r>
            <w:r>
              <w:rPr>
                <w:rFonts w:ascii="宋体" w:hAnsi="宋体" w:cs="宋体" w:eastAsia="宋体" w:hint="default"/>
                <w:sz w:val="21"/>
                <w:szCs w:val="21"/>
              </w:rPr>
              <w:t>政资助资金</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250,000.00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钦州财政局补贴款</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233,415.00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828"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年东莞虎门港集</w:t>
            </w:r>
          </w:p>
          <w:p>
            <w:pPr>
              <w:pStyle w:val="TableParagraph"/>
              <w:spacing w:line="272" w:lineRule="exact" w:before="27"/>
              <w:ind w:left="26" w:right="127"/>
              <w:jc w:val="left"/>
              <w:rPr>
                <w:rFonts w:ascii="宋体" w:hAnsi="宋体" w:cs="宋体" w:eastAsia="宋体" w:hint="default"/>
                <w:sz w:val="21"/>
                <w:szCs w:val="21"/>
              </w:rPr>
            </w:pPr>
            <w:r>
              <w:rPr>
                <w:rFonts w:ascii="宋体" w:hAnsi="宋体" w:cs="宋体" w:eastAsia="宋体" w:hint="default"/>
                <w:sz w:val="21"/>
                <w:szCs w:val="21"/>
              </w:rPr>
              <w:t>装箱码头发展扶持资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217,400.00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港口集装箱运输发展</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补贴</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79,500.00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1100"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both"/>
              <w:rPr>
                <w:rFonts w:ascii="宋体" w:hAnsi="宋体" w:cs="宋体" w:eastAsia="宋体" w:hint="default"/>
                <w:sz w:val="21"/>
                <w:szCs w:val="21"/>
              </w:rPr>
            </w:pPr>
            <w:r>
              <w:rPr>
                <w:rFonts w:ascii="宋体" w:hAnsi="宋体" w:cs="宋体" w:eastAsia="宋体" w:hint="default"/>
                <w:sz w:val="21"/>
                <w:szCs w:val="21"/>
              </w:rPr>
              <w:t>省级产业优势产业发</w:t>
            </w:r>
          </w:p>
          <w:p>
            <w:pPr>
              <w:pStyle w:val="TableParagraph"/>
              <w:spacing w:line="237" w:lineRule="auto"/>
              <w:ind w:left="26" w:right="20"/>
              <w:jc w:val="both"/>
              <w:rPr>
                <w:rFonts w:ascii="宋体" w:hAnsi="宋体" w:cs="宋体" w:eastAsia="宋体" w:hint="default"/>
                <w:sz w:val="21"/>
                <w:szCs w:val="21"/>
              </w:rPr>
            </w:pPr>
            <w:r>
              <w:rPr>
                <w:rFonts w:ascii="宋体" w:hAnsi="宋体" w:cs="宋体" w:eastAsia="宋体" w:hint="default"/>
                <w:sz w:val="21"/>
                <w:szCs w:val="21"/>
              </w:rPr>
              <w:t>展专项资金</w:t>
            </w:r>
            <w:r>
              <w:rPr>
                <w:rFonts w:ascii="宋体" w:hAnsi="宋体" w:cs="宋体" w:eastAsia="宋体" w:hint="default"/>
                <w:spacing w:val="-53"/>
                <w:sz w:val="21"/>
                <w:szCs w:val="21"/>
              </w:rPr>
              <w:t> </w:t>
            </w: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pacing w:val="-3"/>
                <w:sz w:val="21"/>
                <w:szCs w:val="21"/>
              </w:rPr>
              <w:t>年沿</w:t>
            </w:r>
            <w:r>
              <w:rPr>
                <w:rFonts w:ascii="宋体" w:hAnsi="宋体" w:cs="宋体" w:eastAsia="宋体" w:hint="default"/>
                <w:spacing w:val="-3"/>
                <w:w w:val="100"/>
                <w:sz w:val="21"/>
                <w:szCs w:val="21"/>
              </w:rPr>
              <w:t> </w:t>
            </w:r>
            <w:r>
              <w:rPr>
                <w:rFonts w:ascii="宋体" w:hAnsi="宋体" w:cs="宋体" w:eastAsia="宋体" w:hint="default"/>
                <w:w w:val="100"/>
                <w:sz w:val="21"/>
                <w:szCs w:val="21"/>
              </w:rPr>
              <w:t>海集</w:t>
            </w:r>
            <w:r>
              <w:rPr>
                <w:rFonts w:ascii="宋体" w:hAnsi="宋体" w:cs="宋体" w:eastAsia="宋体" w:hint="default"/>
                <w:spacing w:val="-52"/>
                <w:w w:val="100"/>
                <w:sz w:val="21"/>
                <w:szCs w:val="21"/>
              </w:rPr>
              <w:t> </w:t>
            </w:r>
            <w:r>
              <w:rPr>
                <w:rFonts w:ascii="宋体" w:hAnsi="宋体" w:cs="宋体" w:eastAsia="宋体" w:hint="default"/>
                <w:spacing w:val="-1"/>
                <w:w w:val="100"/>
                <w:sz w:val="21"/>
                <w:szCs w:val="21"/>
              </w:rPr>
              <w:t>79500</w:t>
            </w:r>
            <w:r>
              <w:rPr>
                <w:rFonts w:ascii="宋体" w:hAnsi="宋体" w:cs="宋体" w:eastAsia="宋体" w:hint="default"/>
                <w:spacing w:val="-54"/>
                <w:w w:val="100"/>
                <w:sz w:val="21"/>
                <w:szCs w:val="21"/>
              </w:rPr>
              <w:t> </w:t>
            </w:r>
            <w:r>
              <w:rPr>
                <w:rFonts w:ascii="宋体" w:hAnsi="宋体" w:cs="宋体" w:eastAsia="宋体" w:hint="default"/>
                <w:spacing w:val="-22"/>
                <w:w w:val="100"/>
                <w:sz w:val="21"/>
                <w:szCs w:val="21"/>
              </w:rPr>
              <w:t>元（秦皇岛</w:t>
            </w:r>
            <w:r>
              <w:rPr>
                <w:rFonts w:ascii="宋体" w:hAnsi="宋体" w:cs="宋体" w:eastAsia="宋体" w:hint="default"/>
                <w:w w:val="100"/>
                <w:sz w:val="21"/>
                <w:szCs w:val="21"/>
              </w:rPr>
              <w:t> </w:t>
            </w:r>
            <w:r>
              <w:rPr>
                <w:rFonts w:ascii="宋体" w:hAnsi="宋体" w:cs="宋体" w:eastAsia="宋体" w:hint="default"/>
                <w:sz w:val="21"/>
                <w:szCs w:val="21"/>
              </w:rPr>
              <w:t>财政局）</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79,500.00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1"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交通部补贴款</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30,000.00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7"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泉州财政局商业创新</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模式奖励款</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10,000.00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1"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114,728,283.00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64,133,718.30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r>
    </w:tbl>
    <w:p>
      <w:pPr>
        <w:spacing w:line="240" w:lineRule="auto" w:before="13"/>
        <w:rPr>
          <w:rFonts w:ascii="宋体" w:hAnsi="宋体" w:cs="宋体" w:eastAsia="宋体" w:hint="default"/>
          <w:sz w:val="25"/>
          <w:szCs w:val="25"/>
        </w:rPr>
      </w:pPr>
    </w:p>
    <w:p>
      <w:pPr>
        <w:pStyle w:val="BodyText"/>
        <w:spacing w:line="240" w:lineRule="auto" w:before="36"/>
        <w:ind w:right="2497"/>
        <w:jc w:val="left"/>
      </w:pPr>
      <w:r>
        <w:rPr/>
        <w:t>其他说明：</w:t>
      </w:r>
    </w:p>
    <w:p>
      <w:pPr>
        <w:pStyle w:val="BodyText"/>
        <w:spacing w:line="240" w:lineRule="auto" w:before="145"/>
        <w:ind w:right="2497"/>
        <w:jc w:val="left"/>
      </w:pPr>
      <w:r>
        <w:rPr/>
        <w:t>□适用</w:t>
      </w:r>
      <w:r>
        <w:rPr>
          <w:spacing w:val="-1"/>
        </w:rPr>
        <w:t> </w:t>
      </w:r>
      <w:r>
        <w:rPr/>
        <w:t>√不适用</w:t>
      </w:r>
    </w:p>
    <w:p>
      <w:pPr>
        <w:spacing w:line="240" w:lineRule="auto" w:before="11"/>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footerReference w:type="default" r:id="rId49"/>
          <w:pgSz w:w="11910" w:h="16840"/>
          <w:pgMar w:footer="1195" w:header="882" w:top="1120" w:bottom="1380" w:left="1580" w:right="1040"/>
        </w:sectPr>
      </w:pPr>
    </w:p>
    <w:p>
      <w:pPr>
        <w:pStyle w:val="Heading2"/>
        <w:spacing w:line="240" w:lineRule="auto" w:before="36"/>
        <w:ind w:right="-1"/>
        <w:jc w:val="left"/>
        <w:rPr>
          <w:b w:val="0"/>
          <w:bCs w:val="0"/>
        </w:rPr>
      </w:pPr>
      <w:r>
        <w:rPr>
          <w:rFonts w:ascii="宋体" w:hAnsi="宋体" w:cs="宋体" w:eastAsia="宋体" w:hint="default"/>
        </w:rPr>
        <w:t>70</w:t>
      </w:r>
      <w:r>
        <w:rPr/>
        <w:t>、</w:t>
      </w:r>
      <w:r>
        <w:rPr>
          <w:spacing w:val="-25"/>
        </w:rPr>
        <w:t> </w:t>
      </w:r>
      <w:r>
        <w:rPr/>
        <w:t>营业外支出</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28"/>
        <w:gridCol w:w="2377"/>
        <w:gridCol w:w="2328"/>
        <w:gridCol w:w="2317"/>
      </w:tblGrid>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5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31"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3" w:lineRule="exact"/>
              <w:ind w:left="3"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失合计</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其中：固定资产处置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损失</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无形资产处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置损失</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债务重组损失</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损失</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028"/>
        <w:gridCol w:w="2377"/>
        <w:gridCol w:w="2328"/>
        <w:gridCol w:w="2317"/>
      </w:tblGrid>
      <w:tr>
        <w:trPr>
          <w:trHeight w:val="28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pacing w:val="-1"/>
                <w:sz w:val="21"/>
              </w:rPr>
              <w:t>420,000.00</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pacing w:val="-1"/>
                <w:sz w:val="21"/>
              </w:rPr>
              <w:t>498,000.00</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420,000.00</w:t>
            </w:r>
          </w:p>
        </w:tc>
      </w:tr>
      <w:tr>
        <w:trPr>
          <w:trHeight w:val="283"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赔偿及罚款</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517,338.80</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3,144,414.41</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517,338.80</w:t>
            </w:r>
          </w:p>
        </w:tc>
      </w:tr>
      <w:tr>
        <w:trPr>
          <w:trHeight w:val="281"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2,039.12</w:t>
            </w: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2,039.12</w:t>
            </w:r>
          </w:p>
        </w:tc>
      </w:tr>
      <w:tr>
        <w:trPr>
          <w:trHeight w:val="283"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center"/>
              <w:rPr>
                <w:rFonts w:ascii="宋体" w:hAnsi="宋体" w:cs="宋体" w:eastAsia="宋体" w:hint="default"/>
                <w:sz w:val="21"/>
                <w:szCs w:val="21"/>
              </w:rPr>
            </w:pPr>
            <w:r>
              <w:rPr>
                <w:rFonts w:ascii="宋体" w:hAnsi="宋体" w:cs="宋体" w:eastAsia="宋体" w:hint="default"/>
                <w:sz w:val="21"/>
                <w:szCs w:val="21"/>
              </w:rPr>
              <w:t>合计</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939,377.92</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3,642,414.41</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939,377.92</w:t>
            </w:r>
          </w:p>
        </w:tc>
      </w:tr>
    </w:tbl>
    <w:p>
      <w:pPr>
        <w:spacing w:line="240" w:lineRule="auto" w:before="2"/>
        <w:rPr>
          <w:rFonts w:ascii="宋体" w:hAnsi="宋体" w:cs="宋体" w:eastAsia="宋体" w:hint="default"/>
          <w:sz w:val="20"/>
          <w:szCs w:val="20"/>
        </w:rPr>
      </w:pPr>
    </w:p>
    <w:p>
      <w:pPr>
        <w:pStyle w:val="BodyText"/>
        <w:spacing w:line="290" w:lineRule="auto" w:before="36"/>
        <w:ind w:right="7998"/>
        <w:jc w:val="left"/>
      </w:pPr>
      <w:r>
        <w:rPr/>
        <w:t>其他说明：</w:t>
      </w:r>
      <w:r>
        <w:rPr>
          <w:spacing w:val="-102"/>
        </w:rPr>
        <w:t> </w:t>
      </w:r>
      <w:r>
        <w:rPr>
          <w:spacing w:val="-102"/>
        </w:rPr>
      </w:r>
      <w:r>
        <w:rPr/>
        <w:t>不适用</w:t>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footerReference w:type="default" r:id="rId50"/>
          <w:pgSz w:w="11910" w:h="16840"/>
          <w:pgMar w:footer="1195" w:header="882" w:top="1120" w:bottom="1380" w:left="1580" w:right="1040"/>
          <w:pgNumType w:start="141"/>
        </w:sectPr>
      </w:pPr>
    </w:p>
    <w:p>
      <w:pPr>
        <w:pStyle w:val="Heading2"/>
        <w:spacing w:line="290" w:lineRule="auto" w:before="36"/>
        <w:ind w:right="-20"/>
        <w:jc w:val="left"/>
        <w:rPr>
          <w:b w:val="0"/>
          <w:bCs w:val="0"/>
        </w:rPr>
      </w:pPr>
      <w:r>
        <w:rPr>
          <w:rFonts w:ascii="宋体" w:hAnsi="宋体" w:cs="宋体" w:eastAsia="宋体" w:hint="default"/>
        </w:rPr>
        <w:t>71</w:t>
      </w:r>
      <w:r>
        <w:rPr/>
        <w:t>、</w:t>
      </w:r>
      <w:r>
        <w:rPr>
          <w:spacing w:val="-25"/>
        </w:rPr>
        <w:t> </w:t>
      </w:r>
      <w:r>
        <w:rPr/>
        <w:t>所得税费用</w:t>
      </w:r>
      <w:r>
        <w:rPr>
          <w:w w:val="100"/>
        </w:rPr>
        <w:t> </w:t>
      </w:r>
      <w:r>
        <w:rPr>
          <w:rFonts w:ascii="宋体" w:hAnsi="宋体" w:cs="宋体" w:eastAsia="宋体" w:hint="default"/>
        </w:rPr>
        <w:t>(1)</w:t>
      </w:r>
      <w:r>
        <w:rPr>
          <w:rFonts w:ascii="宋体" w:hAnsi="宋体" w:cs="宋体" w:eastAsia="宋体" w:hint="default"/>
          <w:spacing w:val="3"/>
        </w:rPr>
        <w:t> </w:t>
      </w:r>
      <w:r>
        <w:rPr/>
        <w:t>所得税费用表</w:t>
      </w:r>
      <w:r>
        <w:rPr>
          <w:b w:val="0"/>
          <w:bCs w:val="0"/>
        </w:rPr>
      </w:r>
    </w:p>
    <w:p>
      <w:pPr>
        <w:pStyle w:val="BodyText"/>
        <w:spacing w:line="240" w:lineRule="auto" w:before="12"/>
        <w:ind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11" w:space="4611"/>
            <w:col w:w="2768"/>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3159"/>
        <w:gridCol w:w="2876"/>
        <w:gridCol w:w="2861"/>
      </w:tblGrid>
      <w:tr>
        <w:trPr>
          <w:trHeight w:val="288" w:hRule="exact"/>
        </w:trPr>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364"/>
              <w:jc w:val="right"/>
              <w:rPr>
                <w:rFonts w:ascii="宋体" w:hAnsi="宋体" w:cs="宋体" w:eastAsia="宋体" w:hint="default"/>
                <w:sz w:val="21"/>
                <w:szCs w:val="21"/>
              </w:rPr>
            </w:pPr>
            <w:r>
              <w:rPr>
                <w:rFonts w:ascii="宋体" w:hAnsi="宋体" w:cs="宋体" w:eastAsia="宋体" w:hint="default"/>
                <w:sz w:val="21"/>
                <w:szCs w:val="21"/>
              </w:rPr>
              <w:t>项目</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90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89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当期所得税费用</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194,480,997.04</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6"/>
              <w:jc w:val="right"/>
              <w:rPr>
                <w:rFonts w:ascii="宋体" w:hAnsi="宋体" w:cs="宋体" w:eastAsia="宋体" w:hint="default"/>
                <w:sz w:val="21"/>
                <w:szCs w:val="21"/>
              </w:rPr>
            </w:pPr>
            <w:r>
              <w:rPr>
                <w:rFonts w:ascii="宋体"/>
                <w:spacing w:val="-1"/>
                <w:sz w:val="21"/>
              </w:rPr>
              <w:t>153,569,491.69</w:t>
            </w:r>
          </w:p>
        </w:tc>
      </w:tr>
      <w:tr>
        <w:trPr>
          <w:trHeight w:val="283" w:hRule="exact"/>
        </w:trPr>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递延所得税费用</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-4,723,575.42</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-16,677,068.44</w:t>
            </w:r>
          </w:p>
        </w:tc>
      </w:tr>
      <w:tr>
        <w:trPr>
          <w:trHeight w:val="281" w:hRule="exact"/>
        </w:trPr>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64"/>
              <w:jc w:val="right"/>
              <w:rPr>
                <w:rFonts w:ascii="宋体" w:hAnsi="宋体" w:cs="宋体" w:eastAsia="宋体" w:hint="default"/>
                <w:sz w:val="21"/>
                <w:szCs w:val="21"/>
              </w:rPr>
            </w:pPr>
            <w:r>
              <w:rPr>
                <w:rFonts w:ascii="宋体" w:hAnsi="宋体" w:cs="宋体" w:eastAsia="宋体" w:hint="default"/>
                <w:sz w:val="21"/>
                <w:szCs w:val="21"/>
              </w:rPr>
              <w:t>合计</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189,757,421.62</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136,892,423.25</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2"/>
        <w:spacing w:line="240" w:lineRule="auto" w:before="36"/>
        <w:ind w:right="-18"/>
        <w:jc w:val="left"/>
        <w:rPr>
          <w:b w:val="0"/>
          <w:bCs w:val="0"/>
        </w:rPr>
      </w:pPr>
      <w:r>
        <w:rPr>
          <w:rFonts w:ascii="宋体" w:hAnsi="宋体" w:cs="宋体" w:eastAsia="宋体" w:hint="default"/>
        </w:rPr>
        <w:t>(2)</w:t>
      </w:r>
      <w:r>
        <w:rPr>
          <w:rFonts w:ascii="宋体" w:hAnsi="宋体" w:cs="宋体" w:eastAsia="宋体" w:hint="default"/>
          <w:spacing w:val="1"/>
        </w:rPr>
        <w:t> </w:t>
      </w:r>
      <w:r>
        <w:rPr/>
        <w:t>会计利润与所得税费用调整过程：</w:t>
      </w:r>
      <w:r>
        <w:rPr>
          <w:b w:val="0"/>
          <w:bCs w:val="0"/>
        </w:rPr>
      </w:r>
    </w:p>
    <w:p>
      <w:pPr>
        <w:pStyle w:val="BodyText"/>
        <w:spacing w:line="240" w:lineRule="auto" w:before="56"/>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807" w:space="2714"/>
            <w:col w:w="2769"/>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4301"/>
        <w:gridCol w:w="4592"/>
      </w:tblGrid>
      <w:tr>
        <w:trPr>
          <w:trHeight w:val="283"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592" w:type="dxa"/>
            <w:tcBorders>
              <w:top w:val="single" w:sz="4" w:space="0" w:color="000000"/>
              <w:left w:val="single" w:sz="4" w:space="0" w:color="000000"/>
              <w:bottom w:val="single" w:sz="4" w:space="0" w:color="000000"/>
              <w:right w:val="single" w:sz="5"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本期发生额</w:t>
            </w:r>
          </w:p>
        </w:tc>
      </w:tr>
      <w:tr>
        <w:trPr>
          <w:trHeight w:val="286"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4592"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742,123,529.24</w:t>
            </w:r>
          </w:p>
        </w:tc>
      </w:tr>
      <w:tr>
        <w:trPr>
          <w:trHeight w:val="286"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按法定</w:t>
            </w:r>
            <w:r>
              <w:rPr>
                <w:rFonts w:ascii="宋体" w:hAnsi="宋体" w:cs="宋体" w:eastAsia="宋体" w:hint="default"/>
                <w:sz w:val="21"/>
                <w:szCs w:val="21"/>
              </w:rPr>
              <w:t>/</w:t>
            </w:r>
            <w:r>
              <w:rPr>
                <w:rFonts w:ascii="宋体" w:hAnsi="宋体" w:cs="宋体" w:eastAsia="宋体" w:hint="default"/>
                <w:sz w:val="21"/>
                <w:szCs w:val="21"/>
              </w:rPr>
              <w:t>适用税率计算的所得税费用</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185,530,882.31</w:t>
            </w:r>
          </w:p>
        </w:tc>
      </w:tr>
      <w:tr>
        <w:trPr>
          <w:trHeight w:val="288"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6" w:right="0"/>
              <w:jc w:val="left"/>
              <w:rPr>
                <w:rFonts w:ascii="宋体" w:hAnsi="宋体" w:cs="宋体" w:eastAsia="宋体" w:hint="default"/>
                <w:sz w:val="21"/>
                <w:szCs w:val="21"/>
              </w:rPr>
            </w:pPr>
            <w:r>
              <w:rPr>
                <w:rFonts w:ascii="宋体" w:hAnsi="宋体" w:cs="宋体" w:eastAsia="宋体" w:hint="default"/>
                <w:sz w:val="21"/>
                <w:szCs w:val="21"/>
              </w:rPr>
              <w:t>子公司适用不同税率的影响</w:t>
            </w:r>
          </w:p>
        </w:tc>
        <w:tc>
          <w:tcPr>
            <w:tcW w:w="4592" w:type="dxa"/>
            <w:tcBorders>
              <w:top w:val="single" w:sz="6" w:space="0" w:color="000000"/>
              <w:left w:val="single" w:sz="4" w:space="0" w:color="000000"/>
              <w:bottom w:val="single" w:sz="6" w:space="0" w:color="000000"/>
              <w:right w:val="single" w:sz="6" w:space="0" w:color="000000"/>
            </w:tcBorders>
          </w:tcPr>
          <w:p>
            <w:pPr/>
          </w:p>
        </w:tc>
      </w:tr>
      <w:tr>
        <w:trPr>
          <w:trHeight w:val="288"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调整以前期间所得税的影响</w:t>
            </w:r>
          </w:p>
        </w:tc>
        <w:tc>
          <w:tcPr>
            <w:tcW w:w="4592" w:type="dxa"/>
            <w:tcBorders>
              <w:top w:val="single" w:sz="6" w:space="0" w:color="000000"/>
              <w:left w:val="single" w:sz="4" w:space="0" w:color="000000"/>
              <w:bottom w:val="single" w:sz="6" w:space="0" w:color="000000"/>
              <w:right w:val="single" w:sz="6" w:space="0" w:color="000000"/>
            </w:tcBorders>
          </w:tcPr>
          <w:p>
            <w:pPr/>
          </w:p>
        </w:tc>
      </w:tr>
      <w:tr>
        <w:trPr>
          <w:trHeight w:val="288"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非应税收入的影响</w:t>
            </w:r>
          </w:p>
        </w:tc>
        <w:tc>
          <w:tcPr>
            <w:tcW w:w="4592" w:type="dxa"/>
            <w:tcBorders>
              <w:top w:val="single" w:sz="6" w:space="0" w:color="000000"/>
              <w:left w:val="single" w:sz="4" w:space="0" w:color="000000"/>
              <w:bottom w:val="single" w:sz="6" w:space="0" w:color="000000"/>
              <w:right w:val="single" w:sz="6" w:space="0" w:color="000000"/>
            </w:tcBorders>
          </w:tcPr>
          <w:p>
            <w:pPr/>
          </w:p>
        </w:tc>
      </w:tr>
      <w:tr>
        <w:trPr>
          <w:trHeight w:val="286"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不可抵扣的成本、费用和损失的影响</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4,226,539.31</w:t>
            </w:r>
          </w:p>
        </w:tc>
      </w:tr>
      <w:tr>
        <w:trPr>
          <w:trHeight w:val="562"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使用前期未确认递延所得税资产的可抵扣亏损</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的影响</w:t>
            </w:r>
          </w:p>
        </w:tc>
        <w:tc>
          <w:tcPr>
            <w:tcW w:w="4592" w:type="dxa"/>
            <w:tcBorders>
              <w:top w:val="single" w:sz="6" w:space="0" w:color="000000"/>
              <w:left w:val="single" w:sz="4" w:space="0" w:color="000000"/>
              <w:bottom w:val="single" w:sz="6" w:space="0" w:color="000000"/>
              <w:right w:val="single" w:sz="6" w:space="0" w:color="000000"/>
            </w:tcBorders>
          </w:tcPr>
          <w:p>
            <w:pPr/>
          </w:p>
        </w:tc>
      </w:tr>
      <w:tr>
        <w:trPr>
          <w:trHeight w:val="559"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本期未确认递延所得税资产的可抵扣暂时性差</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异或可抵扣亏损的影响</w:t>
            </w:r>
          </w:p>
        </w:tc>
        <w:tc>
          <w:tcPr>
            <w:tcW w:w="4592" w:type="dxa"/>
            <w:tcBorders>
              <w:top w:val="single" w:sz="6" w:space="0" w:color="000000"/>
              <w:left w:val="single" w:sz="4" w:space="0" w:color="000000"/>
              <w:bottom w:val="single" w:sz="6" w:space="0" w:color="000000"/>
              <w:right w:val="single" w:sz="6" w:space="0" w:color="000000"/>
            </w:tcBorders>
          </w:tcPr>
          <w:p>
            <w:pPr/>
          </w:p>
        </w:tc>
      </w:tr>
      <w:tr>
        <w:trPr>
          <w:trHeight w:val="288"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189,757,421.62</w:t>
            </w:r>
          </w:p>
        </w:tc>
      </w:tr>
    </w:tbl>
    <w:p>
      <w:pPr>
        <w:spacing w:line="240" w:lineRule="auto" w:before="13"/>
        <w:rPr>
          <w:rFonts w:ascii="宋体" w:hAnsi="宋体" w:cs="宋体" w:eastAsia="宋体" w:hint="default"/>
          <w:sz w:val="19"/>
          <w:szCs w:val="19"/>
        </w:rPr>
      </w:pPr>
    </w:p>
    <w:p>
      <w:pPr>
        <w:pStyle w:val="BodyText"/>
        <w:spacing w:line="240" w:lineRule="auto" w:before="36"/>
        <w:ind w:right="2497"/>
        <w:jc w:val="left"/>
      </w:pPr>
      <w:r>
        <w:rPr/>
        <w:t>其他说明：</w:t>
      </w:r>
    </w:p>
    <w:p>
      <w:pPr>
        <w:pStyle w:val="BodyText"/>
        <w:spacing w:line="240" w:lineRule="auto" w:before="58"/>
        <w:ind w:right="2497"/>
        <w:jc w:val="left"/>
      </w:pPr>
      <w:r>
        <w:rPr/>
        <w:t>√适用</w:t>
      </w:r>
      <w:r>
        <w:rPr>
          <w:spacing w:val="-1"/>
        </w:rPr>
        <w:t> </w:t>
      </w:r>
      <w:r>
        <w:rPr/>
        <w:t>□不适用</w:t>
      </w:r>
    </w:p>
    <w:p>
      <w:pPr>
        <w:pStyle w:val="BodyText"/>
        <w:spacing w:line="240" w:lineRule="auto" w:before="56"/>
        <w:ind w:right="0"/>
        <w:jc w:val="left"/>
      </w:pPr>
      <w:r>
        <w:rPr/>
        <w:t>所得税费用本期发生额较上期增长</w:t>
      </w:r>
      <w:r>
        <w:rPr>
          <w:spacing w:val="8"/>
        </w:rPr>
        <w:t> </w:t>
      </w:r>
      <w:r>
        <w:rPr>
          <w:rFonts w:ascii="宋体" w:hAnsi="宋体" w:cs="宋体" w:eastAsia="宋体" w:hint="default"/>
          <w:spacing w:val="-7"/>
        </w:rPr>
        <w:t>38.62%</w:t>
      </w:r>
      <w:r>
        <w:rPr>
          <w:spacing w:val="-7"/>
        </w:rPr>
        <w:t>，主要系本期营业利润增加，当期所得税费用增长所致。</w:t>
      </w:r>
    </w:p>
    <w:p>
      <w:pPr>
        <w:spacing w:line="240" w:lineRule="auto" w:before="3"/>
        <w:rPr>
          <w:rFonts w:ascii="宋体" w:hAnsi="宋体" w:cs="宋体" w:eastAsia="宋体" w:hint="default"/>
          <w:sz w:val="25"/>
          <w:szCs w:val="25"/>
        </w:rPr>
      </w:pPr>
    </w:p>
    <w:p>
      <w:pPr>
        <w:pStyle w:val="Heading2"/>
        <w:spacing w:line="240" w:lineRule="auto"/>
        <w:ind w:right="2497"/>
        <w:jc w:val="left"/>
        <w:rPr>
          <w:b w:val="0"/>
          <w:bCs w:val="0"/>
        </w:rPr>
      </w:pPr>
      <w:r>
        <w:rPr>
          <w:rFonts w:ascii="宋体" w:hAnsi="宋体" w:cs="宋体" w:eastAsia="宋体" w:hint="default"/>
        </w:rPr>
        <w:t>72</w:t>
      </w:r>
      <w:r>
        <w:rPr/>
        <w:t>、</w:t>
      </w:r>
      <w:r>
        <w:rPr>
          <w:spacing w:val="-24"/>
        </w:rPr>
        <w:t> </w:t>
      </w:r>
      <w:r>
        <w:rPr/>
        <w:t>其他综合收益</w:t>
      </w:r>
      <w:r>
        <w:rPr>
          <w:b w:val="0"/>
          <w:bCs w:val="0"/>
        </w:rPr>
      </w:r>
    </w:p>
    <w:p>
      <w:pPr>
        <w:pStyle w:val="BodyText"/>
        <w:spacing w:line="240" w:lineRule="auto" w:before="58"/>
        <w:ind w:right="2497"/>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2"/>
        <w:spacing w:line="240" w:lineRule="auto" w:before="36"/>
        <w:ind w:right="-2"/>
        <w:jc w:val="left"/>
        <w:rPr>
          <w:b w:val="0"/>
          <w:bCs w:val="0"/>
        </w:rPr>
      </w:pPr>
      <w:r>
        <w:rPr>
          <w:rFonts w:ascii="宋体" w:hAnsi="宋体" w:cs="宋体" w:eastAsia="宋体" w:hint="default"/>
        </w:rPr>
        <w:t>73</w:t>
      </w:r>
      <w:r>
        <w:rPr/>
        <w:t>、</w:t>
      </w:r>
      <w:r>
        <w:rPr>
          <w:spacing w:val="-24"/>
        </w:rPr>
        <w:t> </w:t>
      </w:r>
      <w:r>
        <w:rPr/>
        <w:t>现金流量表项目</w:t>
      </w:r>
      <w:r>
        <w:rPr>
          <w:b w:val="0"/>
          <w:bCs w:val="0"/>
        </w:rPr>
      </w:r>
    </w:p>
    <w:p>
      <w:pPr>
        <w:pStyle w:val="Heading2"/>
        <w:tabs>
          <w:tab w:pos="918" w:val="left" w:leader="none"/>
        </w:tabs>
        <w:spacing w:line="240" w:lineRule="auto" w:before="56"/>
        <w:ind w:right="-2"/>
        <w:jc w:val="left"/>
        <w:rPr>
          <w:b w:val="0"/>
          <w:bCs w:val="0"/>
        </w:rPr>
      </w:pPr>
      <w:r>
        <w:rPr>
          <w:rFonts w:ascii="宋体" w:hAnsi="宋体" w:cs="宋体" w:eastAsia="宋体" w:hint="default"/>
          <w:w w:val="95"/>
        </w:rPr>
        <w:t>(1).</w:t>
        <w:tab/>
      </w:r>
      <w:r>
        <w:rPr>
          <w:spacing w:val="-1"/>
        </w:rPr>
        <w:t>收到的其他与经营活动有关的现金：</w:t>
      </w:r>
      <w:r>
        <w:rPr>
          <w:b w:val="0"/>
          <w:bCs w:val="0"/>
          <w:spacing w:val="-1"/>
        </w:rPr>
      </w:r>
    </w:p>
    <w:p>
      <w:pPr>
        <w:pStyle w:val="BodyText"/>
        <w:spacing w:line="240" w:lineRule="auto" w:before="56"/>
        <w:ind w:right="-2"/>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294" w:space="2228"/>
            <w:col w:w="2768"/>
          </w:cols>
        </w:sectPr>
      </w:pPr>
    </w:p>
    <w:p>
      <w:pPr>
        <w:spacing w:line="240" w:lineRule="auto" w:before="5"/>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3349"/>
        <w:gridCol w:w="2780"/>
        <w:gridCol w:w="2768"/>
      </w:tblGrid>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5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75" w:right="0"/>
              <w:jc w:val="left"/>
              <w:rPr>
                <w:rFonts w:ascii="宋体" w:hAnsi="宋体" w:cs="宋体" w:eastAsia="宋体" w:hint="default"/>
                <w:sz w:val="21"/>
                <w:szCs w:val="21"/>
              </w:rPr>
            </w:pPr>
            <w:r>
              <w:rPr>
                <w:rFonts w:ascii="宋体"/>
                <w:sz w:val="21"/>
              </w:rPr>
              <w:t>85,698,678.00</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66" w:right="0"/>
              <w:jc w:val="left"/>
              <w:rPr>
                <w:rFonts w:ascii="宋体" w:hAnsi="宋体" w:cs="宋体" w:eastAsia="宋体" w:hint="default"/>
                <w:sz w:val="21"/>
                <w:szCs w:val="21"/>
              </w:rPr>
            </w:pPr>
            <w:r>
              <w:rPr>
                <w:rFonts w:ascii="宋体"/>
                <w:sz w:val="21"/>
              </w:rPr>
              <w:t>61,839,068.30</w:t>
            </w:r>
          </w:p>
        </w:tc>
      </w:tr>
    </w:tbl>
    <w:p>
      <w:pPr>
        <w:spacing w:after="0" w:line="241"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349"/>
        <w:gridCol w:w="2780"/>
        <w:gridCol w:w="2768"/>
      </w:tblGrid>
      <w:tr>
        <w:trPr>
          <w:trHeight w:val="284"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承兑保证金</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4"/>
              <w:jc w:val="right"/>
              <w:rPr>
                <w:rFonts w:ascii="宋体" w:hAnsi="宋体" w:cs="宋体" w:eastAsia="宋体" w:hint="default"/>
                <w:sz w:val="21"/>
                <w:szCs w:val="21"/>
              </w:rPr>
            </w:pPr>
            <w:r>
              <w:rPr>
                <w:rFonts w:ascii="宋体"/>
                <w:spacing w:val="-1"/>
                <w:sz w:val="21"/>
              </w:rPr>
              <w:t>27,629,444.91</w:t>
            </w:r>
          </w:p>
        </w:tc>
        <w:tc>
          <w:tcPr>
            <w:tcW w:w="276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2780" w:type="dxa"/>
            <w:tcBorders>
              <w:top w:val="single" w:sz="4" w:space="0" w:color="000000"/>
              <w:left w:val="single" w:sz="4" w:space="0" w:color="000000"/>
              <w:bottom w:val="single" w:sz="4" w:space="0" w:color="000000"/>
              <w:right w:val="single" w:sz="4" w:space="0" w:color="000000"/>
            </w:tcBorders>
          </w:tcPr>
          <w:p>
            <w:pP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52,694,652.90</w:t>
            </w: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1,106,902.79</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57,285.01</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spacing w:val="-1"/>
                <w:sz w:val="21"/>
              </w:rPr>
              <w:t>114,435,025.70</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114,591,006.21</w:t>
            </w:r>
          </w:p>
        </w:tc>
      </w:tr>
    </w:tbl>
    <w:p>
      <w:pPr>
        <w:spacing w:line="240" w:lineRule="auto" w:before="2"/>
        <w:rPr>
          <w:rFonts w:ascii="宋体" w:hAnsi="宋体" w:cs="宋体" w:eastAsia="宋体" w:hint="default"/>
          <w:sz w:val="20"/>
          <w:szCs w:val="20"/>
        </w:rPr>
      </w:pPr>
    </w:p>
    <w:p>
      <w:pPr>
        <w:pStyle w:val="BodyText"/>
        <w:spacing w:line="290" w:lineRule="auto" w:before="36"/>
        <w:ind w:left="138" w:right="4983"/>
        <w:jc w:val="left"/>
      </w:pPr>
      <w:r>
        <w:rPr>
          <w:spacing w:val="-2"/>
        </w:rPr>
        <w:t>收到的其他与经营活动有关的现金说明：</w:t>
      </w:r>
      <w:r>
        <w:rPr>
          <w:spacing w:val="-69"/>
        </w:rPr>
        <w:t> </w:t>
      </w:r>
      <w:r>
        <w:rPr>
          <w:spacing w:val="-69"/>
        </w:rPr>
      </w:r>
      <w:r>
        <w:rPr/>
        <w:t>不适用</w:t>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82" w:footer="1195" w:top="1120" w:bottom="1380" w:left="1660" w:right="1120"/>
        </w:sectPr>
      </w:pPr>
    </w:p>
    <w:p>
      <w:pPr>
        <w:pStyle w:val="Heading2"/>
        <w:tabs>
          <w:tab w:pos="838" w:val="left" w:leader="none"/>
        </w:tabs>
        <w:spacing w:line="240" w:lineRule="auto" w:before="36"/>
        <w:ind w:left="138" w:right="-2"/>
        <w:jc w:val="left"/>
        <w:rPr>
          <w:b w:val="0"/>
          <w:bCs w:val="0"/>
        </w:rPr>
      </w:pPr>
      <w:r>
        <w:rPr>
          <w:rFonts w:ascii="宋体" w:hAnsi="宋体" w:cs="宋体" w:eastAsia="宋体" w:hint="default"/>
          <w:w w:val="95"/>
        </w:rPr>
        <w:t>(2).</w:t>
        <w:tab/>
      </w:r>
      <w:r>
        <w:rPr>
          <w:spacing w:val="-1"/>
        </w:rPr>
        <w:t>支付的其他与经营活动有关的现金：</w:t>
      </w:r>
      <w:r>
        <w:rPr>
          <w:b w:val="0"/>
          <w:bCs w:val="0"/>
          <w:spacing w:val="-1"/>
        </w:rPr>
      </w:r>
    </w:p>
    <w:p>
      <w:pPr>
        <w:pStyle w:val="BodyText"/>
        <w:spacing w:line="240" w:lineRule="auto" w:before="58"/>
        <w:ind w:left="138" w:right="-2"/>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4214" w:space="2308"/>
            <w:col w:w="2608"/>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349"/>
        <w:gridCol w:w="2760"/>
        <w:gridCol w:w="2787"/>
      </w:tblGrid>
      <w:tr>
        <w:trPr>
          <w:trHeight w:val="284"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455"/>
              <w:jc w:val="right"/>
              <w:rPr>
                <w:rFonts w:ascii="宋体" w:hAnsi="宋体" w:cs="宋体" w:eastAsia="宋体" w:hint="default"/>
                <w:sz w:val="21"/>
                <w:szCs w:val="21"/>
              </w:rPr>
            </w:pPr>
            <w:r>
              <w:rPr>
                <w:rFonts w:ascii="宋体" w:hAnsi="宋体" w:cs="宋体" w:eastAsia="宋体" w:hint="default"/>
                <w:sz w:val="21"/>
                <w:szCs w:val="21"/>
              </w:rPr>
              <w:t>项目</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84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86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18,214,554.18</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10,472,171.68</w:t>
            </w: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15,265,551.39</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12,692,891.96</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9,002,292.58</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6,868,666.75</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7,781,575.97</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5,667,727.33</w:t>
            </w: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中介服务及咨询费</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7,106,796.59</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2,696,869.70</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5,397,737.29</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4,153,655.86</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广告宣传费</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3,215,050.83</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4,339,882.19</w:t>
            </w: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手续费</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6,915,908.44</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2,807,302.87</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55"/>
              <w:jc w:val="right"/>
              <w:rPr>
                <w:rFonts w:ascii="宋体" w:hAnsi="宋体" w:cs="宋体" w:eastAsia="宋体" w:hint="default"/>
                <w:sz w:val="21"/>
                <w:szCs w:val="21"/>
              </w:rPr>
            </w:pPr>
            <w:r>
              <w:rPr>
                <w:rFonts w:ascii="宋体" w:hAnsi="宋体" w:cs="宋体" w:eastAsia="宋体" w:hint="default"/>
                <w:sz w:val="21"/>
                <w:szCs w:val="21"/>
              </w:rPr>
              <w:t>合计</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72,899,467.27</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49,699,168.34</w:t>
            </w:r>
          </w:p>
        </w:tc>
      </w:tr>
    </w:tbl>
    <w:p>
      <w:pPr>
        <w:spacing w:line="240" w:lineRule="auto" w:before="2"/>
        <w:rPr>
          <w:rFonts w:ascii="宋体" w:hAnsi="宋体" w:cs="宋体" w:eastAsia="宋体" w:hint="default"/>
          <w:sz w:val="20"/>
          <w:szCs w:val="20"/>
        </w:rPr>
      </w:pPr>
    </w:p>
    <w:p>
      <w:pPr>
        <w:pStyle w:val="BodyText"/>
        <w:spacing w:line="290" w:lineRule="auto" w:before="36"/>
        <w:ind w:left="138" w:right="4983"/>
        <w:jc w:val="left"/>
      </w:pPr>
      <w:r>
        <w:rPr>
          <w:spacing w:val="-2"/>
        </w:rPr>
        <w:t>支付的其他与经营活动有关的现金说明：</w:t>
      </w:r>
      <w:r>
        <w:rPr>
          <w:spacing w:val="-69"/>
        </w:rPr>
        <w:t> </w:t>
      </w:r>
      <w:r>
        <w:rPr>
          <w:spacing w:val="-69"/>
        </w:rPr>
      </w:r>
      <w:r>
        <w:rPr/>
        <w:t>不适用</w:t>
      </w:r>
    </w:p>
    <w:p>
      <w:pPr>
        <w:spacing w:line="240" w:lineRule="auto" w:before="1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10" w:h="16840"/>
          <w:pgMar w:top="1120" w:bottom="1380" w:left="1660" w:right="1120"/>
        </w:sectPr>
      </w:pPr>
    </w:p>
    <w:p>
      <w:pPr>
        <w:pStyle w:val="Heading2"/>
        <w:tabs>
          <w:tab w:pos="865" w:val="left" w:leader="none"/>
        </w:tabs>
        <w:spacing w:line="240" w:lineRule="auto" w:before="36"/>
        <w:ind w:left="138" w:right="-4"/>
        <w:jc w:val="left"/>
        <w:rPr>
          <w:b w:val="0"/>
          <w:bCs w:val="0"/>
        </w:rPr>
      </w:pPr>
      <w:r>
        <w:rPr>
          <w:rFonts w:ascii="宋体" w:hAnsi="宋体" w:cs="宋体" w:eastAsia="宋体" w:hint="default"/>
          <w:w w:val="95"/>
        </w:rPr>
        <w:t>(3).</w:t>
        <w:tab/>
      </w:r>
      <w:r>
        <w:rPr>
          <w:spacing w:val="-1"/>
        </w:rPr>
        <w:t>收到的其他与投资活动有关的现金</w:t>
      </w:r>
      <w:r>
        <w:rPr>
          <w:b w:val="0"/>
          <w:bCs w:val="0"/>
          <w:spacing w:val="-1"/>
        </w:rPr>
      </w:r>
    </w:p>
    <w:p>
      <w:pPr>
        <w:pStyle w:val="BodyText"/>
        <w:spacing w:line="240" w:lineRule="auto" w:before="56"/>
        <w:ind w:left="138" w:right="-4"/>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tabs>
          <w:tab w:pos="1189" w:val="left" w:leader="none"/>
        </w:tabs>
        <w:spacing w:line="240" w:lineRule="auto"/>
        <w:ind w:left="138" w:right="0"/>
        <w:jc w:val="left"/>
      </w:pPr>
      <w:r>
        <w:rPr>
          <w:spacing w:val="-1"/>
        </w:rPr>
        <w:t>单位：元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660" w:right="1120"/>
          <w:cols w:num="2" w:equalWidth="0">
            <w:col w:w="4029" w:space="2598"/>
            <w:col w:w="2503"/>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349"/>
        <w:gridCol w:w="2864"/>
        <w:gridCol w:w="2684"/>
      </w:tblGrid>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55"/>
              <w:jc w:val="right"/>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0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5,950,769.31</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3,794,925.33</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55"/>
              <w:jc w:val="righ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5,950,769.31</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3,794,925.33</w:t>
            </w:r>
          </w:p>
        </w:tc>
      </w:tr>
    </w:tbl>
    <w:p>
      <w:pPr>
        <w:spacing w:line="240" w:lineRule="auto" w:before="2"/>
        <w:rPr>
          <w:rFonts w:ascii="宋体" w:hAnsi="宋体" w:cs="宋体" w:eastAsia="宋体" w:hint="default"/>
          <w:sz w:val="20"/>
          <w:szCs w:val="20"/>
        </w:rPr>
      </w:pPr>
    </w:p>
    <w:p>
      <w:pPr>
        <w:pStyle w:val="BodyText"/>
        <w:spacing w:line="290" w:lineRule="auto" w:before="36"/>
        <w:ind w:left="138" w:right="4983"/>
        <w:jc w:val="left"/>
      </w:pPr>
      <w:r>
        <w:rPr>
          <w:spacing w:val="-2"/>
        </w:rPr>
        <w:t>收到的其他与投资活动有关的现金说明：</w:t>
      </w:r>
      <w:r>
        <w:rPr>
          <w:spacing w:val="-69"/>
        </w:rPr>
        <w:t> </w:t>
      </w:r>
      <w:r>
        <w:rPr>
          <w:spacing w:val="-69"/>
        </w:rPr>
      </w:r>
      <w:r>
        <w:rPr/>
        <w:t>不适用</w:t>
      </w:r>
    </w:p>
    <w:p>
      <w:pPr>
        <w:spacing w:line="240" w:lineRule="auto" w:before="11"/>
        <w:rPr>
          <w:rFonts w:ascii="宋体" w:hAnsi="宋体" w:cs="宋体" w:eastAsia="宋体" w:hint="default"/>
          <w:sz w:val="21"/>
          <w:szCs w:val="21"/>
        </w:rPr>
      </w:pPr>
    </w:p>
    <w:p>
      <w:pPr>
        <w:pStyle w:val="Heading2"/>
        <w:tabs>
          <w:tab w:pos="865" w:val="left" w:leader="none"/>
        </w:tabs>
        <w:spacing w:line="240" w:lineRule="auto"/>
        <w:ind w:left="138" w:right="4983"/>
        <w:jc w:val="left"/>
        <w:rPr>
          <w:b w:val="0"/>
          <w:bCs w:val="0"/>
        </w:rPr>
      </w:pPr>
      <w:r>
        <w:rPr>
          <w:rFonts w:ascii="宋体" w:hAnsi="宋体" w:cs="宋体" w:eastAsia="宋体" w:hint="default"/>
          <w:w w:val="95"/>
        </w:rPr>
        <w:t>(4).</w:t>
        <w:tab/>
      </w:r>
      <w:r>
        <w:rPr/>
        <w:t>支付的其他与投资活动有关的现金</w:t>
      </w:r>
      <w:r>
        <w:rPr>
          <w:b w:val="0"/>
          <w:bCs w:val="0"/>
        </w:rPr>
      </w:r>
    </w:p>
    <w:p>
      <w:pPr>
        <w:pStyle w:val="BodyText"/>
        <w:spacing w:line="240" w:lineRule="auto" w:before="56"/>
        <w:ind w:left="138" w:right="4983"/>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660" w:right="1120"/>
        </w:sectPr>
      </w:pPr>
    </w:p>
    <w:p>
      <w:pPr>
        <w:pStyle w:val="Heading2"/>
        <w:tabs>
          <w:tab w:pos="977" w:val="left" w:leader="none"/>
        </w:tabs>
        <w:spacing w:line="240" w:lineRule="auto" w:before="36"/>
        <w:ind w:left="138" w:right="-3"/>
        <w:jc w:val="left"/>
        <w:rPr>
          <w:b w:val="0"/>
          <w:bCs w:val="0"/>
        </w:rPr>
      </w:pPr>
      <w:r>
        <w:rPr>
          <w:rFonts w:ascii="宋体" w:hAnsi="宋体" w:cs="宋体" w:eastAsia="宋体" w:hint="default"/>
          <w:w w:val="95"/>
        </w:rPr>
        <w:t>(5).</w:t>
        <w:tab/>
      </w:r>
      <w:r>
        <w:rPr>
          <w:spacing w:val="-1"/>
        </w:rPr>
        <w:t>收到的其他与筹资活动有关的现金</w:t>
      </w:r>
      <w:r>
        <w:rPr>
          <w:b w:val="0"/>
          <w:bCs w:val="0"/>
          <w:spacing w:val="-1"/>
        </w:rPr>
      </w:r>
    </w:p>
    <w:p>
      <w:pPr>
        <w:pStyle w:val="BodyText"/>
        <w:spacing w:line="240" w:lineRule="auto" w:before="58"/>
        <w:ind w:left="138" w:right="-3"/>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4142" w:space="2380"/>
            <w:col w:w="2608"/>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349"/>
        <w:gridCol w:w="2864"/>
        <w:gridCol w:w="2684"/>
      </w:tblGrid>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0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短期融资券</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498,000,000.00</w:t>
            </w:r>
          </w:p>
        </w:tc>
        <w:tc>
          <w:tcPr>
            <w:tcW w:w="2684"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售后回租</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556,600,000.00</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78" w:right="0"/>
              <w:jc w:val="left"/>
              <w:rPr>
                <w:rFonts w:ascii="宋体" w:hAnsi="宋体" w:cs="宋体" w:eastAsia="宋体" w:hint="default"/>
                <w:sz w:val="21"/>
                <w:szCs w:val="21"/>
              </w:rPr>
            </w:pPr>
            <w:r>
              <w:rPr>
                <w:rFonts w:ascii="宋体"/>
                <w:sz w:val="21"/>
              </w:rPr>
              <w:t>230,600,000.00</w:t>
            </w: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融资租赁保证金</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44,328,667.64</w:t>
            </w:r>
          </w:p>
        </w:tc>
        <w:tc>
          <w:tcPr>
            <w:tcW w:w="26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存单质押</w:t>
            </w:r>
          </w:p>
        </w:tc>
        <w:tc>
          <w:tcPr>
            <w:tcW w:w="2864" w:type="dxa"/>
            <w:tcBorders>
              <w:top w:val="single" w:sz="4" w:space="0" w:color="000000"/>
              <w:left w:val="single" w:sz="4" w:space="0" w:color="000000"/>
              <w:bottom w:val="single" w:sz="4" w:space="0" w:color="000000"/>
              <w:right w:val="single" w:sz="4" w:space="0" w:color="000000"/>
            </w:tcBorders>
          </w:tcPr>
          <w:p>
            <w:pPr/>
          </w:p>
        </w:tc>
        <w:tc>
          <w:tcPr>
            <w:tcW w:w="268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66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3349"/>
        <w:gridCol w:w="2864"/>
        <w:gridCol w:w="2684"/>
      </w:tblGrid>
      <w:tr>
        <w:trPr>
          <w:trHeight w:val="284"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募集资金利息收入</w:t>
            </w:r>
          </w:p>
        </w:tc>
        <w:tc>
          <w:tcPr>
            <w:tcW w:w="2864" w:type="dxa"/>
            <w:tcBorders>
              <w:top w:val="single" w:sz="4" w:space="0" w:color="000000"/>
              <w:left w:val="single" w:sz="4" w:space="0" w:color="000000"/>
              <w:bottom w:val="single" w:sz="4" w:space="0" w:color="000000"/>
              <w:right w:val="single" w:sz="4" w:space="0" w:color="000000"/>
            </w:tcBorders>
          </w:tcPr>
          <w:p>
            <w:pP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9"/>
              <w:jc w:val="right"/>
              <w:rPr>
                <w:rFonts w:ascii="宋体" w:hAnsi="宋体" w:cs="宋体" w:eastAsia="宋体" w:hint="default"/>
                <w:sz w:val="21"/>
                <w:szCs w:val="21"/>
              </w:rPr>
            </w:pPr>
            <w:r>
              <w:rPr>
                <w:rFonts w:ascii="宋体"/>
                <w:spacing w:val="-1"/>
                <w:sz w:val="21"/>
              </w:rPr>
              <w:t>178,670.60</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47" w:right="0"/>
              <w:jc w:val="left"/>
              <w:rPr>
                <w:rFonts w:ascii="宋体" w:hAnsi="宋体" w:cs="宋体" w:eastAsia="宋体" w:hint="default"/>
                <w:sz w:val="21"/>
                <w:szCs w:val="21"/>
              </w:rPr>
            </w:pPr>
            <w:r>
              <w:rPr>
                <w:rFonts w:ascii="宋体"/>
                <w:sz w:val="21"/>
              </w:rPr>
              <w:t>1,098,928,667.64</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230,778,670.60</w:t>
            </w:r>
          </w:p>
        </w:tc>
      </w:tr>
    </w:tbl>
    <w:p>
      <w:pPr>
        <w:spacing w:line="240" w:lineRule="auto" w:before="12"/>
        <w:rPr>
          <w:rFonts w:ascii="宋体" w:hAnsi="宋体" w:cs="宋体" w:eastAsia="宋体" w:hint="default"/>
          <w:sz w:val="19"/>
          <w:szCs w:val="19"/>
        </w:rPr>
      </w:pPr>
    </w:p>
    <w:p>
      <w:pPr>
        <w:pStyle w:val="BodyText"/>
        <w:spacing w:line="290" w:lineRule="auto" w:before="36"/>
        <w:ind w:right="5042"/>
        <w:jc w:val="left"/>
      </w:pPr>
      <w:r>
        <w:rPr>
          <w:spacing w:val="-2"/>
        </w:rPr>
        <w:t>收到的其他与筹资活动有关的现金说明：</w:t>
      </w:r>
      <w:r>
        <w:rPr>
          <w:spacing w:val="-69"/>
        </w:rPr>
        <w:t> </w:t>
      </w:r>
      <w:r>
        <w:rPr>
          <w:spacing w:val="-69"/>
        </w:rPr>
      </w:r>
      <w:r>
        <w:rPr/>
        <w:t>不适用</w:t>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82" w:footer="1195" w:top="1120" w:bottom="1380" w:left="1580" w:right="1040"/>
        </w:sectPr>
      </w:pPr>
    </w:p>
    <w:p>
      <w:pPr>
        <w:pStyle w:val="Heading2"/>
        <w:tabs>
          <w:tab w:pos="1057" w:val="left" w:leader="none"/>
        </w:tabs>
        <w:spacing w:line="240" w:lineRule="auto" w:before="36"/>
        <w:ind w:right="-3"/>
        <w:jc w:val="left"/>
        <w:rPr>
          <w:b w:val="0"/>
          <w:bCs w:val="0"/>
        </w:rPr>
      </w:pPr>
      <w:r>
        <w:rPr>
          <w:rFonts w:ascii="宋体" w:hAnsi="宋体" w:cs="宋体" w:eastAsia="宋体" w:hint="default"/>
          <w:w w:val="95"/>
        </w:rPr>
        <w:t>(6).</w:t>
        <w:tab/>
      </w:r>
      <w:r>
        <w:rPr>
          <w:spacing w:val="-1"/>
        </w:rPr>
        <w:t>支付的其他与筹资活动有关的现金</w:t>
      </w:r>
      <w:r>
        <w:rPr>
          <w:b w:val="0"/>
          <w:bCs w:val="0"/>
          <w:spacing w:val="-1"/>
        </w:rPr>
      </w:r>
    </w:p>
    <w:p>
      <w:pPr>
        <w:pStyle w:val="BodyText"/>
        <w:spacing w:line="240" w:lineRule="auto" w:before="56"/>
        <w:ind w:right="-3"/>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222" w:space="2300"/>
            <w:col w:w="27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3349"/>
        <w:gridCol w:w="2864"/>
        <w:gridCol w:w="2684"/>
      </w:tblGrid>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0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5"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6"/>
                <w:sz w:val="21"/>
                <w:szCs w:val="21"/>
              </w:rPr>
              <w:t>售后回租、融资租赁、分期付款购入</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固定资产本期支付金额</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宋体" w:hAnsi="宋体" w:cs="宋体" w:eastAsia="宋体" w:hint="default"/>
                <w:sz w:val="21"/>
                <w:szCs w:val="21"/>
              </w:rPr>
            </w:pPr>
            <w:r>
              <w:rPr>
                <w:rFonts w:ascii="宋体"/>
                <w:spacing w:val="-1"/>
                <w:sz w:val="21"/>
              </w:rPr>
              <w:t>1,078,869,472.87</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9"/>
              <w:jc w:val="right"/>
              <w:rPr>
                <w:rFonts w:ascii="宋体" w:hAnsi="宋体" w:cs="宋体" w:eastAsia="宋体" w:hint="default"/>
                <w:sz w:val="21"/>
                <w:szCs w:val="21"/>
              </w:rPr>
            </w:pPr>
            <w:r>
              <w:rPr>
                <w:rFonts w:ascii="宋体"/>
                <w:spacing w:val="-1"/>
                <w:sz w:val="21"/>
              </w:rPr>
              <w:t>477,919,882.75</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融资租赁保证金</w:t>
            </w:r>
          </w:p>
        </w:tc>
        <w:tc>
          <w:tcPr>
            <w:tcW w:w="2864" w:type="dxa"/>
            <w:tcBorders>
              <w:top w:val="single" w:sz="4" w:space="0" w:color="000000"/>
              <w:left w:val="single" w:sz="4" w:space="0" w:color="000000"/>
              <w:bottom w:val="single" w:sz="4" w:space="0" w:color="000000"/>
              <w:right w:val="single" w:sz="4" w:space="0" w:color="000000"/>
            </w:tcBorders>
          </w:tcPr>
          <w:p>
            <w:pP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44,558,139.81</w:t>
            </w: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定期存单</w:t>
            </w:r>
          </w:p>
        </w:tc>
        <w:tc>
          <w:tcPr>
            <w:tcW w:w="2864" w:type="dxa"/>
            <w:tcBorders>
              <w:top w:val="single" w:sz="4" w:space="0" w:color="000000"/>
              <w:left w:val="single" w:sz="4" w:space="0" w:color="000000"/>
              <w:bottom w:val="single" w:sz="4" w:space="0" w:color="000000"/>
              <w:right w:val="single" w:sz="4" w:space="0" w:color="000000"/>
            </w:tcBorders>
          </w:tcPr>
          <w:p>
            <w:pP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10,000,000.00</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发行股份相关的中介费用</w:t>
            </w:r>
          </w:p>
        </w:tc>
        <w:tc>
          <w:tcPr>
            <w:tcW w:w="2864" w:type="dxa"/>
            <w:tcBorders>
              <w:top w:val="single" w:sz="4" w:space="0" w:color="000000"/>
              <w:left w:val="single" w:sz="4" w:space="0" w:color="000000"/>
              <w:bottom w:val="single" w:sz="4" w:space="0" w:color="000000"/>
              <w:right w:val="single" w:sz="4" w:space="0" w:color="000000"/>
            </w:tcBorders>
          </w:tcPr>
          <w:p>
            <w:pP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8,290,232.73</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1,078,869,472.87</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540,768,255.29</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040"/>
        </w:sectPr>
      </w:pPr>
    </w:p>
    <w:p>
      <w:pPr>
        <w:pStyle w:val="BodyText"/>
        <w:spacing w:line="290" w:lineRule="auto" w:before="36"/>
        <w:ind w:right="0"/>
        <w:jc w:val="left"/>
      </w:pPr>
      <w:r>
        <w:rPr>
          <w:spacing w:val="-2"/>
        </w:rPr>
        <w:t>支付的其他与筹资活动有关的现金说明：</w:t>
      </w:r>
      <w:r>
        <w:rPr>
          <w:spacing w:val="-69"/>
        </w:rPr>
        <w:t> </w:t>
      </w:r>
      <w:r>
        <w:rPr>
          <w:spacing w:val="-69"/>
        </w:rPr>
      </w:r>
      <w:r>
        <w:rPr/>
        <w:t>不适用</w:t>
      </w:r>
    </w:p>
    <w:p>
      <w:pPr>
        <w:pStyle w:val="Heading2"/>
        <w:spacing w:line="290" w:lineRule="auto" w:before="12"/>
        <w:ind w:right="1362"/>
        <w:jc w:val="left"/>
        <w:rPr>
          <w:b w:val="0"/>
          <w:bCs w:val="0"/>
        </w:rPr>
      </w:pPr>
      <w:r>
        <w:rPr>
          <w:rFonts w:ascii="宋体" w:hAnsi="宋体" w:cs="宋体" w:eastAsia="宋体" w:hint="default"/>
        </w:rPr>
        <w:t>74</w:t>
      </w:r>
      <w:r>
        <w:rPr/>
        <w:t>、</w:t>
      </w:r>
      <w:r>
        <w:rPr>
          <w:spacing w:val="-23"/>
        </w:rPr>
        <w:t> </w:t>
      </w:r>
      <w:r>
        <w:rPr/>
        <w:t>现金流量表补充资料</w:t>
      </w:r>
      <w:r>
        <w:rPr>
          <w:w w:val="100"/>
        </w:rPr>
        <w:t> </w:t>
      </w:r>
      <w:r>
        <w:rPr>
          <w:rFonts w:ascii="宋体" w:hAnsi="宋体" w:cs="宋体" w:eastAsia="宋体" w:hint="default"/>
        </w:rPr>
        <w:t>(1)</w:t>
      </w:r>
      <w:r>
        <w:rPr>
          <w:rFonts w:ascii="宋体" w:hAnsi="宋体" w:cs="宋体" w:eastAsia="宋体" w:hint="default"/>
          <w:spacing w:val="4"/>
        </w:rPr>
        <w:t> </w:t>
      </w:r>
      <w:r>
        <w:rPr/>
        <w:t>现金流量表补充资料</w:t>
      </w:r>
      <w:r>
        <w:rPr>
          <w:b w:val="0"/>
          <w:bCs w:val="0"/>
        </w:rPr>
      </w:r>
    </w:p>
    <w:p>
      <w:pPr>
        <w:pStyle w:val="BodyText"/>
        <w:spacing w:line="240" w:lineRule="auto" w:before="12"/>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004" w:space="2518"/>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83"/>
        <w:gridCol w:w="2801"/>
        <w:gridCol w:w="2765"/>
      </w:tblGrid>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801" w:type="dxa"/>
            <w:tcBorders>
              <w:top w:val="single" w:sz="4" w:space="0" w:color="000000"/>
              <w:left w:val="single" w:sz="4" w:space="0" w:color="000000"/>
              <w:bottom w:val="single" w:sz="4" w:space="0" w:color="000000"/>
              <w:right w:val="single" w:sz="5"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2765" w:type="dxa"/>
            <w:tcBorders>
              <w:top w:val="single" w:sz="4" w:space="0" w:color="000000"/>
              <w:left w:val="single" w:sz="5" w:space="0" w:color="000000"/>
              <w:bottom w:val="single" w:sz="4" w:space="0" w:color="000000"/>
              <w:right w:val="single" w:sz="5"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55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．将净利润调节为经营活动现金流</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量：</w:t>
            </w:r>
            <w:r>
              <w:rPr>
                <w:rFonts w:ascii="宋体" w:hAnsi="宋体" w:cs="宋体" w:eastAsia="宋体" w:hint="default"/>
                <w:sz w:val="21"/>
                <w:szCs w:val="21"/>
              </w:rPr>
            </w:r>
          </w:p>
        </w:tc>
        <w:tc>
          <w:tcPr>
            <w:tcW w:w="2801" w:type="dxa"/>
            <w:tcBorders>
              <w:top w:val="single" w:sz="4" w:space="0" w:color="000000"/>
              <w:left w:val="single" w:sz="4" w:space="0" w:color="000000"/>
              <w:bottom w:val="single" w:sz="6" w:space="0" w:color="000000"/>
              <w:right w:val="single" w:sz="6" w:space="0" w:color="000000"/>
            </w:tcBorders>
          </w:tcPr>
          <w:p>
            <w:pPr/>
          </w:p>
        </w:tc>
        <w:tc>
          <w:tcPr>
            <w:tcW w:w="2765" w:type="dxa"/>
            <w:tcBorders>
              <w:top w:val="single" w:sz="4"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552,366,107.62</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401,292,805.45</w:t>
            </w:r>
          </w:p>
        </w:tc>
      </w:tr>
      <w:tr>
        <w:trPr>
          <w:trHeight w:val="28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10,702,677.66</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3,623,522.08</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固定资产折旧、油气资产折耗、生产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性生物资产折旧</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208,543,622.16</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199,137,837.50</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2,035,504.05</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1,477,219.72</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15,926,558.60</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9,987,047.49</w:t>
            </w:r>
          </w:p>
        </w:tc>
      </w:tr>
      <w:tr>
        <w:trPr>
          <w:trHeight w:val="560"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处置</w:t>
            </w:r>
            <w:r>
              <w:rPr>
                <w:rFonts w:ascii="宋体" w:hAnsi="宋体" w:cs="宋体" w:eastAsia="宋体" w:hint="default"/>
                <w:spacing w:val="-3"/>
                <w:w w:val="100"/>
                <w:sz w:val="21"/>
                <w:szCs w:val="21"/>
              </w:rPr>
              <w:t>固</w:t>
            </w:r>
            <w:r>
              <w:rPr>
                <w:rFonts w:ascii="宋体" w:hAnsi="宋体" w:cs="宋体" w:eastAsia="宋体" w:hint="default"/>
                <w:w w:val="100"/>
                <w:sz w:val="21"/>
                <w:szCs w:val="21"/>
              </w:rPr>
              <w:t>定</w:t>
            </w:r>
            <w:r>
              <w:rPr>
                <w:rFonts w:ascii="宋体" w:hAnsi="宋体" w:cs="宋体" w:eastAsia="宋体" w:hint="default"/>
                <w:spacing w:val="-3"/>
                <w:w w:val="100"/>
                <w:sz w:val="21"/>
                <w:szCs w:val="21"/>
              </w:rPr>
              <w:t>资产</w:t>
            </w:r>
            <w:r>
              <w:rPr>
                <w:rFonts w:ascii="宋体" w:hAnsi="宋体" w:cs="宋体" w:eastAsia="宋体" w:hint="default"/>
                <w:spacing w:val="-94"/>
                <w:w w:val="100"/>
                <w:sz w:val="21"/>
                <w:szCs w:val="21"/>
              </w:rPr>
              <w:t>、</w:t>
            </w:r>
            <w:r>
              <w:rPr>
                <w:rFonts w:ascii="宋体" w:hAnsi="宋体" w:cs="宋体" w:eastAsia="宋体" w:hint="default"/>
                <w:spacing w:val="-3"/>
                <w:w w:val="100"/>
                <w:sz w:val="21"/>
                <w:szCs w:val="21"/>
              </w:rPr>
              <w:t>无</w:t>
            </w:r>
            <w:r>
              <w:rPr>
                <w:rFonts w:ascii="宋体" w:hAnsi="宋体" w:cs="宋体" w:eastAsia="宋体" w:hint="default"/>
                <w:w w:val="100"/>
                <w:sz w:val="21"/>
                <w:szCs w:val="21"/>
              </w:rPr>
              <w:t>形</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3"/>
                <w:w w:val="100"/>
                <w:sz w:val="21"/>
                <w:szCs w:val="21"/>
              </w:rPr>
              <w:t>和</w:t>
            </w:r>
            <w:r>
              <w:rPr>
                <w:rFonts w:ascii="宋体" w:hAnsi="宋体" w:cs="宋体" w:eastAsia="宋体" w:hint="default"/>
                <w:w w:val="100"/>
                <w:sz w:val="21"/>
                <w:szCs w:val="21"/>
              </w:rPr>
              <w:t>其他</w:t>
            </w:r>
            <w:r>
              <w:rPr>
                <w:rFonts w:ascii="宋体" w:hAnsi="宋体" w:cs="宋体" w:eastAsia="宋体" w:hint="default"/>
                <w:spacing w:val="-3"/>
                <w:w w:val="100"/>
                <w:sz w:val="21"/>
                <w:szCs w:val="21"/>
              </w:rPr>
              <w:t>长</w:t>
            </w:r>
            <w:r>
              <w:rPr>
                <w:rFonts w:ascii="宋体" w:hAnsi="宋体" w:cs="宋体" w:eastAsia="宋体" w:hint="default"/>
                <w:w w:val="100"/>
                <w:sz w:val="21"/>
                <w:szCs w:val="21"/>
              </w:rPr>
              <w:t>期</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资产的损失（收益以“－”号填列）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39,383,950.57</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1,754,485.08</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固定</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3"/>
                <w:w w:val="100"/>
                <w:sz w:val="21"/>
                <w:szCs w:val="21"/>
              </w:rPr>
              <w:t>报</w:t>
            </w:r>
            <w:r>
              <w:rPr>
                <w:rFonts w:ascii="宋体" w:hAnsi="宋体" w:cs="宋体" w:eastAsia="宋体" w:hint="default"/>
                <w:w w:val="100"/>
                <w:sz w:val="21"/>
                <w:szCs w:val="21"/>
              </w:rPr>
              <w:t>废</w:t>
            </w:r>
            <w:r>
              <w:rPr>
                <w:rFonts w:ascii="宋体" w:hAnsi="宋体" w:cs="宋体" w:eastAsia="宋体" w:hint="default"/>
                <w:spacing w:val="-3"/>
                <w:w w:val="100"/>
                <w:sz w:val="21"/>
                <w:szCs w:val="21"/>
              </w:rPr>
              <w:t>损</w:t>
            </w:r>
            <w:r>
              <w:rPr>
                <w:rFonts w:ascii="宋体" w:hAnsi="宋体" w:cs="宋体" w:eastAsia="宋体" w:hint="default"/>
                <w:spacing w:val="-97"/>
                <w:w w:val="100"/>
                <w:sz w:val="21"/>
                <w:szCs w:val="21"/>
              </w:rPr>
              <w:t>失</w:t>
            </w:r>
            <w:r>
              <w:rPr>
                <w:rFonts w:ascii="宋体" w:hAnsi="宋体" w:cs="宋体" w:eastAsia="宋体" w:hint="default"/>
                <w:w w:val="100"/>
                <w:sz w:val="21"/>
                <w:szCs w:val="21"/>
              </w:rPr>
              <w:t>（</w:t>
            </w:r>
            <w:r>
              <w:rPr>
                <w:rFonts w:ascii="宋体" w:hAnsi="宋体" w:cs="宋体" w:eastAsia="宋体" w:hint="default"/>
                <w:spacing w:val="-3"/>
                <w:w w:val="100"/>
                <w:sz w:val="21"/>
                <w:szCs w:val="21"/>
              </w:rPr>
              <w:t>收</w:t>
            </w:r>
            <w:r>
              <w:rPr>
                <w:rFonts w:ascii="宋体" w:hAnsi="宋体" w:cs="宋体" w:eastAsia="宋体" w:hint="default"/>
                <w:w w:val="100"/>
                <w:sz w:val="21"/>
                <w:szCs w:val="21"/>
              </w:rPr>
              <w:t>益</w:t>
            </w:r>
            <w:r>
              <w:rPr>
                <w:rFonts w:ascii="宋体" w:hAnsi="宋体" w:cs="宋体" w:eastAsia="宋体" w:hint="default"/>
                <w:spacing w:val="-3"/>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公允</w:t>
            </w:r>
            <w:r>
              <w:rPr>
                <w:rFonts w:ascii="宋体" w:hAnsi="宋体" w:cs="宋体" w:eastAsia="宋体" w:hint="default"/>
                <w:spacing w:val="-3"/>
                <w:w w:val="100"/>
                <w:sz w:val="21"/>
                <w:szCs w:val="21"/>
              </w:rPr>
              <w:t>价</w:t>
            </w:r>
            <w:r>
              <w:rPr>
                <w:rFonts w:ascii="宋体" w:hAnsi="宋体" w:cs="宋体" w:eastAsia="宋体" w:hint="default"/>
                <w:w w:val="100"/>
                <w:sz w:val="21"/>
                <w:szCs w:val="21"/>
              </w:rPr>
              <w:t>值</w:t>
            </w:r>
            <w:r>
              <w:rPr>
                <w:rFonts w:ascii="宋体" w:hAnsi="宋体" w:cs="宋体" w:eastAsia="宋体" w:hint="default"/>
                <w:spacing w:val="-3"/>
                <w:w w:val="100"/>
                <w:sz w:val="21"/>
                <w:szCs w:val="21"/>
              </w:rPr>
              <w:t>变</w:t>
            </w:r>
            <w:r>
              <w:rPr>
                <w:rFonts w:ascii="宋体" w:hAnsi="宋体" w:cs="宋体" w:eastAsia="宋体" w:hint="default"/>
                <w:w w:val="100"/>
                <w:sz w:val="21"/>
                <w:szCs w:val="21"/>
              </w:rPr>
              <w:t>动</w:t>
            </w:r>
            <w:r>
              <w:rPr>
                <w:rFonts w:ascii="宋体" w:hAnsi="宋体" w:cs="宋体" w:eastAsia="宋体" w:hint="default"/>
                <w:spacing w:val="-3"/>
                <w:w w:val="100"/>
                <w:sz w:val="21"/>
                <w:szCs w:val="21"/>
              </w:rPr>
              <w:t>损</w:t>
            </w:r>
            <w:r>
              <w:rPr>
                <w:rFonts w:ascii="宋体" w:hAnsi="宋体" w:cs="宋体" w:eastAsia="宋体" w:hint="default"/>
                <w:spacing w:val="-97"/>
                <w:w w:val="100"/>
                <w:sz w:val="21"/>
                <w:szCs w:val="21"/>
              </w:rPr>
              <w:t>失</w:t>
            </w:r>
            <w:r>
              <w:rPr>
                <w:rFonts w:ascii="宋体" w:hAnsi="宋体" w:cs="宋体" w:eastAsia="宋体" w:hint="default"/>
                <w:w w:val="100"/>
                <w:sz w:val="21"/>
                <w:szCs w:val="21"/>
              </w:rPr>
              <w:t>（</w:t>
            </w:r>
            <w:r>
              <w:rPr>
                <w:rFonts w:ascii="宋体" w:hAnsi="宋体" w:cs="宋体" w:eastAsia="宋体" w:hint="default"/>
                <w:spacing w:val="-3"/>
                <w:w w:val="100"/>
                <w:sz w:val="21"/>
                <w:szCs w:val="21"/>
              </w:rPr>
              <w:t>收</w:t>
            </w:r>
            <w:r>
              <w:rPr>
                <w:rFonts w:ascii="宋体" w:hAnsi="宋体" w:cs="宋体" w:eastAsia="宋体" w:hint="default"/>
                <w:w w:val="100"/>
                <w:sz w:val="21"/>
                <w:szCs w:val="21"/>
              </w:rPr>
              <w:t>益</w:t>
            </w:r>
            <w:r>
              <w:rPr>
                <w:rFonts w:ascii="宋体" w:hAnsi="宋体" w:cs="宋体" w:eastAsia="宋体" w:hint="default"/>
                <w:spacing w:val="-3"/>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187,492,356.23</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235,515,579.09</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-1,061,933.53</w:t>
            </w: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递延</w:t>
            </w:r>
            <w:r>
              <w:rPr>
                <w:rFonts w:ascii="宋体" w:hAnsi="宋体" w:cs="宋体" w:eastAsia="宋体" w:hint="default"/>
                <w:spacing w:val="-3"/>
                <w:w w:val="100"/>
                <w:sz w:val="21"/>
                <w:szCs w:val="21"/>
              </w:rPr>
              <w:t>所</w:t>
            </w:r>
            <w:r>
              <w:rPr>
                <w:rFonts w:ascii="宋体" w:hAnsi="宋体" w:cs="宋体" w:eastAsia="宋体" w:hint="default"/>
                <w:w w:val="100"/>
                <w:sz w:val="21"/>
                <w:szCs w:val="21"/>
              </w:rPr>
              <w:t>得</w:t>
            </w:r>
            <w:r>
              <w:rPr>
                <w:rFonts w:ascii="宋体" w:hAnsi="宋体" w:cs="宋体" w:eastAsia="宋体" w:hint="default"/>
                <w:spacing w:val="-3"/>
                <w:w w:val="100"/>
                <w:sz w:val="21"/>
                <w:szCs w:val="21"/>
              </w:rPr>
              <w:t>税</w:t>
            </w:r>
            <w:r>
              <w:rPr>
                <w:rFonts w:ascii="宋体" w:hAnsi="宋体" w:cs="宋体" w:eastAsia="宋体" w:hint="default"/>
                <w:w w:val="100"/>
                <w:sz w:val="21"/>
                <w:szCs w:val="21"/>
              </w:rPr>
              <w:t>资</w:t>
            </w:r>
            <w:r>
              <w:rPr>
                <w:rFonts w:ascii="宋体" w:hAnsi="宋体" w:cs="宋体" w:eastAsia="宋体" w:hint="default"/>
                <w:spacing w:val="-3"/>
                <w:w w:val="100"/>
                <w:sz w:val="21"/>
                <w:szCs w:val="21"/>
              </w:rPr>
              <w:t>产</w:t>
            </w:r>
            <w:r>
              <w:rPr>
                <w:rFonts w:ascii="宋体" w:hAnsi="宋体" w:cs="宋体" w:eastAsia="宋体" w:hint="default"/>
                <w:w w:val="100"/>
                <w:sz w:val="21"/>
                <w:szCs w:val="21"/>
              </w:rPr>
              <w:t>减</w:t>
            </w:r>
            <w:r>
              <w:rPr>
                <w:rFonts w:ascii="宋体" w:hAnsi="宋体" w:cs="宋体" w:eastAsia="宋体" w:hint="default"/>
                <w:spacing w:val="-97"/>
                <w:w w:val="100"/>
                <w:sz w:val="21"/>
                <w:szCs w:val="21"/>
              </w:rPr>
              <w:t>少</w:t>
            </w:r>
            <w:r>
              <w:rPr>
                <w:rFonts w:ascii="宋体" w:hAnsi="宋体" w:cs="宋体" w:eastAsia="宋体" w:hint="default"/>
                <w:spacing w:val="-3"/>
                <w:w w:val="100"/>
                <w:sz w:val="21"/>
                <w:szCs w:val="21"/>
              </w:rPr>
              <w:t>（</w:t>
            </w:r>
            <w:r>
              <w:rPr>
                <w:rFonts w:ascii="宋体" w:hAnsi="宋体" w:cs="宋体" w:eastAsia="宋体" w:hint="default"/>
                <w:w w:val="100"/>
                <w:sz w:val="21"/>
                <w:szCs w:val="21"/>
              </w:rPr>
              <w:t>增</w:t>
            </w:r>
            <w:r>
              <w:rPr>
                <w:rFonts w:ascii="宋体" w:hAnsi="宋体" w:cs="宋体" w:eastAsia="宋体" w:hint="default"/>
                <w:spacing w:val="-3"/>
                <w:w w:val="100"/>
                <w:sz w:val="21"/>
                <w:szCs w:val="21"/>
              </w:rPr>
              <w:t>加</w:t>
            </w:r>
            <w:r>
              <w:rPr>
                <w:rFonts w:ascii="宋体" w:hAnsi="宋体" w:cs="宋体" w:eastAsia="宋体" w:hint="default"/>
                <w:w w:val="100"/>
                <w:sz w:val="21"/>
                <w:szCs w:val="21"/>
              </w:rPr>
              <w:t>以“</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-4,734,599.92</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-16,677,068.44</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递延</w:t>
            </w:r>
            <w:r>
              <w:rPr>
                <w:rFonts w:ascii="宋体" w:hAnsi="宋体" w:cs="宋体" w:eastAsia="宋体" w:hint="default"/>
                <w:spacing w:val="-3"/>
                <w:w w:val="100"/>
                <w:sz w:val="21"/>
                <w:szCs w:val="21"/>
              </w:rPr>
              <w:t>所</w:t>
            </w:r>
            <w:r>
              <w:rPr>
                <w:rFonts w:ascii="宋体" w:hAnsi="宋体" w:cs="宋体" w:eastAsia="宋体" w:hint="default"/>
                <w:w w:val="100"/>
                <w:sz w:val="21"/>
                <w:szCs w:val="21"/>
              </w:rPr>
              <w:t>得</w:t>
            </w:r>
            <w:r>
              <w:rPr>
                <w:rFonts w:ascii="宋体" w:hAnsi="宋体" w:cs="宋体" w:eastAsia="宋体" w:hint="default"/>
                <w:spacing w:val="-3"/>
                <w:w w:val="100"/>
                <w:sz w:val="21"/>
                <w:szCs w:val="21"/>
              </w:rPr>
              <w:t>税</w:t>
            </w:r>
            <w:r>
              <w:rPr>
                <w:rFonts w:ascii="宋体" w:hAnsi="宋体" w:cs="宋体" w:eastAsia="宋体" w:hint="default"/>
                <w:w w:val="100"/>
                <w:sz w:val="21"/>
                <w:szCs w:val="21"/>
              </w:rPr>
              <w:t>负</w:t>
            </w:r>
            <w:r>
              <w:rPr>
                <w:rFonts w:ascii="宋体" w:hAnsi="宋体" w:cs="宋体" w:eastAsia="宋体" w:hint="default"/>
                <w:spacing w:val="-3"/>
                <w:w w:val="100"/>
                <w:sz w:val="21"/>
                <w:szCs w:val="21"/>
              </w:rPr>
              <w:t>债</w:t>
            </w:r>
            <w:r>
              <w:rPr>
                <w:rFonts w:ascii="宋体" w:hAnsi="宋体" w:cs="宋体" w:eastAsia="宋体" w:hint="default"/>
                <w:w w:val="100"/>
                <w:sz w:val="21"/>
                <w:szCs w:val="21"/>
              </w:rPr>
              <w:t>增</w:t>
            </w:r>
            <w:r>
              <w:rPr>
                <w:rFonts w:ascii="宋体" w:hAnsi="宋体" w:cs="宋体" w:eastAsia="宋体" w:hint="default"/>
                <w:spacing w:val="-97"/>
                <w:w w:val="100"/>
                <w:sz w:val="21"/>
                <w:szCs w:val="21"/>
              </w:rPr>
              <w:t>加</w:t>
            </w:r>
            <w:r>
              <w:rPr>
                <w:rFonts w:ascii="宋体" w:hAnsi="宋体" w:cs="宋体" w:eastAsia="宋体" w:hint="default"/>
                <w:spacing w:val="-3"/>
                <w:w w:val="100"/>
                <w:sz w:val="21"/>
                <w:szCs w:val="21"/>
              </w:rPr>
              <w:t>（</w:t>
            </w:r>
            <w:r>
              <w:rPr>
                <w:rFonts w:ascii="宋体" w:hAnsi="宋体" w:cs="宋体" w:eastAsia="宋体" w:hint="default"/>
                <w:w w:val="100"/>
                <w:sz w:val="21"/>
                <w:szCs w:val="21"/>
              </w:rPr>
              <w:t>减</w:t>
            </w:r>
            <w:r>
              <w:rPr>
                <w:rFonts w:ascii="宋体" w:hAnsi="宋体" w:cs="宋体" w:eastAsia="宋体" w:hint="default"/>
                <w:spacing w:val="-3"/>
                <w:w w:val="100"/>
                <w:sz w:val="21"/>
                <w:szCs w:val="21"/>
              </w:rPr>
              <w:t>少</w:t>
            </w:r>
            <w:r>
              <w:rPr>
                <w:rFonts w:ascii="宋体" w:hAnsi="宋体" w:cs="宋体" w:eastAsia="宋体" w:hint="default"/>
                <w:w w:val="100"/>
                <w:sz w:val="21"/>
                <w:szCs w:val="21"/>
              </w:rPr>
              <w:t>以“</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存货的减少（增加以“－”号填列）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-24,348,963.30</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-5,501,619.99</w:t>
            </w:r>
          </w:p>
        </w:tc>
      </w:tr>
      <w:tr>
        <w:trPr>
          <w:trHeight w:val="56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-407,496,540.34</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-166,370,678.43</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483"/>
        <w:gridCol w:w="2801"/>
        <w:gridCol w:w="2765"/>
      </w:tblGrid>
      <w:tr>
        <w:trPr>
          <w:trHeight w:val="56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268,623,758.54</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272,867,052.45</w:t>
            </w:r>
          </w:p>
        </w:tc>
      </w:tr>
      <w:tr>
        <w:trPr>
          <w:trHeight w:val="28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4,557,803.68</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2,586,672.16</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851,990,302.02</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939,692,854.16</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．不涉及现金收支的重大投资和筹</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资活动：</w:t>
            </w:r>
            <w:r>
              <w:rPr>
                <w:rFonts w:ascii="宋体" w:hAnsi="宋体" w:cs="宋体" w:eastAsia="宋体" w:hint="default"/>
                <w:sz w:val="21"/>
                <w:szCs w:val="21"/>
              </w:rPr>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1,358,034,504.85</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349,420,000.00</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821,282,589.31</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891,874,144.12</w:t>
            </w:r>
          </w:p>
        </w:tc>
      </w:tr>
      <w:tr>
        <w:trPr>
          <w:trHeight w:val="28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891,874,144.12</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318,843,128.04</w:t>
            </w:r>
          </w:p>
        </w:tc>
      </w:tr>
      <w:tr>
        <w:trPr>
          <w:trHeight w:val="28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-70,591,554.81</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573,031,016.08</w:t>
            </w:r>
          </w:p>
        </w:tc>
      </w:tr>
    </w:tbl>
    <w:p>
      <w:pPr>
        <w:spacing w:line="240" w:lineRule="auto" w:before="2"/>
        <w:rPr>
          <w:rFonts w:ascii="宋体" w:hAnsi="宋体" w:cs="宋体" w:eastAsia="宋体" w:hint="default"/>
          <w:sz w:val="20"/>
          <w:szCs w:val="20"/>
        </w:rPr>
      </w:pPr>
    </w:p>
    <w:p>
      <w:pPr>
        <w:pStyle w:val="Heading2"/>
        <w:spacing w:line="240" w:lineRule="auto" w:before="36"/>
        <w:ind w:right="2497"/>
        <w:jc w:val="left"/>
        <w:rPr>
          <w:b w:val="0"/>
          <w:bCs w:val="0"/>
        </w:rPr>
      </w:pPr>
      <w:r>
        <w:rPr>
          <w:rFonts w:ascii="宋体" w:hAnsi="宋体" w:cs="宋体" w:eastAsia="宋体" w:hint="default"/>
        </w:rPr>
        <w:t>(2)</w:t>
      </w:r>
      <w:r>
        <w:rPr>
          <w:rFonts w:ascii="宋体" w:hAnsi="宋体" w:cs="宋体" w:eastAsia="宋体" w:hint="default"/>
          <w:spacing w:val="1"/>
        </w:rPr>
        <w:t> </w:t>
      </w:r>
      <w:r>
        <w:rPr/>
        <w:t>本期支付的取得子公司的现金净额</w:t>
      </w:r>
      <w:r>
        <w:rPr>
          <w:b w:val="0"/>
          <w:bCs w:val="0"/>
        </w:rPr>
      </w:r>
    </w:p>
    <w:p>
      <w:pPr>
        <w:pStyle w:val="BodyText"/>
        <w:spacing w:line="240" w:lineRule="auto" w:before="56"/>
        <w:ind w:right="249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497"/>
        <w:jc w:val="left"/>
        <w:rPr>
          <w:b w:val="0"/>
          <w:bCs w:val="0"/>
        </w:rPr>
      </w:pPr>
      <w:r>
        <w:rPr>
          <w:rFonts w:ascii="宋体" w:hAnsi="宋体" w:cs="宋体" w:eastAsia="宋体" w:hint="default"/>
        </w:rPr>
        <w:t>(3)</w:t>
      </w:r>
      <w:r>
        <w:rPr>
          <w:rFonts w:ascii="宋体" w:hAnsi="宋体" w:cs="宋体" w:eastAsia="宋体" w:hint="default"/>
          <w:spacing w:val="1"/>
        </w:rPr>
        <w:t> </w:t>
      </w:r>
      <w:r>
        <w:rPr/>
        <w:t>本期收到的处置子公司的现金净额</w:t>
      </w:r>
      <w:r>
        <w:rPr>
          <w:b w:val="0"/>
          <w:bCs w:val="0"/>
        </w:rPr>
      </w:r>
    </w:p>
    <w:p>
      <w:pPr>
        <w:pStyle w:val="BodyText"/>
        <w:spacing w:line="240" w:lineRule="auto" w:before="56"/>
        <w:ind w:right="2497"/>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1040"/>
        </w:sectPr>
      </w:pPr>
    </w:p>
    <w:p>
      <w:pPr>
        <w:pStyle w:val="Heading2"/>
        <w:spacing w:line="240" w:lineRule="auto" w:before="36"/>
        <w:ind w:right="-19"/>
        <w:jc w:val="left"/>
        <w:rPr>
          <w:b w:val="0"/>
          <w:bCs w:val="0"/>
        </w:rPr>
      </w:pPr>
      <w:r>
        <w:rPr>
          <w:rFonts w:ascii="宋体" w:hAnsi="宋体" w:cs="宋体" w:eastAsia="宋体" w:hint="default"/>
        </w:rPr>
        <w:t>(4)</w:t>
      </w:r>
      <w:r>
        <w:rPr>
          <w:rFonts w:ascii="宋体" w:hAnsi="宋体" w:cs="宋体" w:eastAsia="宋体" w:hint="default"/>
          <w:spacing w:val="2"/>
        </w:rPr>
        <w:t> </w:t>
      </w:r>
      <w:r>
        <w:rPr/>
        <w:t>现金和现金等价物的构成</w:t>
      </w:r>
      <w:r>
        <w:rPr>
          <w:b w:val="0"/>
          <w:bCs w:val="0"/>
        </w:rPr>
      </w:r>
    </w:p>
    <w:p>
      <w:pPr>
        <w:pStyle w:val="BodyText"/>
        <w:spacing w:line="240" w:lineRule="auto" w:before="58"/>
        <w:ind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965" w:space="3557"/>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4"/>
        <w:gridCol w:w="2921"/>
        <w:gridCol w:w="2734"/>
      </w:tblGrid>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4"/>
              <w:jc w:val="center"/>
              <w:rPr>
                <w:rFonts w:ascii="宋体" w:hAnsi="宋体" w:cs="宋体" w:eastAsia="宋体" w:hint="default"/>
                <w:sz w:val="21"/>
                <w:szCs w:val="21"/>
              </w:rPr>
            </w:pPr>
            <w:r>
              <w:rPr>
                <w:rFonts w:ascii="宋体" w:hAnsi="宋体" w:cs="宋体" w:eastAsia="宋体" w:hint="default"/>
                <w:sz w:val="21"/>
                <w:szCs w:val="21"/>
              </w:rPr>
              <w:t>项目</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821,282,589.31</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891,874,144.12</w:t>
            </w: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50,428.00</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847.56</w:t>
            </w:r>
          </w:p>
        </w:tc>
      </w:tr>
      <w:tr>
        <w:trPr>
          <w:trHeight w:val="293"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525"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821,232,161.31</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891,873,296.56</w:t>
            </w:r>
          </w:p>
        </w:tc>
      </w:tr>
      <w:tr>
        <w:trPr>
          <w:trHeight w:val="557"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5" w:right="0"/>
              <w:jc w:val="left"/>
              <w:rPr>
                <w:rFonts w:ascii="宋体" w:hAnsi="宋体" w:cs="宋体" w:eastAsia="宋体" w:hint="default"/>
                <w:sz w:val="21"/>
                <w:szCs w:val="21"/>
              </w:rPr>
            </w:pPr>
            <w:r>
              <w:rPr>
                <w:rFonts w:ascii="宋体" w:hAnsi="宋体" w:cs="宋体" w:eastAsia="宋体" w:hint="default"/>
                <w:sz w:val="21"/>
                <w:szCs w:val="21"/>
              </w:rPr>
              <w:t>可随时用于支付的其他货币资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5" w:right="0"/>
              <w:jc w:val="left"/>
              <w:rPr>
                <w:rFonts w:ascii="宋体" w:hAnsi="宋体" w:cs="宋体" w:eastAsia="宋体" w:hint="default"/>
                <w:sz w:val="21"/>
                <w:szCs w:val="21"/>
              </w:rPr>
            </w:pPr>
            <w:r>
              <w:rPr>
                <w:rFonts w:ascii="宋体" w:hAnsi="宋体" w:cs="宋体" w:eastAsia="宋体" w:hint="default"/>
                <w:sz w:val="21"/>
                <w:szCs w:val="21"/>
              </w:rPr>
              <w:t>可用于支付的存放中央银行款</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525" w:right="0"/>
              <w:jc w:val="left"/>
              <w:rPr>
                <w:rFonts w:ascii="宋体" w:hAnsi="宋体" w:cs="宋体" w:eastAsia="宋体" w:hint="default"/>
                <w:sz w:val="21"/>
                <w:szCs w:val="21"/>
              </w:rPr>
            </w:pPr>
            <w:r>
              <w:rPr>
                <w:rFonts w:ascii="宋体" w:hAnsi="宋体" w:cs="宋体" w:eastAsia="宋体" w:hint="default"/>
                <w:sz w:val="21"/>
                <w:szCs w:val="21"/>
              </w:rPr>
              <w:t>存放同业款项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525"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821,282,589.31</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891,874,144.12</w:t>
            </w:r>
          </w:p>
        </w:tc>
      </w:tr>
      <w:tr>
        <w:trPr>
          <w:trHeight w:val="554"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其中：母公司或集团内子公司使用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受限制的现金和现金等价物</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BodyText"/>
        <w:spacing w:line="240" w:lineRule="auto" w:before="36"/>
        <w:ind w:right="2497"/>
        <w:jc w:val="left"/>
      </w:pPr>
      <w:r>
        <w:rPr/>
        <w:t>其他说明：</w:t>
      </w:r>
    </w:p>
    <w:p>
      <w:pPr>
        <w:pStyle w:val="BodyText"/>
        <w:spacing w:line="240" w:lineRule="auto" w:before="56"/>
        <w:ind w:right="2497"/>
        <w:jc w:val="left"/>
      </w:pPr>
      <w:r>
        <w:rPr/>
        <w:t>□适用</w:t>
      </w:r>
      <w:r>
        <w:rPr>
          <w:spacing w:val="-1"/>
        </w:rPr>
        <w:t> </w:t>
      </w:r>
      <w:r>
        <w:rPr/>
        <w:t>√不适用</w:t>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spacing w:line="290" w:lineRule="auto" w:before="36"/>
        <w:ind w:left="218" w:right="2497" w:firstLine="0"/>
        <w:jc w:val="left"/>
        <w:rPr>
          <w:rFonts w:ascii="宋体" w:hAnsi="宋体" w:cs="宋体" w:eastAsia="宋体" w:hint="default"/>
          <w:sz w:val="21"/>
          <w:szCs w:val="21"/>
        </w:rPr>
      </w:pPr>
      <w:r>
        <w:rPr>
          <w:rFonts w:ascii="宋体" w:hAnsi="宋体" w:cs="宋体" w:eastAsia="宋体" w:hint="default"/>
          <w:b/>
          <w:bCs/>
          <w:sz w:val="21"/>
          <w:szCs w:val="21"/>
        </w:rPr>
        <w:t>75</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所有者权益变动表项目注释</w:t>
      </w:r>
      <w:r>
        <w:rPr>
          <w:rFonts w:ascii="宋体" w:hAnsi="宋体" w:cs="宋体" w:eastAsia="宋体" w:hint="default"/>
          <w:b/>
          <w:bCs/>
          <w:w w:val="100"/>
          <w:sz w:val="21"/>
          <w:szCs w:val="21"/>
        </w:rPr>
        <w:t> </w:t>
      </w:r>
      <w:r>
        <w:rPr>
          <w:rFonts w:ascii="宋体" w:hAnsi="宋体" w:cs="宋体" w:eastAsia="宋体" w:hint="default"/>
          <w:spacing w:val="-2"/>
          <w:sz w:val="21"/>
          <w:szCs w:val="21"/>
        </w:rPr>
        <w:t>说明对上年期末余额进行调整的“其他”项目名称及调整金额等事项：</w:t>
      </w:r>
    </w:p>
    <w:p>
      <w:pPr>
        <w:pStyle w:val="BodyText"/>
        <w:spacing w:line="227" w:lineRule="exact"/>
        <w:ind w:right="2497"/>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1040"/>
        </w:sectPr>
      </w:pPr>
    </w:p>
    <w:p>
      <w:pPr>
        <w:pStyle w:val="Heading2"/>
        <w:spacing w:line="240" w:lineRule="auto" w:before="36"/>
        <w:ind w:right="-17"/>
        <w:jc w:val="left"/>
        <w:rPr>
          <w:b w:val="0"/>
          <w:bCs w:val="0"/>
        </w:rPr>
      </w:pPr>
      <w:r>
        <w:rPr>
          <w:rFonts w:ascii="宋体" w:hAnsi="宋体" w:cs="宋体" w:eastAsia="宋体" w:hint="default"/>
        </w:rPr>
        <w:t>76</w:t>
      </w:r>
      <w:r>
        <w:rPr/>
        <w:t>、</w:t>
      </w:r>
      <w:r>
        <w:rPr>
          <w:spacing w:val="-27"/>
        </w:rPr>
        <w:t> </w:t>
      </w:r>
      <w:r>
        <w:rPr/>
        <w:t>所有权或使用权受到限制的资产</w:t>
      </w:r>
      <w:r>
        <w:rPr>
          <w:b w:val="0"/>
          <w:bCs w:val="0"/>
        </w:rPr>
      </w:r>
    </w:p>
    <w:p>
      <w:pPr>
        <w:pStyle w:val="BodyText"/>
        <w:spacing w:line="240" w:lineRule="auto" w:before="58"/>
        <w:ind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675" w:space="2847"/>
            <w:col w:w="2768"/>
          </w:cols>
        </w:sectPr>
      </w:pP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3157"/>
        <w:gridCol w:w="3046"/>
        <w:gridCol w:w="2693"/>
      </w:tblGrid>
      <w:tr>
        <w:trPr>
          <w:trHeight w:val="281"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59"/>
              <w:jc w:val="right"/>
              <w:rPr>
                <w:rFonts w:ascii="宋体" w:hAnsi="宋体" w:cs="宋体" w:eastAsia="宋体" w:hint="default"/>
                <w:sz w:val="21"/>
                <w:szCs w:val="21"/>
              </w:rPr>
            </w:pPr>
            <w:r>
              <w:rPr>
                <w:rFonts w:ascii="宋体" w:hAnsi="宋体" w:cs="宋体" w:eastAsia="宋体" w:hint="default"/>
                <w:sz w:val="21"/>
                <w:szCs w:val="21"/>
              </w:rPr>
              <w:t>项目</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5"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受限原因</w:t>
            </w:r>
          </w:p>
        </w:tc>
      </w:tr>
      <w:tr>
        <w:trPr>
          <w:trHeight w:val="557"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65,828,427.51</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承兑汇票保证金及监管账户</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余额</w:t>
            </w:r>
          </w:p>
        </w:tc>
      </w:tr>
      <w:tr>
        <w:trPr>
          <w:trHeight w:val="283" w:hRule="exact"/>
        </w:trPr>
        <w:tc>
          <w:tcPr>
            <w:tcW w:w="3157" w:type="dxa"/>
            <w:tcBorders>
              <w:top w:val="single" w:sz="4" w:space="0" w:color="000000"/>
              <w:left w:val="single" w:sz="4" w:space="0" w:color="000000"/>
              <w:bottom w:val="single" w:sz="6"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3046" w:type="dxa"/>
            <w:tcBorders>
              <w:top w:val="single" w:sz="4" w:space="0" w:color="000000"/>
              <w:left w:val="single" w:sz="4" w:space="0" w:color="000000"/>
              <w:bottom w:val="single" w:sz="6"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33,129,207.71</w:t>
            </w:r>
          </w:p>
        </w:tc>
        <w:tc>
          <w:tcPr>
            <w:tcW w:w="2693" w:type="dxa"/>
            <w:tcBorders>
              <w:top w:val="single" w:sz="4" w:space="0" w:color="000000"/>
              <w:left w:val="single" w:sz="4" w:space="0" w:color="000000"/>
              <w:bottom w:val="single" w:sz="6"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抵押借款</w:t>
            </w:r>
          </w:p>
        </w:tc>
      </w:tr>
      <w:tr>
        <w:trPr>
          <w:trHeight w:val="289" w:hRule="exact"/>
        </w:trPr>
        <w:tc>
          <w:tcPr>
            <w:tcW w:w="31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w:t>
            </w:r>
            <w:r>
              <w:rPr>
                <w:rFonts w:ascii="宋体" w:hAnsi="宋体" w:cs="宋体" w:eastAsia="宋体" w:hint="default"/>
                <w:sz w:val="21"/>
                <w:szCs w:val="21"/>
              </w:rPr>
              <w:t>船舶</w:t>
            </w:r>
          </w:p>
        </w:tc>
        <w:tc>
          <w:tcPr>
            <w:tcW w:w="30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2,540,027,802.02</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抵押借款、融资租赁</w:t>
            </w:r>
          </w:p>
        </w:tc>
      </w:tr>
      <w:tr>
        <w:trPr>
          <w:trHeight w:val="288" w:hRule="exact"/>
        </w:trPr>
        <w:tc>
          <w:tcPr>
            <w:tcW w:w="31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w:t>
            </w:r>
            <w:r>
              <w:rPr>
                <w:rFonts w:ascii="宋体" w:hAnsi="宋体" w:cs="宋体" w:eastAsia="宋体" w:hint="default"/>
                <w:sz w:val="21"/>
                <w:szCs w:val="21"/>
              </w:rPr>
              <w:t>集装箱</w:t>
            </w:r>
          </w:p>
        </w:tc>
        <w:tc>
          <w:tcPr>
            <w:tcW w:w="30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972,891,417.59</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融资</w:t>
            </w:r>
            <w:r>
              <w:rPr>
                <w:rFonts w:ascii="宋体" w:hAnsi="宋体" w:cs="宋体" w:eastAsia="宋体" w:hint="default"/>
                <w:spacing w:val="-3"/>
                <w:w w:val="100"/>
                <w:sz w:val="21"/>
                <w:szCs w:val="21"/>
              </w:rPr>
              <w:t>租赁</w:t>
            </w:r>
            <w:r>
              <w:rPr>
                <w:rFonts w:ascii="宋体" w:hAnsi="宋体" w:cs="宋体" w:eastAsia="宋体" w:hint="default"/>
                <w:spacing w:val="-97"/>
                <w:w w:val="100"/>
                <w:sz w:val="21"/>
                <w:szCs w:val="21"/>
              </w:rPr>
              <w:t>、</w:t>
            </w:r>
            <w:r>
              <w:rPr>
                <w:rFonts w:ascii="宋体" w:hAnsi="宋体" w:cs="宋体" w:eastAsia="宋体" w:hint="default"/>
                <w:spacing w:val="-3"/>
                <w:w w:val="100"/>
                <w:sz w:val="21"/>
                <w:szCs w:val="21"/>
              </w:rPr>
              <w:t>分</w:t>
            </w:r>
            <w:r>
              <w:rPr>
                <w:rFonts w:ascii="宋体" w:hAnsi="宋体" w:cs="宋体" w:eastAsia="宋体" w:hint="default"/>
                <w:w w:val="100"/>
                <w:sz w:val="21"/>
                <w:szCs w:val="21"/>
              </w:rPr>
              <w:t>期</w:t>
            </w:r>
            <w:r>
              <w:rPr>
                <w:rFonts w:ascii="宋体" w:hAnsi="宋体" w:cs="宋体" w:eastAsia="宋体" w:hint="default"/>
                <w:spacing w:val="-3"/>
                <w:w w:val="100"/>
                <w:sz w:val="21"/>
                <w:szCs w:val="21"/>
              </w:rPr>
              <w:t>购</w:t>
            </w:r>
            <w:r>
              <w:rPr>
                <w:rFonts w:ascii="宋体" w:hAnsi="宋体" w:cs="宋体" w:eastAsia="宋体" w:hint="default"/>
                <w:w w:val="100"/>
                <w:sz w:val="21"/>
                <w:szCs w:val="21"/>
              </w:rPr>
              <w:t>买</w:t>
            </w:r>
            <w:r>
              <w:rPr>
                <w:rFonts w:ascii="宋体" w:hAnsi="宋体" w:cs="宋体" w:eastAsia="宋体" w:hint="default"/>
                <w:spacing w:val="-3"/>
                <w:w w:val="100"/>
                <w:sz w:val="21"/>
                <w:szCs w:val="21"/>
              </w:rPr>
              <w:t>固</w:t>
            </w:r>
            <w:r>
              <w:rPr>
                <w:rFonts w:ascii="宋体" w:hAnsi="宋体" w:cs="宋体" w:eastAsia="宋体" w:hint="default"/>
                <w:w w:val="100"/>
                <w:sz w:val="21"/>
                <w:szCs w:val="21"/>
              </w:rPr>
              <w:t>定</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p>
        </w:tc>
      </w:tr>
      <w:tr>
        <w:trPr>
          <w:trHeight w:val="286" w:hRule="exact"/>
        </w:trPr>
        <w:tc>
          <w:tcPr>
            <w:tcW w:w="3157"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w:t>
            </w:r>
            <w:r>
              <w:rPr>
                <w:rFonts w:ascii="宋体" w:hAnsi="宋体" w:cs="宋体" w:eastAsia="宋体" w:hint="default"/>
                <w:sz w:val="21"/>
                <w:szCs w:val="21"/>
              </w:rPr>
              <w:t>运输设备</w:t>
            </w:r>
          </w:p>
        </w:tc>
        <w:tc>
          <w:tcPr>
            <w:tcW w:w="30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2,756,725.18</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融资租赁固定资产</w:t>
            </w:r>
          </w:p>
        </w:tc>
      </w:tr>
      <w:tr>
        <w:trPr>
          <w:trHeight w:val="288"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359"/>
              <w:jc w:val="right"/>
              <w:rPr>
                <w:rFonts w:ascii="宋体" w:hAnsi="宋体" w:cs="宋体" w:eastAsia="宋体" w:hint="default"/>
                <w:sz w:val="21"/>
                <w:szCs w:val="21"/>
              </w:rPr>
            </w:pPr>
            <w:r>
              <w:rPr>
                <w:rFonts w:ascii="宋体" w:hAnsi="宋体" w:cs="宋体" w:eastAsia="宋体" w:hint="default"/>
                <w:sz w:val="21"/>
                <w:szCs w:val="21"/>
              </w:rPr>
              <w:t>合计</w:t>
            </w:r>
          </w:p>
        </w:tc>
        <w:tc>
          <w:tcPr>
            <w:tcW w:w="3046" w:type="dxa"/>
            <w:tcBorders>
              <w:top w:val="single" w:sz="6" w:space="0" w:color="000000"/>
              <w:left w:val="single" w:sz="4" w:space="0" w:color="000000"/>
              <w:bottom w:val="single" w:sz="6"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3,614,633,580.01</w:t>
            </w:r>
          </w:p>
        </w:tc>
        <w:tc>
          <w:tcPr>
            <w:tcW w:w="2693" w:type="dxa"/>
            <w:tcBorders>
              <w:top w:val="single" w:sz="6" w:space="0" w:color="000000"/>
              <w:left w:val="single" w:sz="4" w:space="0" w:color="000000"/>
              <w:bottom w:val="single" w:sz="6"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w w:val="100"/>
                <w:sz w:val="21"/>
              </w:rPr>
              <w:t>/</w:t>
            </w:r>
          </w:p>
        </w:tc>
      </w:tr>
    </w:tbl>
    <w:p>
      <w:pPr>
        <w:spacing w:line="240" w:lineRule="auto" w:before="2"/>
        <w:rPr>
          <w:rFonts w:ascii="宋体" w:hAnsi="宋体" w:cs="宋体" w:eastAsia="宋体" w:hint="default"/>
          <w:sz w:val="20"/>
          <w:szCs w:val="20"/>
        </w:rPr>
      </w:pPr>
    </w:p>
    <w:p>
      <w:pPr>
        <w:pStyle w:val="BodyText"/>
        <w:spacing w:line="290" w:lineRule="auto" w:before="36"/>
        <w:ind w:right="7998"/>
        <w:jc w:val="left"/>
      </w:pPr>
      <w:r>
        <w:rPr/>
        <w:t>其他说明：</w:t>
      </w:r>
      <w:r>
        <w:rPr>
          <w:spacing w:val="-102"/>
        </w:rPr>
        <w:t> </w:t>
      </w:r>
      <w:r>
        <w:rPr>
          <w:spacing w:val="-102"/>
        </w:rPr>
      </w:r>
      <w:r>
        <w:rPr/>
        <w:t>不适用</w:t>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040"/>
        </w:sectPr>
      </w:pPr>
    </w:p>
    <w:p>
      <w:pPr>
        <w:pStyle w:val="Heading2"/>
        <w:tabs>
          <w:tab w:pos="918" w:val="left" w:leader="none"/>
        </w:tabs>
        <w:spacing w:line="290" w:lineRule="auto" w:before="36"/>
        <w:ind w:right="0"/>
        <w:jc w:val="left"/>
        <w:rPr>
          <w:rFonts w:ascii="宋体" w:hAnsi="宋体" w:cs="宋体" w:eastAsia="宋体" w:hint="default"/>
          <w:b w:val="0"/>
          <w:bCs w:val="0"/>
        </w:rPr>
      </w:pPr>
      <w:r>
        <w:rPr>
          <w:rFonts w:ascii="宋体" w:hAnsi="宋体" w:cs="宋体" w:eastAsia="宋体" w:hint="default"/>
        </w:rPr>
        <w:t>77</w:t>
      </w:r>
      <w:r>
        <w:rPr/>
        <w:t>、</w:t>
      </w:r>
      <w:r>
        <w:rPr>
          <w:spacing w:val="-15"/>
        </w:rPr>
        <w:t> </w:t>
      </w:r>
      <w:r>
        <w:rPr/>
        <w:t>外币货币性项目</w:t>
      </w:r>
      <w:r>
        <w:rPr>
          <w:w w:val="100"/>
        </w:rPr>
        <w:t> </w:t>
      </w:r>
      <w:r>
        <w:rPr>
          <w:rFonts w:ascii="宋体" w:hAnsi="宋体" w:cs="宋体" w:eastAsia="宋体" w:hint="default"/>
          <w:w w:val="95"/>
        </w:rPr>
        <w:t>(1).</w:t>
        <w:tab/>
      </w:r>
      <w:r>
        <w:rPr/>
        <w:t>外币货币性项目</w:t>
      </w:r>
      <w:r>
        <w:rPr>
          <w:rFonts w:ascii="宋体" w:hAnsi="宋体" w:cs="宋体" w:eastAsia="宋体" w:hint="default"/>
          <w:b w:val="0"/>
          <w:bCs w:val="0"/>
        </w:rPr>
        <w:t>：</w:t>
      </w:r>
    </w:p>
    <w:p>
      <w:pPr>
        <w:pStyle w:val="BodyText"/>
        <w:spacing w:line="240" w:lineRule="auto" w:before="12"/>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spacing w:line="240" w:lineRule="auto"/>
        <w:ind w:right="0"/>
        <w:jc w:val="left"/>
      </w:pPr>
      <w:r>
        <w:rPr/>
        <w:t>单位：元</w:t>
      </w:r>
    </w:p>
    <w:p>
      <w:pPr>
        <w:spacing w:after="0" w:line="240" w:lineRule="auto"/>
        <w:jc w:val="left"/>
        <w:sectPr>
          <w:type w:val="continuous"/>
          <w:pgSz w:w="11910" w:h="16840"/>
          <w:pgMar w:top="1120" w:bottom="1380" w:left="1580" w:right="1040"/>
          <w:cols w:num="2" w:equalWidth="0">
            <w:col w:w="2610" w:space="5384"/>
            <w:col w:w="1296"/>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97"/>
        <w:gridCol w:w="2050"/>
        <w:gridCol w:w="2057"/>
        <w:gridCol w:w="2045"/>
      </w:tblGrid>
      <w:tr>
        <w:trPr>
          <w:trHeight w:val="554"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8" w:right="0"/>
              <w:jc w:val="left"/>
              <w:rPr>
                <w:rFonts w:ascii="宋体" w:hAnsi="宋体" w:cs="宋体" w:eastAsia="宋体" w:hint="default"/>
                <w:sz w:val="21"/>
                <w:szCs w:val="21"/>
              </w:rPr>
            </w:pPr>
            <w:r>
              <w:rPr>
                <w:rFonts w:ascii="宋体" w:hAnsi="宋体" w:cs="宋体" w:eastAsia="宋体" w:hint="default"/>
                <w:sz w:val="21"/>
                <w:szCs w:val="21"/>
              </w:rPr>
              <w:t>期末外币余额</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04" w:right="0"/>
              <w:jc w:val="left"/>
              <w:rPr>
                <w:rFonts w:ascii="宋体" w:hAnsi="宋体" w:cs="宋体" w:eastAsia="宋体" w:hint="default"/>
                <w:sz w:val="21"/>
                <w:szCs w:val="21"/>
              </w:rPr>
            </w:pPr>
            <w:r>
              <w:rPr>
                <w:rFonts w:ascii="宋体" w:hAnsi="宋体" w:cs="宋体" w:eastAsia="宋体" w:hint="default"/>
                <w:sz w:val="21"/>
                <w:szCs w:val="21"/>
              </w:rPr>
              <w:t>折算汇率</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期末折算人民币</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余额</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3.42</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6.58</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22.50</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台币</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143,431.00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0.22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31,755.62</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BodyText"/>
        <w:spacing w:line="290" w:lineRule="auto" w:before="36"/>
        <w:ind w:right="7998"/>
        <w:jc w:val="left"/>
      </w:pPr>
      <w:r>
        <w:rPr/>
        <w:t>其他说明：</w:t>
      </w:r>
      <w:r>
        <w:rPr>
          <w:spacing w:val="-102"/>
        </w:rPr>
        <w:t> </w:t>
      </w:r>
      <w:r>
        <w:rPr>
          <w:spacing w:val="-102"/>
        </w:rPr>
      </w:r>
      <w:r>
        <w:rPr/>
        <w:t>不适用</w:t>
      </w:r>
    </w:p>
    <w:p>
      <w:pPr>
        <w:pStyle w:val="Heading2"/>
        <w:tabs>
          <w:tab w:pos="918" w:val="left" w:leader="none"/>
        </w:tabs>
        <w:spacing w:line="272" w:lineRule="exact" w:before="42"/>
        <w:ind w:left="638" w:right="228" w:hanging="420"/>
        <w:jc w:val="left"/>
        <w:rPr>
          <w:b w:val="0"/>
          <w:bCs w:val="0"/>
        </w:rPr>
      </w:pPr>
      <w:r>
        <w:rPr>
          <w:rFonts w:ascii="宋体" w:hAnsi="宋体" w:cs="宋体" w:eastAsia="宋体" w:hint="default"/>
          <w:w w:val="95"/>
        </w:rPr>
        <w:t>(2).</w:t>
        <w:tab/>
      </w:r>
      <w:r>
        <w:rPr>
          <w:spacing w:val="-3"/>
        </w:rPr>
        <w:t>境外经营实体说明，包括对于重要的境外经营实体，应披露其境外主要经营地、记账本位</w:t>
      </w:r>
      <w:r>
        <w:rPr>
          <w:spacing w:val="-79"/>
        </w:rPr>
        <w:t> </w:t>
      </w:r>
      <w:r>
        <w:rPr>
          <w:spacing w:val="-79"/>
        </w:rPr>
      </w:r>
      <w:r>
        <w:rPr/>
        <w:t>币及选择依据，记账本位币发生变化的还应披露原因。</w:t>
      </w:r>
      <w:r>
        <w:rPr>
          <w:b w:val="0"/>
          <w:bCs w:val="0"/>
        </w:rPr>
      </w:r>
    </w:p>
    <w:p>
      <w:pPr>
        <w:pStyle w:val="BodyText"/>
        <w:spacing w:line="273" w:lineRule="exact" w:before="34"/>
        <w:ind w:right="2497"/>
        <w:jc w:val="left"/>
      </w:pPr>
      <w:r>
        <w:rPr/>
        <w:t>√适用</w:t>
      </w:r>
      <w:r>
        <w:rPr>
          <w:spacing w:val="-1"/>
        </w:rPr>
        <w:t> </w:t>
      </w:r>
      <w:r>
        <w:rPr/>
        <w:t>□不适用</w:t>
      </w:r>
    </w:p>
    <w:p>
      <w:pPr>
        <w:pStyle w:val="BodyText"/>
        <w:spacing w:line="240" w:lineRule="auto"/>
        <w:ind w:right="236"/>
        <w:jc w:val="left"/>
      </w:pPr>
      <w:r>
        <w:rPr/>
        <w:t>泉州安通物流有限公司台湾分公司，成立于</w:t>
      </w:r>
      <w:r>
        <w:rPr>
          <w:spacing w:val="-53"/>
        </w:rPr>
        <w:t> </w:t>
      </w:r>
      <w:r>
        <w:rPr>
          <w:rFonts w:ascii="宋体" w:hAnsi="宋体" w:cs="宋体" w:eastAsia="宋体" w:hint="default"/>
        </w:rPr>
        <w:t>2012</w:t>
      </w:r>
      <w:r>
        <w:rPr>
          <w:rFonts w:ascii="宋体" w:hAnsi="宋体" w:cs="宋体" w:eastAsia="宋体" w:hint="default"/>
          <w:spacing w:val="-55"/>
        </w:rPr>
        <w:t> </w:t>
      </w:r>
      <w:r>
        <w:rPr/>
        <w:t>年</w:t>
      </w:r>
      <w:r>
        <w:rPr>
          <w:spacing w:val="-52"/>
        </w:rPr>
        <w:t> </w:t>
      </w:r>
      <w:r>
        <w:rPr>
          <w:rFonts w:ascii="宋体" w:hAnsi="宋体" w:cs="宋体" w:eastAsia="宋体" w:hint="default"/>
        </w:rPr>
        <w:t>8</w:t>
      </w:r>
      <w:r>
        <w:rPr>
          <w:rFonts w:ascii="宋体" w:hAnsi="宋体" w:cs="宋体" w:eastAsia="宋体" w:hint="default"/>
          <w:spacing w:val="-55"/>
        </w:rPr>
        <w:t> </w:t>
      </w:r>
      <w:r>
        <w:rPr/>
        <w:t>月</w:t>
      </w:r>
      <w:r>
        <w:rPr>
          <w:spacing w:val="-53"/>
        </w:rPr>
        <w:t> </w:t>
      </w:r>
      <w:r>
        <w:rPr>
          <w:rFonts w:ascii="宋体" w:hAnsi="宋体" w:cs="宋体" w:eastAsia="宋体" w:hint="default"/>
        </w:rPr>
        <w:t>25</w:t>
      </w:r>
      <w:r>
        <w:rPr>
          <w:rFonts w:ascii="宋体" w:hAnsi="宋体" w:cs="宋体" w:eastAsia="宋体" w:hint="default"/>
          <w:spacing w:val="-55"/>
        </w:rPr>
        <w:t> </w:t>
      </w:r>
      <w:r>
        <w:rPr/>
        <w:t>日，公司位于台湾基隆市，以台币为</w:t>
      </w:r>
      <w:r>
        <w:rPr>
          <w:w w:val="100"/>
        </w:rPr>
        <w:t> </w:t>
      </w:r>
      <w:r>
        <w:rPr/>
        <w:t>记账本位币，本期未发生实质经营活动。</w:t>
      </w:r>
    </w:p>
    <w:p>
      <w:pPr>
        <w:spacing w:line="240" w:lineRule="auto" w:before="3"/>
        <w:rPr>
          <w:rFonts w:ascii="宋体" w:hAnsi="宋体" w:cs="宋体" w:eastAsia="宋体" w:hint="default"/>
          <w:sz w:val="25"/>
          <w:szCs w:val="25"/>
        </w:rPr>
      </w:pPr>
    </w:p>
    <w:p>
      <w:pPr>
        <w:pStyle w:val="Heading2"/>
        <w:spacing w:line="240" w:lineRule="auto"/>
        <w:ind w:right="2497"/>
        <w:jc w:val="left"/>
        <w:rPr>
          <w:b w:val="0"/>
          <w:bCs w:val="0"/>
        </w:rPr>
      </w:pPr>
      <w:r>
        <w:rPr>
          <w:rFonts w:ascii="宋体" w:hAnsi="宋体" w:cs="宋体" w:eastAsia="宋体" w:hint="default"/>
        </w:rPr>
        <w:t>78</w:t>
      </w:r>
      <w:r>
        <w:rPr/>
        <w:t>、</w:t>
      </w:r>
      <w:r>
        <w:rPr>
          <w:spacing w:val="-26"/>
        </w:rPr>
        <w:t> </w:t>
      </w:r>
      <w:r>
        <w:rPr/>
        <w:t>套期</w:t>
      </w:r>
      <w:r>
        <w:rPr>
          <w:b w:val="0"/>
          <w:bCs w:val="0"/>
        </w:rPr>
      </w:r>
    </w:p>
    <w:p>
      <w:pPr>
        <w:pStyle w:val="BodyText"/>
        <w:spacing w:line="240" w:lineRule="auto" w:before="56"/>
        <w:ind w:right="249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497"/>
        <w:jc w:val="left"/>
        <w:rPr>
          <w:b w:val="0"/>
          <w:bCs w:val="0"/>
        </w:rPr>
      </w:pPr>
      <w:r>
        <w:rPr>
          <w:rFonts w:ascii="宋体" w:hAnsi="宋体" w:cs="宋体" w:eastAsia="宋体" w:hint="default"/>
        </w:rPr>
        <w:t>79</w:t>
      </w:r>
      <w:r>
        <w:rPr/>
        <w:t>、</w:t>
      </w:r>
      <w:r>
        <w:rPr>
          <w:spacing w:val="-25"/>
        </w:rPr>
        <w:t> </w:t>
      </w:r>
      <w:r>
        <w:rPr/>
        <w:t>政府补助</w:t>
      </w:r>
      <w:r>
        <w:rPr>
          <w:b w:val="0"/>
          <w:bCs w:val="0"/>
        </w:rPr>
      </w:r>
    </w:p>
    <w:p>
      <w:pPr>
        <w:pStyle w:val="Heading2"/>
        <w:tabs>
          <w:tab w:pos="642" w:val="left" w:leader="none"/>
        </w:tabs>
        <w:spacing w:line="240" w:lineRule="auto" w:before="56"/>
        <w:ind w:right="2497"/>
        <w:jc w:val="left"/>
        <w:rPr>
          <w:b w:val="0"/>
          <w:bCs w:val="0"/>
        </w:rPr>
      </w:pPr>
      <w:r>
        <w:rPr>
          <w:rFonts w:ascii="宋体" w:hAnsi="宋体" w:cs="宋体" w:eastAsia="宋体" w:hint="default"/>
          <w:w w:val="95"/>
        </w:rPr>
        <w:t>1.</w:t>
        <w:tab/>
      </w:r>
      <w:r>
        <w:rPr/>
        <w:t>政府补助基本情况</w:t>
      </w:r>
      <w:r>
        <w:rPr>
          <w:b w:val="0"/>
          <w:bCs w:val="0"/>
        </w:rPr>
      </w:r>
    </w:p>
    <w:p>
      <w:pPr>
        <w:pStyle w:val="BodyText"/>
        <w:spacing w:line="240" w:lineRule="auto" w:before="58"/>
        <w:ind w:right="2497"/>
        <w:jc w:val="left"/>
      </w:pPr>
      <w:r>
        <w:rPr/>
        <w:t>√适用</w:t>
      </w:r>
      <w:r>
        <w:rPr>
          <w:spacing w:val="-1"/>
        </w:rPr>
        <w:t> </w:t>
      </w:r>
      <w:r>
        <w:rPr/>
        <w:t>□不适用</w:t>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BodyText"/>
        <w:tabs>
          <w:tab w:pos="1051" w:val="left" w:leader="none"/>
        </w:tabs>
        <w:spacing w:line="240" w:lineRule="auto" w:before="3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264"/>
        <w:gridCol w:w="2261"/>
        <w:gridCol w:w="2264"/>
        <w:gridCol w:w="2261"/>
      </w:tblGrid>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5" w:right="0"/>
              <w:jc w:val="left"/>
              <w:rPr>
                <w:rFonts w:ascii="宋体" w:hAnsi="宋体" w:cs="宋体" w:eastAsia="宋体" w:hint="default"/>
                <w:sz w:val="21"/>
                <w:szCs w:val="21"/>
              </w:rPr>
            </w:pPr>
            <w:r>
              <w:rPr>
                <w:rFonts w:ascii="宋体" w:hAnsi="宋体" w:cs="宋体" w:eastAsia="宋体" w:hint="default"/>
                <w:sz w:val="21"/>
                <w:szCs w:val="21"/>
              </w:rPr>
              <w:t>列报项目</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9" w:right="0"/>
              <w:jc w:val="left"/>
              <w:rPr>
                <w:rFonts w:ascii="宋体" w:hAnsi="宋体" w:cs="宋体" w:eastAsia="宋体" w:hint="default"/>
                <w:sz w:val="21"/>
                <w:szCs w:val="21"/>
              </w:rPr>
            </w:pPr>
            <w:r>
              <w:rPr>
                <w:rFonts w:ascii="宋体" w:hAnsi="宋体" w:cs="宋体" w:eastAsia="宋体" w:hint="default"/>
                <w:sz w:val="21"/>
                <w:szCs w:val="21"/>
              </w:rPr>
              <w:t>计入当期损益的金额</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与收益相关</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95,610,078.00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其它收益</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95,610,078.00</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与收益相关</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28,840,638.20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28,840,638.20</w:t>
            </w:r>
          </w:p>
        </w:tc>
      </w:tr>
    </w:tbl>
    <w:p>
      <w:pPr>
        <w:spacing w:line="240" w:lineRule="auto" w:before="12"/>
        <w:rPr>
          <w:rFonts w:ascii="宋体" w:hAnsi="宋体" w:cs="宋体" w:eastAsia="宋体" w:hint="default"/>
          <w:sz w:val="19"/>
          <w:szCs w:val="19"/>
        </w:rPr>
      </w:pPr>
    </w:p>
    <w:p>
      <w:pPr>
        <w:pStyle w:val="Heading2"/>
        <w:tabs>
          <w:tab w:pos="642" w:val="left" w:leader="none"/>
        </w:tabs>
        <w:spacing w:line="240" w:lineRule="auto" w:before="36"/>
        <w:ind w:right="2497"/>
        <w:jc w:val="left"/>
        <w:rPr>
          <w:b w:val="0"/>
          <w:bCs w:val="0"/>
        </w:rPr>
      </w:pPr>
      <w:r>
        <w:rPr>
          <w:rFonts w:ascii="宋体" w:hAnsi="宋体" w:cs="宋体" w:eastAsia="宋体" w:hint="default"/>
          <w:w w:val="95"/>
        </w:rPr>
        <w:t>2.</w:t>
        <w:tab/>
      </w:r>
      <w:r>
        <w:rPr/>
        <w:t>政府补助退回情况</w:t>
      </w:r>
      <w:r>
        <w:rPr>
          <w:b w:val="0"/>
          <w:bCs w:val="0"/>
        </w:rPr>
      </w:r>
    </w:p>
    <w:p>
      <w:pPr>
        <w:pStyle w:val="BodyText"/>
        <w:spacing w:line="272" w:lineRule="exact" w:before="86"/>
        <w:ind w:right="7474"/>
        <w:jc w:val="left"/>
      </w:pPr>
      <w:r>
        <w:rPr/>
        <w:t>□适用</w:t>
      </w:r>
      <w:r>
        <w:rPr>
          <w:spacing w:val="-1"/>
        </w:rPr>
        <w:t> </w:t>
      </w:r>
      <w:r>
        <w:rPr/>
        <w:t>√不适用</w:t>
      </w:r>
      <w:r>
        <w:rPr>
          <w:w w:val="100"/>
        </w:rPr>
        <w:t> </w:t>
      </w:r>
      <w:r>
        <w:rPr/>
        <w:t>其他说明</w:t>
      </w:r>
    </w:p>
    <w:p>
      <w:pPr>
        <w:pStyle w:val="BodyText"/>
        <w:spacing w:line="249" w:lineRule="exact"/>
        <w:ind w:right="2497"/>
        <w:jc w:val="left"/>
      </w:pPr>
      <w:r>
        <w:rPr/>
        <w:t>不适用</w:t>
      </w:r>
    </w:p>
    <w:p>
      <w:pPr>
        <w:spacing w:line="240" w:lineRule="auto" w:before="3"/>
        <w:rPr>
          <w:rFonts w:ascii="宋体" w:hAnsi="宋体" w:cs="宋体" w:eastAsia="宋体" w:hint="default"/>
          <w:sz w:val="25"/>
          <w:szCs w:val="25"/>
        </w:rPr>
      </w:pPr>
    </w:p>
    <w:p>
      <w:pPr>
        <w:pStyle w:val="Heading2"/>
        <w:spacing w:line="240" w:lineRule="auto"/>
        <w:ind w:right="2497"/>
        <w:jc w:val="left"/>
        <w:rPr>
          <w:b w:val="0"/>
          <w:bCs w:val="0"/>
        </w:rPr>
      </w:pPr>
      <w:r>
        <w:rPr>
          <w:rFonts w:ascii="宋体" w:hAnsi="宋体" w:cs="宋体" w:eastAsia="宋体" w:hint="default"/>
        </w:rPr>
        <w:t>80</w:t>
      </w:r>
      <w:r>
        <w:rPr/>
        <w:t>、</w:t>
      </w:r>
      <w:r>
        <w:rPr>
          <w:spacing w:val="-26"/>
        </w:rPr>
        <w:t> </w:t>
      </w:r>
      <w:r>
        <w:rPr/>
        <w:t>其他</w:t>
      </w:r>
      <w:r>
        <w:rPr>
          <w:b w:val="0"/>
          <w:bCs w:val="0"/>
        </w:rPr>
      </w:r>
    </w:p>
    <w:p>
      <w:pPr>
        <w:pStyle w:val="BodyText"/>
        <w:spacing w:line="240" w:lineRule="auto" w:before="57"/>
        <w:ind w:right="2497"/>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1040"/>
        </w:sectPr>
      </w:pPr>
    </w:p>
    <w:p>
      <w:pPr>
        <w:pStyle w:val="Heading2"/>
        <w:spacing w:line="240" w:lineRule="auto" w:before="36"/>
        <w:ind w:right="-4"/>
        <w:jc w:val="left"/>
        <w:rPr>
          <w:b w:val="0"/>
          <w:bCs w:val="0"/>
        </w:rPr>
      </w:pPr>
      <w:r>
        <w:rPr/>
        <w:t>八、合并范围的变更</w:t>
      </w:r>
      <w:r>
        <w:rPr>
          <w:b w:val="0"/>
          <w:bCs w:val="0"/>
        </w:rPr>
      </w:r>
    </w:p>
    <w:p>
      <w:pPr>
        <w:pStyle w:val="Heading2"/>
        <w:spacing w:line="240" w:lineRule="auto" w:before="58"/>
        <w:ind w:right="-4"/>
        <w:jc w:val="left"/>
        <w:rPr>
          <w:b w:val="0"/>
          <w:bCs w:val="0"/>
        </w:rPr>
      </w:pPr>
      <w:r>
        <w:rPr>
          <w:rFonts w:ascii="宋体" w:hAnsi="宋体" w:cs="宋体" w:eastAsia="宋体" w:hint="default"/>
        </w:rPr>
        <w:t>1</w:t>
      </w:r>
      <w:r>
        <w:rPr/>
        <w:t>、</w:t>
      </w:r>
      <w:r>
        <w:rPr>
          <w:spacing w:val="-3"/>
        </w:rPr>
        <w:t> </w:t>
      </w:r>
      <w:r>
        <w:rPr/>
        <w:t>非同一控制下企业合并</w:t>
      </w:r>
      <w:r>
        <w:rPr>
          <w:b w:val="0"/>
          <w:bCs w:val="0"/>
        </w:rPr>
      </w:r>
    </w:p>
    <w:p>
      <w:pPr>
        <w:pStyle w:val="BodyText"/>
        <w:spacing w:line="240" w:lineRule="auto" w:before="56"/>
        <w:ind w:right="-4"/>
        <w:jc w:val="left"/>
      </w:pPr>
      <w:r>
        <w:rPr/>
        <w:t>√适用</w:t>
      </w:r>
      <w:r>
        <w:rPr>
          <w:spacing w:val="-1"/>
        </w:rPr>
        <w:t> </w:t>
      </w:r>
      <w:r>
        <w:rPr/>
        <w:t>□不适用</w:t>
      </w:r>
    </w:p>
    <w:p>
      <w:pPr>
        <w:pStyle w:val="Heading2"/>
        <w:tabs>
          <w:tab w:pos="875" w:val="left" w:leader="none"/>
        </w:tabs>
        <w:spacing w:line="240" w:lineRule="auto" w:before="58"/>
        <w:ind w:right="-4"/>
        <w:jc w:val="left"/>
        <w:rPr>
          <w:b w:val="0"/>
          <w:bCs w:val="0"/>
        </w:rPr>
      </w:pPr>
      <w:r>
        <w:rPr>
          <w:rFonts w:ascii="宋体" w:hAnsi="宋体" w:cs="宋体" w:eastAsia="宋体" w:hint="default"/>
          <w:w w:val="95"/>
        </w:rPr>
        <w:t>(1).</w:t>
        <w:tab/>
      </w:r>
      <w:r>
        <w:rPr>
          <w:spacing w:val="-1"/>
        </w:rPr>
        <w:t>本期发生的非同一控制下企业合并</w:t>
      </w:r>
      <w:r>
        <w:rPr>
          <w:b w:val="0"/>
          <w:bCs w:val="0"/>
          <w:spacing w:val="-1"/>
        </w:rPr>
      </w:r>
    </w:p>
    <w:p>
      <w:pPr>
        <w:pStyle w:val="BodyText"/>
        <w:spacing w:line="240" w:lineRule="auto" w:before="56"/>
        <w:ind w:right="-4"/>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039" w:space="2482"/>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102"/>
        <w:gridCol w:w="852"/>
        <w:gridCol w:w="1417"/>
        <w:gridCol w:w="845"/>
        <w:gridCol w:w="473"/>
        <w:gridCol w:w="1162"/>
        <w:gridCol w:w="804"/>
        <w:gridCol w:w="1030"/>
        <w:gridCol w:w="1366"/>
      </w:tblGrid>
      <w:tr>
        <w:trPr>
          <w:trHeight w:val="164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35" w:right="122" w:hanging="212"/>
              <w:jc w:val="left"/>
              <w:rPr>
                <w:rFonts w:ascii="宋体" w:hAnsi="宋体" w:cs="宋体" w:eastAsia="宋体" w:hint="default"/>
                <w:sz w:val="21"/>
                <w:szCs w:val="21"/>
              </w:rPr>
            </w:pPr>
            <w:r>
              <w:rPr>
                <w:rFonts w:ascii="宋体" w:hAnsi="宋体" w:cs="宋体" w:eastAsia="宋体" w:hint="default"/>
                <w:sz w:val="21"/>
                <w:szCs w:val="21"/>
              </w:rPr>
              <w:t>被购买方</w:t>
            </w:r>
            <w:r>
              <w:rPr>
                <w:rFonts w:ascii="宋体" w:hAnsi="宋体" w:cs="宋体" w:eastAsia="宋体" w:hint="default"/>
                <w:w w:val="100"/>
                <w:sz w:val="21"/>
                <w:szCs w:val="21"/>
              </w:rPr>
              <w:t> </w:t>
            </w:r>
            <w:r>
              <w:rPr>
                <w:rFonts w:ascii="宋体" w:hAnsi="宋体" w:cs="宋体" w:eastAsia="宋体" w:hint="default"/>
                <w:sz w:val="21"/>
                <w:szCs w:val="21"/>
              </w:rPr>
              <w:t>名称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3" w:right="103"/>
              <w:jc w:val="left"/>
              <w:rPr>
                <w:rFonts w:ascii="宋体" w:hAnsi="宋体" w:cs="宋体" w:eastAsia="宋体" w:hint="default"/>
                <w:sz w:val="21"/>
                <w:szCs w:val="21"/>
              </w:rPr>
            </w:pPr>
            <w:r>
              <w:rPr>
                <w:rFonts w:ascii="宋体" w:hAnsi="宋体" w:cs="宋体" w:eastAsia="宋体" w:hint="default"/>
                <w:sz w:val="21"/>
                <w:szCs w:val="21"/>
              </w:rPr>
              <w:t>股权取</w:t>
            </w:r>
            <w:r>
              <w:rPr>
                <w:rFonts w:ascii="宋体" w:hAnsi="宋体" w:cs="宋体" w:eastAsia="宋体" w:hint="default"/>
                <w:spacing w:val="-102"/>
                <w:sz w:val="21"/>
                <w:szCs w:val="21"/>
              </w:rPr>
              <w:t> </w:t>
            </w:r>
            <w:r>
              <w:rPr>
                <w:rFonts w:ascii="宋体" w:hAnsi="宋体" w:cs="宋体" w:eastAsia="宋体" w:hint="default"/>
                <w:sz w:val="21"/>
                <w:szCs w:val="21"/>
              </w:rPr>
              <w:t>得时点</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598" w:right="173" w:hanging="420"/>
              <w:jc w:val="left"/>
              <w:rPr>
                <w:rFonts w:ascii="宋体" w:hAnsi="宋体" w:cs="宋体" w:eastAsia="宋体" w:hint="default"/>
                <w:sz w:val="21"/>
                <w:szCs w:val="21"/>
              </w:rPr>
            </w:pPr>
            <w:r>
              <w:rPr>
                <w:rFonts w:ascii="宋体" w:hAnsi="宋体" w:cs="宋体" w:eastAsia="宋体" w:hint="default"/>
                <w:sz w:val="21"/>
                <w:szCs w:val="21"/>
              </w:rPr>
              <w:t>股权取得成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本</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206" w:right="204"/>
              <w:jc w:val="both"/>
              <w:rPr>
                <w:rFonts w:ascii="宋体" w:hAnsi="宋体" w:cs="宋体" w:eastAsia="宋体" w:hint="default"/>
                <w:sz w:val="21"/>
                <w:szCs w:val="21"/>
              </w:rPr>
            </w:pPr>
            <w:r>
              <w:rPr>
                <w:rFonts w:ascii="宋体" w:hAnsi="宋体" w:cs="宋体" w:eastAsia="宋体" w:hint="default"/>
                <w:sz w:val="21"/>
                <w:szCs w:val="21"/>
              </w:rPr>
              <w:t>股权</w:t>
            </w:r>
            <w:r>
              <w:rPr>
                <w:rFonts w:ascii="宋体" w:hAnsi="宋体" w:cs="宋体" w:eastAsia="宋体" w:hint="default"/>
                <w:spacing w:val="-103"/>
                <w:sz w:val="21"/>
                <w:szCs w:val="21"/>
              </w:rPr>
              <w:t> </w:t>
            </w:r>
            <w:r>
              <w:rPr>
                <w:rFonts w:ascii="宋体" w:hAnsi="宋体" w:cs="宋体" w:eastAsia="宋体" w:hint="default"/>
                <w:sz w:val="21"/>
                <w:szCs w:val="21"/>
              </w:rPr>
              <w:t>取得</w:t>
            </w:r>
            <w:r>
              <w:rPr>
                <w:rFonts w:ascii="宋体" w:hAnsi="宋体" w:cs="宋体" w:eastAsia="宋体" w:hint="default"/>
                <w:spacing w:val="-103"/>
                <w:sz w:val="21"/>
                <w:szCs w:val="21"/>
              </w:rPr>
              <w:t> </w:t>
            </w:r>
            <w:r>
              <w:rPr>
                <w:rFonts w:ascii="宋体" w:hAnsi="宋体" w:cs="宋体" w:eastAsia="宋体" w:hint="default"/>
                <w:sz w:val="21"/>
                <w:szCs w:val="21"/>
              </w:rPr>
              <w:t>比例</w:t>
            </w:r>
          </w:p>
          <w:p>
            <w:pPr>
              <w:pStyle w:val="TableParagraph"/>
              <w:spacing w:line="271" w:lineRule="exact"/>
              <w:ind w:left="153"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4" w:right="0"/>
              <w:jc w:val="both"/>
              <w:rPr>
                <w:rFonts w:ascii="宋体" w:hAnsi="宋体" w:cs="宋体" w:eastAsia="宋体" w:hint="default"/>
                <w:sz w:val="21"/>
                <w:szCs w:val="21"/>
              </w:rPr>
            </w:pPr>
            <w:r>
              <w:rPr>
                <w:rFonts w:ascii="宋体" w:hAnsi="宋体" w:cs="宋体" w:eastAsia="宋体" w:hint="default"/>
                <w:w w:val="100"/>
                <w:sz w:val="21"/>
                <w:szCs w:val="21"/>
              </w:rPr>
              <w:t>股</w:t>
            </w:r>
          </w:p>
          <w:p>
            <w:pPr>
              <w:pStyle w:val="TableParagraph"/>
              <w:spacing w:line="237" w:lineRule="auto" w:before="2"/>
              <w:ind w:left="124" w:right="125"/>
              <w:jc w:val="both"/>
              <w:rPr>
                <w:rFonts w:ascii="宋体" w:hAnsi="宋体" w:cs="宋体" w:eastAsia="宋体" w:hint="default"/>
                <w:sz w:val="21"/>
                <w:szCs w:val="21"/>
              </w:rPr>
            </w:pPr>
            <w:r>
              <w:rPr>
                <w:rFonts w:ascii="宋体" w:hAnsi="宋体" w:cs="宋体" w:eastAsia="宋体" w:hint="default"/>
                <w:sz w:val="21"/>
                <w:szCs w:val="21"/>
              </w:rPr>
              <w:t>权</w:t>
            </w:r>
            <w:r>
              <w:rPr>
                <w:rFonts w:ascii="宋体" w:hAnsi="宋体" w:cs="宋体" w:eastAsia="宋体" w:hint="default"/>
                <w:w w:val="100"/>
                <w:sz w:val="21"/>
                <w:szCs w:val="21"/>
              </w:rPr>
              <w:t> </w:t>
            </w:r>
            <w:r>
              <w:rPr>
                <w:rFonts w:ascii="宋体" w:hAnsi="宋体" w:cs="宋体" w:eastAsia="宋体" w:hint="default"/>
                <w:sz w:val="21"/>
                <w:szCs w:val="21"/>
              </w:rPr>
              <w:t>取</w:t>
            </w:r>
            <w:r>
              <w:rPr>
                <w:rFonts w:ascii="宋体" w:hAnsi="宋体" w:cs="宋体" w:eastAsia="宋体" w:hint="default"/>
                <w:w w:val="100"/>
                <w:sz w:val="21"/>
                <w:szCs w:val="21"/>
              </w:rPr>
              <w:t> </w:t>
            </w:r>
            <w:r>
              <w:rPr>
                <w:rFonts w:ascii="宋体" w:hAnsi="宋体" w:cs="宋体" w:eastAsia="宋体" w:hint="default"/>
                <w:sz w:val="21"/>
                <w:szCs w:val="21"/>
              </w:rPr>
              <w:t>得</w:t>
            </w:r>
            <w:r>
              <w:rPr>
                <w:rFonts w:ascii="宋体" w:hAnsi="宋体" w:cs="宋体" w:eastAsia="宋体" w:hint="default"/>
                <w:w w:val="100"/>
                <w:sz w:val="21"/>
                <w:szCs w:val="21"/>
              </w:rPr>
              <w:t> </w:t>
            </w:r>
            <w:r>
              <w:rPr>
                <w:rFonts w:ascii="宋体" w:hAnsi="宋体" w:cs="宋体" w:eastAsia="宋体" w:hint="default"/>
                <w:sz w:val="21"/>
                <w:szCs w:val="21"/>
              </w:rPr>
              <w:t>方</w:t>
            </w:r>
            <w:r>
              <w:rPr>
                <w:rFonts w:ascii="宋体" w:hAnsi="宋体" w:cs="宋体" w:eastAsia="宋体" w:hint="default"/>
                <w:w w:val="100"/>
                <w:sz w:val="21"/>
                <w:szCs w:val="21"/>
              </w:rPr>
              <w:t> </w:t>
            </w:r>
            <w:r>
              <w:rPr>
                <w:rFonts w:ascii="宋体" w:hAnsi="宋体" w:cs="宋体" w:eastAsia="宋体" w:hint="default"/>
                <w:sz w:val="21"/>
                <w:szCs w:val="21"/>
              </w:rPr>
              <w:t>式</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259"/>
              <w:jc w:val="right"/>
              <w:rPr>
                <w:rFonts w:ascii="宋体" w:hAnsi="宋体" w:cs="宋体" w:eastAsia="宋体" w:hint="default"/>
                <w:sz w:val="21"/>
                <w:szCs w:val="21"/>
              </w:rPr>
            </w:pPr>
            <w:r>
              <w:rPr>
                <w:rFonts w:ascii="宋体" w:hAnsi="宋体" w:cs="宋体" w:eastAsia="宋体" w:hint="default"/>
                <w:sz w:val="21"/>
                <w:szCs w:val="21"/>
              </w:rPr>
              <w:t>购买日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84" w:right="185"/>
              <w:jc w:val="both"/>
              <w:rPr>
                <w:rFonts w:ascii="宋体" w:hAnsi="宋体" w:cs="宋体" w:eastAsia="宋体" w:hint="default"/>
                <w:sz w:val="21"/>
                <w:szCs w:val="21"/>
              </w:rPr>
            </w:pPr>
            <w:r>
              <w:rPr>
                <w:rFonts w:ascii="宋体" w:hAnsi="宋体" w:cs="宋体" w:eastAsia="宋体" w:hint="default"/>
                <w:sz w:val="21"/>
                <w:szCs w:val="21"/>
              </w:rPr>
              <w:t>购买</w:t>
            </w:r>
            <w:r>
              <w:rPr>
                <w:rFonts w:ascii="宋体" w:hAnsi="宋体" w:cs="宋体" w:eastAsia="宋体" w:hint="default"/>
                <w:spacing w:val="-103"/>
                <w:sz w:val="21"/>
                <w:szCs w:val="21"/>
              </w:rPr>
              <w:t> </w:t>
            </w:r>
            <w:r>
              <w:rPr>
                <w:rFonts w:ascii="宋体" w:hAnsi="宋体" w:cs="宋体" w:eastAsia="宋体" w:hint="default"/>
                <w:sz w:val="21"/>
                <w:szCs w:val="21"/>
              </w:rPr>
              <w:t>日的</w:t>
            </w:r>
            <w:r>
              <w:rPr>
                <w:rFonts w:ascii="宋体" w:hAnsi="宋体" w:cs="宋体" w:eastAsia="宋体" w:hint="default"/>
                <w:spacing w:val="-103"/>
                <w:sz w:val="21"/>
                <w:szCs w:val="21"/>
              </w:rPr>
              <w:t> </w:t>
            </w:r>
            <w:r>
              <w:rPr>
                <w:rFonts w:ascii="宋体" w:hAnsi="宋体" w:cs="宋体" w:eastAsia="宋体" w:hint="default"/>
                <w:sz w:val="21"/>
                <w:szCs w:val="21"/>
              </w:rPr>
              <w:t>确定</w:t>
            </w:r>
            <w:r>
              <w:rPr>
                <w:rFonts w:ascii="宋体" w:hAnsi="宋体" w:cs="宋体" w:eastAsia="宋体" w:hint="default"/>
                <w:spacing w:val="-103"/>
                <w:sz w:val="21"/>
                <w:szCs w:val="21"/>
              </w:rPr>
              <w:t> </w:t>
            </w:r>
            <w:r>
              <w:rPr>
                <w:rFonts w:ascii="宋体" w:hAnsi="宋体" w:cs="宋体" w:eastAsia="宋体" w:hint="default"/>
                <w:sz w:val="21"/>
                <w:szCs w:val="21"/>
              </w:rPr>
              <w:t>依据</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94" w:right="190"/>
              <w:jc w:val="center"/>
              <w:rPr>
                <w:rFonts w:ascii="宋体" w:hAnsi="宋体" w:cs="宋体" w:eastAsia="宋体" w:hint="default"/>
                <w:sz w:val="21"/>
                <w:szCs w:val="21"/>
              </w:rPr>
            </w:pPr>
            <w:r>
              <w:rPr>
                <w:rFonts w:ascii="宋体" w:hAnsi="宋体" w:cs="宋体" w:eastAsia="宋体" w:hint="default"/>
                <w:sz w:val="21"/>
                <w:szCs w:val="21"/>
              </w:rPr>
              <w:t>购买日</w:t>
            </w:r>
            <w:r>
              <w:rPr>
                <w:rFonts w:ascii="宋体" w:hAnsi="宋体" w:cs="宋体" w:eastAsia="宋体" w:hint="default"/>
                <w:w w:val="100"/>
                <w:sz w:val="21"/>
                <w:szCs w:val="21"/>
              </w:rPr>
              <w:t> </w:t>
            </w:r>
            <w:r>
              <w:rPr>
                <w:rFonts w:ascii="宋体" w:hAnsi="宋体" w:cs="宋体" w:eastAsia="宋体" w:hint="default"/>
                <w:sz w:val="21"/>
                <w:szCs w:val="21"/>
              </w:rPr>
              <w:t>至期末</w:t>
            </w:r>
            <w:r>
              <w:rPr>
                <w:rFonts w:ascii="宋体" w:hAnsi="宋体" w:cs="宋体" w:eastAsia="宋体" w:hint="default"/>
                <w:w w:val="100"/>
                <w:sz w:val="21"/>
                <w:szCs w:val="21"/>
              </w:rPr>
              <w:t> </w:t>
            </w:r>
            <w:r>
              <w:rPr>
                <w:rFonts w:ascii="宋体" w:hAnsi="宋体" w:cs="宋体" w:eastAsia="宋体" w:hint="default"/>
                <w:sz w:val="21"/>
                <w:szCs w:val="21"/>
              </w:rPr>
              <w:t>被购买</w:t>
            </w:r>
            <w:r>
              <w:rPr>
                <w:rFonts w:ascii="宋体" w:hAnsi="宋体" w:cs="宋体" w:eastAsia="宋体" w:hint="default"/>
                <w:w w:val="100"/>
                <w:sz w:val="21"/>
                <w:szCs w:val="21"/>
              </w:rPr>
              <w:t> </w:t>
            </w:r>
            <w:r>
              <w:rPr>
                <w:rFonts w:ascii="宋体" w:hAnsi="宋体" w:cs="宋体" w:eastAsia="宋体" w:hint="default"/>
                <w:sz w:val="21"/>
                <w:szCs w:val="21"/>
              </w:rPr>
              <w:t>方的收</w:t>
            </w:r>
            <w:r>
              <w:rPr>
                <w:rFonts w:ascii="宋体" w:hAnsi="宋体" w:cs="宋体" w:eastAsia="宋体" w:hint="default"/>
                <w:w w:val="100"/>
                <w:sz w:val="21"/>
                <w:szCs w:val="21"/>
              </w:rPr>
              <w:t> </w:t>
            </w:r>
            <w:r>
              <w:rPr>
                <w:rFonts w:ascii="宋体" w:hAnsi="宋体" w:cs="宋体" w:eastAsia="宋体" w:hint="default"/>
                <w:sz w:val="21"/>
                <w:szCs w:val="21"/>
              </w:rPr>
              <w:t>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37" w:lineRule="auto"/>
              <w:ind w:left="151" w:right="149"/>
              <w:jc w:val="both"/>
              <w:rPr>
                <w:rFonts w:ascii="宋体" w:hAnsi="宋体" w:cs="宋体" w:eastAsia="宋体" w:hint="default"/>
                <w:sz w:val="21"/>
                <w:szCs w:val="21"/>
              </w:rPr>
            </w:pPr>
            <w:r>
              <w:rPr>
                <w:rFonts w:ascii="宋体" w:hAnsi="宋体" w:cs="宋体" w:eastAsia="宋体" w:hint="default"/>
                <w:sz w:val="21"/>
                <w:szCs w:val="21"/>
              </w:rPr>
              <w:t>购买日至期</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末被购买方</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的净利润</w:t>
            </w:r>
          </w:p>
        </w:tc>
      </w:tr>
      <w:tr>
        <w:trPr>
          <w:trHeight w:val="710"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东南冷链</w:t>
            </w:r>
          </w:p>
          <w:p>
            <w:pPr>
              <w:pStyle w:val="TableParagraph"/>
              <w:spacing w:line="232" w:lineRule="exact" w:before="24"/>
              <w:ind w:left="103" w:right="266"/>
              <w:jc w:val="left"/>
              <w:rPr>
                <w:rFonts w:ascii="宋体" w:hAnsi="宋体" w:cs="宋体" w:eastAsia="宋体" w:hint="default"/>
                <w:sz w:val="18"/>
                <w:szCs w:val="18"/>
              </w:rPr>
            </w:pPr>
            <w:r>
              <w:rPr>
                <w:rFonts w:ascii="宋体" w:hAnsi="宋体" w:cs="宋体" w:eastAsia="宋体" w:hint="default"/>
                <w:sz w:val="18"/>
                <w:szCs w:val="18"/>
              </w:rPr>
              <w:t>仓储有限 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2017-9-</w:t>
            </w:r>
          </w:p>
          <w:p>
            <w:pPr>
              <w:pStyle w:val="TableParagraph"/>
              <w:spacing w:line="240" w:lineRule="auto"/>
              <w:ind w:left="100" w:right="0"/>
              <w:jc w:val="left"/>
              <w:rPr>
                <w:rFonts w:ascii="宋体" w:hAnsi="宋体" w:cs="宋体" w:eastAsia="宋体" w:hint="default"/>
                <w:sz w:val="18"/>
                <w:szCs w:val="18"/>
              </w:rPr>
            </w:pPr>
            <w:r>
              <w:rPr>
                <w:rFonts w:ascii="宋体"/>
                <w:sz w:val="18"/>
              </w:rPr>
              <w:t>30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1" w:right="0"/>
              <w:jc w:val="left"/>
              <w:rPr>
                <w:rFonts w:ascii="宋体" w:hAnsi="宋体" w:cs="宋体" w:eastAsia="宋体" w:hint="default"/>
                <w:sz w:val="18"/>
                <w:szCs w:val="18"/>
              </w:rPr>
            </w:pPr>
            <w:r>
              <w:rPr>
                <w:rFonts w:ascii="宋体"/>
                <w:sz w:val="18"/>
              </w:rPr>
              <w:t>33,000,000.00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2" w:right="0"/>
              <w:jc w:val="left"/>
              <w:rPr>
                <w:rFonts w:ascii="宋体" w:hAnsi="宋体" w:cs="宋体" w:eastAsia="宋体" w:hint="default"/>
                <w:sz w:val="18"/>
                <w:szCs w:val="18"/>
              </w:rPr>
            </w:pPr>
            <w:r>
              <w:rPr>
                <w:rFonts w:ascii="宋体"/>
                <w:sz w:val="18"/>
              </w:rPr>
              <w:t>100.00</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现</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5"/>
              <w:jc w:val="right"/>
              <w:rPr>
                <w:rFonts w:ascii="宋体" w:hAnsi="宋体" w:cs="宋体" w:eastAsia="宋体" w:hint="default"/>
                <w:sz w:val="18"/>
                <w:szCs w:val="18"/>
              </w:rPr>
            </w:pPr>
            <w:r>
              <w:rPr>
                <w:rFonts w:ascii="宋体"/>
                <w:sz w:val="18"/>
              </w:rPr>
              <w:t>2017-9-30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控制权</w:t>
            </w:r>
          </w:p>
          <w:p>
            <w:pPr>
              <w:pStyle w:val="TableParagraph"/>
              <w:spacing w:line="232" w:lineRule="exact" w:before="24"/>
              <w:ind w:left="100" w:right="151"/>
              <w:jc w:val="left"/>
              <w:rPr>
                <w:rFonts w:ascii="宋体" w:hAnsi="宋体" w:cs="宋体" w:eastAsia="宋体" w:hint="default"/>
                <w:sz w:val="18"/>
                <w:szCs w:val="18"/>
              </w:rPr>
            </w:pPr>
            <w:r>
              <w:rPr>
                <w:rFonts w:ascii="宋体" w:hAnsi="宋体" w:cs="宋体" w:eastAsia="宋体" w:hint="default"/>
                <w:sz w:val="18"/>
                <w:szCs w:val="18"/>
              </w:rPr>
              <w:t>转移的 时点</w:t>
            </w:r>
          </w:p>
        </w:tc>
        <w:tc>
          <w:tcPr>
            <w:tcW w:w="1030"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1" w:right="0"/>
              <w:jc w:val="left"/>
              <w:rPr>
                <w:rFonts w:ascii="宋体" w:hAnsi="宋体" w:cs="宋体" w:eastAsia="宋体" w:hint="default"/>
                <w:sz w:val="18"/>
                <w:szCs w:val="18"/>
              </w:rPr>
            </w:pPr>
            <w:r>
              <w:rPr>
                <w:rFonts w:ascii="宋体"/>
                <w:sz w:val="18"/>
              </w:rPr>
              <w:t>-753,696.39</w:t>
            </w:r>
          </w:p>
        </w:tc>
      </w:tr>
    </w:tbl>
    <w:p>
      <w:pPr>
        <w:spacing w:line="240" w:lineRule="auto" w:before="2"/>
        <w:rPr>
          <w:rFonts w:ascii="宋体" w:hAnsi="宋体" w:cs="宋体" w:eastAsia="宋体" w:hint="default"/>
          <w:sz w:val="20"/>
          <w:szCs w:val="20"/>
        </w:rPr>
      </w:pPr>
    </w:p>
    <w:p>
      <w:pPr>
        <w:pStyle w:val="BodyText"/>
        <w:spacing w:line="290" w:lineRule="auto" w:before="36"/>
        <w:ind w:right="7998"/>
        <w:jc w:val="left"/>
      </w:pPr>
      <w:r>
        <w:rPr/>
        <w:t>其他说明：</w:t>
      </w:r>
      <w:r>
        <w:rPr>
          <w:spacing w:val="-102"/>
        </w:rPr>
        <w:t> </w:t>
      </w:r>
      <w:r>
        <w:rPr>
          <w:spacing w:val="-102"/>
        </w:rPr>
      </w:r>
      <w:r>
        <w:rPr/>
        <w:t>不适用</w:t>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040"/>
        </w:sectPr>
      </w:pPr>
    </w:p>
    <w:p>
      <w:pPr>
        <w:pStyle w:val="Heading2"/>
        <w:tabs>
          <w:tab w:pos="875" w:val="left" w:leader="none"/>
        </w:tabs>
        <w:spacing w:line="240" w:lineRule="auto" w:before="36"/>
        <w:ind w:right="-17"/>
        <w:jc w:val="left"/>
        <w:rPr>
          <w:b w:val="0"/>
          <w:bCs w:val="0"/>
        </w:rPr>
      </w:pPr>
      <w:r>
        <w:rPr>
          <w:rFonts w:ascii="宋体" w:hAnsi="宋体" w:cs="宋体" w:eastAsia="宋体" w:hint="default"/>
          <w:w w:val="95"/>
        </w:rPr>
        <w:t>(2).</w:t>
        <w:tab/>
      </w:r>
      <w:r>
        <w:rPr/>
        <w:t>合并成本及商誉</w:t>
      </w:r>
      <w:r>
        <w:rPr>
          <w:b w:val="0"/>
          <w:bCs w:val="0"/>
        </w:rPr>
      </w:r>
    </w:p>
    <w:p>
      <w:pPr>
        <w:pStyle w:val="BodyText"/>
        <w:spacing w:line="240" w:lineRule="auto" w:before="59"/>
        <w:ind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355" w:space="4167"/>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604"/>
        <w:gridCol w:w="4446"/>
      </w:tblGrid>
      <w:tr>
        <w:trPr>
          <w:trHeight w:val="281"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合并成本</w:t>
            </w:r>
          </w:p>
        </w:tc>
        <w:tc>
          <w:tcPr>
            <w:tcW w:w="44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东南冷链</w:t>
            </w:r>
          </w:p>
        </w:tc>
      </w:tr>
      <w:tr>
        <w:trPr>
          <w:trHeight w:val="283"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现金</w:t>
            </w:r>
          </w:p>
        </w:tc>
        <w:tc>
          <w:tcPr>
            <w:tcW w:w="44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33,000,000.00</w:t>
            </w:r>
          </w:p>
        </w:tc>
      </w:tr>
      <w:tr>
        <w:trPr>
          <w:trHeight w:val="283"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非现金资产的公允价值</w:t>
            </w:r>
          </w:p>
        </w:tc>
        <w:tc>
          <w:tcPr>
            <w:tcW w:w="444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发行或承担的债务的公允价值</w:t>
            </w:r>
          </w:p>
        </w:tc>
        <w:tc>
          <w:tcPr>
            <w:tcW w:w="444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发行的权益性证券的公允价值</w:t>
            </w:r>
          </w:p>
        </w:tc>
        <w:tc>
          <w:tcPr>
            <w:tcW w:w="444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或有对价的公允价值</w:t>
            </w:r>
          </w:p>
        </w:tc>
        <w:tc>
          <w:tcPr>
            <w:tcW w:w="444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购买日之前持有的股权于购买日的公允价值</w:t>
            </w:r>
          </w:p>
        </w:tc>
        <w:tc>
          <w:tcPr>
            <w:tcW w:w="444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w:t>
            </w:r>
          </w:p>
        </w:tc>
        <w:tc>
          <w:tcPr>
            <w:tcW w:w="444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合并成本合计</w:t>
            </w:r>
          </w:p>
        </w:tc>
        <w:tc>
          <w:tcPr>
            <w:tcW w:w="44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33,000,000.00</w:t>
            </w:r>
          </w:p>
        </w:tc>
      </w:tr>
      <w:tr>
        <w:trPr>
          <w:trHeight w:val="283"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减：取得的可辨认净资产公允价值份额</w:t>
            </w:r>
          </w:p>
        </w:tc>
        <w:tc>
          <w:tcPr>
            <w:tcW w:w="44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31,473,456.25</w:t>
            </w:r>
          </w:p>
        </w:tc>
      </w:tr>
      <w:tr>
        <w:trPr>
          <w:trHeight w:val="555"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w:t>
            </w:r>
            <w:r>
              <w:rPr>
                <w:rFonts w:ascii="宋体" w:hAnsi="宋体" w:cs="宋体" w:eastAsia="宋体" w:hint="default"/>
                <w:sz w:val="21"/>
                <w:szCs w:val="21"/>
              </w:rPr>
              <w:t>合并成本小于取得的可辨认净资产公允价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值份额的金额</w:t>
            </w:r>
          </w:p>
        </w:tc>
        <w:tc>
          <w:tcPr>
            <w:tcW w:w="44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1,526,543.75</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spacing w:line="272" w:lineRule="exact" w:before="64"/>
        <w:ind w:right="3600"/>
        <w:jc w:val="left"/>
      </w:pPr>
      <w:r>
        <w:rPr>
          <w:spacing w:val="-2"/>
        </w:rPr>
        <w:t>合并成本公允价值的确定方法、或有对价及其变动的说明：</w:t>
      </w:r>
      <w:r>
        <w:rPr>
          <w:spacing w:val="-55"/>
        </w:rPr>
        <w:t> </w:t>
      </w:r>
      <w:r>
        <w:rPr>
          <w:spacing w:val="-55"/>
        </w:rPr>
      </w:r>
      <w:r>
        <w:rPr/>
        <w:t>不适用</w:t>
      </w:r>
    </w:p>
    <w:p>
      <w:pPr>
        <w:spacing w:line="240" w:lineRule="auto" w:before="10"/>
        <w:rPr>
          <w:rFonts w:ascii="宋体" w:hAnsi="宋体" w:cs="宋体" w:eastAsia="宋体" w:hint="default"/>
          <w:sz w:val="18"/>
          <w:szCs w:val="18"/>
        </w:rPr>
      </w:pPr>
    </w:p>
    <w:p>
      <w:pPr>
        <w:pStyle w:val="BodyText"/>
        <w:spacing w:line="240" w:lineRule="auto"/>
        <w:ind w:right="6323"/>
        <w:jc w:val="left"/>
      </w:pPr>
      <w:r>
        <w:rPr>
          <w:spacing w:val="-2"/>
        </w:rPr>
        <w:t>大额商誉形成的主要原因：</w:t>
      </w:r>
      <w:r>
        <w:rPr>
          <w:spacing w:val="-82"/>
        </w:rPr>
        <w:t> </w:t>
      </w:r>
      <w:r>
        <w:rPr>
          <w:spacing w:val="-82"/>
        </w:rPr>
      </w:r>
      <w:r>
        <w:rPr/>
        <w:t>不适用</w:t>
      </w:r>
    </w:p>
    <w:p>
      <w:pPr>
        <w:spacing w:line="240" w:lineRule="auto" w:before="3"/>
        <w:rPr>
          <w:rFonts w:ascii="宋体" w:hAnsi="宋体" w:cs="宋体" w:eastAsia="宋体" w:hint="default"/>
          <w:sz w:val="25"/>
          <w:szCs w:val="25"/>
        </w:rPr>
      </w:pPr>
    </w:p>
    <w:p>
      <w:pPr>
        <w:pStyle w:val="BodyText"/>
        <w:spacing w:line="240" w:lineRule="auto"/>
        <w:ind w:right="0"/>
        <w:jc w:val="both"/>
      </w:pPr>
      <w:r>
        <w:rPr/>
        <w:t>其他说明：</w:t>
      </w:r>
    </w:p>
    <w:p>
      <w:pPr>
        <w:pStyle w:val="BodyText"/>
        <w:spacing w:line="237" w:lineRule="auto" w:before="59"/>
        <w:ind w:right="228"/>
        <w:jc w:val="both"/>
      </w:pPr>
      <w:r>
        <w:rPr/>
        <w:t>截止</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9</w:t>
      </w:r>
      <w:r>
        <w:rPr>
          <w:rFonts w:ascii="宋体" w:hAnsi="宋体" w:cs="宋体" w:eastAsia="宋体" w:hint="default"/>
          <w:spacing w:val="-55"/>
        </w:rPr>
        <w:t> </w:t>
      </w:r>
      <w:r>
        <w:rPr/>
        <w:t>月</w:t>
      </w:r>
      <w:r>
        <w:rPr>
          <w:spacing w:val="-53"/>
        </w:rPr>
        <w:t> </w:t>
      </w:r>
      <w:r>
        <w:rPr>
          <w:rFonts w:ascii="宋体" w:hAnsi="宋体" w:cs="宋体" w:eastAsia="宋体" w:hint="default"/>
        </w:rPr>
        <w:t>30</w:t>
      </w:r>
      <w:r>
        <w:rPr>
          <w:rFonts w:ascii="宋体" w:hAnsi="宋体" w:cs="宋体" w:eastAsia="宋体" w:hint="default"/>
          <w:spacing w:val="-55"/>
        </w:rPr>
        <w:t> </w:t>
      </w:r>
      <w:r>
        <w:rPr/>
        <w:t>日东南冷链财务报表的净资产为</w:t>
      </w:r>
      <w:r>
        <w:rPr>
          <w:spacing w:val="-52"/>
        </w:rPr>
        <w:t> </w:t>
      </w:r>
      <w:r>
        <w:rPr>
          <w:rFonts w:ascii="宋体" w:hAnsi="宋体" w:cs="宋体" w:eastAsia="宋体" w:hint="default"/>
        </w:rPr>
        <w:t>25,750,000.00</w:t>
      </w:r>
      <w:r>
        <w:rPr>
          <w:rFonts w:ascii="宋体" w:hAnsi="宋体" w:cs="宋体" w:eastAsia="宋体" w:hint="default"/>
          <w:spacing w:val="-53"/>
        </w:rPr>
        <w:t> </w:t>
      </w:r>
      <w:r>
        <w:rPr/>
        <w:t>元，参考泉州和益资产评估</w:t>
      </w:r>
      <w:r>
        <w:rPr>
          <w:w w:val="100"/>
        </w:rPr>
        <w:t> </w:t>
      </w:r>
      <w:r>
        <w:rPr>
          <w:spacing w:val="-4"/>
        </w:rPr>
        <w:t>房地产土地估价有限责任公司出具的泉和益评（资）字（</w:t>
      </w:r>
      <w:r>
        <w:rPr>
          <w:rFonts w:ascii="宋体" w:hAnsi="宋体" w:cs="宋体" w:eastAsia="宋体" w:hint="default"/>
          <w:spacing w:val="-4"/>
        </w:rPr>
        <w:t>2017</w:t>
      </w:r>
      <w:r>
        <w:rPr>
          <w:spacing w:val="-4"/>
        </w:rPr>
        <w:t>）第</w:t>
      </w:r>
      <w:r>
        <w:rPr>
          <w:spacing w:val="-21"/>
        </w:rPr>
        <w:t> </w:t>
      </w:r>
      <w:r>
        <w:rPr>
          <w:rFonts w:ascii="宋体" w:hAnsi="宋体" w:cs="宋体" w:eastAsia="宋体" w:hint="default"/>
        </w:rPr>
        <w:t>I09013</w:t>
      </w:r>
      <w:r>
        <w:rPr>
          <w:rFonts w:ascii="宋体" w:hAnsi="宋体" w:cs="宋体" w:eastAsia="宋体" w:hint="default"/>
          <w:spacing w:val="-25"/>
        </w:rPr>
        <w:t> </w:t>
      </w:r>
      <w:r>
        <w:rPr>
          <w:spacing w:val="-5"/>
        </w:rPr>
        <w:t>号《资产评估报告》中</w:t>
      </w:r>
      <w:r>
        <w:rPr>
          <w:spacing w:val="-93"/>
        </w:rPr>
        <w:t> </w:t>
      </w:r>
      <w:r>
        <w:rPr>
          <w:spacing w:val="-93"/>
        </w:rPr>
      </w:r>
      <w:r>
        <w:rPr/>
        <w:t>采用成本法对东南冷链的评估值，确定其可辨认净资产的公允价值为</w:t>
      </w:r>
      <w:r>
        <w:rPr>
          <w:spacing w:val="-57"/>
        </w:rPr>
        <w:t> </w:t>
      </w:r>
      <w:r>
        <w:rPr>
          <w:rFonts w:ascii="宋体" w:hAnsi="宋体" w:cs="宋体" w:eastAsia="宋体" w:hint="default"/>
        </w:rPr>
        <w:t>31,473,456.25</w:t>
      </w:r>
      <w:r>
        <w:rPr>
          <w:rFonts w:ascii="宋体" w:hAnsi="宋体" w:cs="宋体" w:eastAsia="宋体" w:hint="default"/>
          <w:spacing w:val="-56"/>
        </w:rPr>
        <w:t> </w:t>
      </w:r>
      <w:r>
        <w:rPr/>
        <w:t>元，本公司</w:t>
      </w:r>
    </w:p>
    <w:p>
      <w:pPr>
        <w:pStyle w:val="BodyText"/>
        <w:spacing w:line="272" w:lineRule="exact"/>
        <w:ind w:right="0"/>
        <w:jc w:val="both"/>
        <w:rPr>
          <w:rFonts w:ascii="宋体" w:hAnsi="宋体" w:cs="宋体" w:eastAsia="宋体" w:hint="default"/>
        </w:rPr>
      </w:pPr>
      <w:r>
        <w:rPr/>
        <w:t>占</w:t>
      </w:r>
      <w:r>
        <w:rPr>
          <w:spacing w:val="-56"/>
        </w:rPr>
        <w:t> </w:t>
      </w:r>
      <w:r>
        <w:rPr>
          <w:rFonts w:ascii="宋体" w:hAnsi="宋体" w:cs="宋体" w:eastAsia="宋体" w:hint="default"/>
        </w:rPr>
        <w:t>100%</w:t>
      </w:r>
      <w:r>
        <w:rPr/>
        <w:t>股份。合并对价</w:t>
      </w:r>
      <w:r>
        <w:rPr>
          <w:spacing w:val="-55"/>
        </w:rPr>
        <w:t> </w:t>
      </w:r>
      <w:r>
        <w:rPr>
          <w:rFonts w:ascii="宋体" w:hAnsi="宋体" w:cs="宋体" w:eastAsia="宋体" w:hint="default"/>
        </w:rPr>
        <w:t>33,000,000.00</w:t>
      </w:r>
      <w:r>
        <w:rPr>
          <w:rFonts w:ascii="宋体" w:hAnsi="宋体" w:cs="宋体" w:eastAsia="宋体" w:hint="default"/>
          <w:spacing w:val="-56"/>
        </w:rPr>
        <w:t> </w:t>
      </w:r>
      <w:r>
        <w:rPr/>
        <w:t>元大于合并日取得可辨认净资产公允价值</w:t>
      </w:r>
      <w:r>
        <w:rPr>
          <w:spacing w:val="-55"/>
        </w:rPr>
        <w:t> </w:t>
      </w:r>
      <w:r>
        <w:rPr>
          <w:rFonts w:ascii="宋体" w:hAnsi="宋体" w:cs="宋体" w:eastAsia="宋体" w:hint="default"/>
        </w:rPr>
        <w:t>31,473,456.25</w:t>
      </w:r>
    </w:p>
    <w:p>
      <w:pPr>
        <w:pStyle w:val="BodyText"/>
        <w:spacing w:line="273" w:lineRule="exact"/>
        <w:ind w:right="0"/>
        <w:jc w:val="both"/>
      </w:pPr>
      <w:r>
        <w:rPr/>
        <w:t>元的差额</w:t>
      </w:r>
      <w:r>
        <w:rPr>
          <w:spacing w:val="-54"/>
        </w:rPr>
        <w:t> </w:t>
      </w:r>
      <w:r>
        <w:rPr>
          <w:rFonts w:ascii="宋体" w:hAnsi="宋体" w:cs="宋体" w:eastAsia="宋体" w:hint="default"/>
        </w:rPr>
        <w:t>1,526,543.75</w:t>
      </w:r>
      <w:r>
        <w:rPr>
          <w:rFonts w:ascii="宋体" w:hAnsi="宋体" w:cs="宋体" w:eastAsia="宋体" w:hint="default"/>
          <w:spacing w:val="-56"/>
        </w:rPr>
        <w:t> </w:t>
      </w:r>
      <w:r>
        <w:rPr/>
        <w:t>元，计入合并财务报表的商誉。</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1040"/>
        </w:sectPr>
      </w:pPr>
    </w:p>
    <w:p>
      <w:pPr>
        <w:pStyle w:val="Heading2"/>
        <w:tabs>
          <w:tab w:pos="875" w:val="left" w:leader="none"/>
        </w:tabs>
        <w:spacing w:line="240" w:lineRule="auto" w:before="36"/>
        <w:ind w:right="-2"/>
        <w:jc w:val="left"/>
        <w:rPr>
          <w:b w:val="0"/>
          <w:bCs w:val="0"/>
        </w:rPr>
      </w:pPr>
      <w:r>
        <w:rPr>
          <w:rFonts w:ascii="宋体" w:hAnsi="宋体" w:cs="宋体" w:eastAsia="宋体" w:hint="default"/>
          <w:w w:val="95"/>
        </w:rPr>
        <w:t>(3).</w:t>
        <w:tab/>
      </w:r>
      <w:r>
        <w:rPr>
          <w:spacing w:val="-1"/>
        </w:rPr>
        <w:t>被购买方于购买日可辨认资产、负债</w:t>
      </w:r>
      <w:r>
        <w:rPr>
          <w:b w:val="0"/>
          <w:bCs w:val="0"/>
          <w:spacing w:val="-1"/>
        </w:rPr>
      </w:r>
    </w:p>
    <w:p>
      <w:pPr>
        <w:pStyle w:val="BodyText"/>
        <w:spacing w:line="240" w:lineRule="auto" w:before="58"/>
        <w:ind w:right="-2"/>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251" w:space="2270"/>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481"/>
        <w:gridCol w:w="3795"/>
        <w:gridCol w:w="3773"/>
      </w:tblGrid>
      <w:tr>
        <w:trPr>
          <w:trHeight w:val="281" w:hRule="exact"/>
        </w:trPr>
        <w:tc>
          <w:tcPr>
            <w:tcW w:w="1481" w:type="dxa"/>
            <w:vMerge w:val="restart"/>
            <w:tcBorders>
              <w:top w:val="single" w:sz="4" w:space="0" w:color="000000"/>
              <w:left w:val="single" w:sz="4" w:space="0" w:color="000000"/>
              <w:right w:val="single" w:sz="4" w:space="0" w:color="000000"/>
            </w:tcBorders>
          </w:tcPr>
          <w:p>
            <w:pPr/>
          </w:p>
        </w:tc>
        <w:tc>
          <w:tcPr>
            <w:tcW w:w="7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东南冷链</w:t>
            </w:r>
          </w:p>
        </w:tc>
      </w:tr>
      <w:tr>
        <w:trPr>
          <w:trHeight w:val="290" w:hRule="exact"/>
        </w:trPr>
        <w:tc>
          <w:tcPr>
            <w:tcW w:w="1481" w:type="dxa"/>
            <w:vMerge/>
            <w:tcBorders>
              <w:left w:val="single" w:sz="4" w:space="0" w:color="000000"/>
              <w:bottom w:val="single" w:sz="4" w:space="0" w:color="000000"/>
              <w:right w:val="single" w:sz="4" w:space="0" w:color="000000"/>
            </w:tcBorders>
          </w:tcPr>
          <w:p>
            <w:pP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154" w:right="0"/>
              <w:jc w:val="left"/>
              <w:rPr>
                <w:rFonts w:ascii="宋体" w:hAnsi="宋体" w:cs="宋体" w:eastAsia="宋体" w:hint="default"/>
                <w:sz w:val="21"/>
                <w:szCs w:val="21"/>
              </w:rPr>
            </w:pPr>
            <w:r>
              <w:rPr>
                <w:rFonts w:ascii="宋体" w:hAnsi="宋体" w:cs="宋体" w:eastAsia="宋体" w:hint="default"/>
                <w:sz w:val="21"/>
                <w:szCs w:val="21"/>
              </w:rPr>
              <w:t>购买日公允价值</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144" w:right="0"/>
              <w:jc w:val="left"/>
              <w:rPr>
                <w:rFonts w:ascii="宋体" w:hAnsi="宋体" w:cs="宋体" w:eastAsia="宋体" w:hint="default"/>
                <w:sz w:val="21"/>
                <w:szCs w:val="21"/>
              </w:rPr>
            </w:pPr>
            <w:r>
              <w:rPr>
                <w:rFonts w:ascii="宋体" w:hAnsi="宋体" w:cs="宋体" w:eastAsia="宋体" w:hint="default"/>
                <w:sz w:val="21"/>
                <w:szCs w:val="21"/>
              </w:rPr>
              <w:t>购买日账面价值</w:t>
            </w:r>
          </w:p>
        </w:tc>
      </w:tr>
      <w:tr>
        <w:trPr>
          <w:trHeight w:val="283"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36,496,114.00</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28,864,839.00</w:t>
            </w:r>
          </w:p>
        </w:tc>
      </w:tr>
      <w:tr>
        <w:trPr>
          <w:trHeight w:val="324"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19,394.08</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19,394.08</w:t>
            </w:r>
          </w:p>
        </w:tc>
      </w:tr>
      <w:tr>
        <w:trPr>
          <w:trHeight w:val="322"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应收款项</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40,715.42</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40,715.42</w:t>
            </w:r>
          </w:p>
        </w:tc>
      </w:tr>
      <w:tr>
        <w:trPr>
          <w:trHeight w:val="324"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3795" w:type="dxa"/>
            <w:tcBorders>
              <w:top w:val="single" w:sz="4" w:space="0" w:color="000000"/>
              <w:left w:val="single" w:sz="4" w:space="0" w:color="000000"/>
              <w:bottom w:val="single" w:sz="4" w:space="0" w:color="000000"/>
              <w:right w:val="single" w:sz="4" w:space="0" w:color="000000"/>
            </w:tcBorders>
          </w:tcPr>
          <w:p>
            <w:pPr/>
          </w:p>
        </w:tc>
        <w:tc>
          <w:tcPr>
            <w:tcW w:w="377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462,460.00</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467,458.00</w:t>
            </w:r>
          </w:p>
        </w:tc>
      </w:tr>
      <w:tr>
        <w:trPr>
          <w:trHeight w:val="322"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30,310,600.00</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22,176,360.00</w:t>
            </w:r>
          </w:p>
        </w:tc>
      </w:tr>
      <w:tr>
        <w:trPr>
          <w:trHeight w:val="283"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5,382,583.00</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5,880,550.00</w:t>
            </w:r>
          </w:p>
        </w:tc>
      </w:tr>
      <w:tr>
        <w:trPr>
          <w:trHeight w:val="283"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280,361.50</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280,361.50</w:t>
            </w:r>
          </w:p>
        </w:tc>
      </w:tr>
      <w:tr>
        <w:trPr>
          <w:trHeight w:val="281"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3,114,839.00</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3,114,839.00</w:t>
            </w:r>
          </w:p>
        </w:tc>
      </w:tr>
      <w:tr>
        <w:trPr>
          <w:trHeight w:val="324"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借款</w:t>
            </w:r>
          </w:p>
        </w:tc>
        <w:tc>
          <w:tcPr>
            <w:tcW w:w="3795" w:type="dxa"/>
            <w:tcBorders>
              <w:top w:val="single" w:sz="4" w:space="0" w:color="000000"/>
              <w:left w:val="single" w:sz="4" w:space="0" w:color="000000"/>
              <w:bottom w:val="single" w:sz="4" w:space="0" w:color="000000"/>
              <w:right w:val="single" w:sz="4" w:space="0" w:color="000000"/>
            </w:tcBorders>
          </w:tcPr>
          <w:p>
            <w:pPr/>
          </w:p>
        </w:tc>
        <w:tc>
          <w:tcPr>
            <w:tcW w:w="377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应付款项</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3,114,839.00</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3,114,839.00</w:t>
            </w:r>
          </w:p>
        </w:tc>
      </w:tr>
      <w:tr>
        <w:trPr>
          <w:trHeight w:val="554"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债</w:t>
            </w:r>
          </w:p>
        </w:tc>
        <w:tc>
          <w:tcPr>
            <w:tcW w:w="3795" w:type="dxa"/>
            <w:tcBorders>
              <w:top w:val="single" w:sz="4" w:space="0" w:color="000000"/>
              <w:left w:val="single" w:sz="4" w:space="0" w:color="000000"/>
              <w:bottom w:val="single" w:sz="4" w:space="0" w:color="000000"/>
              <w:right w:val="single" w:sz="4" w:space="0" w:color="000000"/>
            </w:tcBorders>
          </w:tcPr>
          <w:p>
            <w:pPr/>
          </w:p>
        </w:tc>
        <w:tc>
          <w:tcPr>
            <w:tcW w:w="377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33,381,275.00</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25,750,000.00</w:t>
            </w:r>
          </w:p>
        </w:tc>
      </w:tr>
      <w:tr>
        <w:trPr>
          <w:trHeight w:val="557"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z w:val="21"/>
                <w:szCs w:val="21"/>
              </w:rPr>
              <w:t>减：少数股东</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权益</w:t>
            </w:r>
          </w:p>
        </w:tc>
        <w:tc>
          <w:tcPr>
            <w:tcW w:w="3795" w:type="dxa"/>
            <w:tcBorders>
              <w:top w:val="single" w:sz="4" w:space="0" w:color="000000"/>
              <w:left w:val="single" w:sz="4" w:space="0" w:color="000000"/>
              <w:bottom w:val="single" w:sz="4" w:space="0" w:color="000000"/>
              <w:right w:val="single" w:sz="4" w:space="0" w:color="000000"/>
            </w:tcBorders>
          </w:tcPr>
          <w:p>
            <w:pPr/>
          </w:p>
        </w:tc>
        <w:tc>
          <w:tcPr>
            <w:tcW w:w="377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取得的净资产</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33,381,275.00</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25,750,000.00</w:t>
            </w:r>
          </w:p>
        </w:tc>
      </w:tr>
    </w:tbl>
    <w:p>
      <w:pPr>
        <w:spacing w:line="240" w:lineRule="auto" w:before="2"/>
        <w:rPr>
          <w:rFonts w:ascii="宋体" w:hAnsi="宋体" w:cs="宋体" w:eastAsia="宋体" w:hint="default"/>
          <w:sz w:val="20"/>
          <w:szCs w:val="20"/>
        </w:rPr>
      </w:pPr>
    </w:p>
    <w:p>
      <w:pPr>
        <w:pStyle w:val="BodyText"/>
        <w:spacing w:line="240" w:lineRule="auto" w:before="36"/>
        <w:ind w:right="2497"/>
        <w:jc w:val="left"/>
      </w:pPr>
      <w:r>
        <w:rPr/>
        <w:t>可辨认资产、负债公允价值的确定方法：</w:t>
      </w:r>
    </w:p>
    <w:p>
      <w:pPr>
        <w:pStyle w:val="BodyText"/>
        <w:spacing w:line="240" w:lineRule="auto" w:before="56"/>
        <w:ind w:right="227"/>
        <w:jc w:val="left"/>
      </w:pPr>
      <w:r>
        <w:rPr>
          <w:spacing w:val="-3"/>
        </w:rPr>
        <w:t>参考泉州和益资产评估房地产土地估价有限责任公司出具的泉和益评（资）字（</w:t>
      </w:r>
      <w:r>
        <w:rPr>
          <w:rFonts w:ascii="宋体" w:hAnsi="宋体" w:cs="宋体" w:eastAsia="宋体" w:hint="default"/>
          <w:spacing w:val="-3"/>
        </w:rPr>
        <w:t>2017</w:t>
      </w:r>
      <w:r>
        <w:rPr>
          <w:spacing w:val="-3"/>
        </w:rPr>
        <w:t>）第 </w:t>
      </w:r>
      <w:r>
        <w:rPr>
          <w:rFonts w:ascii="宋体" w:hAnsi="宋体" w:cs="宋体" w:eastAsia="宋体" w:hint="default"/>
        </w:rPr>
        <w:t>I09013</w:t>
      </w:r>
      <w:r>
        <w:rPr>
          <w:rFonts w:ascii="宋体" w:hAnsi="宋体" w:cs="宋体" w:eastAsia="宋体" w:hint="default"/>
          <w:spacing w:val="-81"/>
        </w:rPr>
        <w:t> </w:t>
      </w:r>
      <w:r>
        <w:rPr>
          <w:rFonts w:ascii="宋体" w:hAnsi="宋体" w:cs="宋体" w:eastAsia="宋体" w:hint="default"/>
          <w:spacing w:val="-81"/>
        </w:rPr>
      </w:r>
      <w:r>
        <w:rPr/>
        <w:t>号《资产评估报告》中采用成本法对东南冷链的评估值，经调整后确定。</w:t>
      </w:r>
    </w:p>
    <w:p>
      <w:pPr>
        <w:pStyle w:val="BodyText"/>
        <w:spacing w:line="290" w:lineRule="auto" w:before="56"/>
        <w:ind w:right="5134"/>
        <w:jc w:val="left"/>
      </w:pPr>
      <w:r>
        <w:rPr>
          <w:spacing w:val="-2"/>
        </w:rPr>
        <w:t>企业合并中承担的被购买方的或有负债：</w:t>
      </w:r>
      <w:r>
        <w:rPr>
          <w:spacing w:val="-69"/>
        </w:rPr>
        <w:t> </w:t>
      </w:r>
      <w:r>
        <w:rPr>
          <w:spacing w:val="-69"/>
        </w:rPr>
      </w:r>
      <w:r>
        <w:rPr/>
        <w:t>无</w:t>
      </w:r>
    </w:p>
    <w:p>
      <w:pPr>
        <w:pStyle w:val="BodyText"/>
        <w:spacing w:line="290" w:lineRule="auto" w:before="12"/>
        <w:ind w:right="7998"/>
        <w:jc w:val="left"/>
      </w:pPr>
      <w:r>
        <w:rPr/>
        <w:t>其他说明：</w:t>
      </w:r>
      <w:r>
        <w:rPr>
          <w:spacing w:val="-102"/>
        </w:rPr>
        <w:t> </w:t>
      </w:r>
      <w:r>
        <w:rPr>
          <w:spacing w:val="-102"/>
        </w:rPr>
      </w:r>
      <w:r>
        <w:rPr/>
        <w:t>不适用</w:t>
      </w:r>
    </w:p>
    <w:p>
      <w:pPr>
        <w:spacing w:after="0" w:line="29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tabs>
          <w:tab w:pos="795" w:val="left" w:leader="none"/>
        </w:tabs>
        <w:spacing w:line="290" w:lineRule="auto" w:before="36"/>
        <w:ind w:left="138" w:right="2240" w:firstLine="0"/>
        <w:jc w:val="left"/>
        <w:rPr>
          <w:rFonts w:ascii="宋体" w:hAnsi="宋体" w:cs="宋体" w:eastAsia="宋体" w:hint="default"/>
          <w:sz w:val="21"/>
          <w:szCs w:val="21"/>
        </w:rPr>
      </w:pPr>
      <w:r>
        <w:rPr>
          <w:rFonts w:ascii="宋体" w:hAnsi="宋体" w:cs="宋体" w:eastAsia="宋体" w:hint="default"/>
          <w:b/>
          <w:bCs/>
          <w:w w:val="95"/>
          <w:sz w:val="21"/>
          <w:szCs w:val="21"/>
        </w:rPr>
        <w:t>(4).</w:t>
        <w:tab/>
      </w:r>
      <w:r>
        <w:rPr>
          <w:rFonts w:ascii="宋体" w:hAnsi="宋体" w:cs="宋体" w:eastAsia="宋体" w:hint="default"/>
          <w:b/>
          <w:bCs/>
          <w:sz w:val="21"/>
          <w:szCs w:val="21"/>
        </w:rPr>
        <w:t>购买日之前持有的股权按照公允价值重新计量产生的利得或损失</w:t>
      </w:r>
      <w:r>
        <w:rPr>
          <w:rFonts w:ascii="宋体" w:hAnsi="宋体" w:cs="宋体" w:eastAsia="宋体" w:hint="default"/>
          <w:b/>
          <w:bCs/>
          <w:w w:val="100"/>
          <w:sz w:val="21"/>
          <w:szCs w:val="21"/>
        </w:rPr>
        <w:t> </w:t>
      </w:r>
      <w:r>
        <w:rPr>
          <w:rFonts w:ascii="宋体" w:hAnsi="宋体" w:cs="宋体" w:eastAsia="宋体" w:hint="default"/>
          <w:spacing w:val="-2"/>
          <w:sz w:val="21"/>
          <w:szCs w:val="21"/>
        </w:rPr>
        <w:t>是否存在通过多次交易分步实现企业合并且在报告期内取得控制权的交易</w:t>
      </w:r>
    </w:p>
    <w:p>
      <w:pPr>
        <w:pStyle w:val="BodyText"/>
        <w:spacing w:line="227" w:lineRule="exact"/>
        <w:ind w:left="138" w:right="12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tabs>
          <w:tab w:pos="795" w:val="left" w:leader="none"/>
        </w:tabs>
        <w:spacing w:line="240" w:lineRule="auto"/>
        <w:ind w:left="138" w:right="131"/>
        <w:jc w:val="left"/>
        <w:rPr>
          <w:b w:val="0"/>
          <w:bCs w:val="0"/>
        </w:rPr>
      </w:pPr>
      <w:r>
        <w:rPr>
          <w:rFonts w:ascii="宋体" w:hAnsi="宋体" w:cs="宋体" w:eastAsia="宋体" w:hint="default"/>
          <w:w w:val="95"/>
        </w:rPr>
        <w:t>(5).</w:t>
        <w:tab/>
      </w:r>
      <w:r>
        <w:rPr>
          <w:spacing w:val="-2"/>
        </w:rPr>
        <w:t>购买日或合并当期期末无法合理确定合并对价或被购买方可辨认资产、负债公允价值的相</w:t>
      </w:r>
      <w:r>
        <w:rPr>
          <w:spacing w:val="-76"/>
        </w:rPr>
        <w:t> </w:t>
      </w:r>
      <w:r>
        <w:rPr>
          <w:spacing w:val="-76"/>
        </w:rPr>
      </w:r>
      <w:r>
        <w:rPr/>
        <w:t>关说明</w:t>
      </w:r>
      <w:r>
        <w:rPr>
          <w:b w:val="0"/>
          <w:bCs w:val="0"/>
        </w:rPr>
      </w:r>
    </w:p>
    <w:p>
      <w:pPr>
        <w:pStyle w:val="BodyText"/>
        <w:spacing w:line="240" w:lineRule="auto" w:before="56"/>
        <w:ind w:left="138" w:right="12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tabs>
          <w:tab w:pos="795" w:val="left" w:leader="none"/>
        </w:tabs>
        <w:spacing w:line="240" w:lineRule="auto"/>
        <w:ind w:left="138" w:right="125"/>
        <w:jc w:val="left"/>
        <w:rPr>
          <w:b w:val="0"/>
          <w:bCs w:val="0"/>
        </w:rPr>
      </w:pPr>
      <w:r>
        <w:rPr>
          <w:rFonts w:ascii="宋体" w:hAnsi="宋体" w:cs="宋体" w:eastAsia="宋体" w:hint="default"/>
          <w:w w:val="95"/>
        </w:rPr>
        <w:t>(6).</w:t>
        <w:tab/>
      </w:r>
      <w:r>
        <w:rPr/>
        <w:t>其他说明：</w:t>
      </w:r>
      <w:r>
        <w:rPr>
          <w:b w:val="0"/>
          <w:bCs w:val="0"/>
        </w:rPr>
      </w:r>
    </w:p>
    <w:p>
      <w:pPr>
        <w:pStyle w:val="BodyText"/>
        <w:spacing w:line="240" w:lineRule="auto" w:before="58"/>
        <w:ind w:left="138" w:right="125"/>
        <w:jc w:val="left"/>
      </w:pPr>
      <w:r>
        <w:rPr/>
        <w:t>□适用</w:t>
      </w:r>
      <w:r>
        <w:rPr>
          <w:spacing w:val="-1"/>
        </w:rPr>
        <w:t> </w:t>
      </w:r>
      <w:r>
        <w:rPr/>
        <w:t>√不适用</w:t>
      </w:r>
    </w:p>
    <w:p>
      <w:pPr>
        <w:pStyle w:val="Heading2"/>
        <w:spacing w:line="240" w:lineRule="auto" w:before="56"/>
        <w:ind w:left="138" w:right="125"/>
        <w:jc w:val="left"/>
        <w:rPr>
          <w:b w:val="0"/>
          <w:bCs w:val="0"/>
        </w:rPr>
      </w:pPr>
      <w:r>
        <w:rPr>
          <w:rFonts w:ascii="宋体" w:hAnsi="宋体" w:cs="宋体" w:eastAsia="宋体" w:hint="default"/>
        </w:rPr>
        <w:t>2</w:t>
      </w:r>
      <w:r>
        <w:rPr/>
        <w:t>、 同一控制下企业合并</w:t>
      </w:r>
      <w:r>
        <w:rPr>
          <w:b w:val="0"/>
          <w:bCs w:val="0"/>
        </w:rPr>
      </w:r>
    </w:p>
    <w:p>
      <w:pPr>
        <w:pStyle w:val="BodyText"/>
        <w:spacing w:line="240" w:lineRule="auto" w:before="59"/>
        <w:ind w:left="138" w:right="12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125"/>
        <w:jc w:val="left"/>
        <w:rPr>
          <w:b w:val="0"/>
          <w:bCs w:val="0"/>
        </w:rPr>
      </w:pPr>
      <w:r>
        <w:rPr>
          <w:rFonts w:ascii="宋体" w:hAnsi="宋体" w:cs="宋体" w:eastAsia="宋体" w:hint="default"/>
        </w:rPr>
        <w:t>3</w:t>
      </w:r>
      <w:r>
        <w:rPr/>
        <w:t>、</w:t>
      </w:r>
      <w:r>
        <w:rPr>
          <w:spacing w:val="-2"/>
        </w:rPr>
        <w:t> </w:t>
      </w:r>
      <w:r>
        <w:rPr/>
        <w:t>反向购买</w:t>
      </w:r>
      <w:r>
        <w:rPr>
          <w:b w:val="0"/>
          <w:bCs w:val="0"/>
        </w:rPr>
      </w:r>
    </w:p>
    <w:p>
      <w:pPr>
        <w:pStyle w:val="BodyText"/>
        <w:spacing w:line="240" w:lineRule="auto" w:before="56"/>
        <w:ind w:left="138" w:right="125"/>
        <w:jc w:val="left"/>
      </w:pPr>
      <w:r>
        <w:rPr/>
        <w:t>□适用</w:t>
      </w:r>
      <w:r>
        <w:rPr>
          <w:spacing w:val="-1"/>
        </w:rPr>
        <w:t> </w:t>
      </w:r>
      <w:r>
        <w:rPr/>
        <w:t>√不适用</w:t>
      </w:r>
    </w:p>
    <w:p>
      <w:pPr>
        <w:spacing w:after="0" w:line="240" w:lineRule="auto"/>
        <w:jc w:val="left"/>
        <w:sectPr>
          <w:pgSz w:w="11910" w:h="16840"/>
          <w:pgMar w:header="882" w:footer="1195" w:top="1120" w:bottom="1380" w:left="1660" w:right="1140"/>
        </w:sectPr>
      </w:pPr>
    </w:p>
    <w:p>
      <w:pPr>
        <w:spacing w:before="28"/>
        <w:ind w:left="0" w:right="96" w:firstLine="0"/>
        <w:jc w:val="center"/>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3;height:2" coordorigin="7,7" coordsize="8873,2">
              <v:shape style="position:absolute;left:7;top:7;width:8873;height:2" coordorigin="7,7" coordsize="8873,0" path="m7,7l888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spacing w:line="290" w:lineRule="auto" w:before="36"/>
        <w:ind w:left="137" w:right="3646"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处置子公司</w:t>
      </w:r>
      <w:r>
        <w:rPr>
          <w:rFonts w:ascii="宋体" w:hAnsi="宋体" w:cs="宋体" w:eastAsia="宋体" w:hint="default"/>
          <w:b/>
          <w:bCs/>
          <w:w w:val="100"/>
          <w:sz w:val="21"/>
          <w:szCs w:val="21"/>
        </w:rPr>
        <w:t> </w:t>
      </w:r>
      <w:r>
        <w:rPr>
          <w:rFonts w:ascii="宋体" w:hAnsi="宋体" w:cs="宋体" w:eastAsia="宋体" w:hint="default"/>
          <w:spacing w:val="-2"/>
          <w:sz w:val="21"/>
          <w:szCs w:val="21"/>
        </w:rPr>
        <w:t>是否存在单次处置对子公司投资即丧失控制权的情形</w:t>
      </w:r>
    </w:p>
    <w:p>
      <w:pPr>
        <w:pStyle w:val="BodyText"/>
        <w:spacing w:line="226" w:lineRule="exact"/>
        <w:ind w:left="137" w:right="104"/>
        <w:jc w:val="left"/>
      </w:pPr>
      <w:r>
        <w:rPr/>
        <w:t>□适用 √不适用</w:t>
      </w:r>
    </w:p>
    <w:p>
      <w:pPr>
        <w:pStyle w:val="BodyText"/>
        <w:spacing w:line="272" w:lineRule="exact"/>
        <w:ind w:left="137" w:right="104"/>
        <w:jc w:val="left"/>
      </w:pPr>
      <w:r>
        <w:rPr/>
        <w:t>其他说明：</w:t>
      </w:r>
    </w:p>
    <w:p>
      <w:pPr>
        <w:pStyle w:val="BodyText"/>
        <w:spacing w:line="273" w:lineRule="exact"/>
        <w:ind w:left="137" w:right="104"/>
        <w:jc w:val="left"/>
      </w:pPr>
      <w:r>
        <w:rPr/>
        <w:t>□适用 √不适用</w:t>
      </w:r>
    </w:p>
    <w:p>
      <w:pPr>
        <w:spacing w:line="240" w:lineRule="auto" w:before="8"/>
        <w:rPr>
          <w:rFonts w:ascii="宋体" w:hAnsi="宋体" w:cs="宋体" w:eastAsia="宋体" w:hint="default"/>
          <w:sz w:val="20"/>
          <w:szCs w:val="20"/>
        </w:rPr>
      </w:pPr>
    </w:p>
    <w:p>
      <w:pPr>
        <w:pStyle w:val="BodyText"/>
        <w:spacing w:line="274" w:lineRule="exact"/>
        <w:ind w:left="137" w:right="104"/>
        <w:jc w:val="left"/>
      </w:pPr>
      <w:r>
        <w:rPr/>
        <w:t>是否存在通过多次交易分步处置对子公司投资且在本期丧失控制权的情形</w:t>
      </w:r>
    </w:p>
    <w:p>
      <w:pPr>
        <w:pStyle w:val="BodyText"/>
        <w:spacing w:line="274" w:lineRule="exact"/>
        <w:ind w:left="137" w:right="104"/>
        <w:jc w:val="left"/>
      </w:pPr>
      <w:r>
        <w:rPr/>
        <w:t>□适用√不适用</w:t>
      </w:r>
    </w:p>
    <w:p>
      <w:pPr>
        <w:spacing w:line="240" w:lineRule="auto" w:before="12"/>
        <w:rPr>
          <w:rFonts w:ascii="宋体" w:hAnsi="宋体" w:cs="宋体" w:eastAsia="宋体" w:hint="default"/>
          <w:sz w:val="23"/>
          <w:szCs w:val="23"/>
        </w:rPr>
      </w:pPr>
    </w:p>
    <w:p>
      <w:pPr>
        <w:spacing w:line="290" w:lineRule="auto" w:before="0"/>
        <w:ind w:left="137" w:right="104"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其他原因的合并范围变动</w:t>
      </w:r>
      <w:r>
        <w:rPr>
          <w:rFonts w:ascii="宋体" w:hAnsi="宋体" w:cs="宋体" w:eastAsia="宋体" w:hint="default"/>
          <w:b/>
          <w:bCs/>
          <w:w w:val="100"/>
          <w:sz w:val="21"/>
          <w:szCs w:val="21"/>
        </w:rPr>
        <w:t> </w:t>
      </w:r>
      <w:r>
        <w:rPr>
          <w:rFonts w:ascii="宋体" w:hAnsi="宋体" w:cs="宋体" w:eastAsia="宋体" w:hint="default"/>
          <w:spacing w:val="-2"/>
          <w:sz w:val="21"/>
          <w:szCs w:val="21"/>
        </w:rPr>
        <w:t>说明其他原因导致的合并范围变动（如，新设子公司、清算子公司等）及其相关情况：</w:t>
      </w:r>
    </w:p>
    <w:p>
      <w:pPr>
        <w:pStyle w:val="BodyText"/>
        <w:spacing w:line="227" w:lineRule="exact"/>
        <w:ind w:left="137" w:right="104"/>
        <w:jc w:val="left"/>
      </w:pPr>
      <w:r>
        <w:rPr/>
        <w:t>√适用 □不适用</w:t>
      </w:r>
    </w:p>
    <w:p>
      <w:pPr>
        <w:pStyle w:val="BodyText"/>
        <w:spacing w:line="274" w:lineRule="exact"/>
        <w:ind w:left="557" w:right="104"/>
        <w:jc w:val="left"/>
      </w:pPr>
      <w:r>
        <w:rPr/>
        <w:t>新设子公司</w:t>
      </w:r>
    </w:p>
    <w:p>
      <w:pPr>
        <w:pStyle w:val="BodyText"/>
        <w:spacing w:line="240" w:lineRule="auto" w:before="133"/>
        <w:ind w:left="557" w:right="104"/>
        <w:jc w:val="left"/>
      </w:pPr>
      <w:r>
        <w:rPr/>
        <w:t>①</w:t>
      </w:r>
      <w:r>
        <w:rPr>
          <w:rFonts w:ascii="宋体" w:hAnsi="宋体" w:cs="宋体" w:eastAsia="宋体" w:hint="default"/>
        </w:rPr>
        <w:t>2017</w:t>
      </w:r>
      <w:r>
        <w:rPr>
          <w:rFonts w:ascii="宋体" w:hAnsi="宋体" w:cs="宋体" w:eastAsia="宋体" w:hint="default"/>
          <w:spacing w:val="-54"/>
        </w:rPr>
        <w:t> </w:t>
      </w:r>
      <w:r>
        <w:rPr/>
        <w:t>年</w:t>
      </w:r>
      <w:r>
        <w:rPr>
          <w:spacing w:val="-56"/>
        </w:rPr>
        <w:t> </w:t>
      </w:r>
      <w:r>
        <w:rPr>
          <w:rFonts w:ascii="宋体" w:hAnsi="宋体" w:cs="宋体" w:eastAsia="宋体" w:hint="default"/>
        </w:rPr>
        <w:t>1</w:t>
      </w:r>
      <w:r>
        <w:rPr>
          <w:rFonts w:ascii="宋体" w:hAnsi="宋体" w:cs="宋体" w:eastAsia="宋体" w:hint="default"/>
          <w:spacing w:val="-54"/>
        </w:rPr>
        <w:t> </w:t>
      </w:r>
      <w:r>
        <w:rPr/>
        <w:t>月</w:t>
      </w:r>
      <w:r>
        <w:rPr>
          <w:spacing w:val="-54"/>
        </w:rPr>
        <w:t> </w:t>
      </w:r>
      <w:r>
        <w:rPr>
          <w:rFonts w:ascii="宋体" w:hAnsi="宋体" w:cs="宋体" w:eastAsia="宋体" w:hint="default"/>
        </w:rPr>
        <w:t>13</w:t>
      </w:r>
      <w:r>
        <w:rPr>
          <w:rFonts w:ascii="宋体" w:hAnsi="宋体" w:cs="宋体" w:eastAsia="宋体" w:hint="default"/>
          <w:spacing w:val="-54"/>
        </w:rPr>
        <w:t> </w:t>
      </w:r>
      <w:r>
        <w:rPr/>
        <w:t>日本公司子公司泉州安通物流有限公司投资设立泉州安通集速拼物流有限</w:t>
      </w:r>
    </w:p>
    <w:p>
      <w:pPr>
        <w:pStyle w:val="BodyText"/>
        <w:spacing w:line="240" w:lineRule="auto" w:before="133"/>
        <w:ind w:left="137" w:right="104"/>
        <w:jc w:val="left"/>
      </w:pPr>
      <w:r>
        <w:rPr/>
        <w:t>公司，注册资本</w:t>
      </w:r>
      <w:r>
        <w:rPr>
          <w:spacing w:val="-53"/>
        </w:rPr>
        <w:t> </w:t>
      </w:r>
      <w:r>
        <w:rPr>
          <w:rFonts w:ascii="宋体" w:hAnsi="宋体" w:cs="宋体" w:eastAsia="宋体" w:hint="default"/>
        </w:rPr>
        <w:t>1,000</w:t>
      </w:r>
      <w:r>
        <w:rPr>
          <w:rFonts w:ascii="宋体" w:hAnsi="宋体" w:cs="宋体" w:eastAsia="宋体" w:hint="default"/>
          <w:spacing w:val="-53"/>
        </w:rPr>
        <w:t> </w:t>
      </w:r>
      <w:r>
        <w:rPr/>
        <w:t>万元。</w:t>
      </w:r>
    </w:p>
    <w:p>
      <w:pPr>
        <w:pStyle w:val="BodyText"/>
        <w:spacing w:line="240" w:lineRule="auto" w:before="133"/>
        <w:ind w:left="557" w:right="104"/>
        <w:jc w:val="left"/>
      </w:pPr>
      <w:r>
        <w:rPr/>
        <w:t>②</w:t>
      </w:r>
      <w:r>
        <w:rPr>
          <w:rFonts w:ascii="宋体" w:hAnsi="宋体" w:cs="宋体" w:eastAsia="宋体" w:hint="default"/>
        </w:rPr>
        <w:t>2017</w:t>
      </w:r>
      <w:r>
        <w:rPr>
          <w:rFonts w:ascii="宋体" w:hAnsi="宋体" w:cs="宋体" w:eastAsia="宋体" w:hint="default"/>
          <w:spacing w:val="-42"/>
        </w:rPr>
        <w:t> </w:t>
      </w:r>
      <w:r>
        <w:rPr/>
        <w:t>年</w:t>
      </w:r>
      <w:r>
        <w:rPr>
          <w:spacing w:val="-45"/>
        </w:rPr>
        <w:t> </w:t>
      </w:r>
      <w:r>
        <w:rPr>
          <w:rFonts w:ascii="宋体" w:hAnsi="宋体" w:cs="宋体" w:eastAsia="宋体" w:hint="default"/>
        </w:rPr>
        <w:t>6</w:t>
      </w:r>
      <w:r>
        <w:rPr>
          <w:rFonts w:ascii="宋体" w:hAnsi="宋体" w:cs="宋体" w:eastAsia="宋体" w:hint="default"/>
          <w:spacing w:val="-42"/>
        </w:rPr>
        <w:t> </w:t>
      </w:r>
      <w:r>
        <w:rPr/>
        <w:t>月</w:t>
      </w:r>
      <w:r>
        <w:rPr>
          <w:spacing w:val="-45"/>
        </w:rPr>
        <w:t> </w:t>
      </w:r>
      <w:r>
        <w:rPr>
          <w:rFonts w:ascii="宋体" w:hAnsi="宋体" w:cs="宋体" w:eastAsia="宋体" w:hint="default"/>
        </w:rPr>
        <w:t>2</w:t>
      </w:r>
      <w:r>
        <w:rPr>
          <w:rFonts w:ascii="宋体" w:hAnsi="宋体" w:cs="宋体" w:eastAsia="宋体" w:hint="default"/>
          <w:spacing w:val="-42"/>
        </w:rPr>
        <w:t> </w:t>
      </w:r>
      <w:r>
        <w:rPr>
          <w:spacing w:val="-3"/>
        </w:rPr>
        <w:t>日本公司子公司泉州安盛船务有限公司投资设立东润船舶代理有限公司，注</w:t>
      </w:r>
    </w:p>
    <w:p>
      <w:pPr>
        <w:pStyle w:val="BodyText"/>
        <w:spacing w:line="240" w:lineRule="auto" w:before="133"/>
        <w:ind w:left="137" w:right="104"/>
        <w:jc w:val="left"/>
      </w:pPr>
      <w:r>
        <w:rPr/>
        <w:t>册资本</w:t>
      </w:r>
      <w:r>
        <w:rPr>
          <w:spacing w:val="-53"/>
        </w:rPr>
        <w:t> </w:t>
      </w:r>
      <w:r>
        <w:rPr>
          <w:rFonts w:ascii="宋体" w:hAnsi="宋体" w:cs="宋体" w:eastAsia="宋体" w:hint="default"/>
        </w:rPr>
        <w:t>5,000</w:t>
      </w:r>
      <w:r>
        <w:rPr>
          <w:rFonts w:ascii="宋体" w:hAnsi="宋体" w:cs="宋体" w:eastAsia="宋体" w:hint="default"/>
          <w:spacing w:val="-53"/>
        </w:rPr>
        <w:t> </w:t>
      </w:r>
      <w:r>
        <w:rPr/>
        <w:t>万元。</w:t>
      </w:r>
    </w:p>
    <w:p>
      <w:pPr>
        <w:pStyle w:val="BodyText"/>
        <w:spacing w:line="355" w:lineRule="auto" w:before="135"/>
        <w:ind w:left="137" w:right="219" w:firstLine="420"/>
        <w:jc w:val="left"/>
      </w:pPr>
      <w:r>
        <w:rPr/>
        <w:t>③</w:t>
      </w:r>
      <w:r>
        <w:rPr>
          <w:rFonts w:ascii="宋体" w:hAnsi="宋体" w:cs="宋体" w:eastAsia="宋体" w:hint="default"/>
        </w:rPr>
        <w:t>2017</w:t>
      </w:r>
      <w:r>
        <w:rPr>
          <w:rFonts w:ascii="宋体" w:hAnsi="宋体" w:cs="宋体" w:eastAsia="宋体" w:hint="default"/>
          <w:spacing w:val="-54"/>
        </w:rPr>
        <w:t> </w:t>
      </w:r>
      <w:r>
        <w:rPr/>
        <w:t>年</w:t>
      </w:r>
      <w:r>
        <w:rPr>
          <w:spacing w:val="-56"/>
        </w:rPr>
        <w:t> </w:t>
      </w:r>
      <w:r>
        <w:rPr>
          <w:rFonts w:ascii="宋体" w:hAnsi="宋体" w:cs="宋体" w:eastAsia="宋体" w:hint="default"/>
        </w:rPr>
        <w:t>8</w:t>
      </w:r>
      <w:r>
        <w:rPr>
          <w:rFonts w:ascii="宋体" w:hAnsi="宋体" w:cs="宋体" w:eastAsia="宋体" w:hint="default"/>
          <w:spacing w:val="-54"/>
        </w:rPr>
        <w:t> </w:t>
      </w:r>
      <w:r>
        <w:rPr/>
        <w:t>月</w:t>
      </w:r>
      <w:r>
        <w:rPr>
          <w:spacing w:val="-54"/>
        </w:rPr>
        <w:t> </w:t>
      </w:r>
      <w:r>
        <w:rPr>
          <w:rFonts w:ascii="宋体" w:hAnsi="宋体" w:cs="宋体" w:eastAsia="宋体" w:hint="default"/>
        </w:rPr>
        <w:t>17</w:t>
      </w:r>
      <w:r>
        <w:rPr>
          <w:rFonts w:ascii="宋体" w:hAnsi="宋体" w:cs="宋体" w:eastAsia="宋体" w:hint="default"/>
          <w:spacing w:val="-54"/>
        </w:rPr>
        <w:t> </w:t>
      </w:r>
      <w:r>
        <w:rPr/>
        <w:t>日本公司投资设立安通（泉州）多式联运基地有限公司，注册资本</w:t>
      </w:r>
      <w:r>
        <w:rPr>
          <w:spacing w:val="-53"/>
        </w:rPr>
        <w:t> </w:t>
      </w:r>
      <w:r>
        <w:rPr>
          <w:rFonts w:ascii="宋体" w:hAnsi="宋体" w:cs="宋体" w:eastAsia="宋体" w:hint="default"/>
        </w:rPr>
        <w:t>30,000</w:t>
      </w:r>
      <w:r>
        <w:rPr>
          <w:rFonts w:ascii="宋体" w:hAnsi="宋体" w:cs="宋体" w:eastAsia="宋体" w:hint="default"/>
          <w:w w:val="100"/>
        </w:rPr>
        <w:t> </w:t>
      </w:r>
      <w:r>
        <w:rPr/>
        <w:t>万元。</w:t>
      </w:r>
    </w:p>
    <w:p>
      <w:pPr>
        <w:pStyle w:val="BodyText"/>
        <w:spacing w:line="240" w:lineRule="auto" w:before="32"/>
        <w:ind w:left="557" w:right="104"/>
        <w:jc w:val="left"/>
      </w:pPr>
      <w:r>
        <w:rPr/>
        <w:t>④</w:t>
      </w:r>
      <w:r>
        <w:rPr>
          <w:rFonts w:ascii="宋体" w:hAnsi="宋体" w:cs="宋体" w:eastAsia="宋体" w:hint="default"/>
        </w:rPr>
        <w:t>2017</w:t>
      </w:r>
      <w:r>
        <w:rPr>
          <w:rFonts w:ascii="宋体" w:hAnsi="宋体" w:cs="宋体" w:eastAsia="宋体" w:hint="default"/>
          <w:spacing w:val="-54"/>
        </w:rPr>
        <w:t> </w:t>
      </w:r>
      <w:r>
        <w:rPr/>
        <w:t>年</w:t>
      </w:r>
      <w:r>
        <w:rPr>
          <w:spacing w:val="-56"/>
        </w:rPr>
        <w:t> </w:t>
      </w:r>
      <w:r>
        <w:rPr>
          <w:rFonts w:ascii="宋体" w:hAnsi="宋体" w:cs="宋体" w:eastAsia="宋体" w:hint="default"/>
        </w:rPr>
        <w:t>9</w:t>
      </w:r>
      <w:r>
        <w:rPr>
          <w:rFonts w:ascii="宋体" w:hAnsi="宋体" w:cs="宋体" w:eastAsia="宋体" w:hint="default"/>
          <w:spacing w:val="-54"/>
        </w:rPr>
        <w:t> </w:t>
      </w:r>
      <w:r>
        <w:rPr/>
        <w:t>月</w:t>
      </w:r>
      <w:r>
        <w:rPr>
          <w:spacing w:val="-54"/>
        </w:rPr>
        <w:t> </w:t>
      </w:r>
      <w:r>
        <w:rPr>
          <w:rFonts w:ascii="宋体" w:hAnsi="宋体" w:cs="宋体" w:eastAsia="宋体" w:hint="default"/>
        </w:rPr>
        <w:t>20</w:t>
      </w:r>
      <w:r>
        <w:rPr>
          <w:rFonts w:ascii="宋体" w:hAnsi="宋体" w:cs="宋体" w:eastAsia="宋体" w:hint="default"/>
          <w:spacing w:val="-54"/>
        </w:rPr>
        <w:t> </w:t>
      </w:r>
      <w:r>
        <w:rPr/>
        <w:t>日本公司子公司泉州安通物流有限公司投资设立上海建润通嘉物流有限公</w:t>
      </w:r>
    </w:p>
    <w:p>
      <w:pPr>
        <w:pStyle w:val="BodyText"/>
        <w:spacing w:line="240" w:lineRule="auto" w:before="133"/>
        <w:ind w:left="137" w:right="104"/>
        <w:jc w:val="left"/>
      </w:pPr>
      <w:r>
        <w:rPr/>
        <w:t>司，注册资本</w:t>
      </w:r>
      <w:r>
        <w:rPr>
          <w:spacing w:val="-53"/>
        </w:rPr>
        <w:t> </w:t>
      </w:r>
      <w:r>
        <w:rPr>
          <w:rFonts w:ascii="宋体" w:hAnsi="宋体" w:cs="宋体" w:eastAsia="宋体" w:hint="default"/>
        </w:rPr>
        <w:t>1,000</w:t>
      </w:r>
      <w:r>
        <w:rPr>
          <w:rFonts w:ascii="宋体" w:hAnsi="宋体" w:cs="宋体" w:eastAsia="宋体" w:hint="default"/>
          <w:spacing w:val="-55"/>
        </w:rPr>
        <w:t> </w:t>
      </w:r>
      <w:r>
        <w:rPr/>
        <w:t>万元。</w:t>
      </w:r>
    </w:p>
    <w:p>
      <w:pPr>
        <w:pStyle w:val="BodyText"/>
        <w:spacing w:line="240" w:lineRule="auto" w:before="133"/>
        <w:ind w:left="557" w:right="104"/>
        <w:jc w:val="left"/>
      </w:pPr>
      <w:r>
        <w:rPr/>
        <w:t>⑤</w:t>
      </w:r>
      <w:r>
        <w:rPr>
          <w:rFonts w:ascii="宋体" w:hAnsi="宋体" w:cs="宋体" w:eastAsia="宋体" w:hint="default"/>
        </w:rPr>
        <w:t>2017</w:t>
      </w:r>
      <w:r>
        <w:rPr>
          <w:rFonts w:ascii="宋体" w:hAnsi="宋体" w:cs="宋体" w:eastAsia="宋体" w:hint="default"/>
          <w:spacing w:val="-54"/>
        </w:rPr>
        <w:t> </w:t>
      </w:r>
      <w:r>
        <w:rPr/>
        <w:t>年</w:t>
      </w:r>
      <w:r>
        <w:rPr>
          <w:spacing w:val="-54"/>
        </w:rPr>
        <w:t> </w:t>
      </w:r>
      <w:r>
        <w:rPr>
          <w:rFonts w:ascii="宋体" w:hAnsi="宋体" w:cs="宋体" w:eastAsia="宋体" w:hint="default"/>
        </w:rPr>
        <w:t>10</w:t>
      </w:r>
      <w:r>
        <w:rPr>
          <w:rFonts w:ascii="宋体" w:hAnsi="宋体" w:cs="宋体" w:eastAsia="宋体" w:hint="default"/>
          <w:spacing w:val="-54"/>
        </w:rPr>
        <w:t> </w:t>
      </w:r>
      <w:r>
        <w:rPr/>
        <w:t>月</w:t>
      </w:r>
      <w:r>
        <w:rPr>
          <w:spacing w:val="-56"/>
        </w:rPr>
        <w:t> </w:t>
      </w:r>
      <w:r>
        <w:rPr>
          <w:rFonts w:ascii="宋体" w:hAnsi="宋体" w:cs="宋体" w:eastAsia="宋体" w:hint="default"/>
        </w:rPr>
        <w:t>23</w:t>
      </w:r>
      <w:r>
        <w:rPr>
          <w:rFonts w:ascii="宋体" w:hAnsi="宋体" w:cs="宋体" w:eastAsia="宋体" w:hint="default"/>
          <w:spacing w:val="-56"/>
        </w:rPr>
        <w:t> </w:t>
      </w:r>
      <w:r>
        <w:rPr/>
        <w:t>日本公司投资设立安通（唐山海港）多式联运物流有限公司，注册资本</w:t>
      </w:r>
    </w:p>
    <w:p>
      <w:pPr>
        <w:pStyle w:val="BodyText"/>
        <w:spacing w:line="240" w:lineRule="auto" w:before="135"/>
        <w:ind w:left="137" w:right="104"/>
        <w:jc w:val="left"/>
      </w:pPr>
      <w:r>
        <w:rPr>
          <w:rFonts w:ascii="宋体" w:hAnsi="宋体" w:cs="宋体" w:eastAsia="宋体" w:hint="default"/>
        </w:rPr>
        <w:t>30,000</w:t>
      </w:r>
      <w:r>
        <w:rPr>
          <w:rFonts w:ascii="宋体" w:hAnsi="宋体" w:cs="宋体" w:eastAsia="宋体" w:hint="default"/>
          <w:spacing w:val="-52"/>
        </w:rPr>
        <w:t> </w:t>
      </w:r>
      <w:r>
        <w:rPr/>
        <w:t>万元。</w:t>
      </w:r>
    </w:p>
    <w:p>
      <w:pPr>
        <w:pStyle w:val="BodyText"/>
        <w:spacing w:line="240" w:lineRule="auto" w:before="133"/>
        <w:ind w:left="557" w:right="0"/>
        <w:jc w:val="left"/>
      </w:pPr>
      <w:r>
        <w:rPr/>
        <w:t>⑥</w:t>
      </w:r>
      <w:r>
        <w:rPr>
          <w:rFonts w:ascii="宋体" w:hAnsi="宋体" w:cs="宋体" w:eastAsia="宋体" w:hint="default"/>
        </w:rPr>
        <w:t>2017</w:t>
      </w:r>
      <w:r>
        <w:rPr>
          <w:rFonts w:ascii="宋体" w:hAnsi="宋体" w:cs="宋体" w:eastAsia="宋体" w:hint="default"/>
          <w:spacing w:val="-41"/>
        </w:rPr>
        <w:t> </w:t>
      </w:r>
      <w:r>
        <w:rPr/>
        <w:t>年</w:t>
      </w:r>
      <w:r>
        <w:rPr>
          <w:spacing w:val="-41"/>
        </w:rPr>
        <w:t> </w:t>
      </w:r>
      <w:r>
        <w:rPr>
          <w:rFonts w:ascii="宋体" w:hAnsi="宋体" w:cs="宋体" w:eastAsia="宋体" w:hint="default"/>
        </w:rPr>
        <w:t>11</w:t>
      </w:r>
      <w:r>
        <w:rPr>
          <w:rFonts w:ascii="宋体" w:hAnsi="宋体" w:cs="宋体" w:eastAsia="宋体" w:hint="default"/>
          <w:spacing w:val="-41"/>
        </w:rPr>
        <w:t> </w:t>
      </w:r>
      <w:r>
        <w:rPr/>
        <w:t>月</w:t>
      </w:r>
      <w:r>
        <w:rPr>
          <w:spacing w:val="-44"/>
        </w:rPr>
        <w:t> </w:t>
      </w:r>
      <w:r>
        <w:rPr>
          <w:rFonts w:ascii="宋体" w:hAnsi="宋体" w:cs="宋体" w:eastAsia="宋体" w:hint="default"/>
        </w:rPr>
        <w:t>24</w:t>
      </w:r>
      <w:r>
        <w:rPr>
          <w:rFonts w:ascii="宋体" w:hAnsi="宋体" w:cs="宋体" w:eastAsia="宋体" w:hint="default"/>
          <w:spacing w:val="-44"/>
        </w:rPr>
        <w:t> </w:t>
      </w:r>
      <w:r>
        <w:rPr/>
        <w:t>日本公司子公司泉州安通物流有限公司投资设立安通华南物流有限公司，</w:t>
      </w:r>
    </w:p>
    <w:p>
      <w:pPr>
        <w:pStyle w:val="BodyText"/>
        <w:spacing w:line="240" w:lineRule="auto" w:before="133"/>
        <w:ind w:left="137" w:right="104"/>
        <w:jc w:val="left"/>
      </w:pPr>
      <w:r>
        <w:rPr/>
        <w:t>注册资本</w:t>
      </w:r>
      <w:r>
        <w:rPr>
          <w:spacing w:val="-53"/>
        </w:rPr>
        <w:t> </w:t>
      </w:r>
      <w:r>
        <w:rPr>
          <w:rFonts w:ascii="宋体" w:hAnsi="宋体" w:cs="宋体" w:eastAsia="宋体" w:hint="default"/>
        </w:rPr>
        <w:t>10,000</w:t>
      </w:r>
      <w:r>
        <w:rPr>
          <w:rFonts w:ascii="宋体" w:hAnsi="宋体" w:cs="宋体" w:eastAsia="宋体" w:hint="default"/>
          <w:spacing w:val="-53"/>
        </w:rPr>
        <w:t> </w:t>
      </w:r>
      <w:r>
        <w:rPr/>
        <w:t>万元。</w:t>
      </w:r>
    </w:p>
    <w:p>
      <w:pPr>
        <w:pStyle w:val="BodyText"/>
        <w:spacing w:line="357" w:lineRule="auto" w:before="133"/>
        <w:ind w:left="137" w:right="104" w:firstLine="420"/>
        <w:jc w:val="left"/>
      </w:pPr>
      <w:r>
        <w:rPr/>
        <w:t>⑦</w:t>
      </w:r>
      <w:r>
        <w:rPr>
          <w:rFonts w:ascii="宋体" w:hAnsi="宋体" w:cs="宋体" w:eastAsia="宋体" w:hint="default"/>
        </w:rPr>
        <w:t>2017</w:t>
      </w:r>
      <w:r>
        <w:rPr>
          <w:rFonts w:ascii="宋体" w:hAnsi="宋体" w:cs="宋体" w:eastAsia="宋体" w:hint="default"/>
          <w:spacing w:val="-44"/>
        </w:rPr>
        <w:t> </w:t>
      </w:r>
      <w:r>
        <w:rPr/>
        <w:t>年</w:t>
      </w:r>
      <w:r>
        <w:rPr>
          <w:spacing w:val="-44"/>
        </w:rPr>
        <w:t> </w:t>
      </w:r>
      <w:r>
        <w:rPr>
          <w:rFonts w:ascii="宋体" w:hAnsi="宋体" w:cs="宋体" w:eastAsia="宋体" w:hint="default"/>
        </w:rPr>
        <w:t>12</w:t>
      </w:r>
      <w:r>
        <w:rPr>
          <w:rFonts w:ascii="宋体" w:hAnsi="宋体" w:cs="宋体" w:eastAsia="宋体" w:hint="default"/>
          <w:spacing w:val="-44"/>
        </w:rPr>
        <w:t> </w:t>
      </w:r>
      <w:r>
        <w:rPr/>
        <w:t>月</w:t>
      </w:r>
      <w:r>
        <w:rPr>
          <w:spacing w:val="-46"/>
        </w:rPr>
        <w:t> </w:t>
      </w:r>
      <w:r>
        <w:rPr>
          <w:rFonts w:ascii="宋体" w:hAnsi="宋体" w:cs="宋体" w:eastAsia="宋体" w:hint="default"/>
        </w:rPr>
        <w:t>20</w:t>
      </w:r>
      <w:r>
        <w:rPr>
          <w:rFonts w:ascii="宋体" w:hAnsi="宋体" w:cs="宋体" w:eastAsia="宋体" w:hint="default"/>
          <w:spacing w:val="-46"/>
        </w:rPr>
        <w:t> </w:t>
      </w:r>
      <w:r>
        <w:rPr>
          <w:spacing w:val="-3"/>
        </w:rPr>
        <w:t>日本公司子公司泉州安通物流有限公司投资设立安通（新加坡）物流产业</w:t>
      </w:r>
      <w:r>
        <w:rPr>
          <w:w w:val="100"/>
        </w:rPr>
        <w:t> </w:t>
      </w:r>
      <w:r>
        <w:rPr/>
        <w:t>有限公司。</w:t>
      </w:r>
    </w:p>
    <w:p>
      <w:pPr>
        <w:spacing w:line="240" w:lineRule="auto" w:before="7"/>
        <w:rPr>
          <w:rFonts w:ascii="宋体" w:hAnsi="宋体" w:cs="宋体" w:eastAsia="宋体" w:hint="default"/>
          <w:sz w:val="26"/>
          <w:szCs w:val="26"/>
        </w:rPr>
      </w:pPr>
    </w:p>
    <w:p>
      <w:pPr>
        <w:pStyle w:val="Heading2"/>
        <w:spacing w:line="240" w:lineRule="auto"/>
        <w:ind w:left="137" w:right="104"/>
        <w:jc w:val="left"/>
        <w:rPr>
          <w:b w:val="0"/>
          <w:bCs w:val="0"/>
        </w:rPr>
      </w:pPr>
      <w:r>
        <w:rPr>
          <w:rFonts w:ascii="宋体" w:hAnsi="宋体" w:cs="宋体" w:eastAsia="宋体" w:hint="default"/>
        </w:rPr>
        <w:t>6</w:t>
      </w:r>
      <w:r>
        <w:rPr/>
        <w:t>、</w:t>
      </w:r>
      <w:r>
        <w:rPr>
          <w:spacing w:val="-3"/>
        </w:rPr>
        <w:t> </w:t>
      </w:r>
      <w:r>
        <w:rPr/>
        <w:t>其他</w:t>
      </w:r>
      <w:r>
        <w:rPr>
          <w:b w:val="0"/>
          <w:bCs w:val="0"/>
        </w:rPr>
      </w:r>
    </w:p>
    <w:p>
      <w:pPr>
        <w:pStyle w:val="BodyText"/>
        <w:spacing w:line="240" w:lineRule="auto" w:before="56"/>
        <w:ind w:left="137" w:right="104"/>
        <w:jc w:val="left"/>
      </w:pPr>
      <w:r>
        <w:rPr/>
        <w:t>□适用 √不适用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spacing w:before="63"/>
        <w:ind w:left="0" w:right="79" w:firstLine="0"/>
        <w:jc w:val="center"/>
        <w:rPr>
          <w:rFonts w:ascii="Calibri" w:hAnsi="Calibri" w:cs="Calibri" w:eastAsia="Calibri" w:hint="default"/>
          <w:sz w:val="18"/>
          <w:szCs w:val="18"/>
        </w:rPr>
      </w:pPr>
      <w:r>
        <w:rPr>
          <w:rFonts w:ascii="Calibri"/>
          <w:b/>
          <w:sz w:val="18"/>
        </w:rPr>
        <w:t>149 </w:t>
      </w:r>
      <w:r>
        <w:rPr>
          <w:rFonts w:ascii="Calibri"/>
          <w:sz w:val="18"/>
        </w:rPr>
        <w:t>/</w:t>
      </w:r>
      <w:r>
        <w:rPr>
          <w:rFonts w:ascii="Calibri"/>
          <w:spacing w:val="-5"/>
          <w:sz w:val="18"/>
        </w:rPr>
        <w:t> </w:t>
      </w:r>
      <w:r>
        <w:rPr>
          <w:rFonts w:ascii="Calibri"/>
          <w:b/>
          <w:sz w:val="18"/>
        </w:rPr>
        <w:t>170</w:t>
      </w:r>
      <w:r>
        <w:rPr>
          <w:rFonts w:ascii="Calibri"/>
          <w:sz w:val="18"/>
        </w:rPr>
      </w:r>
    </w:p>
    <w:p>
      <w:pPr>
        <w:spacing w:after="0"/>
        <w:jc w:val="center"/>
        <w:rPr>
          <w:rFonts w:ascii="Calibri" w:hAnsi="Calibri" w:cs="Calibri" w:eastAsia="Calibri" w:hint="default"/>
          <w:sz w:val="18"/>
          <w:szCs w:val="18"/>
        </w:rPr>
        <w:sectPr>
          <w:headerReference w:type="default" r:id="rId51"/>
          <w:footerReference w:type="default" r:id="rId52"/>
          <w:pgSz w:w="11910" w:h="16840"/>
          <w:pgMar w:header="0" w:footer="0" w:top="780" w:bottom="280" w:left="1140" w:right="1580"/>
        </w:sect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20"/>
          <w:szCs w:val="20"/>
        </w:rPr>
      </w:pPr>
    </w:p>
    <w:p>
      <w:pPr>
        <w:spacing w:line="240" w:lineRule="auto" w:before="3"/>
        <w:rPr>
          <w:rFonts w:ascii="Calibri" w:hAnsi="Calibri" w:cs="Calibri" w:eastAsia="Calibri" w:hint="default"/>
          <w:b/>
          <w:bCs/>
          <w:sz w:val="17"/>
          <w:szCs w:val="17"/>
        </w:rPr>
      </w:pPr>
    </w:p>
    <w:p>
      <w:pPr>
        <w:pStyle w:val="Heading2"/>
        <w:tabs>
          <w:tab w:pos="861" w:val="left" w:leader="none"/>
        </w:tabs>
        <w:spacing w:line="290" w:lineRule="auto"/>
        <w:ind w:right="6740"/>
        <w:jc w:val="left"/>
        <w:rPr>
          <w:b w:val="0"/>
          <w:bCs w:val="0"/>
        </w:rPr>
      </w:pPr>
      <w:r>
        <w:rPr/>
        <w:t>九、在其他主体中的权益</w:t>
      </w:r>
      <w:r>
        <w:rPr>
          <w:spacing w:val="-100"/>
        </w:rPr>
        <w:t> </w:t>
      </w:r>
      <w:r>
        <w:rPr>
          <w:spacing w:val="-100"/>
        </w:rPr>
      </w:r>
      <w:r>
        <w:rPr>
          <w:rFonts w:ascii="宋体" w:hAnsi="宋体" w:cs="宋体" w:eastAsia="宋体" w:hint="default"/>
        </w:rPr>
        <w:t>1</w:t>
      </w:r>
      <w:r>
        <w:rPr/>
        <w:t>、</w:t>
      </w:r>
      <w:r>
        <w:rPr>
          <w:spacing w:val="-2"/>
        </w:rPr>
        <w:t> </w:t>
      </w:r>
      <w:r>
        <w:rPr/>
        <w:t>在子公司中的权益</w:t>
      </w:r>
      <w:r>
        <w:rPr>
          <w:spacing w:val="-104"/>
        </w:rPr>
        <w:t> </w:t>
      </w:r>
      <w:r>
        <w:rPr>
          <w:spacing w:val="-104"/>
        </w:rPr>
      </w:r>
      <w:r>
        <w:rPr>
          <w:rFonts w:ascii="宋体" w:hAnsi="宋体" w:cs="宋体" w:eastAsia="宋体" w:hint="default"/>
          <w:w w:val="95"/>
        </w:rPr>
        <w:t>(1).</w:t>
        <w:tab/>
      </w:r>
      <w:r>
        <w:rPr/>
        <w:t>企业集团的构成</w:t>
      </w:r>
      <w:r>
        <w:rPr>
          <w:b w:val="0"/>
          <w:bCs w:val="0"/>
        </w:rPr>
      </w:r>
    </w:p>
    <w:p>
      <w:pPr>
        <w:pStyle w:val="BodyText"/>
        <w:spacing w:line="240" w:lineRule="auto" w:before="12"/>
        <w:ind w:right="2497"/>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032"/>
        <w:gridCol w:w="833"/>
        <w:gridCol w:w="4033"/>
        <w:gridCol w:w="730"/>
        <w:gridCol w:w="848"/>
        <w:gridCol w:w="845"/>
        <w:gridCol w:w="730"/>
      </w:tblGrid>
      <w:tr>
        <w:trPr>
          <w:trHeight w:val="281" w:hRule="exact"/>
        </w:trPr>
        <w:tc>
          <w:tcPr>
            <w:tcW w:w="1032" w:type="dxa"/>
            <w:vMerge w:val="restart"/>
            <w:tcBorders>
              <w:top w:val="single" w:sz="4" w:space="0" w:color="000000"/>
              <w:left w:val="single" w:sz="4" w:space="0" w:color="000000"/>
              <w:right w:val="single" w:sz="4" w:space="0" w:color="000000"/>
            </w:tcBorders>
          </w:tcPr>
          <w:p>
            <w:pPr>
              <w:pStyle w:val="TableParagraph"/>
              <w:spacing w:line="272" w:lineRule="exact" w:before="130"/>
              <w:ind w:left="300" w:right="192" w:hanging="106"/>
              <w:jc w:val="left"/>
              <w:rPr>
                <w:rFonts w:ascii="宋体" w:hAnsi="宋体" w:cs="宋体" w:eastAsia="宋体" w:hint="default"/>
                <w:sz w:val="21"/>
                <w:szCs w:val="21"/>
              </w:rPr>
            </w:pPr>
            <w:r>
              <w:rPr>
                <w:rFonts w:ascii="宋体" w:hAnsi="宋体" w:cs="宋体" w:eastAsia="宋体" w:hint="default"/>
                <w:sz w:val="21"/>
                <w:szCs w:val="21"/>
              </w:rPr>
              <w:t>子公司</w:t>
            </w:r>
            <w:r>
              <w:rPr>
                <w:rFonts w:ascii="宋体" w:hAnsi="宋体" w:cs="宋体" w:eastAsia="宋体" w:hint="default"/>
                <w:spacing w:val="-102"/>
                <w:sz w:val="21"/>
                <w:szCs w:val="21"/>
              </w:rPr>
              <w:t> </w:t>
            </w:r>
            <w:r>
              <w:rPr>
                <w:rFonts w:ascii="宋体" w:hAnsi="宋体" w:cs="宋体" w:eastAsia="宋体" w:hint="default"/>
                <w:sz w:val="21"/>
                <w:szCs w:val="21"/>
              </w:rPr>
              <w:t>名称</w:t>
            </w:r>
          </w:p>
        </w:tc>
        <w:tc>
          <w:tcPr>
            <w:tcW w:w="833" w:type="dxa"/>
            <w:vMerge w:val="restart"/>
            <w:tcBorders>
              <w:top w:val="single" w:sz="4" w:space="0" w:color="000000"/>
              <w:left w:val="single" w:sz="4" w:space="0" w:color="000000"/>
              <w:right w:val="single" w:sz="4" w:space="0" w:color="000000"/>
            </w:tcBorders>
          </w:tcPr>
          <w:p>
            <w:pPr>
              <w:pStyle w:val="TableParagraph"/>
              <w:spacing w:line="239" w:lineRule="exact"/>
              <w:ind w:left="199" w:right="0"/>
              <w:jc w:val="left"/>
              <w:rPr>
                <w:rFonts w:ascii="宋体" w:hAnsi="宋体" w:cs="宋体" w:eastAsia="宋体" w:hint="default"/>
                <w:sz w:val="21"/>
                <w:szCs w:val="21"/>
              </w:rPr>
            </w:pPr>
            <w:r>
              <w:rPr>
                <w:rFonts w:ascii="宋体" w:hAnsi="宋体" w:cs="宋体" w:eastAsia="宋体" w:hint="default"/>
                <w:sz w:val="21"/>
                <w:szCs w:val="21"/>
              </w:rPr>
              <w:t>主要</w:t>
            </w:r>
          </w:p>
          <w:p>
            <w:pPr>
              <w:pStyle w:val="TableParagraph"/>
              <w:spacing w:line="240" w:lineRule="auto"/>
              <w:ind w:left="304" w:right="199" w:hanging="106"/>
              <w:jc w:val="left"/>
              <w:rPr>
                <w:rFonts w:ascii="宋体" w:hAnsi="宋体" w:cs="宋体" w:eastAsia="宋体" w:hint="default"/>
                <w:sz w:val="21"/>
                <w:szCs w:val="21"/>
              </w:rPr>
            </w:pPr>
            <w:r>
              <w:rPr>
                <w:rFonts w:ascii="宋体" w:hAnsi="宋体" w:cs="宋体" w:eastAsia="宋体" w:hint="default"/>
                <w:sz w:val="21"/>
                <w:szCs w:val="21"/>
              </w:rPr>
              <w:t>经营</w:t>
            </w:r>
            <w:r>
              <w:rPr>
                <w:rFonts w:ascii="宋体" w:hAnsi="宋体" w:cs="宋体" w:eastAsia="宋体" w:hint="default"/>
                <w:spacing w:val="-103"/>
                <w:sz w:val="21"/>
                <w:szCs w:val="21"/>
              </w:rPr>
              <w:t> </w:t>
            </w:r>
            <w:r>
              <w:rPr>
                <w:rFonts w:ascii="宋体" w:hAnsi="宋体" w:cs="宋体" w:eastAsia="宋体" w:hint="default"/>
                <w:sz w:val="21"/>
                <w:szCs w:val="21"/>
              </w:rPr>
              <w:t>地</w:t>
            </w:r>
          </w:p>
        </w:tc>
        <w:tc>
          <w:tcPr>
            <w:tcW w:w="4033"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注册地</w:t>
            </w:r>
          </w:p>
        </w:tc>
        <w:tc>
          <w:tcPr>
            <w:tcW w:w="730" w:type="dxa"/>
            <w:vMerge w:val="restart"/>
            <w:tcBorders>
              <w:top w:val="single" w:sz="4" w:space="0" w:color="000000"/>
              <w:left w:val="single" w:sz="4" w:space="0" w:color="000000"/>
              <w:right w:val="single" w:sz="4" w:space="0" w:color="000000"/>
            </w:tcBorders>
          </w:tcPr>
          <w:p>
            <w:pPr>
              <w:pStyle w:val="TableParagraph"/>
              <w:spacing w:line="272" w:lineRule="exact" w:before="130"/>
              <w:ind w:left="148" w:right="146"/>
              <w:jc w:val="left"/>
              <w:rPr>
                <w:rFonts w:ascii="宋体" w:hAnsi="宋体" w:cs="宋体" w:eastAsia="宋体" w:hint="default"/>
                <w:sz w:val="21"/>
                <w:szCs w:val="21"/>
              </w:rPr>
            </w:pPr>
            <w:r>
              <w:rPr>
                <w:rFonts w:ascii="宋体" w:hAnsi="宋体" w:cs="宋体" w:eastAsia="宋体" w:hint="default"/>
                <w:sz w:val="21"/>
                <w:szCs w:val="21"/>
              </w:rPr>
              <w:t>业务</w:t>
            </w:r>
            <w:r>
              <w:rPr>
                <w:rFonts w:ascii="宋体" w:hAnsi="宋体" w:cs="宋体" w:eastAsia="宋体" w:hint="default"/>
                <w:spacing w:val="-103"/>
                <w:sz w:val="21"/>
                <w:szCs w:val="21"/>
              </w:rPr>
              <w:t> </w:t>
            </w:r>
            <w:r>
              <w:rPr>
                <w:rFonts w:ascii="宋体" w:hAnsi="宋体" w:cs="宋体" w:eastAsia="宋体" w:hint="default"/>
                <w:sz w:val="21"/>
                <w:szCs w:val="21"/>
              </w:rPr>
              <w:t>性质</w:t>
            </w:r>
          </w:p>
        </w:tc>
        <w:tc>
          <w:tcPr>
            <w:tcW w:w="16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3"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w:t>
            </w:r>
          </w:p>
        </w:tc>
        <w:tc>
          <w:tcPr>
            <w:tcW w:w="730" w:type="dxa"/>
            <w:vMerge w:val="restart"/>
            <w:tcBorders>
              <w:top w:val="single" w:sz="4" w:space="0" w:color="000000"/>
              <w:left w:val="single" w:sz="4" w:space="0" w:color="000000"/>
              <w:right w:val="single" w:sz="4" w:space="0" w:color="000000"/>
            </w:tcBorders>
          </w:tcPr>
          <w:p>
            <w:pPr>
              <w:pStyle w:val="TableParagraph"/>
              <w:spacing w:line="272" w:lineRule="exact" w:before="130"/>
              <w:ind w:left="148" w:right="146"/>
              <w:jc w:val="left"/>
              <w:rPr>
                <w:rFonts w:ascii="宋体" w:hAnsi="宋体" w:cs="宋体" w:eastAsia="宋体" w:hint="default"/>
                <w:sz w:val="21"/>
                <w:szCs w:val="21"/>
              </w:rPr>
            </w:pPr>
            <w:r>
              <w:rPr>
                <w:rFonts w:ascii="宋体" w:hAnsi="宋体" w:cs="宋体" w:eastAsia="宋体" w:hint="default"/>
                <w:sz w:val="21"/>
                <w:szCs w:val="21"/>
              </w:rPr>
              <w:t>取得</w:t>
            </w:r>
            <w:r>
              <w:rPr>
                <w:rFonts w:ascii="宋体" w:hAnsi="宋体" w:cs="宋体" w:eastAsia="宋体" w:hint="default"/>
                <w:spacing w:val="-103"/>
                <w:sz w:val="21"/>
                <w:szCs w:val="21"/>
              </w:rPr>
              <w:t> </w:t>
            </w:r>
            <w:r>
              <w:rPr>
                <w:rFonts w:ascii="宋体" w:hAnsi="宋体" w:cs="宋体" w:eastAsia="宋体" w:hint="default"/>
                <w:sz w:val="21"/>
                <w:szCs w:val="21"/>
              </w:rPr>
              <w:t>方式</w:t>
            </w:r>
          </w:p>
        </w:tc>
      </w:tr>
      <w:tr>
        <w:trPr>
          <w:trHeight w:val="545" w:hRule="exact"/>
        </w:trPr>
        <w:tc>
          <w:tcPr>
            <w:tcW w:w="1032" w:type="dxa"/>
            <w:vMerge/>
            <w:tcBorders>
              <w:left w:val="single" w:sz="4" w:space="0" w:color="000000"/>
              <w:bottom w:val="single" w:sz="4" w:space="0" w:color="000000"/>
              <w:right w:val="single" w:sz="4" w:space="0" w:color="000000"/>
            </w:tcBorders>
          </w:tcPr>
          <w:p>
            <w:pPr/>
          </w:p>
        </w:tc>
        <w:tc>
          <w:tcPr>
            <w:tcW w:w="833" w:type="dxa"/>
            <w:vMerge/>
            <w:tcBorders>
              <w:left w:val="single" w:sz="4" w:space="0" w:color="000000"/>
              <w:bottom w:val="single" w:sz="4" w:space="0" w:color="000000"/>
              <w:right w:val="single" w:sz="4" w:space="0" w:color="000000"/>
            </w:tcBorders>
          </w:tcPr>
          <w:p>
            <w:pPr/>
          </w:p>
        </w:tc>
        <w:tc>
          <w:tcPr>
            <w:tcW w:w="4033" w:type="dxa"/>
            <w:vMerge/>
            <w:tcBorders>
              <w:left w:val="single" w:sz="4" w:space="0" w:color="000000"/>
              <w:bottom w:val="single" w:sz="4" w:space="0" w:color="000000"/>
              <w:right w:val="single" w:sz="4" w:space="0" w:color="000000"/>
            </w:tcBorders>
          </w:tcPr>
          <w:p>
            <w:pPr/>
          </w:p>
        </w:tc>
        <w:tc>
          <w:tcPr>
            <w:tcW w:w="730" w:type="dxa"/>
            <w:vMerge/>
            <w:tcBorders>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 w:right="0"/>
              <w:jc w:val="center"/>
              <w:rPr>
                <w:rFonts w:ascii="宋体" w:hAnsi="宋体" w:cs="宋体" w:eastAsia="宋体" w:hint="default"/>
                <w:sz w:val="21"/>
                <w:szCs w:val="21"/>
              </w:rPr>
            </w:pPr>
            <w:r>
              <w:rPr>
                <w:rFonts w:ascii="宋体" w:hAnsi="宋体" w:cs="宋体" w:eastAsia="宋体" w:hint="default"/>
                <w:sz w:val="21"/>
                <w:szCs w:val="21"/>
              </w:rPr>
              <w:t>直接</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4" w:right="0"/>
              <w:jc w:val="center"/>
              <w:rPr>
                <w:rFonts w:ascii="宋体" w:hAnsi="宋体" w:cs="宋体" w:eastAsia="宋体" w:hint="default"/>
                <w:sz w:val="21"/>
                <w:szCs w:val="21"/>
              </w:rPr>
            </w:pPr>
            <w:r>
              <w:rPr>
                <w:rFonts w:ascii="宋体" w:hAnsi="宋体" w:cs="宋体" w:eastAsia="宋体" w:hint="default"/>
                <w:sz w:val="21"/>
                <w:szCs w:val="21"/>
              </w:rPr>
              <w:t>间接</w:t>
            </w:r>
          </w:p>
        </w:tc>
        <w:tc>
          <w:tcPr>
            <w:tcW w:w="730" w:type="dxa"/>
            <w:vMerge/>
            <w:tcBorders>
              <w:left w:val="single" w:sz="4" w:space="0" w:color="000000"/>
              <w:bottom w:val="single" w:sz="4" w:space="0" w:color="000000"/>
              <w:right w:val="single" w:sz="4" w:space="0" w:color="000000"/>
            </w:tcBorders>
          </w:tcPr>
          <w:p>
            <w:pPr/>
          </w:p>
        </w:tc>
      </w:tr>
      <w:tr>
        <w:trPr>
          <w:trHeight w:val="557" w:hRule="exact"/>
        </w:trPr>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安通物</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流</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泉州</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市</w:t>
            </w:r>
          </w:p>
        </w:tc>
        <w:tc>
          <w:tcPr>
            <w:tcW w:w="40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泉州市刺桐北路</w:t>
            </w:r>
            <w:r>
              <w:rPr>
                <w:rFonts w:ascii="宋体" w:hAnsi="宋体" w:cs="宋体" w:eastAsia="宋体" w:hint="default"/>
                <w:spacing w:val="-51"/>
                <w:sz w:val="21"/>
                <w:szCs w:val="21"/>
              </w:rPr>
              <w:t> </w:t>
            </w:r>
            <w:r>
              <w:rPr>
                <w:rFonts w:ascii="宋体" w:hAnsi="宋体" w:cs="宋体" w:eastAsia="宋体" w:hint="default"/>
                <w:sz w:val="21"/>
                <w:szCs w:val="21"/>
              </w:rPr>
              <w:t>868</w:t>
            </w:r>
            <w:r>
              <w:rPr>
                <w:rFonts w:ascii="宋体" w:hAnsi="宋体" w:cs="宋体" w:eastAsia="宋体" w:hint="default"/>
                <w:spacing w:val="-54"/>
                <w:sz w:val="21"/>
                <w:szCs w:val="21"/>
              </w:rPr>
              <w:t> </w:t>
            </w:r>
            <w:r>
              <w:rPr>
                <w:rFonts w:ascii="宋体" w:hAnsi="宋体" w:cs="宋体" w:eastAsia="宋体" w:hint="default"/>
                <w:sz w:val="21"/>
                <w:szCs w:val="21"/>
              </w:rPr>
              <w:t>号</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物流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sz w:val="21"/>
              </w:rPr>
              <w:t>100.00</w:t>
            </w:r>
          </w:p>
        </w:tc>
        <w:tc>
          <w:tcPr>
            <w:tcW w:w="84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反向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收购</w:t>
            </w:r>
          </w:p>
        </w:tc>
      </w:tr>
      <w:tr>
        <w:trPr>
          <w:trHeight w:val="555" w:hRule="exact"/>
        </w:trPr>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安盛船</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务</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泉州</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市</w:t>
            </w:r>
          </w:p>
        </w:tc>
        <w:tc>
          <w:tcPr>
            <w:tcW w:w="4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泉州市刺桐北路</w:t>
            </w:r>
            <w:r>
              <w:rPr>
                <w:rFonts w:ascii="宋体" w:hAnsi="宋体" w:cs="宋体" w:eastAsia="宋体" w:hint="default"/>
                <w:spacing w:val="-51"/>
                <w:sz w:val="21"/>
                <w:szCs w:val="21"/>
              </w:rPr>
              <w:t> </w:t>
            </w:r>
            <w:r>
              <w:rPr>
                <w:rFonts w:ascii="宋体" w:hAnsi="宋体" w:cs="宋体" w:eastAsia="宋体" w:hint="default"/>
                <w:sz w:val="21"/>
                <w:szCs w:val="21"/>
              </w:rPr>
              <w:t>868</w:t>
            </w:r>
            <w:r>
              <w:rPr>
                <w:rFonts w:ascii="宋体" w:hAnsi="宋体" w:cs="宋体" w:eastAsia="宋体" w:hint="default"/>
                <w:spacing w:val="-54"/>
                <w:sz w:val="21"/>
                <w:szCs w:val="21"/>
              </w:rPr>
              <w:t> </w:t>
            </w:r>
            <w:r>
              <w:rPr>
                <w:rFonts w:ascii="宋体" w:hAnsi="宋体" w:cs="宋体" w:eastAsia="宋体" w:hint="default"/>
                <w:sz w:val="21"/>
                <w:szCs w:val="21"/>
              </w:rPr>
              <w:t>号</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水路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100.00</w:t>
            </w:r>
          </w:p>
        </w:tc>
        <w:tc>
          <w:tcPr>
            <w:tcW w:w="84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反向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收购</w:t>
            </w:r>
          </w:p>
        </w:tc>
      </w:tr>
      <w:tr>
        <w:trPr>
          <w:trHeight w:val="554" w:hRule="exact"/>
        </w:trPr>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通</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市</w:t>
            </w:r>
          </w:p>
        </w:tc>
        <w:tc>
          <w:tcPr>
            <w:tcW w:w="40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上海市虹口区海宁路</w:t>
            </w:r>
            <w:r>
              <w:rPr>
                <w:rFonts w:ascii="宋体" w:hAnsi="宋体" w:cs="宋体" w:eastAsia="宋体" w:hint="default"/>
                <w:spacing w:val="-56"/>
                <w:sz w:val="21"/>
                <w:szCs w:val="21"/>
              </w:rPr>
              <w:t> </w:t>
            </w:r>
            <w:r>
              <w:rPr>
                <w:rFonts w:ascii="宋体" w:hAnsi="宋体" w:cs="宋体" w:eastAsia="宋体" w:hint="default"/>
                <w:sz w:val="21"/>
                <w:szCs w:val="21"/>
              </w:rPr>
              <w:t>137</w:t>
            </w:r>
            <w:r>
              <w:rPr>
                <w:rFonts w:ascii="宋体" w:hAnsi="宋体" w:cs="宋体" w:eastAsia="宋体" w:hint="default"/>
                <w:spacing w:val="-56"/>
                <w:sz w:val="21"/>
                <w:szCs w:val="21"/>
              </w:rPr>
              <w:t> </w:t>
            </w:r>
            <w:r>
              <w:rPr>
                <w:rFonts w:ascii="宋体" w:hAnsi="宋体" w:cs="宋体" w:eastAsia="宋体" w:hint="default"/>
                <w:sz w:val="21"/>
                <w:szCs w:val="21"/>
              </w:rPr>
              <w:t>号</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层</w:t>
            </w:r>
            <w:r>
              <w:rPr>
                <w:rFonts w:ascii="宋体" w:hAnsi="宋体" w:cs="宋体" w:eastAsia="宋体" w:hint="default"/>
                <w:spacing w:val="-56"/>
                <w:sz w:val="21"/>
                <w:szCs w:val="21"/>
              </w:rPr>
              <w:t> </w:t>
            </w:r>
            <w:r>
              <w:rPr>
                <w:rFonts w:ascii="宋体" w:hAnsi="宋体" w:cs="宋体" w:eastAsia="宋体" w:hint="default"/>
                <w:sz w:val="21"/>
                <w:szCs w:val="21"/>
              </w:rPr>
              <w:t>C</w:t>
            </w:r>
            <w:r>
              <w:rPr>
                <w:rFonts w:ascii="宋体" w:hAnsi="宋体" w:cs="宋体" w:eastAsia="宋体" w:hint="default"/>
                <w:spacing w:val="-54"/>
                <w:sz w:val="21"/>
                <w:szCs w:val="21"/>
              </w:rPr>
              <w:t> </w:t>
            </w:r>
            <w:r>
              <w:rPr>
                <w:rFonts w:ascii="宋体" w:hAnsi="宋体" w:cs="宋体" w:eastAsia="宋体" w:hint="default"/>
                <w:sz w:val="21"/>
                <w:szCs w:val="21"/>
              </w:rPr>
              <w:t>座</w:t>
            </w:r>
            <w:r>
              <w:rPr>
                <w:rFonts w:ascii="宋体" w:hAnsi="宋体" w:cs="宋体" w:eastAsia="宋体" w:hint="default"/>
                <w:spacing w:val="-54"/>
                <w:sz w:val="21"/>
                <w:szCs w:val="21"/>
              </w:rPr>
              <w:t> </w:t>
            </w:r>
            <w:r>
              <w:rPr>
                <w:rFonts w:ascii="宋体" w:hAnsi="宋体" w:cs="宋体" w:eastAsia="宋体" w:hint="default"/>
                <w:sz w:val="21"/>
                <w:szCs w:val="21"/>
              </w:rPr>
              <w:t>720C</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室</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物流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w:t>
            </w:r>
          </w:p>
        </w:tc>
        <w:tc>
          <w:tcPr>
            <w:tcW w:w="848"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100.00</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反向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收购</w:t>
            </w:r>
          </w:p>
        </w:tc>
      </w:tr>
      <w:tr>
        <w:trPr>
          <w:trHeight w:val="554" w:hRule="exact"/>
        </w:trPr>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厦门安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通</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厦门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市</w:t>
            </w:r>
          </w:p>
        </w:tc>
        <w:tc>
          <w:tcPr>
            <w:tcW w:w="40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中国（福建）自由贸易试验区厦门片区象</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屿路</w:t>
            </w:r>
            <w:r>
              <w:rPr>
                <w:rFonts w:ascii="宋体" w:hAnsi="宋体" w:cs="宋体" w:eastAsia="宋体" w:hint="default"/>
                <w:spacing w:val="-53"/>
                <w:sz w:val="21"/>
                <w:szCs w:val="21"/>
              </w:rPr>
              <w:t> </w:t>
            </w:r>
            <w:r>
              <w:rPr>
                <w:rFonts w:ascii="宋体" w:hAnsi="宋体" w:cs="宋体" w:eastAsia="宋体" w:hint="default"/>
                <w:sz w:val="21"/>
                <w:szCs w:val="21"/>
              </w:rPr>
              <w:t>88</w:t>
            </w:r>
            <w:r>
              <w:rPr>
                <w:rFonts w:ascii="宋体" w:hAnsi="宋体" w:cs="宋体" w:eastAsia="宋体" w:hint="default"/>
                <w:spacing w:val="-54"/>
                <w:sz w:val="21"/>
                <w:szCs w:val="21"/>
              </w:rPr>
              <w:t> </w:t>
            </w:r>
            <w:r>
              <w:rPr>
                <w:rFonts w:ascii="宋体" w:hAnsi="宋体" w:cs="宋体" w:eastAsia="宋体" w:hint="default"/>
                <w:sz w:val="21"/>
                <w:szCs w:val="21"/>
              </w:rPr>
              <w:t>号保税市场大厦第四层</w:t>
            </w:r>
            <w:r>
              <w:rPr>
                <w:rFonts w:ascii="宋体" w:hAnsi="宋体" w:cs="宋体" w:eastAsia="宋体" w:hint="default"/>
                <w:spacing w:val="-54"/>
                <w:sz w:val="21"/>
                <w:szCs w:val="21"/>
              </w:rPr>
              <w:t> </w:t>
            </w:r>
            <w:r>
              <w:rPr>
                <w:rFonts w:ascii="宋体" w:hAnsi="宋体" w:cs="宋体" w:eastAsia="宋体" w:hint="default"/>
                <w:sz w:val="21"/>
                <w:szCs w:val="21"/>
              </w:rPr>
              <w:t>23</w:t>
            </w:r>
            <w:r>
              <w:rPr>
                <w:rFonts w:ascii="宋体" w:hAnsi="宋体" w:cs="宋体" w:eastAsia="宋体" w:hint="default"/>
                <w:spacing w:val="-54"/>
                <w:sz w:val="21"/>
                <w:szCs w:val="21"/>
              </w:rPr>
              <w:t> </w:t>
            </w:r>
            <w:r>
              <w:rPr>
                <w:rFonts w:ascii="宋体" w:hAnsi="宋体" w:cs="宋体" w:eastAsia="宋体" w:hint="default"/>
                <w:spacing w:val="-3"/>
                <w:sz w:val="21"/>
                <w:szCs w:val="21"/>
              </w:rPr>
              <w:t>单元</w:t>
            </w:r>
            <w:r>
              <w:rPr>
                <w:rFonts w:ascii="宋体" w:hAnsi="宋体" w:cs="宋体" w:eastAsia="宋体" w:hint="default"/>
                <w:sz w:val="21"/>
                <w:szCs w:val="21"/>
              </w:rPr>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物流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w:t>
            </w:r>
          </w:p>
        </w:tc>
        <w:tc>
          <w:tcPr>
            <w:tcW w:w="848"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100.00</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反向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收购</w:t>
            </w:r>
          </w:p>
        </w:tc>
      </w:tr>
      <w:tr>
        <w:trPr>
          <w:trHeight w:val="554" w:hRule="exact"/>
        </w:trPr>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海南安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盛</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海口</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市</w:t>
            </w:r>
          </w:p>
        </w:tc>
        <w:tc>
          <w:tcPr>
            <w:tcW w:w="40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海南省海口市秀英区滨海大道</w:t>
            </w:r>
            <w:r>
              <w:rPr>
                <w:rFonts w:ascii="宋体" w:hAnsi="宋体" w:cs="宋体" w:eastAsia="宋体" w:hint="default"/>
                <w:spacing w:val="-52"/>
                <w:sz w:val="21"/>
                <w:szCs w:val="21"/>
              </w:rPr>
              <w:t> </w:t>
            </w:r>
            <w:r>
              <w:rPr>
                <w:rFonts w:ascii="宋体" w:hAnsi="宋体" w:cs="宋体" w:eastAsia="宋体" w:hint="default"/>
                <w:sz w:val="21"/>
                <w:szCs w:val="21"/>
              </w:rPr>
              <w:t>157</w:t>
            </w:r>
            <w:r>
              <w:rPr>
                <w:rFonts w:ascii="宋体" w:hAnsi="宋体" w:cs="宋体" w:eastAsia="宋体" w:hint="default"/>
                <w:spacing w:val="-53"/>
                <w:sz w:val="21"/>
                <w:szCs w:val="21"/>
              </w:rPr>
              <w:t> </w:t>
            </w:r>
            <w:r>
              <w:rPr>
                <w:rFonts w:ascii="宋体" w:hAnsi="宋体" w:cs="宋体" w:eastAsia="宋体" w:hint="default"/>
                <w:sz w:val="21"/>
                <w:szCs w:val="21"/>
              </w:rPr>
              <w:t>号海口</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港大厦</w:t>
            </w:r>
            <w:r>
              <w:rPr>
                <w:rFonts w:ascii="宋体" w:hAnsi="宋体" w:cs="宋体" w:eastAsia="宋体" w:hint="default"/>
                <w:spacing w:val="-51"/>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z w:val="21"/>
                <w:szCs w:val="21"/>
              </w:rPr>
              <w:t>层</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水路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w:t>
            </w:r>
          </w:p>
        </w:tc>
        <w:tc>
          <w:tcPr>
            <w:tcW w:w="848"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100.00</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新设</w:t>
            </w:r>
          </w:p>
        </w:tc>
      </w:tr>
      <w:tr>
        <w:trPr>
          <w:trHeight w:val="554" w:hRule="exact"/>
        </w:trPr>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安通集</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速拼</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泉州</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市</w:t>
            </w:r>
          </w:p>
        </w:tc>
        <w:tc>
          <w:tcPr>
            <w:tcW w:w="40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福建省泉州市石狮市蚶江镇石湖港口大道</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东路</w:t>
            </w:r>
            <w:r>
              <w:rPr>
                <w:rFonts w:ascii="宋体" w:hAnsi="宋体" w:cs="宋体" w:eastAsia="宋体" w:hint="default"/>
                <w:spacing w:val="-51"/>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楼</w:t>
            </w:r>
            <w:r>
              <w:rPr>
                <w:rFonts w:ascii="宋体" w:hAnsi="宋体" w:cs="宋体" w:eastAsia="宋体" w:hint="default"/>
                <w:spacing w:val="-52"/>
                <w:sz w:val="21"/>
                <w:szCs w:val="21"/>
              </w:rPr>
              <w:t> </w:t>
            </w:r>
            <w:r>
              <w:rPr>
                <w:rFonts w:ascii="宋体" w:hAnsi="宋体" w:cs="宋体" w:eastAsia="宋体" w:hint="default"/>
                <w:sz w:val="21"/>
                <w:szCs w:val="21"/>
              </w:rPr>
              <w:t>301</w:t>
            </w:r>
            <w:r>
              <w:rPr>
                <w:rFonts w:ascii="宋体" w:hAnsi="宋体" w:cs="宋体" w:eastAsia="宋体" w:hint="default"/>
                <w:spacing w:val="-52"/>
                <w:sz w:val="21"/>
                <w:szCs w:val="21"/>
              </w:rPr>
              <w:t> </w:t>
            </w:r>
            <w:r>
              <w:rPr>
                <w:rFonts w:ascii="宋体" w:hAnsi="宋体" w:cs="宋体" w:eastAsia="宋体" w:hint="default"/>
                <w:sz w:val="21"/>
                <w:szCs w:val="21"/>
              </w:rPr>
              <w:t>室</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物流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w:t>
            </w:r>
          </w:p>
        </w:tc>
        <w:tc>
          <w:tcPr>
            <w:tcW w:w="848"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100.00</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新设</w:t>
            </w:r>
          </w:p>
        </w:tc>
      </w:tr>
      <w:tr>
        <w:trPr>
          <w:trHeight w:val="554" w:hRule="exact"/>
        </w:trPr>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东润船</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舶</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泉州</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市</w:t>
            </w:r>
          </w:p>
        </w:tc>
        <w:tc>
          <w:tcPr>
            <w:tcW w:w="40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福建省泉州市丰泽区丰泽街太平洋花园丰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泰阁</w:t>
            </w:r>
            <w:r>
              <w:rPr>
                <w:rFonts w:ascii="宋体" w:hAnsi="宋体" w:cs="宋体" w:eastAsia="宋体" w:hint="default"/>
                <w:spacing w:val="-49"/>
                <w:sz w:val="21"/>
                <w:szCs w:val="21"/>
              </w:rPr>
              <w:t> </w:t>
            </w:r>
            <w:r>
              <w:rPr>
                <w:rFonts w:ascii="宋体" w:hAnsi="宋体" w:cs="宋体" w:eastAsia="宋体" w:hint="default"/>
                <w:spacing w:val="-3"/>
                <w:sz w:val="21"/>
                <w:szCs w:val="21"/>
              </w:rPr>
              <w:t>2B</w:t>
            </w:r>
            <w:r>
              <w:rPr>
                <w:rFonts w:ascii="宋体" w:hAnsi="宋体" w:cs="宋体" w:eastAsia="宋体" w:hint="default"/>
                <w:sz w:val="21"/>
                <w:szCs w:val="21"/>
              </w:rPr>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水路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w:t>
            </w:r>
          </w:p>
        </w:tc>
        <w:tc>
          <w:tcPr>
            <w:tcW w:w="848"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100.00</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新设</w:t>
            </w:r>
          </w:p>
        </w:tc>
      </w:tr>
      <w:tr>
        <w:trPr>
          <w:trHeight w:val="555" w:hRule="exact"/>
        </w:trPr>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安航冷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链</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钦州</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市</w:t>
            </w:r>
          </w:p>
        </w:tc>
        <w:tc>
          <w:tcPr>
            <w:tcW w:w="40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广西钦州市中马钦州产业园区中马大街</w:t>
            </w:r>
            <w:r>
              <w:rPr>
                <w:rFonts w:ascii="宋体" w:hAnsi="宋体" w:cs="宋体" w:eastAsia="宋体" w:hint="default"/>
                <w:spacing w:val="-52"/>
                <w:sz w:val="21"/>
                <w:szCs w:val="21"/>
              </w:rPr>
              <w:t> </w:t>
            </w:r>
            <w:r>
              <w:rPr>
                <w:rFonts w:ascii="宋体" w:hAnsi="宋体" w:cs="宋体" w:eastAsia="宋体" w:hint="default"/>
                <w:sz w:val="21"/>
                <w:szCs w:val="21"/>
              </w:rPr>
              <w:t>1</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号</w:t>
            </w:r>
            <w:r>
              <w:rPr>
                <w:rFonts w:ascii="宋体" w:hAnsi="宋体" w:cs="宋体" w:eastAsia="宋体" w:hint="default"/>
                <w:spacing w:val="-52"/>
                <w:sz w:val="21"/>
                <w:szCs w:val="21"/>
              </w:rPr>
              <w:t> </w:t>
            </w:r>
            <w:r>
              <w:rPr>
                <w:rFonts w:ascii="宋体" w:hAnsi="宋体" w:cs="宋体" w:eastAsia="宋体" w:hint="default"/>
                <w:sz w:val="21"/>
                <w:szCs w:val="21"/>
              </w:rPr>
              <w:t>A223</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仓储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物流</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100.00</w:t>
            </w:r>
          </w:p>
        </w:tc>
        <w:tc>
          <w:tcPr>
            <w:tcW w:w="84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新设</w:t>
            </w:r>
          </w:p>
        </w:tc>
      </w:tr>
      <w:tr>
        <w:trPr>
          <w:trHeight w:val="554" w:hRule="exact"/>
        </w:trPr>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泉州多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式联运</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石狮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市</w:t>
            </w:r>
          </w:p>
        </w:tc>
        <w:tc>
          <w:tcPr>
            <w:tcW w:w="4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福建省泉州市石狮市宝盖镇濠江路众和国</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际大厦</w:t>
            </w:r>
            <w:r>
              <w:rPr>
                <w:rFonts w:ascii="宋体" w:hAnsi="宋体" w:cs="宋体" w:eastAsia="宋体" w:hint="default"/>
                <w:spacing w:val="-52"/>
                <w:sz w:val="21"/>
                <w:szCs w:val="21"/>
              </w:rPr>
              <w:t> </w:t>
            </w:r>
            <w:r>
              <w:rPr>
                <w:rFonts w:ascii="宋体" w:hAnsi="宋体" w:cs="宋体" w:eastAsia="宋体" w:hint="default"/>
                <w:sz w:val="21"/>
                <w:szCs w:val="21"/>
              </w:rPr>
              <w:t>B0501</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物流</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sz w:val="21"/>
              </w:rPr>
              <w:t>100.00</w:t>
            </w:r>
          </w:p>
        </w:tc>
        <w:tc>
          <w:tcPr>
            <w:tcW w:w="84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新设</w:t>
            </w:r>
          </w:p>
        </w:tc>
      </w:tr>
      <w:tr>
        <w:trPr>
          <w:trHeight w:val="828" w:hRule="exact"/>
        </w:trPr>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唐山港</w:t>
            </w:r>
          </w:p>
          <w:p>
            <w:pPr>
              <w:pStyle w:val="TableParagraph"/>
              <w:spacing w:line="240" w:lineRule="auto"/>
              <w:ind w:left="103" w:right="283"/>
              <w:jc w:val="left"/>
              <w:rPr>
                <w:rFonts w:ascii="宋体" w:hAnsi="宋体" w:cs="宋体" w:eastAsia="宋体" w:hint="default"/>
                <w:sz w:val="21"/>
                <w:szCs w:val="21"/>
              </w:rPr>
            </w:pPr>
            <w:r>
              <w:rPr>
                <w:rFonts w:ascii="宋体" w:hAnsi="宋体" w:cs="宋体" w:eastAsia="宋体" w:hint="default"/>
                <w:sz w:val="21"/>
                <w:szCs w:val="21"/>
              </w:rPr>
              <w:t>多式联</w:t>
            </w:r>
            <w:r>
              <w:rPr>
                <w:rFonts w:ascii="宋体" w:hAnsi="宋体" w:cs="宋体" w:eastAsia="宋体" w:hint="default"/>
                <w:spacing w:val="-102"/>
                <w:sz w:val="21"/>
                <w:szCs w:val="21"/>
              </w:rPr>
              <w:t> </w:t>
            </w:r>
            <w:r>
              <w:rPr>
                <w:rFonts w:ascii="宋体" w:hAnsi="宋体" w:cs="宋体" w:eastAsia="宋体" w:hint="default"/>
                <w:sz w:val="21"/>
                <w:szCs w:val="21"/>
              </w:rPr>
              <w:t>运</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唐山</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市</w:t>
            </w:r>
          </w:p>
        </w:tc>
        <w:tc>
          <w:tcPr>
            <w:tcW w:w="4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唐山海港开发区港前北街以北、港兴大街</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以南、海保路以东</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物流</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sz w:val="21"/>
              </w:rPr>
              <w:t>100.00</w:t>
            </w:r>
          </w:p>
        </w:tc>
        <w:tc>
          <w:tcPr>
            <w:tcW w:w="84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新设</w:t>
            </w:r>
          </w:p>
        </w:tc>
      </w:tr>
      <w:tr>
        <w:trPr>
          <w:trHeight w:val="554" w:hRule="exact"/>
        </w:trPr>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建润通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嘉</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市</w:t>
            </w:r>
          </w:p>
        </w:tc>
        <w:tc>
          <w:tcPr>
            <w:tcW w:w="4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上海市杨浦区政悦路</w:t>
            </w:r>
            <w:r>
              <w:rPr>
                <w:rFonts w:ascii="宋体" w:hAnsi="宋体" w:cs="宋体" w:eastAsia="宋体" w:hint="default"/>
                <w:spacing w:val="-52"/>
                <w:sz w:val="21"/>
                <w:szCs w:val="21"/>
              </w:rPr>
              <w:t> </w:t>
            </w:r>
            <w:r>
              <w:rPr>
                <w:rFonts w:ascii="宋体" w:hAnsi="宋体" w:cs="宋体" w:eastAsia="宋体" w:hint="default"/>
                <w:sz w:val="21"/>
                <w:szCs w:val="21"/>
              </w:rPr>
              <w:t>318</w:t>
            </w:r>
            <w:r>
              <w:rPr>
                <w:rFonts w:ascii="宋体" w:hAnsi="宋体" w:cs="宋体" w:eastAsia="宋体" w:hint="default"/>
                <w:spacing w:val="-55"/>
                <w:sz w:val="21"/>
                <w:szCs w:val="21"/>
              </w:rPr>
              <w:t> </w:t>
            </w:r>
            <w:r>
              <w:rPr>
                <w:rFonts w:ascii="宋体" w:hAnsi="宋体" w:cs="宋体" w:eastAsia="宋体" w:hint="default"/>
                <w:sz w:val="21"/>
                <w:szCs w:val="21"/>
              </w:rPr>
              <w:t>号</w:t>
            </w:r>
            <w:r>
              <w:rPr>
                <w:rFonts w:ascii="宋体" w:hAnsi="宋体" w:cs="宋体" w:eastAsia="宋体" w:hint="default"/>
                <w:spacing w:val="-53"/>
                <w:sz w:val="21"/>
                <w:szCs w:val="21"/>
              </w:rPr>
              <w:t> </w:t>
            </w:r>
            <w:r>
              <w:rPr>
                <w:rFonts w:ascii="宋体" w:hAnsi="宋体" w:cs="宋体" w:eastAsia="宋体" w:hint="default"/>
                <w:sz w:val="21"/>
                <w:szCs w:val="21"/>
              </w:rPr>
              <w:t>68</w:t>
            </w:r>
            <w:r>
              <w:rPr>
                <w:rFonts w:ascii="宋体" w:hAnsi="宋体" w:cs="宋体" w:eastAsia="宋体" w:hint="default"/>
                <w:spacing w:val="-55"/>
                <w:sz w:val="21"/>
                <w:szCs w:val="21"/>
              </w:rPr>
              <w:t> </w:t>
            </w:r>
            <w:r>
              <w:rPr>
                <w:rFonts w:ascii="宋体" w:hAnsi="宋体" w:cs="宋体" w:eastAsia="宋体" w:hint="default"/>
                <w:sz w:val="21"/>
                <w:szCs w:val="21"/>
              </w:rPr>
              <w:t>幢</w:t>
            </w:r>
            <w:r>
              <w:rPr>
                <w:rFonts w:ascii="宋体" w:hAnsi="宋体" w:cs="宋体" w:eastAsia="宋体" w:hint="default"/>
                <w:spacing w:val="-53"/>
                <w:sz w:val="21"/>
                <w:szCs w:val="21"/>
              </w:rPr>
              <w:t> </w:t>
            </w:r>
            <w:r>
              <w:rPr>
                <w:rFonts w:ascii="宋体" w:hAnsi="宋体" w:cs="宋体" w:eastAsia="宋体" w:hint="default"/>
                <w:sz w:val="21"/>
                <w:szCs w:val="21"/>
              </w:rPr>
              <w:t>2175</w:t>
            </w:r>
            <w:r>
              <w:rPr>
                <w:rFonts w:ascii="宋体" w:hAnsi="宋体" w:cs="宋体" w:eastAsia="宋体" w:hint="default"/>
                <w:spacing w:val="-53"/>
                <w:sz w:val="21"/>
                <w:szCs w:val="21"/>
              </w:rPr>
              <w:t> </w:t>
            </w:r>
            <w:r>
              <w:rPr>
                <w:rFonts w:ascii="宋体" w:hAnsi="宋体" w:cs="宋体" w:eastAsia="宋体" w:hint="default"/>
                <w:sz w:val="21"/>
                <w:szCs w:val="21"/>
              </w:rPr>
              <w:t>室</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仓储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物流</w:t>
            </w:r>
          </w:p>
        </w:tc>
        <w:tc>
          <w:tcPr>
            <w:tcW w:w="848"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100.00</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新设</w:t>
            </w:r>
          </w:p>
        </w:tc>
      </w:tr>
      <w:tr>
        <w:trPr>
          <w:trHeight w:val="554" w:hRule="exact"/>
        </w:trPr>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安通华</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南</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市</w:t>
            </w:r>
          </w:p>
        </w:tc>
        <w:tc>
          <w:tcPr>
            <w:tcW w:w="40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广州市南沙区龙穴大道南南沙三期码头办</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公楼</w:t>
            </w:r>
            <w:r>
              <w:rPr>
                <w:rFonts w:ascii="宋体" w:hAnsi="宋体" w:cs="宋体" w:eastAsia="宋体" w:hint="default"/>
                <w:spacing w:val="-51"/>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楼</w:t>
            </w:r>
            <w:r>
              <w:rPr>
                <w:rFonts w:ascii="宋体" w:hAnsi="宋体" w:cs="宋体" w:eastAsia="宋体" w:hint="default"/>
                <w:spacing w:val="-52"/>
                <w:sz w:val="21"/>
                <w:szCs w:val="21"/>
              </w:rPr>
              <w:t> </w:t>
            </w:r>
            <w:r>
              <w:rPr>
                <w:rFonts w:ascii="宋体" w:hAnsi="宋体" w:cs="宋体" w:eastAsia="宋体" w:hint="default"/>
                <w:sz w:val="21"/>
                <w:szCs w:val="21"/>
              </w:rPr>
              <w:t>201</w:t>
            </w:r>
            <w:r>
              <w:rPr>
                <w:rFonts w:ascii="宋体" w:hAnsi="宋体" w:cs="宋体" w:eastAsia="宋体" w:hint="default"/>
                <w:spacing w:val="-52"/>
                <w:sz w:val="21"/>
                <w:szCs w:val="21"/>
              </w:rPr>
              <w:t> </w:t>
            </w:r>
            <w:r>
              <w:rPr>
                <w:rFonts w:ascii="宋体" w:hAnsi="宋体" w:cs="宋体" w:eastAsia="宋体" w:hint="default"/>
                <w:sz w:val="21"/>
                <w:szCs w:val="21"/>
              </w:rPr>
              <w:t>室</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仓储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物流</w:t>
            </w:r>
          </w:p>
        </w:tc>
        <w:tc>
          <w:tcPr>
            <w:tcW w:w="848"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100.00</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新设</w:t>
            </w:r>
          </w:p>
        </w:tc>
      </w:tr>
      <w:tr>
        <w:trPr>
          <w:trHeight w:val="555" w:hRule="exact"/>
        </w:trPr>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东南冷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链</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泉州</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市</w:t>
            </w:r>
          </w:p>
        </w:tc>
        <w:tc>
          <w:tcPr>
            <w:tcW w:w="4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石狮市蚶江镇石渔村海丝路</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5"/>
                <w:sz w:val="21"/>
                <w:szCs w:val="21"/>
              </w:rPr>
              <w:t> </w:t>
            </w:r>
            <w:r>
              <w:rPr>
                <w:rFonts w:ascii="宋体" w:hAnsi="宋体" w:cs="宋体" w:eastAsia="宋体" w:hint="default"/>
                <w:sz w:val="21"/>
                <w:szCs w:val="21"/>
              </w:rPr>
              <w:t>号</w:t>
            </w:r>
            <w:r>
              <w:rPr>
                <w:rFonts w:ascii="宋体" w:hAnsi="宋体" w:cs="宋体" w:eastAsia="宋体" w:hint="default"/>
                <w:spacing w:val="-53"/>
                <w:sz w:val="21"/>
                <w:szCs w:val="21"/>
              </w:rPr>
              <w:t> </w:t>
            </w:r>
            <w:r>
              <w:rPr>
                <w:rFonts w:ascii="宋体" w:hAnsi="宋体" w:cs="宋体" w:eastAsia="宋体" w:hint="default"/>
                <w:sz w:val="21"/>
                <w:szCs w:val="21"/>
              </w:rPr>
              <w:t>302</w:t>
            </w:r>
            <w:r>
              <w:rPr>
                <w:rFonts w:ascii="宋体" w:hAnsi="宋体" w:cs="宋体" w:eastAsia="宋体" w:hint="default"/>
                <w:spacing w:val="-53"/>
                <w:sz w:val="21"/>
                <w:szCs w:val="21"/>
              </w:rPr>
              <w:t> </w:t>
            </w:r>
            <w:r>
              <w:rPr>
                <w:rFonts w:ascii="宋体" w:hAnsi="宋体" w:cs="宋体" w:eastAsia="宋体" w:hint="default"/>
                <w:sz w:val="21"/>
                <w:szCs w:val="21"/>
              </w:rPr>
              <w:t>室</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仓储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物流</w:t>
            </w:r>
          </w:p>
        </w:tc>
        <w:tc>
          <w:tcPr>
            <w:tcW w:w="848"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100.00</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收购</w:t>
            </w:r>
          </w:p>
        </w:tc>
      </w:tr>
      <w:tr>
        <w:trPr>
          <w:trHeight w:val="557" w:hRule="exact"/>
        </w:trPr>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新加坡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物流</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新加</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坡</w:t>
            </w:r>
          </w:p>
        </w:tc>
        <w:tc>
          <w:tcPr>
            <w:tcW w:w="40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新加坡市中心</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仓储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物流</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sz w:val="21"/>
              </w:rPr>
              <w:t>100.00</w:t>
            </w:r>
          </w:p>
        </w:tc>
        <w:tc>
          <w:tcPr>
            <w:tcW w:w="84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新设</w:t>
            </w:r>
          </w:p>
        </w:tc>
      </w:tr>
    </w:tbl>
    <w:p>
      <w:pPr>
        <w:spacing w:line="240" w:lineRule="auto" w:before="5"/>
        <w:rPr>
          <w:rFonts w:ascii="宋体" w:hAnsi="宋体" w:cs="宋体" w:eastAsia="宋体" w:hint="default"/>
          <w:sz w:val="15"/>
          <w:szCs w:val="15"/>
        </w:rPr>
      </w:pPr>
    </w:p>
    <w:p>
      <w:pPr>
        <w:pStyle w:val="BodyText"/>
        <w:spacing w:line="240" w:lineRule="auto" w:before="36"/>
        <w:ind w:right="4408"/>
        <w:jc w:val="left"/>
      </w:pPr>
      <w:r>
        <w:rPr>
          <w:spacing w:val="-2"/>
        </w:rPr>
        <w:t>在子公司的持股比例不同于表决权比例的说明：</w:t>
      </w:r>
      <w:r>
        <w:rPr>
          <w:spacing w:val="-65"/>
        </w:rPr>
        <w:t> </w:t>
      </w:r>
      <w:r>
        <w:rPr>
          <w:spacing w:val="-65"/>
        </w:rPr>
      </w:r>
      <w:r>
        <w:rPr/>
        <w:t>不适用</w:t>
      </w:r>
    </w:p>
    <w:p>
      <w:pPr>
        <w:spacing w:line="240" w:lineRule="auto" w:before="10"/>
        <w:rPr>
          <w:rFonts w:ascii="宋体" w:hAnsi="宋体" w:cs="宋体" w:eastAsia="宋体" w:hint="default"/>
          <w:sz w:val="22"/>
          <w:szCs w:val="22"/>
        </w:rPr>
      </w:pPr>
    </w:p>
    <w:p>
      <w:pPr>
        <w:pStyle w:val="BodyText"/>
        <w:spacing w:line="272" w:lineRule="exact"/>
        <w:ind w:right="227"/>
        <w:jc w:val="left"/>
      </w:pPr>
      <w:r>
        <w:rPr>
          <w:spacing w:val="-2"/>
        </w:rPr>
        <w:t>持有半数或以下表决权但仍控制被投资单位、以及持有半数以上表决权但不控制被投资单位的依</w:t>
      </w:r>
      <w:r>
        <w:rPr>
          <w:spacing w:val="-25"/>
        </w:rPr>
        <w:t> </w:t>
      </w:r>
      <w:r>
        <w:rPr>
          <w:spacing w:val="-25"/>
        </w:rPr>
      </w:r>
      <w:r>
        <w:rPr/>
        <w:t>据：</w:t>
      </w:r>
    </w:p>
    <w:p>
      <w:pPr>
        <w:pStyle w:val="BodyText"/>
        <w:spacing w:line="249" w:lineRule="exact"/>
        <w:ind w:right="2497"/>
        <w:jc w:val="left"/>
      </w:pPr>
      <w:r>
        <w:rPr/>
        <w:t>不适用</w:t>
      </w:r>
    </w:p>
    <w:p>
      <w:pPr>
        <w:spacing w:line="240" w:lineRule="auto" w:before="10"/>
        <w:rPr>
          <w:rFonts w:ascii="宋体" w:hAnsi="宋体" w:cs="宋体" w:eastAsia="宋体" w:hint="default"/>
          <w:sz w:val="22"/>
          <w:szCs w:val="22"/>
        </w:rPr>
      </w:pPr>
    </w:p>
    <w:p>
      <w:pPr>
        <w:pStyle w:val="BodyText"/>
        <w:spacing w:line="272" w:lineRule="exact"/>
        <w:ind w:right="3600"/>
        <w:jc w:val="left"/>
      </w:pPr>
      <w:r>
        <w:rPr>
          <w:spacing w:val="-2"/>
        </w:rPr>
        <w:t>对于纳入合并范围的重要的结构化主体，控制的依据：</w:t>
      </w:r>
      <w:r>
        <w:rPr>
          <w:spacing w:val="-59"/>
        </w:rPr>
        <w:t> </w:t>
      </w:r>
      <w:r>
        <w:rPr>
          <w:spacing w:val="-59"/>
        </w:rPr>
      </w:r>
      <w:r>
        <w:rPr/>
        <w:t>不适用</w:t>
      </w:r>
    </w:p>
    <w:p>
      <w:pPr>
        <w:spacing w:line="240" w:lineRule="auto" w:before="10"/>
        <w:rPr>
          <w:rFonts w:ascii="宋体" w:hAnsi="宋体" w:cs="宋体" w:eastAsia="宋体" w:hint="default"/>
          <w:sz w:val="18"/>
          <w:szCs w:val="18"/>
        </w:rPr>
      </w:pPr>
    </w:p>
    <w:p>
      <w:pPr>
        <w:pStyle w:val="BodyText"/>
        <w:spacing w:line="240" w:lineRule="auto"/>
        <w:ind w:right="2497"/>
        <w:jc w:val="left"/>
      </w:pPr>
      <w:r>
        <w:rPr/>
        <w:t>确定公司是代理人还是委托人的依据：</w:t>
      </w:r>
    </w:p>
    <w:p>
      <w:pPr>
        <w:spacing w:after="0" w:line="240" w:lineRule="auto"/>
        <w:jc w:val="left"/>
        <w:sectPr>
          <w:headerReference w:type="default" r:id="rId53"/>
          <w:footerReference w:type="default" r:id="rId54"/>
          <w:pgSz w:w="11910" w:h="16840"/>
          <w:pgMar w:header="882" w:footer="1195" w:top="1120" w:bottom="1380" w:left="1580" w:right="1040"/>
          <w:pgNumType w:start="150"/>
        </w:sectPr>
      </w:pPr>
    </w:p>
    <w:p>
      <w:pPr>
        <w:spacing w:line="240" w:lineRule="auto" w:before="1"/>
        <w:rPr>
          <w:rFonts w:ascii="宋体" w:hAnsi="宋体" w:cs="宋体" w:eastAsia="宋体" w:hint="default"/>
          <w:sz w:val="25"/>
          <w:szCs w:val="25"/>
        </w:rPr>
      </w:pPr>
    </w:p>
    <w:p>
      <w:pPr>
        <w:pStyle w:val="BodyText"/>
        <w:spacing w:line="240" w:lineRule="auto" w:before="36"/>
        <w:ind w:right="2497"/>
        <w:jc w:val="left"/>
      </w:pPr>
      <w:r>
        <w:rPr/>
        <w:t>不适用</w:t>
      </w:r>
    </w:p>
    <w:p>
      <w:pPr>
        <w:spacing w:line="240" w:lineRule="auto" w:before="8"/>
        <w:rPr>
          <w:rFonts w:ascii="宋体" w:hAnsi="宋体" w:cs="宋体" w:eastAsia="宋体" w:hint="default"/>
          <w:sz w:val="20"/>
          <w:szCs w:val="20"/>
        </w:rPr>
      </w:pPr>
    </w:p>
    <w:p>
      <w:pPr>
        <w:pStyle w:val="BodyText"/>
        <w:spacing w:line="240" w:lineRule="auto"/>
        <w:ind w:right="7998"/>
        <w:jc w:val="left"/>
      </w:pPr>
      <w:r>
        <w:rPr/>
        <w:t>其他说明：</w:t>
      </w:r>
      <w:r>
        <w:rPr>
          <w:spacing w:val="-102"/>
        </w:rPr>
        <w:t> </w:t>
      </w:r>
      <w:r>
        <w:rPr>
          <w:spacing w:val="-102"/>
        </w:rPr>
      </w:r>
      <w:r>
        <w:rPr/>
        <w:t>不适用</w:t>
      </w:r>
    </w:p>
    <w:p>
      <w:pPr>
        <w:spacing w:line="240" w:lineRule="auto" w:before="3"/>
        <w:rPr>
          <w:rFonts w:ascii="宋体" w:hAnsi="宋体" w:cs="宋体" w:eastAsia="宋体" w:hint="default"/>
          <w:sz w:val="25"/>
          <w:szCs w:val="25"/>
        </w:rPr>
      </w:pPr>
    </w:p>
    <w:p>
      <w:pPr>
        <w:pStyle w:val="Heading2"/>
        <w:tabs>
          <w:tab w:pos="861" w:val="left" w:leader="none"/>
        </w:tabs>
        <w:spacing w:line="240" w:lineRule="auto"/>
        <w:ind w:right="2497"/>
        <w:jc w:val="left"/>
        <w:rPr>
          <w:b w:val="0"/>
          <w:bCs w:val="0"/>
        </w:rPr>
      </w:pPr>
      <w:r>
        <w:rPr>
          <w:rFonts w:ascii="宋体" w:hAnsi="宋体" w:cs="宋体" w:eastAsia="宋体" w:hint="default"/>
          <w:w w:val="95"/>
        </w:rPr>
        <w:t>(2).</w:t>
        <w:tab/>
      </w:r>
      <w:r>
        <w:rPr/>
        <w:t>重要的非全资子公司</w:t>
      </w:r>
      <w:r>
        <w:rPr>
          <w:b w:val="0"/>
          <w:bCs w:val="0"/>
        </w:rPr>
      </w:r>
    </w:p>
    <w:p>
      <w:pPr>
        <w:pStyle w:val="BodyText"/>
        <w:spacing w:line="240" w:lineRule="auto" w:before="56"/>
        <w:ind w:right="249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tabs>
          <w:tab w:pos="861" w:val="left" w:leader="none"/>
        </w:tabs>
        <w:spacing w:line="240" w:lineRule="auto"/>
        <w:ind w:right="2497"/>
        <w:jc w:val="left"/>
        <w:rPr>
          <w:b w:val="0"/>
          <w:bCs w:val="0"/>
        </w:rPr>
      </w:pPr>
      <w:r>
        <w:rPr>
          <w:rFonts w:ascii="宋体" w:hAnsi="宋体" w:cs="宋体" w:eastAsia="宋体" w:hint="default"/>
          <w:w w:val="95"/>
        </w:rPr>
        <w:t>(3).</w:t>
        <w:tab/>
      </w:r>
      <w:r>
        <w:rPr/>
        <w:t>重要非全资子公司的主要财务信息</w:t>
      </w:r>
      <w:r>
        <w:rPr>
          <w:b w:val="0"/>
          <w:bCs w:val="0"/>
        </w:rPr>
      </w:r>
    </w:p>
    <w:p>
      <w:pPr>
        <w:pStyle w:val="BodyText"/>
        <w:spacing w:line="240" w:lineRule="auto" w:before="58"/>
        <w:ind w:right="249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tabs>
          <w:tab w:pos="861" w:val="left" w:leader="none"/>
        </w:tabs>
        <w:spacing w:line="240" w:lineRule="auto"/>
        <w:ind w:right="2497"/>
        <w:jc w:val="left"/>
        <w:rPr>
          <w:b w:val="0"/>
          <w:bCs w:val="0"/>
        </w:rPr>
      </w:pPr>
      <w:r>
        <w:rPr>
          <w:rFonts w:ascii="宋体" w:hAnsi="宋体" w:cs="宋体" w:eastAsia="宋体" w:hint="default"/>
          <w:w w:val="95"/>
        </w:rPr>
        <w:t>(4).</w:t>
        <w:tab/>
      </w:r>
      <w:r>
        <w:rPr/>
        <w:t>使用企业集团资产和清偿企业集团债务的重大限制：</w:t>
      </w:r>
      <w:r>
        <w:rPr>
          <w:b w:val="0"/>
          <w:bCs w:val="0"/>
        </w:rPr>
      </w:r>
    </w:p>
    <w:p>
      <w:pPr>
        <w:pStyle w:val="BodyText"/>
        <w:spacing w:line="240" w:lineRule="auto" w:before="56"/>
        <w:ind w:right="249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tabs>
          <w:tab w:pos="861" w:val="left" w:leader="none"/>
        </w:tabs>
        <w:spacing w:line="240" w:lineRule="auto"/>
        <w:ind w:right="227"/>
        <w:jc w:val="left"/>
        <w:rPr>
          <w:b w:val="0"/>
          <w:bCs w:val="0"/>
        </w:rPr>
      </w:pPr>
      <w:r>
        <w:rPr>
          <w:rFonts w:ascii="宋体" w:hAnsi="宋体" w:cs="宋体" w:eastAsia="宋体" w:hint="default"/>
          <w:w w:val="95"/>
        </w:rPr>
        <w:t>(5).</w:t>
        <w:tab/>
      </w:r>
      <w:r>
        <w:rPr/>
        <w:t>向纳入合并财务报表范围的结构化主体提供的财务支持或其他支持：</w:t>
      </w:r>
      <w:r>
        <w:rPr>
          <w:b w:val="0"/>
          <w:bCs w:val="0"/>
        </w:rPr>
      </w:r>
    </w:p>
    <w:p>
      <w:pPr>
        <w:pStyle w:val="BodyText"/>
        <w:spacing w:line="240" w:lineRule="auto" w:before="58"/>
        <w:ind w:right="2497"/>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3" w:lineRule="exact"/>
        <w:ind w:right="2497"/>
        <w:jc w:val="left"/>
      </w:pPr>
      <w:r>
        <w:rPr/>
        <w:t>其他说明：</w:t>
      </w:r>
    </w:p>
    <w:p>
      <w:pPr>
        <w:pStyle w:val="BodyText"/>
        <w:spacing w:line="273" w:lineRule="exact"/>
        <w:ind w:right="249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497"/>
        <w:jc w:val="left"/>
        <w:rPr>
          <w:b w:val="0"/>
          <w:bCs w:val="0"/>
        </w:rPr>
      </w:pPr>
      <w:r>
        <w:rPr>
          <w:rFonts w:ascii="宋体" w:hAnsi="宋体" w:cs="宋体" w:eastAsia="宋体" w:hint="default"/>
        </w:rPr>
        <w:t>2</w:t>
      </w:r>
      <w:r>
        <w:rPr/>
        <w:t>、</w:t>
      </w:r>
      <w:r>
        <w:rPr>
          <w:spacing w:val="-5"/>
        </w:rPr>
        <w:t> </w:t>
      </w:r>
      <w:r>
        <w:rPr/>
        <w:t>在子公司的所有者权益份额发生变化且仍控制子公司的交易</w:t>
      </w:r>
      <w:r>
        <w:rPr>
          <w:b w:val="0"/>
          <w:bCs w:val="0"/>
        </w:rPr>
      </w:r>
    </w:p>
    <w:p>
      <w:pPr>
        <w:pStyle w:val="BodyText"/>
        <w:spacing w:line="240" w:lineRule="auto" w:before="56"/>
        <w:ind w:right="2497"/>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1040"/>
        </w:sectPr>
      </w:pPr>
    </w:p>
    <w:p>
      <w:pPr>
        <w:pStyle w:val="Heading2"/>
        <w:spacing w:line="240" w:lineRule="auto" w:before="36"/>
        <w:ind w:right="-18"/>
        <w:jc w:val="left"/>
        <w:rPr>
          <w:b w:val="0"/>
          <w:bCs w:val="0"/>
        </w:rPr>
      </w:pPr>
      <w:r>
        <w:rPr>
          <w:rFonts w:ascii="宋体" w:hAnsi="宋体" w:cs="宋体" w:eastAsia="宋体" w:hint="default"/>
        </w:rPr>
        <w:t>3</w:t>
      </w:r>
      <w:r>
        <w:rPr/>
        <w:t>、</w:t>
      </w:r>
      <w:r>
        <w:rPr>
          <w:spacing w:val="-4"/>
        </w:rPr>
        <w:t> </w:t>
      </w:r>
      <w:r>
        <w:rPr/>
        <w:t>在合营企业或联营企业中的权益</w:t>
      </w:r>
      <w:r>
        <w:rPr>
          <w:b w:val="0"/>
          <w:bCs w:val="0"/>
        </w:rPr>
      </w:r>
    </w:p>
    <w:p>
      <w:pPr>
        <w:pStyle w:val="BodyText"/>
        <w:spacing w:line="240" w:lineRule="auto" w:before="58"/>
        <w:ind w:right="-18"/>
        <w:jc w:val="left"/>
      </w:pPr>
      <w:r>
        <w:rPr/>
        <w:t>√适用</w:t>
      </w:r>
      <w:r>
        <w:rPr>
          <w:spacing w:val="-1"/>
        </w:rPr>
        <w:t> </w:t>
      </w:r>
      <w:r>
        <w:rPr/>
        <w:t>□不适用</w:t>
      </w:r>
    </w:p>
    <w:p>
      <w:pPr>
        <w:pStyle w:val="Heading2"/>
        <w:tabs>
          <w:tab w:pos="849" w:val="left" w:leader="none"/>
        </w:tabs>
        <w:spacing w:line="240" w:lineRule="auto" w:before="56"/>
        <w:ind w:right="-18"/>
        <w:jc w:val="left"/>
        <w:rPr>
          <w:b w:val="0"/>
          <w:bCs w:val="0"/>
        </w:rPr>
      </w:pPr>
      <w:r>
        <w:rPr>
          <w:rFonts w:ascii="宋体" w:hAnsi="宋体" w:cs="宋体" w:eastAsia="宋体" w:hint="default"/>
          <w:w w:val="95"/>
        </w:rPr>
        <w:t>(1).</w:t>
        <w:tab/>
      </w:r>
      <w:r>
        <w:rPr/>
        <w:t>重要的合营企业或联营企业</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164"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3591" w:space="3142"/>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711"/>
        <w:gridCol w:w="795"/>
        <w:gridCol w:w="2530"/>
        <w:gridCol w:w="794"/>
        <w:gridCol w:w="600"/>
        <w:gridCol w:w="540"/>
        <w:gridCol w:w="2079"/>
      </w:tblGrid>
      <w:tr>
        <w:trPr>
          <w:trHeight w:val="554" w:hRule="exact"/>
        </w:trPr>
        <w:tc>
          <w:tcPr>
            <w:tcW w:w="171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429" w:right="110" w:hanging="315"/>
              <w:jc w:val="left"/>
              <w:rPr>
                <w:rFonts w:ascii="宋体" w:hAnsi="宋体" w:cs="宋体" w:eastAsia="宋体" w:hint="default"/>
                <w:sz w:val="21"/>
                <w:szCs w:val="21"/>
              </w:rPr>
            </w:pPr>
            <w:r>
              <w:rPr>
                <w:rFonts w:ascii="宋体" w:hAnsi="宋体" w:cs="宋体" w:eastAsia="宋体" w:hint="default"/>
                <w:sz w:val="21"/>
                <w:szCs w:val="21"/>
              </w:rPr>
              <w:t>合营企业或联营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企业名称</w:t>
            </w:r>
          </w:p>
        </w:tc>
        <w:tc>
          <w:tcPr>
            <w:tcW w:w="795" w:type="dxa"/>
            <w:vMerge w:val="restart"/>
            <w:tcBorders>
              <w:top w:val="single" w:sz="4" w:space="0" w:color="000000"/>
              <w:left w:val="single" w:sz="4" w:space="0" w:color="000000"/>
              <w:right w:val="single" w:sz="4" w:space="0" w:color="000000"/>
            </w:tcBorders>
          </w:tcPr>
          <w:p>
            <w:pPr>
              <w:pStyle w:val="TableParagraph"/>
              <w:spacing w:line="237" w:lineRule="auto" w:before="110"/>
              <w:ind w:left="182" w:right="178"/>
              <w:jc w:val="both"/>
              <w:rPr>
                <w:rFonts w:ascii="宋体" w:hAnsi="宋体" w:cs="宋体" w:eastAsia="宋体" w:hint="default"/>
                <w:sz w:val="21"/>
                <w:szCs w:val="21"/>
              </w:rPr>
            </w:pPr>
            <w:r>
              <w:rPr>
                <w:rFonts w:ascii="宋体" w:hAnsi="宋体" w:cs="宋体" w:eastAsia="宋体" w:hint="default"/>
                <w:sz w:val="21"/>
                <w:szCs w:val="21"/>
              </w:rPr>
              <w:t>主要</w:t>
            </w:r>
            <w:r>
              <w:rPr>
                <w:rFonts w:ascii="宋体" w:hAnsi="宋体" w:cs="宋体" w:eastAsia="宋体" w:hint="default"/>
                <w:spacing w:val="-103"/>
                <w:sz w:val="21"/>
                <w:szCs w:val="21"/>
              </w:rPr>
              <w:t> </w:t>
            </w:r>
            <w:r>
              <w:rPr>
                <w:rFonts w:ascii="宋体" w:hAnsi="宋体" w:cs="宋体" w:eastAsia="宋体" w:hint="default"/>
                <w:sz w:val="21"/>
                <w:szCs w:val="21"/>
              </w:rPr>
              <w:t>经营</w:t>
            </w:r>
            <w:r>
              <w:rPr>
                <w:rFonts w:ascii="宋体" w:hAnsi="宋体" w:cs="宋体" w:eastAsia="宋体" w:hint="default"/>
                <w:spacing w:val="-103"/>
                <w:sz w:val="21"/>
                <w:szCs w:val="21"/>
              </w:rPr>
              <w:t> </w:t>
            </w:r>
            <w:r>
              <w:rPr>
                <w:rFonts w:ascii="宋体" w:hAnsi="宋体" w:cs="宋体" w:eastAsia="宋体" w:hint="default"/>
                <w:sz w:val="21"/>
                <w:szCs w:val="21"/>
              </w:rPr>
              <w:t>地</w:t>
            </w:r>
          </w:p>
        </w:tc>
        <w:tc>
          <w:tcPr>
            <w:tcW w:w="253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注册地</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82" w:right="179"/>
              <w:jc w:val="left"/>
              <w:rPr>
                <w:rFonts w:ascii="宋体" w:hAnsi="宋体" w:cs="宋体" w:eastAsia="宋体" w:hint="default"/>
                <w:sz w:val="21"/>
                <w:szCs w:val="21"/>
              </w:rPr>
            </w:pPr>
            <w:r>
              <w:rPr>
                <w:rFonts w:ascii="宋体" w:hAnsi="宋体" w:cs="宋体" w:eastAsia="宋体" w:hint="default"/>
                <w:sz w:val="21"/>
                <w:szCs w:val="21"/>
              </w:rPr>
              <w:t>业务</w:t>
            </w:r>
            <w:r>
              <w:rPr>
                <w:rFonts w:ascii="宋体" w:hAnsi="宋体" w:cs="宋体" w:eastAsia="宋体" w:hint="default"/>
                <w:spacing w:val="-103"/>
                <w:sz w:val="21"/>
                <w:szCs w:val="21"/>
              </w:rPr>
              <w:t> </w:t>
            </w:r>
            <w:r>
              <w:rPr>
                <w:rFonts w:ascii="宋体" w:hAnsi="宋体" w:cs="宋体" w:eastAsia="宋体" w:hint="default"/>
                <w:sz w:val="21"/>
                <w:szCs w:val="21"/>
              </w:rPr>
              <w:t>性质</w:t>
            </w:r>
          </w:p>
        </w:tc>
        <w:tc>
          <w:tcPr>
            <w:tcW w:w="11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持股比例</w:t>
            </w:r>
          </w:p>
          <w:p>
            <w:pPr>
              <w:pStyle w:val="TableParagraph"/>
              <w:spacing w:line="273" w:lineRule="exact"/>
              <w:ind w:left="2" w:right="0"/>
              <w:jc w:val="center"/>
              <w:rPr>
                <w:rFonts w:ascii="宋体" w:hAnsi="宋体" w:cs="宋体" w:eastAsia="宋体" w:hint="default"/>
                <w:sz w:val="21"/>
                <w:szCs w:val="21"/>
              </w:rPr>
            </w:pPr>
            <w:r>
              <w:rPr>
                <w:rFonts w:ascii="宋体"/>
                <w:sz w:val="21"/>
              </w:rPr>
              <w:t>(%)</w:t>
            </w:r>
          </w:p>
        </w:tc>
        <w:tc>
          <w:tcPr>
            <w:tcW w:w="2079" w:type="dxa"/>
            <w:vMerge w:val="restart"/>
            <w:tcBorders>
              <w:top w:val="single" w:sz="4" w:space="0" w:color="000000"/>
              <w:left w:val="single" w:sz="4" w:space="0" w:color="000000"/>
              <w:right w:val="single" w:sz="4" w:space="0" w:color="000000"/>
            </w:tcBorders>
          </w:tcPr>
          <w:p>
            <w:pPr>
              <w:pStyle w:val="TableParagraph"/>
              <w:spacing w:line="237" w:lineRule="auto" w:before="110"/>
              <w:ind w:left="194" w:right="190"/>
              <w:jc w:val="center"/>
              <w:rPr>
                <w:rFonts w:ascii="宋体" w:hAnsi="宋体" w:cs="宋体" w:eastAsia="宋体" w:hint="default"/>
                <w:sz w:val="21"/>
                <w:szCs w:val="21"/>
              </w:rPr>
            </w:pPr>
            <w:r>
              <w:rPr>
                <w:rFonts w:ascii="宋体" w:hAnsi="宋体" w:cs="宋体" w:eastAsia="宋体" w:hint="default"/>
                <w:spacing w:val="-2"/>
                <w:sz w:val="21"/>
                <w:szCs w:val="21"/>
              </w:rPr>
              <w:t>对合营企业或联营</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企业投资的会计处</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理方法</w:t>
            </w:r>
          </w:p>
        </w:tc>
      </w:tr>
      <w:tr>
        <w:trPr>
          <w:trHeight w:val="554" w:hRule="exact"/>
        </w:trPr>
        <w:tc>
          <w:tcPr>
            <w:tcW w:w="1711" w:type="dxa"/>
            <w:vMerge/>
            <w:tcBorders>
              <w:left w:val="single" w:sz="4" w:space="0" w:color="000000"/>
              <w:bottom w:val="single" w:sz="4" w:space="0" w:color="000000"/>
              <w:right w:val="single" w:sz="4" w:space="0" w:color="000000"/>
            </w:tcBorders>
          </w:tcPr>
          <w:p>
            <w:pPr/>
          </w:p>
        </w:tc>
        <w:tc>
          <w:tcPr>
            <w:tcW w:w="795" w:type="dxa"/>
            <w:vMerge/>
            <w:tcBorders>
              <w:left w:val="single" w:sz="4" w:space="0" w:color="000000"/>
              <w:bottom w:val="single" w:sz="4" w:space="0" w:color="000000"/>
              <w:right w:val="single" w:sz="4" w:space="0" w:color="000000"/>
            </w:tcBorders>
          </w:tcPr>
          <w:p>
            <w:pPr/>
          </w:p>
        </w:tc>
        <w:tc>
          <w:tcPr>
            <w:tcW w:w="2530"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9" w:right="0"/>
              <w:jc w:val="left"/>
              <w:rPr>
                <w:rFonts w:ascii="宋体" w:hAnsi="宋体" w:cs="宋体" w:eastAsia="宋体" w:hint="default"/>
                <w:sz w:val="21"/>
                <w:szCs w:val="21"/>
              </w:rPr>
            </w:pPr>
            <w:r>
              <w:rPr>
                <w:rFonts w:ascii="宋体" w:hAnsi="宋体" w:cs="宋体" w:eastAsia="宋体" w:hint="default"/>
                <w:w w:val="100"/>
                <w:sz w:val="21"/>
                <w:szCs w:val="21"/>
              </w:rPr>
              <w:t>直</w:t>
            </w:r>
          </w:p>
          <w:p>
            <w:pPr>
              <w:pStyle w:val="TableParagraph"/>
              <w:spacing w:line="274" w:lineRule="exact"/>
              <w:ind w:left="189" w:right="0"/>
              <w:jc w:val="left"/>
              <w:rPr>
                <w:rFonts w:ascii="宋体" w:hAnsi="宋体" w:cs="宋体" w:eastAsia="宋体" w:hint="default"/>
                <w:sz w:val="21"/>
                <w:szCs w:val="21"/>
              </w:rPr>
            </w:pPr>
            <w:r>
              <w:rPr>
                <w:rFonts w:ascii="宋体" w:hAnsi="宋体" w:cs="宋体" w:eastAsia="宋体" w:hint="default"/>
                <w:w w:val="100"/>
                <w:sz w:val="21"/>
                <w:szCs w:val="21"/>
              </w:rPr>
              <w:t>接</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8" w:right="0"/>
              <w:jc w:val="left"/>
              <w:rPr>
                <w:rFonts w:ascii="宋体" w:hAnsi="宋体" w:cs="宋体" w:eastAsia="宋体" w:hint="default"/>
                <w:sz w:val="21"/>
                <w:szCs w:val="21"/>
              </w:rPr>
            </w:pPr>
            <w:r>
              <w:rPr>
                <w:rFonts w:ascii="宋体" w:hAnsi="宋体" w:cs="宋体" w:eastAsia="宋体" w:hint="default"/>
                <w:w w:val="100"/>
                <w:sz w:val="21"/>
                <w:szCs w:val="21"/>
              </w:rPr>
              <w:t>间</w:t>
            </w:r>
          </w:p>
          <w:p>
            <w:pPr>
              <w:pStyle w:val="TableParagraph"/>
              <w:spacing w:line="274" w:lineRule="exact"/>
              <w:ind w:left="158" w:right="0"/>
              <w:jc w:val="left"/>
              <w:rPr>
                <w:rFonts w:ascii="宋体" w:hAnsi="宋体" w:cs="宋体" w:eastAsia="宋体" w:hint="default"/>
                <w:sz w:val="21"/>
                <w:szCs w:val="21"/>
              </w:rPr>
            </w:pPr>
            <w:r>
              <w:rPr>
                <w:rFonts w:ascii="宋体" w:hAnsi="宋体" w:cs="宋体" w:eastAsia="宋体" w:hint="default"/>
                <w:w w:val="100"/>
                <w:sz w:val="21"/>
                <w:szCs w:val="21"/>
              </w:rPr>
              <w:t>接</w:t>
            </w:r>
          </w:p>
        </w:tc>
        <w:tc>
          <w:tcPr>
            <w:tcW w:w="2079" w:type="dxa"/>
            <w:vMerge/>
            <w:tcBorders>
              <w:left w:val="single" w:sz="4" w:space="0" w:color="000000"/>
              <w:bottom w:val="single" w:sz="4" w:space="0" w:color="000000"/>
              <w:right w:val="single" w:sz="4" w:space="0" w:color="000000"/>
            </w:tcBorders>
          </w:tcPr>
          <w:p>
            <w:pPr/>
          </w:p>
        </w:tc>
      </w:tr>
      <w:tr>
        <w:trPr>
          <w:trHeight w:val="829" w:hRule="exact"/>
        </w:trPr>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北京安铁供应链</w:t>
            </w:r>
          </w:p>
          <w:p>
            <w:pPr>
              <w:pStyle w:val="TableParagraph"/>
              <w:spacing w:line="272" w:lineRule="exact" w:before="27"/>
              <w:ind w:left="103" w:right="122"/>
              <w:jc w:val="left"/>
              <w:rPr>
                <w:rFonts w:ascii="宋体" w:hAnsi="宋体" w:cs="宋体" w:eastAsia="宋体" w:hint="default"/>
                <w:sz w:val="21"/>
                <w:szCs w:val="21"/>
              </w:rPr>
            </w:pPr>
            <w:r>
              <w:rPr>
                <w:rFonts w:ascii="宋体" w:hAnsi="宋体" w:cs="宋体" w:eastAsia="宋体" w:hint="default"/>
                <w:sz w:val="21"/>
                <w:szCs w:val="21"/>
              </w:rPr>
              <w:t>管理有限责任公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司</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北京市丰台区丰台北路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18</w:t>
            </w:r>
            <w:r>
              <w:rPr>
                <w:rFonts w:ascii="宋体" w:hAnsi="宋体" w:cs="宋体" w:eastAsia="宋体" w:hint="default"/>
                <w:spacing w:val="-60"/>
                <w:sz w:val="21"/>
                <w:szCs w:val="21"/>
              </w:rPr>
              <w:t> </w:t>
            </w:r>
            <w:r>
              <w:rPr>
                <w:rFonts w:ascii="宋体" w:hAnsi="宋体" w:cs="宋体" w:eastAsia="宋体" w:hint="default"/>
                <w:sz w:val="21"/>
                <w:szCs w:val="21"/>
              </w:rPr>
              <w:t>号院</w:t>
            </w:r>
            <w:r>
              <w:rPr>
                <w:rFonts w:ascii="宋体" w:hAnsi="宋体" w:cs="宋体" w:eastAsia="宋体" w:hint="default"/>
                <w:spacing w:val="-60"/>
                <w:sz w:val="21"/>
                <w:szCs w:val="21"/>
              </w:rPr>
              <w:t> </w:t>
            </w:r>
            <w:r>
              <w:rPr>
                <w:rFonts w:ascii="宋体" w:hAnsi="宋体" w:cs="宋体" w:eastAsia="宋体" w:hint="default"/>
                <w:sz w:val="21"/>
                <w:szCs w:val="21"/>
              </w:rPr>
              <w:t>1</w:t>
            </w:r>
            <w:r>
              <w:rPr>
                <w:rFonts w:ascii="宋体" w:hAnsi="宋体" w:cs="宋体" w:eastAsia="宋体" w:hint="default"/>
                <w:spacing w:val="-60"/>
                <w:sz w:val="21"/>
                <w:szCs w:val="21"/>
              </w:rPr>
              <w:t> </w:t>
            </w:r>
            <w:r>
              <w:rPr>
                <w:rFonts w:ascii="宋体" w:hAnsi="宋体" w:cs="宋体" w:eastAsia="宋体" w:hint="default"/>
                <w:sz w:val="21"/>
                <w:szCs w:val="21"/>
              </w:rPr>
              <w:t>号楼</w:t>
            </w:r>
            <w:r>
              <w:rPr>
                <w:rFonts w:ascii="宋体" w:hAnsi="宋体" w:cs="宋体" w:eastAsia="宋体" w:hint="default"/>
                <w:spacing w:val="-60"/>
                <w:sz w:val="21"/>
                <w:szCs w:val="21"/>
              </w:rPr>
              <w:t> </w:t>
            </w:r>
            <w:r>
              <w:rPr>
                <w:rFonts w:ascii="宋体" w:hAnsi="宋体" w:cs="宋体" w:eastAsia="宋体" w:hint="default"/>
                <w:sz w:val="21"/>
                <w:szCs w:val="21"/>
              </w:rPr>
              <w:t>7</w:t>
            </w:r>
            <w:r>
              <w:rPr>
                <w:rFonts w:ascii="宋体" w:hAnsi="宋体" w:cs="宋体" w:eastAsia="宋体" w:hint="default"/>
                <w:spacing w:val="-62"/>
                <w:sz w:val="21"/>
                <w:szCs w:val="21"/>
              </w:rPr>
              <w:t> </w:t>
            </w:r>
            <w:r>
              <w:rPr>
                <w:rFonts w:ascii="宋体" w:hAnsi="宋体" w:cs="宋体" w:eastAsia="宋体" w:hint="default"/>
                <w:sz w:val="21"/>
                <w:szCs w:val="21"/>
              </w:rPr>
              <w:t>层</w:t>
            </w:r>
            <w:r>
              <w:rPr>
                <w:rFonts w:ascii="宋体" w:hAnsi="宋体" w:cs="宋体" w:eastAsia="宋体" w:hint="default"/>
                <w:spacing w:val="-60"/>
                <w:sz w:val="21"/>
                <w:szCs w:val="21"/>
              </w:rPr>
              <w:t> </w:t>
            </w:r>
            <w:r>
              <w:rPr>
                <w:rFonts w:ascii="宋体" w:hAnsi="宋体" w:cs="宋体" w:eastAsia="宋体" w:hint="default"/>
                <w:sz w:val="21"/>
                <w:szCs w:val="21"/>
              </w:rPr>
              <w:t>701</w:t>
            </w:r>
            <w:r>
              <w:rPr>
                <w:rFonts w:ascii="宋体" w:hAnsi="宋体" w:cs="宋体" w:eastAsia="宋体" w:hint="default"/>
                <w:spacing w:val="-62"/>
                <w:sz w:val="21"/>
                <w:szCs w:val="21"/>
              </w:rPr>
              <w:t> </w:t>
            </w:r>
            <w:r>
              <w:rPr>
                <w:rFonts w:ascii="宋体" w:hAnsi="宋体" w:cs="宋体" w:eastAsia="宋体" w:hint="default"/>
                <w:sz w:val="21"/>
                <w:szCs w:val="21"/>
              </w:rPr>
              <w:t>内</w:t>
            </w:r>
          </w:p>
          <w:p>
            <w:pPr>
              <w:pStyle w:val="TableParagraph"/>
              <w:spacing w:line="273" w:lineRule="exact"/>
              <w:ind w:left="103" w:right="0"/>
              <w:jc w:val="left"/>
              <w:rPr>
                <w:rFonts w:ascii="宋体" w:hAnsi="宋体" w:cs="宋体" w:eastAsia="宋体" w:hint="default"/>
                <w:sz w:val="21"/>
                <w:szCs w:val="21"/>
              </w:rPr>
            </w:pPr>
            <w:r>
              <w:rPr>
                <w:rFonts w:ascii="宋体"/>
                <w:sz w:val="21"/>
              </w:rPr>
              <w:t>701</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供应</w:t>
            </w:r>
          </w:p>
          <w:p>
            <w:pPr>
              <w:pStyle w:val="TableParagraph"/>
              <w:spacing w:line="272" w:lineRule="exact" w:before="27"/>
              <w:ind w:left="103" w:right="257"/>
              <w:jc w:val="left"/>
              <w:rPr>
                <w:rFonts w:ascii="宋体" w:hAnsi="宋体" w:cs="宋体" w:eastAsia="宋体" w:hint="default"/>
                <w:sz w:val="21"/>
                <w:szCs w:val="21"/>
              </w:rPr>
            </w:pPr>
            <w:r>
              <w:rPr>
                <w:rFonts w:ascii="宋体" w:hAnsi="宋体" w:cs="宋体" w:eastAsia="宋体" w:hint="default"/>
                <w:sz w:val="21"/>
                <w:szCs w:val="21"/>
              </w:rPr>
              <w:t>链管</w:t>
            </w:r>
            <w:r>
              <w:rPr>
                <w:rFonts w:ascii="宋体" w:hAnsi="宋体" w:cs="宋体" w:eastAsia="宋体" w:hint="default"/>
                <w:spacing w:val="-103"/>
                <w:sz w:val="21"/>
                <w:szCs w:val="21"/>
              </w:rPr>
              <w:t> </w:t>
            </w:r>
            <w:r>
              <w:rPr>
                <w:rFonts w:ascii="宋体" w:hAnsi="宋体" w:cs="宋体" w:eastAsia="宋体" w:hint="default"/>
                <w:sz w:val="21"/>
                <w:szCs w:val="21"/>
              </w:rPr>
              <w:t>理</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2" w:right="0"/>
              <w:jc w:val="left"/>
              <w:rPr>
                <w:rFonts w:ascii="宋体" w:hAnsi="宋体" w:cs="宋体" w:eastAsia="宋体" w:hint="default"/>
                <w:sz w:val="21"/>
                <w:szCs w:val="21"/>
              </w:rPr>
            </w:pPr>
            <w:r>
              <w:rPr>
                <w:rFonts w:ascii="宋体"/>
                <w:sz w:val="21"/>
              </w:rPr>
              <w:t>30%</w:t>
            </w:r>
          </w:p>
        </w:tc>
        <w:tc>
          <w:tcPr>
            <w:tcW w:w="540" w:type="dxa"/>
            <w:tcBorders>
              <w:top w:val="single" w:sz="4" w:space="0" w:color="000000"/>
              <w:left w:val="single" w:sz="4" w:space="0" w:color="000000"/>
              <w:bottom w:val="single" w:sz="4" w:space="0" w:color="000000"/>
              <w:right w:val="single" w:sz="4" w:space="0" w:color="000000"/>
            </w:tcBorders>
          </w:tcPr>
          <w:p>
            <w:pP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w:t>
            </w:r>
          </w:p>
        </w:tc>
      </w:tr>
    </w:tbl>
    <w:p>
      <w:pPr>
        <w:spacing w:line="240" w:lineRule="auto" w:before="5"/>
        <w:rPr>
          <w:rFonts w:ascii="宋体" w:hAnsi="宋体" w:cs="宋体" w:eastAsia="宋体" w:hint="default"/>
          <w:sz w:val="15"/>
          <w:szCs w:val="15"/>
        </w:rPr>
      </w:pPr>
    </w:p>
    <w:p>
      <w:pPr>
        <w:pStyle w:val="BodyText"/>
        <w:spacing w:line="240" w:lineRule="auto" w:before="36"/>
        <w:ind w:right="2872"/>
        <w:jc w:val="left"/>
      </w:pPr>
      <w:r>
        <w:rPr>
          <w:spacing w:val="-2"/>
        </w:rPr>
        <w:t>在合营企业或联营企业的持股比例不同于表决权比例的说明：</w:t>
      </w:r>
      <w:r>
        <w:rPr>
          <w:spacing w:val="-52"/>
        </w:rPr>
        <w:t> </w:t>
      </w:r>
      <w:r>
        <w:rPr>
          <w:spacing w:val="-52"/>
        </w:rPr>
      </w:r>
      <w:r>
        <w:rPr/>
        <w:t>不适用</w:t>
      </w:r>
    </w:p>
    <w:p>
      <w:pPr>
        <w:spacing w:line="240" w:lineRule="auto" w:before="10"/>
        <w:rPr>
          <w:rFonts w:ascii="宋体" w:hAnsi="宋体" w:cs="宋体" w:eastAsia="宋体" w:hint="default"/>
          <w:sz w:val="22"/>
          <w:szCs w:val="22"/>
        </w:rPr>
      </w:pPr>
    </w:p>
    <w:p>
      <w:pPr>
        <w:pStyle w:val="BodyText"/>
        <w:spacing w:line="272" w:lineRule="exact"/>
        <w:ind w:right="554"/>
        <w:jc w:val="left"/>
      </w:pPr>
      <w:r>
        <w:rPr/>
        <w:t>持有</w:t>
      </w:r>
      <w:r>
        <w:rPr>
          <w:spacing w:val="-58"/>
        </w:rPr>
        <w:t> </w:t>
      </w:r>
      <w:r>
        <w:rPr>
          <w:rFonts w:ascii="宋体" w:hAnsi="宋体" w:cs="宋体" w:eastAsia="宋体" w:hint="default"/>
        </w:rPr>
        <w:t>20%</w:t>
      </w:r>
      <w:r>
        <w:rPr/>
        <w:t>以下表决权但具有重大影响，或者持有</w:t>
      </w:r>
      <w:r>
        <w:rPr>
          <w:spacing w:val="-58"/>
        </w:rPr>
        <w:t> </w:t>
      </w:r>
      <w:r>
        <w:rPr>
          <w:rFonts w:ascii="宋体" w:hAnsi="宋体" w:cs="宋体" w:eastAsia="宋体" w:hint="default"/>
        </w:rPr>
        <w:t>20%</w:t>
      </w:r>
      <w:r>
        <w:rPr/>
        <w:t>或以上表决权但不具有重大影响的依据：</w:t>
      </w:r>
      <w:r>
        <w:rPr>
          <w:w w:val="100"/>
        </w:rPr>
        <w:t> </w:t>
      </w:r>
      <w:r>
        <w:rPr/>
        <w:t>不适用</w:t>
      </w:r>
    </w:p>
    <w:p>
      <w:pPr>
        <w:spacing w:line="240" w:lineRule="auto" w:before="4"/>
        <w:rPr>
          <w:rFonts w:ascii="宋体" w:hAnsi="宋体" w:cs="宋体" w:eastAsia="宋体" w:hint="default"/>
          <w:sz w:val="23"/>
          <w:szCs w:val="23"/>
        </w:rPr>
      </w:pPr>
    </w:p>
    <w:p>
      <w:pPr>
        <w:pStyle w:val="Heading2"/>
        <w:tabs>
          <w:tab w:pos="849" w:val="left" w:leader="none"/>
        </w:tabs>
        <w:spacing w:line="240" w:lineRule="auto"/>
        <w:ind w:right="2497"/>
        <w:jc w:val="left"/>
        <w:rPr>
          <w:b w:val="0"/>
          <w:bCs w:val="0"/>
        </w:rPr>
      </w:pPr>
      <w:r>
        <w:rPr>
          <w:rFonts w:ascii="宋体" w:hAnsi="宋体" w:cs="宋体" w:eastAsia="宋体" w:hint="default"/>
          <w:w w:val="95"/>
        </w:rPr>
        <w:t>(2).</w:t>
        <w:tab/>
      </w:r>
      <w:r>
        <w:rPr/>
        <w:t>重要合营企业的主要财务信息</w:t>
      </w:r>
      <w:r>
        <w:rPr>
          <w:b w:val="0"/>
          <w:bCs w:val="0"/>
        </w:rPr>
      </w:r>
    </w:p>
    <w:p>
      <w:pPr>
        <w:pStyle w:val="BodyText"/>
        <w:spacing w:line="240" w:lineRule="auto" w:before="58"/>
        <w:ind w:right="2497"/>
        <w:jc w:val="left"/>
      </w:pPr>
      <w:r>
        <w:rPr/>
        <w:t>□适用</w:t>
      </w:r>
      <w:r>
        <w:rPr>
          <w:spacing w:val="-1"/>
        </w:rPr>
        <w:t> </w:t>
      </w:r>
      <w:r>
        <w:rPr/>
        <w:t>√不适用</w:t>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Heading2"/>
        <w:spacing w:line="240" w:lineRule="auto" w:before="36"/>
        <w:ind w:left="138" w:right="0"/>
        <w:jc w:val="both"/>
        <w:rPr>
          <w:b w:val="0"/>
          <w:bCs w:val="0"/>
        </w:rPr>
      </w:pPr>
      <w:r>
        <w:rPr>
          <w:rFonts w:ascii="宋体" w:hAnsi="宋体" w:cs="宋体" w:eastAsia="宋体" w:hint="default"/>
        </w:rPr>
        <w:t>(3).</w:t>
      </w:r>
      <w:r>
        <w:rPr>
          <w:rFonts w:ascii="宋体" w:hAnsi="宋体" w:cs="宋体" w:eastAsia="宋体" w:hint="default"/>
          <w:spacing w:val="100"/>
        </w:rPr>
        <w:t> </w:t>
      </w:r>
      <w:r>
        <w:rPr/>
        <w:t>重要联营企业的主要财务信息</w:t>
      </w:r>
      <w:r>
        <w:rPr>
          <w:b w:val="0"/>
          <w:bCs w:val="0"/>
        </w:rPr>
      </w:r>
    </w:p>
    <w:p>
      <w:pPr>
        <w:pStyle w:val="BodyText"/>
        <w:spacing w:line="240" w:lineRule="auto" w:before="58"/>
        <w:ind w:left="138"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both"/>
        <w:rPr>
          <w:b w:val="0"/>
          <w:bCs w:val="0"/>
        </w:rPr>
      </w:pPr>
      <w:r>
        <w:rPr>
          <w:rFonts w:ascii="宋体" w:hAnsi="宋体" w:cs="宋体" w:eastAsia="宋体" w:hint="default"/>
        </w:rPr>
        <w:t>(4).</w:t>
      </w:r>
      <w:r>
        <w:rPr>
          <w:rFonts w:ascii="宋体" w:hAnsi="宋体" w:cs="宋体" w:eastAsia="宋体" w:hint="default"/>
          <w:spacing w:val="103"/>
        </w:rPr>
        <w:t> </w:t>
      </w:r>
      <w:r>
        <w:rPr/>
        <w:t>不重要的合营企业和联营企业的汇总财务信息</w:t>
      </w:r>
      <w:r>
        <w:rPr>
          <w:b w:val="0"/>
          <w:bCs w:val="0"/>
        </w:rPr>
      </w:r>
    </w:p>
    <w:p>
      <w:pPr>
        <w:pStyle w:val="BodyText"/>
        <w:spacing w:line="240" w:lineRule="auto" w:before="56"/>
        <w:ind w:left="138"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both"/>
        <w:rPr>
          <w:b w:val="0"/>
          <w:bCs w:val="0"/>
        </w:rPr>
      </w:pPr>
      <w:r>
        <w:rPr>
          <w:rFonts w:ascii="宋体" w:hAnsi="宋体" w:cs="宋体" w:eastAsia="宋体" w:hint="default"/>
        </w:rPr>
        <w:t>(5).</w:t>
      </w:r>
      <w:r>
        <w:rPr>
          <w:rFonts w:ascii="宋体" w:hAnsi="宋体" w:cs="宋体" w:eastAsia="宋体" w:hint="default"/>
          <w:spacing w:val="101"/>
        </w:rPr>
        <w:t> </w:t>
      </w:r>
      <w:r>
        <w:rPr/>
        <w:t>合营企业或联营企业向本公司转移资金的能力存在重大限制的说明：</w:t>
      </w:r>
      <w:r>
        <w:rPr>
          <w:b w:val="0"/>
          <w:bCs w:val="0"/>
        </w:rPr>
      </w:r>
    </w:p>
    <w:p>
      <w:pPr>
        <w:pStyle w:val="BodyText"/>
        <w:spacing w:line="240" w:lineRule="auto" w:before="58"/>
        <w:ind w:left="138"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both"/>
        <w:rPr>
          <w:b w:val="0"/>
          <w:bCs w:val="0"/>
        </w:rPr>
      </w:pPr>
      <w:r>
        <w:rPr>
          <w:rFonts w:ascii="宋体" w:hAnsi="宋体" w:cs="宋体" w:eastAsia="宋体" w:hint="default"/>
        </w:rPr>
        <w:t>(6).</w:t>
      </w:r>
      <w:r>
        <w:rPr>
          <w:rFonts w:ascii="宋体" w:hAnsi="宋体" w:cs="宋体" w:eastAsia="宋体" w:hint="default"/>
          <w:spacing w:val="102"/>
        </w:rPr>
        <w:t> </w:t>
      </w:r>
      <w:r>
        <w:rPr/>
        <w:t>合营企业或联营企业发生的超额亏损</w:t>
      </w:r>
      <w:r>
        <w:rPr>
          <w:b w:val="0"/>
          <w:bCs w:val="0"/>
        </w:rPr>
      </w:r>
    </w:p>
    <w:p>
      <w:pPr>
        <w:pStyle w:val="BodyText"/>
        <w:spacing w:line="240" w:lineRule="auto" w:before="56"/>
        <w:ind w:left="138"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both"/>
        <w:rPr>
          <w:b w:val="0"/>
          <w:bCs w:val="0"/>
        </w:rPr>
      </w:pPr>
      <w:r>
        <w:rPr>
          <w:rFonts w:ascii="宋体" w:hAnsi="宋体" w:cs="宋体" w:eastAsia="宋体" w:hint="default"/>
        </w:rPr>
        <w:t>(7).</w:t>
      </w:r>
      <w:r>
        <w:rPr>
          <w:rFonts w:ascii="宋体" w:hAnsi="宋体" w:cs="宋体" w:eastAsia="宋体" w:hint="default"/>
          <w:spacing w:val="101"/>
        </w:rPr>
        <w:t> </w:t>
      </w:r>
      <w:r>
        <w:rPr/>
        <w:t>与合营企业投资相关的未确认承诺</w:t>
      </w:r>
      <w:r>
        <w:rPr>
          <w:b w:val="0"/>
          <w:bCs w:val="0"/>
        </w:rPr>
      </w:r>
    </w:p>
    <w:p>
      <w:pPr>
        <w:pStyle w:val="BodyText"/>
        <w:spacing w:line="240" w:lineRule="auto" w:before="58"/>
        <w:ind w:left="138"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both"/>
        <w:rPr>
          <w:b w:val="0"/>
          <w:bCs w:val="0"/>
        </w:rPr>
      </w:pPr>
      <w:r>
        <w:rPr>
          <w:rFonts w:ascii="宋体" w:hAnsi="宋体" w:cs="宋体" w:eastAsia="宋体" w:hint="default"/>
        </w:rPr>
        <w:t>(8).</w:t>
      </w:r>
      <w:r>
        <w:rPr>
          <w:rFonts w:ascii="宋体" w:hAnsi="宋体" w:cs="宋体" w:eastAsia="宋体" w:hint="default"/>
          <w:spacing w:val="103"/>
        </w:rPr>
        <w:t> </w:t>
      </w:r>
      <w:r>
        <w:rPr/>
        <w:t>与合营企业或联营企业投资相关的或有负债</w:t>
      </w:r>
      <w:r>
        <w:rPr>
          <w:b w:val="0"/>
          <w:bCs w:val="0"/>
        </w:rPr>
      </w:r>
    </w:p>
    <w:p>
      <w:pPr>
        <w:pStyle w:val="BodyText"/>
        <w:spacing w:line="240" w:lineRule="auto" w:before="56"/>
        <w:ind w:left="138"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both"/>
        <w:rPr>
          <w:b w:val="0"/>
          <w:bCs w:val="0"/>
        </w:rPr>
      </w:pPr>
      <w:r>
        <w:rPr>
          <w:rFonts w:ascii="宋体" w:hAnsi="宋体" w:cs="宋体" w:eastAsia="宋体" w:hint="default"/>
        </w:rPr>
        <w:t>4</w:t>
      </w:r>
      <w:r>
        <w:rPr/>
        <w:t>、</w:t>
      </w:r>
      <w:r>
        <w:rPr>
          <w:spacing w:val="-1"/>
        </w:rPr>
        <w:t> </w:t>
      </w:r>
      <w:r>
        <w:rPr/>
        <w:t>重要的共同经营</w:t>
      </w:r>
      <w:r>
        <w:rPr>
          <w:b w:val="0"/>
          <w:bCs w:val="0"/>
        </w:rPr>
      </w:r>
    </w:p>
    <w:p>
      <w:pPr>
        <w:pStyle w:val="BodyText"/>
        <w:spacing w:line="240" w:lineRule="auto" w:before="56"/>
        <w:ind w:left="138"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spacing w:line="290" w:lineRule="auto" w:before="0"/>
        <w:ind w:left="138" w:right="3891"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在未纳入合并财务报表范围的结构化主体中的权益</w:t>
      </w:r>
      <w:r>
        <w:rPr>
          <w:rFonts w:ascii="宋体" w:hAnsi="宋体" w:cs="宋体" w:eastAsia="宋体" w:hint="default"/>
          <w:b/>
          <w:bCs/>
          <w:w w:val="100"/>
          <w:sz w:val="21"/>
          <w:szCs w:val="21"/>
        </w:rPr>
        <w:t> </w:t>
      </w:r>
      <w:r>
        <w:rPr>
          <w:rFonts w:ascii="宋体" w:hAnsi="宋体" w:cs="宋体" w:eastAsia="宋体" w:hint="default"/>
          <w:sz w:val="21"/>
          <w:szCs w:val="21"/>
        </w:rPr>
        <w:t>未纳入合并财务报表范围的结构化主体的相关说明：</w:t>
      </w:r>
    </w:p>
    <w:p>
      <w:pPr>
        <w:pStyle w:val="BodyText"/>
        <w:spacing w:line="227" w:lineRule="exact"/>
        <w:ind w:left="138"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both"/>
        <w:rPr>
          <w:b w:val="0"/>
          <w:bCs w:val="0"/>
        </w:rPr>
      </w:pPr>
      <w:r>
        <w:rPr>
          <w:rFonts w:ascii="宋体" w:hAnsi="宋体" w:cs="宋体" w:eastAsia="宋体" w:hint="default"/>
        </w:rPr>
        <w:t>6</w:t>
      </w:r>
      <w:r>
        <w:rPr/>
        <w:t>、</w:t>
      </w:r>
      <w:r>
        <w:rPr>
          <w:spacing w:val="-3"/>
        </w:rPr>
        <w:t> </w:t>
      </w:r>
      <w:r>
        <w:rPr/>
        <w:t>其他</w:t>
      </w:r>
      <w:r>
        <w:rPr>
          <w:b w:val="0"/>
          <w:bCs w:val="0"/>
        </w:rPr>
      </w:r>
    </w:p>
    <w:p>
      <w:pPr>
        <w:pStyle w:val="BodyText"/>
        <w:spacing w:line="240" w:lineRule="auto" w:before="58"/>
        <w:ind w:left="138"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both"/>
        <w:rPr>
          <w:b w:val="0"/>
          <w:bCs w:val="0"/>
        </w:rPr>
      </w:pPr>
      <w:r>
        <w:rPr/>
        <w:t>十、与金融工具相关的风险</w:t>
      </w:r>
      <w:r>
        <w:rPr>
          <w:b w:val="0"/>
          <w:bCs w:val="0"/>
        </w:rPr>
      </w:r>
    </w:p>
    <w:p>
      <w:pPr>
        <w:pStyle w:val="BodyText"/>
        <w:spacing w:line="240" w:lineRule="auto" w:before="56"/>
        <w:ind w:left="558" w:right="125" w:hanging="420"/>
        <w:jc w:val="left"/>
      </w:pPr>
      <w:r>
        <w:rPr/>
        <w:t>√适用</w:t>
      </w:r>
      <w:r>
        <w:rPr>
          <w:spacing w:val="-2"/>
        </w:rPr>
        <w:t> </w:t>
      </w:r>
      <w:r>
        <w:rPr/>
        <w:t>□不适用</w:t>
      </w:r>
      <w:r>
        <w:rPr>
          <w:w w:val="100"/>
        </w:rPr>
        <w:t> </w:t>
      </w:r>
      <w:r>
        <w:rPr>
          <w:spacing w:val="-7"/>
        </w:rPr>
        <w:t>本公司的金融风险包括：信用风险，市场风险（包括市场运费风险、价格风险及利率风险），</w:t>
      </w:r>
    </w:p>
    <w:p>
      <w:pPr>
        <w:pStyle w:val="BodyText"/>
        <w:spacing w:line="355" w:lineRule="auto" w:before="133"/>
        <w:ind w:left="138" w:right="137"/>
        <w:jc w:val="both"/>
      </w:pPr>
      <w:r>
        <w:rPr>
          <w:spacing w:val="-2"/>
        </w:rPr>
        <w:t>信贷风险和流动性风险。管理层管理和监控这些风险，以确保采取及时有效的措施。本公司的整</w:t>
      </w:r>
      <w:r>
        <w:rPr>
          <w:spacing w:val="-25"/>
        </w:rPr>
        <w:t> </w:t>
      </w:r>
      <w:r>
        <w:rPr>
          <w:spacing w:val="-25"/>
        </w:rPr>
      </w:r>
      <w:r>
        <w:rPr>
          <w:spacing w:val="-2"/>
        </w:rPr>
        <w:t>体风险管理计划针对难以预测的金融市场，并寻求降低潜在的负面因素对本公司财务所带来的风</w:t>
      </w:r>
      <w:r>
        <w:rPr>
          <w:spacing w:val="-25"/>
        </w:rPr>
        <w:t> </w:t>
      </w:r>
      <w:r>
        <w:rPr>
          <w:spacing w:val="-25"/>
        </w:rPr>
      </w:r>
      <w:r>
        <w:rPr/>
        <w:t>险。风险管理按董事会的指示进行，董事会识别、评价及应对金融风险。</w:t>
      </w:r>
    </w:p>
    <w:p>
      <w:pPr>
        <w:pStyle w:val="BodyText"/>
        <w:spacing w:line="355" w:lineRule="auto" w:before="34"/>
        <w:ind w:left="558" w:right="124" w:hanging="221"/>
        <w:jc w:val="left"/>
      </w:pPr>
      <w:r>
        <w:rPr>
          <w:rFonts w:ascii="宋体" w:hAnsi="宋体" w:cs="宋体" w:eastAsia="宋体" w:hint="default"/>
          <w:b/>
          <w:bCs/>
        </w:rPr>
        <w:t>1.</w:t>
      </w:r>
      <w:r>
        <w:rPr>
          <w:rFonts w:ascii="宋体" w:hAnsi="宋体" w:cs="宋体" w:eastAsia="宋体" w:hint="default"/>
          <w:b/>
          <w:bCs/>
        </w:rPr>
        <w:t>信用风险</w:t>
      </w:r>
      <w:r>
        <w:rPr>
          <w:rFonts w:ascii="宋体" w:hAnsi="宋体" w:cs="宋体" w:eastAsia="宋体" w:hint="default"/>
          <w:b/>
          <w:bCs/>
          <w:spacing w:val="-96"/>
        </w:rPr>
        <w:t> </w:t>
      </w:r>
      <w:r>
        <w:rPr/>
        <w:t>信用风险，是指金融工具的一方不能履行义务，造成另一方发生财务损失的风险。</w:t>
      </w:r>
      <w:r>
        <w:rPr>
          <w:w w:val="100"/>
        </w:rPr>
        <w:t> </w:t>
      </w:r>
      <w:r>
        <w:rPr>
          <w:spacing w:val="-2"/>
        </w:rPr>
        <w:t>本公司的信用风险主要与应收账款和应收票据有关。本公司主要客户为大型国有企业、实力</w:t>
      </w:r>
    </w:p>
    <w:p>
      <w:pPr>
        <w:pStyle w:val="BodyText"/>
        <w:spacing w:line="357" w:lineRule="auto" w:before="32"/>
        <w:ind w:left="138" w:right="137"/>
        <w:jc w:val="both"/>
      </w:pPr>
      <w:r>
        <w:rPr>
          <w:spacing w:val="-2"/>
        </w:rPr>
        <w:t>较强的民营公司以及客户信誉度较好的货运代理公司，为控制该项风险，本公司仅与经认可的、</w:t>
      </w:r>
      <w:r>
        <w:rPr>
          <w:spacing w:val="-25"/>
        </w:rPr>
        <w:t> </w:t>
      </w:r>
      <w:r>
        <w:rPr>
          <w:spacing w:val="-25"/>
        </w:rPr>
      </w:r>
      <w:r>
        <w:rPr>
          <w:spacing w:val="-2"/>
        </w:rPr>
        <w:t>信誉良好的第三方进行交易，应收账款的回收较有保证。按照本公司的政策，需对所有要求采用</w:t>
      </w:r>
      <w:r>
        <w:rPr>
          <w:spacing w:val="-25"/>
        </w:rPr>
        <w:t> </w:t>
      </w:r>
      <w:r>
        <w:rPr>
          <w:spacing w:val="-25"/>
        </w:rPr>
      </w:r>
      <w:r>
        <w:rPr>
          <w:spacing w:val="-2"/>
        </w:rPr>
        <w:t>信用方式进行交易的客户进行信用审核。另外，本公司对应收账款余额进行持续监控，并采取以</w:t>
      </w:r>
      <w:r>
        <w:rPr>
          <w:spacing w:val="-25"/>
        </w:rPr>
        <w:t> </w:t>
      </w:r>
      <w:r>
        <w:rPr>
          <w:spacing w:val="-25"/>
        </w:rPr>
      </w:r>
      <w:r>
        <w:rPr/>
        <w:t>下措施加强应收账款的回收管理，以确保本公司不致面临重大坏账风险。</w:t>
      </w:r>
    </w:p>
    <w:p>
      <w:pPr>
        <w:spacing w:after="0" w:line="357" w:lineRule="auto"/>
        <w:jc w:val="both"/>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BodyText"/>
        <w:spacing w:line="357" w:lineRule="auto" w:before="36"/>
        <w:ind w:left="138" w:right="125" w:firstLine="419"/>
        <w:jc w:val="left"/>
      </w:pPr>
      <w:r>
        <w:rPr>
          <w:spacing w:val="-4"/>
        </w:rPr>
        <w:t>（</w:t>
      </w:r>
      <w:r>
        <w:rPr>
          <w:rFonts w:ascii="宋体" w:hAnsi="宋体" w:cs="宋体" w:eastAsia="宋体" w:hint="default"/>
          <w:spacing w:val="-4"/>
        </w:rPr>
        <w:t>1</w:t>
      </w:r>
      <w:r>
        <w:rPr>
          <w:spacing w:val="-4"/>
        </w:rPr>
        <w:t>）不断增强风险意识，强化应收账款的风险管理。加强客户信用政策管理的内部控制，客</w:t>
      </w:r>
      <w:r>
        <w:rPr>
          <w:w w:val="100"/>
        </w:rPr>
        <w:t> </w:t>
      </w:r>
      <w:r>
        <w:rPr/>
        <w:t>户信用政策的调整均需通过必要的审核批准程序。</w:t>
      </w:r>
    </w:p>
    <w:p>
      <w:pPr>
        <w:pStyle w:val="BodyText"/>
        <w:spacing w:line="355" w:lineRule="auto" w:before="30"/>
        <w:ind w:left="138" w:right="125" w:firstLine="419"/>
        <w:jc w:val="left"/>
      </w:pPr>
      <w:r>
        <w:rPr>
          <w:spacing w:val="-4"/>
        </w:rPr>
        <w:t>（</w:t>
      </w:r>
      <w:r>
        <w:rPr>
          <w:rFonts w:ascii="宋体" w:hAnsi="宋体" w:cs="宋体" w:eastAsia="宋体" w:hint="default"/>
          <w:spacing w:val="-4"/>
        </w:rPr>
        <w:t>2</w:t>
      </w:r>
      <w:r>
        <w:rPr>
          <w:spacing w:val="-4"/>
        </w:rPr>
        <w:t>）做好详细的业务记录和会计核算工作。将客户的回款记录作为日后评价其信用等级的重</w:t>
      </w:r>
      <w:r>
        <w:rPr>
          <w:w w:val="100"/>
        </w:rPr>
        <w:t> </w:t>
      </w:r>
      <w:r>
        <w:rPr/>
        <w:t>要参考资料，对客户资料实行动态管理，了解客户的最新信用情况，以制定相应的信用政策。</w:t>
      </w:r>
    </w:p>
    <w:p>
      <w:pPr>
        <w:pStyle w:val="BodyText"/>
        <w:spacing w:line="355" w:lineRule="auto" w:before="32"/>
        <w:ind w:left="558" w:right="125"/>
        <w:jc w:val="left"/>
      </w:pPr>
      <w:r>
        <w:rPr/>
        <w:t>（</w:t>
      </w:r>
      <w:r>
        <w:rPr>
          <w:rFonts w:ascii="宋体" w:hAnsi="宋体" w:cs="宋体" w:eastAsia="宋体" w:hint="default"/>
        </w:rPr>
        <w:t>3</w:t>
      </w:r>
      <w:r>
        <w:rPr/>
        <w:t>）确保每笔合同都有相应的业务员负责跟踪。</w:t>
      </w:r>
      <w:r>
        <w:rPr>
          <w:w w:val="100"/>
        </w:rPr>
        <w:t> </w:t>
      </w:r>
      <w:r>
        <w:rPr>
          <w:spacing w:val="-2"/>
        </w:rPr>
        <w:t>因此，本公司管理层认为本公司所承担的信用风险可以有效控制。</w:t>
      </w:r>
    </w:p>
    <w:p>
      <w:pPr>
        <w:pStyle w:val="Heading2"/>
        <w:spacing w:line="240" w:lineRule="auto" w:before="34"/>
        <w:ind w:left="337" w:right="125"/>
        <w:jc w:val="left"/>
        <w:rPr>
          <w:b w:val="0"/>
          <w:bCs w:val="0"/>
        </w:rPr>
      </w:pPr>
      <w:r>
        <w:rPr>
          <w:rFonts w:ascii="宋体" w:hAnsi="宋体" w:cs="宋体" w:eastAsia="宋体" w:hint="default"/>
        </w:rPr>
        <w:t>2.</w:t>
      </w:r>
      <w:r>
        <w:rPr/>
        <w:t>市场风险</w:t>
      </w:r>
      <w:r>
        <w:rPr>
          <w:b w:val="0"/>
          <w:bCs w:val="0"/>
        </w:rPr>
      </w:r>
    </w:p>
    <w:p>
      <w:pPr>
        <w:pStyle w:val="BodyText"/>
        <w:spacing w:line="357" w:lineRule="auto" w:before="133"/>
        <w:ind w:left="558" w:right="125"/>
        <w:jc w:val="left"/>
      </w:pPr>
      <w:r>
        <w:rPr/>
        <w:t>①市场运费风险</w:t>
      </w:r>
      <w:r>
        <w:rPr>
          <w:spacing w:val="-103"/>
        </w:rPr>
        <w:t> </w:t>
      </w:r>
      <w:r>
        <w:rPr>
          <w:spacing w:val="-103"/>
        </w:rPr>
      </w:r>
      <w:r>
        <w:rPr>
          <w:spacing w:val="-2"/>
        </w:rPr>
        <w:t>本公司集装箱海上物流业的运费对经济波动非常敏感。本公司的收入及成本将随运费的增减</w:t>
      </w:r>
    </w:p>
    <w:p>
      <w:pPr>
        <w:pStyle w:val="BodyText"/>
        <w:spacing w:line="357" w:lineRule="auto" w:before="30"/>
        <w:ind w:left="138" w:right="125"/>
        <w:jc w:val="left"/>
      </w:pPr>
      <w:r>
        <w:rPr>
          <w:spacing w:val="-2"/>
        </w:rPr>
        <w:t>变动而发生波动。公司与直客、货运代理商签订长期协议、保持密切合作关系，一定程度上降低</w:t>
      </w:r>
      <w:r>
        <w:rPr>
          <w:spacing w:val="-25"/>
        </w:rPr>
        <w:t> </w:t>
      </w:r>
      <w:r>
        <w:rPr>
          <w:spacing w:val="-25"/>
        </w:rPr>
      </w:r>
      <w:r>
        <w:rPr/>
        <w:t>市场运费的风险。</w:t>
      </w:r>
    </w:p>
    <w:p>
      <w:pPr>
        <w:pStyle w:val="BodyText"/>
        <w:spacing w:line="355" w:lineRule="auto" w:before="30"/>
        <w:ind w:left="558" w:right="125"/>
        <w:jc w:val="left"/>
      </w:pPr>
      <w:r>
        <w:rPr/>
        <w:t>②利率风险</w:t>
      </w:r>
      <w:r>
        <w:rPr>
          <w:spacing w:val="-102"/>
        </w:rPr>
        <w:t> </w:t>
      </w:r>
      <w:r>
        <w:rPr>
          <w:spacing w:val="-102"/>
        </w:rPr>
      </w:r>
      <w:r>
        <w:rPr>
          <w:spacing w:val="-2"/>
        </w:rPr>
        <w:t>本公司利率风险主要在于附息负债带来的现金流量变动风险。附息负债主要包括借款、融资</w:t>
      </w:r>
    </w:p>
    <w:p>
      <w:pPr>
        <w:pStyle w:val="BodyText"/>
        <w:spacing w:line="355" w:lineRule="auto" w:before="32"/>
        <w:ind w:left="138" w:right="125"/>
        <w:jc w:val="left"/>
      </w:pPr>
      <w:r>
        <w:rPr>
          <w:spacing w:val="-2"/>
        </w:rPr>
        <w:t>租赁债务。管理层通过判断市场上资金供求平衡关系适时进行融资活动，一定程度上控制利率风</w:t>
      </w:r>
      <w:r>
        <w:rPr>
          <w:spacing w:val="-26"/>
        </w:rPr>
        <w:t> </w:t>
      </w:r>
      <w:r>
        <w:rPr>
          <w:spacing w:val="-26"/>
        </w:rPr>
      </w:r>
      <w:r>
        <w:rPr/>
        <w:t>险。</w:t>
      </w:r>
    </w:p>
    <w:p>
      <w:pPr>
        <w:pStyle w:val="BodyText"/>
        <w:spacing w:line="357" w:lineRule="auto" w:before="34"/>
        <w:ind w:left="138" w:right="125" w:firstLine="419"/>
        <w:jc w:val="left"/>
      </w:pPr>
      <w:r>
        <w:rPr>
          <w:spacing w:val="-2"/>
        </w:rPr>
        <w:t>于</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日，在其他变量保持不变的情况下，浮动利率计算的借款利率上升或下降</w:t>
      </w:r>
      <w:r>
        <w:rPr>
          <w:rFonts w:ascii="宋体" w:hAnsi="宋体" w:cs="宋体" w:eastAsia="宋体" w:hint="default"/>
          <w:spacing w:val="-2"/>
        </w:rPr>
        <w:t>50</w:t>
      </w:r>
      <w:r>
        <w:rPr>
          <w:rFonts w:ascii="宋体" w:hAnsi="宋体" w:cs="宋体" w:eastAsia="宋体" w:hint="default"/>
          <w:w w:val="100"/>
        </w:rPr>
        <w:t> </w:t>
      </w:r>
      <w:r>
        <w:rPr/>
        <w:t>个基点，则本公司</w:t>
      </w:r>
      <w:r>
        <w:rPr>
          <w:rFonts w:ascii="宋体" w:hAnsi="宋体" w:cs="宋体" w:eastAsia="宋体" w:hint="default"/>
        </w:rPr>
        <w:t>2017</w:t>
      </w:r>
      <w:r>
        <w:rPr/>
        <w:t>年度的净利润将减少或增加约</w:t>
      </w:r>
      <w:r>
        <w:rPr>
          <w:rFonts w:ascii="宋体" w:hAnsi="宋体" w:cs="宋体" w:eastAsia="宋体" w:hint="default"/>
        </w:rPr>
        <w:t>461.05</w:t>
      </w:r>
      <w:r>
        <w:rPr/>
        <w:t>万元。</w:t>
      </w:r>
    </w:p>
    <w:p>
      <w:pPr>
        <w:pStyle w:val="BodyText"/>
        <w:spacing w:line="355" w:lineRule="auto" w:before="30"/>
        <w:ind w:left="558" w:right="125"/>
        <w:jc w:val="left"/>
      </w:pPr>
      <w:r>
        <w:rPr/>
        <w:t>③价格风险</w:t>
      </w:r>
      <w:r>
        <w:rPr>
          <w:spacing w:val="-102"/>
        </w:rPr>
        <w:t> </w:t>
      </w:r>
      <w:r>
        <w:rPr>
          <w:spacing w:val="-102"/>
        </w:rPr>
      </w:r>
      <w:r>
        <w:rPr>
          <w:spacing w:val="-2"/>
        </w:rPr>
        <w:t>本公司存在码头费、航租、燃油价格变动的风险。公司加强了与主要码头的合作，最大限度</w:t>
      </w:r>
    </w:p>
    <w:p>
      <w:pPr>
        <w:pStyle w:val="BodyText"/>
        <w:spacing w:line="357" w:lineRule="auto" w:before="32"/>
        <w:ind w:left="138" w:right="125"/>
        <w:jc w:val="left"/>
      </w:pPr>
      <w:r>
        <w:rPr>
          <w:spacing w:val="-2"/>
        </w:rPr>
        <w:t>的争取码头的各项优惠，进一步扩大了安盛船务的船队规模，一定程度上控制航租价格的波动，</w:t>
      </w:r>
      <w:r>
        <w:rPr>
          <w:spacing w:val="-25"/>
        </w:rPr>
        <w:t> </w:t>
      </w:r>
      <w:r>
        <w:rPr>
          <w:spacing w:val="-25"/>
        </w:rPr>
      </w:r>
      <w:r>
        <w:rPr/>
        <w:t>同时管理层监控市场状况和燃油价格的波动。</w:t>
      </w:r>
    </w:p>
    <w:p>
      <w:pPr>
        <w:pStyle w:val="BodyText"/>
        <w:tabs>
          <w:tab w:pos="977" w:val="left" w:leader="none"/>
        </w:tabs>
        <w:spacing w:line="355" w:lineRule="auto" w:before="30"/>
        <w:ind w:left="558" w:right="148" w:firstLine="2"/>
        <w:jc w:val="left"/>
      </w:pPr>
      <w:r>
        <w:rPr>
          <w:rFonts w:ascii="宋体" w:hAnsi="宋体" w:cs="宋体" w:eastAsia="宋体" w:hint="default"/>
          <w:b/>
          <w:bCs/>
          <w:w w:val="95"/>
        </w:rPr>
        <w:t>3.</w:t>
        <w:tab/>
      </w:r>
      <w:r>
        <w:rPr>
          <w:rFonts w:ascii="宋体" w:hAnsi="宋体" w:cs="宋体" w:eastAsia="宋体" w:hint="default"/>
          <w:b/>
          <w:bCs/>
        </w:rPr>
        <w:t>信贷风险</w:t>
      </w:r>
      <w:r>
        <w:rPr>
          <w:rFonts w:ascii="宋体" w:hAnsi="宋体" w:cs="宋体" w:eastAsia="宋体" w:hint="default"/>
          <w:b/>
          <w:bCs/>
          <w:w w:val="100"/>
        </w:rPr>
        <w:t> </w:t>
      </w:r>
      <w:r>
        <w:rPr>
          <w:spacing w:val="-2"/>
        </w:rPr>
        <w:t>本公司的信贷风险主要包括存放于银行的银行存款、现金及现金等价物；通过银行、金融机</w:t>
      </w:r>
    </w:p>
    <w:p>
      <w:pPr>
        <w:pStyle w:val="BodyText"/>
        <w:spacing w:line="360" w:lineRule="auto" w:before="32"/>
        <w:ind w:left="558" w:right="125" w:hanging="420"/>
        <w:jc w:val="left"/>
      </w:pPr>
      <w:r>
        <w:rPr/>
        <w:t>构融入的资金；应收及其他应收款项。</w:t>
      </w:r>
      <w:r>
        <w:rPr>
          <w:w w:val="100"/>
        </w:rPr>
        <w:t> </w:t>
      </w:r>
      <w:r>
        <w:rPr>
          <w:spacing w:val="-2"/>
        </w:rPr>
        <w:t>本公司通过严格选择信誉良好的金融机构来降低信贷风险，管理层认为存放在银行的存款历</w:t>
      </w:r>
    </w:p>
    <w:p>
      <w:pPr>
        <w:pStyle w:val="BodyText"/>
        <w:spacing w:line="355" w:lineRule="auto" w:before="28"/>
        <w:ind w:left="138" w:right="125"/>
        <w:jc w:val="left"/>
      </w:pPr>
      <w:r>
        <w:rPr>
          <w:spacing w:val="-2"/>
        </w:rPr>
        <w:t>史上无任何拖欠记录，故风险较低。同时，本公司与银行、融资租赁公司等金融机构的融资业务</w:t>
      </w:r>
      <w:r>
        <w:rPr>
          <w:spacing w:val="-25"/>
        </w:rPr>
        <w:t> </w:t>
      </w:r>
      <w:r>
        <w:rPr>
          <w:spacing w:val="-25"/>
        </w:rPr>
      </w:r>
      <w:r>
        <w:rPr/>
        <w:t>关系融洽，未出现失信行为，管理层认为不能及时融入资金的风险较低。</w:t>
      </w:r>
    </w:p>
    <w:p>
      <w:pPr>
        <w:pStyle w:val="BodyText"/>
        <w:spacing w:line="355" w:lineRule="auto" w:before="32"/>
        <w:ind w:left="138" w:right="125" w:firstLine="419"/>
        <w:jc w:val="left"/>
      </w:pPr>
      <w:r>
        <w:rPr>
          <w:spacing w:val="-2"/>
        </w:rPr>
        <w:t>本公司对客户（包括关联方）进行信用评估与评级，考虑其财务状况，过去的经验和其它因</w:t>
      </w:r>
      <w:r>
        <w:rPr>
          <w:w w:val="100"/>
        </w:rPr>
        <w:t> </w:t>
      </w:r>
      <w:r>
        <w:rPr/>
        <w:t>素，设定结算方式和信用额度。</w:t>
      </w:r>
    </w:p>
    <w:p>
      <w:pPr>
        <w:pStyle w:val="BodyText"/>
        <w:tabs>
          <w:tab w:pos="977" w:val="left" w:leader="none"/>
        </w:tabs>
        <w:spacing w:line="355" w:lineRule="auto" w:before="34"/>
        <w:ind w:left="558" w:right="148" w:firstLine="2"/>
        <w:jc w:val="left"/>
      </w:pPr>
      <w:r>
        <w:rPr>
          <w:rFonts w:ascii="宋体" w:hAnsi="宋体" w:cs="宋体" w:eastAsia="宋体" w:hint="default"/>
          <w:b/>
          <w:bCs/>
          <w:w w:val="95"/>
        </w:rPr>
        <w:t>4.</w:t>
        <w:tab/>
      </w:r>
      <w:r>
        <w:rPr>
          <w:rFonts w:ascii="宋体" w:hAnsi="宋体" w:cs="宋体" w:eastAsia="宋体" w:hint="default"/>
          <w:b/>
          <w:bCs/>
        </w:rPr>
        <w:t>流动性风险</w:t>
      </w:r>
      <w:r>
        <w:rPr>
          <w:rFonts w:ascii="宋体" w:hAnsi="宋体" w:cs="宋体" w:eastAsia="宋体" w:hint="default"/>
          <w:b/>
          <w:bCs/>
          <w:w w:val="100"/>
        </w:rPr>
        <w:t> </w:t>
      </w:r>
      <w:r>
        <w:rPr>
          <w:spacing w:val="-2"/>
        </w:rPr>
        <w:t>本公司的现金管理政策是定期监控现时及预期流动资金头寸，确保有充足资金以应付短期及</w:t>
      </w:r>
    </w:p>
    <w:p>
      <w:pPr>
        <w:pStyle w:val="BodyText"/>
        <w:spacing w:line="240" w:lineRule="auto" w:before="32"/>
        <w:ind w:left="138" w:right="125"/>
        <w:jc w:val="left"/>
      </w:pPr>
      <w:r>
        <w:rPr/>
        <w:t>长期需求。</w:t>
      </w:r>
    </w:p>
    <w:p>
      <w:pPr>
        <w:spacing w:after="0" w:line="240" w:lineRule="auto"/>
        <w:jc w:val="left"/>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Heading2"/>
        <w:tabs>
          <w:tab w:pos="1057" w:val="left" w:leader="none"/>
        </w:tabs>
        <w:spacing w:line="240" w:lineRule="auto" w:before="36"/>
        <w:ind w:right="2497"/>
        <w:jc w:val="left"/>
        <w:rPr>
          <w:b w:val="0"/>
          <w:bCs w:val="0"/>
        </w:rPr>
      </w:pPr>
      <w:r>
        <w:rPr/>
        <w:t>十一、</w:t>
        <w:tab/>
        <w:t>公允价值的披露</w:t>
      </w:r>
      <w:r>
        <w:rPr>
          <w:b w:val="0"/>
          <w:bCs w:val="0"/>
        </w:rPr>
      </w:r>
    </w:p>
    <w:p>
      <w:pPr>
        <w:pStyle w:val="Heading2"/>
        <w:spacing w:line="240" w:lineRule="auto" w:before="58"/>
        <w:ind w:right="2497"/>
        <w:jc w:val="left"/>
        <w:rPr>
          <w:b w:val="0"/>
          <w:bCs w:val="0"/>
        </w:rPr>
      </w:pPr>
      <w:r>
        <w:rPr>
          <w:rFonts w:ascii="宋体" w:hAnsi="宋体" w:cs="宋体" w:eastAsia="宋体" w:hint="default"/>
        </w:rPr>
        <w:t>1</w:t>
      </w:r>
      <w:r>
        <w:rPr/>
        <w:t>、</w:t>
      </w:r>
      <w:r>
        <w:rPr>
          <w:spacing w:val="3"/>
        </w:rPr>
        <w:t> </w:t>
      </w:r>
      <w:r>
        <w:rPr/>
        <w:t>以公允价值计量的资产和负债的期末公允价值</w:t>
      </w:r>
      <w:r>
        <w:rPr>
          <w:b w:val="0"/>
          <w:bCs w:val="0"/>
        </w:rPr>
      </w:r>
    </w:p>
    <w:p>
      <w:pPr>
        <w:pStyle w:val="BodyText"/>
        <w:spacing w:line="240" w:lineRule="auto" w:before="56"/>
        <w:ind w:right="2497"/>
        <w:jc w:val="left"/>
      </w:pPr>
      <w:r>
        <w:rPr/>
        <w:t>□适用</w:t>
      </w:r>
      <w:r>
        <w:rPr>
          <w:spacing w:val="-1"/>
        </w:rPr>
        <w:t> </w:t>
      </w:r>
      <w:r>
        <w:rPr/>
        <w:t>√不适用</w:t>
      </w:r>
    </w:p>
    <w:p>
      <w:pPr>
        <w:pStyle w:val="Heading2"/>
        <w:spacing w:line="240" w:lineRule="auto" w:before="58"/>
        <w:ind w:right="2497"/>
        <w:jc w:val="left"/>
        <w:rPr>
          <w:b w:val="0"/>
          <w:bCs w:val="0"/>
        </w:rPr>
      </w:pPr>
      <w:r>
        <w:rPr>
          <w:rFonts w:ascii="宋体" w:hAnsi="宋体" w:cs="宋体" w:eastAsia="宋体" w:hint="default"/>
        </w:rPr>
        <w:t>2</w:t>
      </w:r>
      <w:r>
        <w:rPr/>
        <w:t>、</w:t>
      </w:r>
      <w:r>
        <w:rPr>
          <w:spacing w:val="-1"/>
        </w:rPr>
        <w:t> </w:t>
      </w:r>
      <w:r>
        <w:rPr/>
        <w:t>持续和非持续第一层次公允价值计量项目市价的确定依据</w:t>
      </w:r>
      <w:r>
        <w:rPr>
          <w:b w:val="0"/>
          <w:bCs w:val="0"/>
        </w:rPr>
      </w:r>
    </w:p>
    <w:p>
      <w:pPr>
        <w:pStyle w:val="BodyText"/>
        <w:spacing w:line="240" w:lineRule="auto" w:before="56"/>
        <w:ind w:right="249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27"/>
        <w:jc w:val="left"/>
        <w:rPr>
          <w:b w:val="0"/>
          <w:bCs w:val="0"/>
        </w:rPr>
      </w:pPr>
      <w:r>
        <w:rPr>
          <w:rFonts w:ascii="宋体" w:hAnsi="宋体" w:cs="宋体" w:eastAsia="宋体" w:hint="default"/>
        </w:rPr>
        <w:t>3</w:t>
      </w:r>
      <w:r>
        <w:rPr/>
        <w:t>、</w:t>
      </w:r>
      <w:r>
        <w:rPr>
          <w:spacing w:val="-1"/>
        </w:rPr>
        <w:t> </w:t>
      </w:r>
      <w:r>
        <w:rPr/>
        <w:t>持续和非持续第二层次公允价值计量项目，采用的估值技术和重要参数的定性及定量信息</w:t>
      </w:r>
      <w:r>
        <w:rPr>
          <w:b w:val="0"/>
          <w:bCs w:val="0"/>
        </w:rPr>
      </w:r>
    </w:p>
    <w:p>
      <w:pPr>
        <w:pStyle w:val="BodyText"/>
        <w:spacing w:line="240" w:lineRule="auto" w:before="58"/>
        <w:ind w:right="249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27"/>
        <w:jc w:val="left"/>
        <w:rPr>
          <w:b w:val="0"/>
          <w:bCs w:val="0"/>
        </w:rPr>
      </w:pPr>
      <w:r>
        <w:rPr>
          <w:rFonts w:ascii="宋体" w:hAnsi="宋体" w:cs="宋体" w:eastAsia="宋体" w:hint="default"/>
        </w:rPr>
        <w:t>4</w:t>
      </w:r>
      <w:r>
        <w:rPr/>
        <w:t>、</w:t>
      </w:r>
      <w:r>
        <w:rPr>
          <w:spacing w:val="-1"/>
        </w:rPr>
        <w:t> </w:t>
      </w:r>
      <w:r>
        <w:rPr/>
        <w:t>持续和非持续第三层次公允价值计量项目，采用的估值技术和重要参数的定性及定量信息</w:t>
      </w:r>
      <w:r>
        <w:rPr>
          <w:b w:val="0"/>
          <w:bCs w:val="0"/>
        </w:rPr>
      </w:r>
    </w:p>
    <w:p>
      <w:pPr>
        <w:pStyle w:val="BodyText"/>
        <w:spacing w:line="240" w:lineRule="auto" w:before="57"/>
        <w:ind w:right="249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642" w:right="217" w:hanging="425"/>
        <w:jc w:val="left"/>
        <w:rPr>
          <w:b w:val="0"/>
          <w:bCs w:val="0"/>
        </w:rPr>
      </w:pPr>
      <w:r>
        <w:rPr>
          <w:rFonts w:ascii="宋体" w:hAnsi="宋体" w:cs="宋体" w:eastAsia="宋体" w:hint="default"/>
        </w:rPr>
        <w:t>5</w:t>
      </w:r>
      <w:r>
        <w:rPr/>
        <w:t>、</w:t>
      </w:r>
      <w:r>
        <w:rPr>
          <w:spacing w:val="-23"/>
        </w:rPr>
        <w:t> </w:t>
      </w:r>
      <w:r>
        <w:rPr/>
        <w:t>持续的第三层次公允价值计量项目，期初与期末账面价值间的调节信息及不可观察参数敏感</w:t>
      </w:r>
      <w:r>
        <w:rPr>
          <w:w w:val="100"/>
        </w:rPr>
        <w:t> </w:t>
      </w:r>
      <w:r>
        <w:rPr/>
        <w:t>性分析</w:t>
      </w:r>
      <w:r>
        <w:rPr>
          <w:b w:val="0"/>
          <w:bCs w:val="0"/>
        </w:rPr>
      </w:r>
    </w:p>
    <w:p>
      <w:pPr>
        <w:pStyle w:val="BodyText"/>
        <w:spacing w:line="240" w:lineRule="auto" w:before="56"/>
        <w:ind w:right="249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642" w:right="218" w:hanging="425"/>
        <w:jc w:val="left"/>
        <w:rPr>
          <w:b w:val="0"/>
          <w:bCs w:val="0"/>
        </w:rPr>
      </w:pPr>
      <w:r>
        <w:rPr>
          <w:rFonts w:ascii="宋体" w:hAnsi="宋体" w:cs="宋体" w:eastAsia="宋体" w:hint="default"/>
        </w:rPr>
        <w:t>6</w:t>
      </w:r>
      <w:r>
        <w:rPr/>
        <w:t>、</w:t>
      </w:r>
      <w:r>
        <w:rPr>
          <w:spacing w:val="-24"/>
        </w:rPr>
        <w:t> </w:t>
      </w:r>
      <w:r>
        <w:rPr/>
        <w:t>持续的公允价值计量项目，本期内发生各层级之间转换的，转换的原因及确定转换时点的政</w:t>
      </w:r>
      <w:r>
        <w:rPr>
          <w:w w:val="100"/>
        </w:rPr>
        <w:t> </w:t>
      </w:r>
      <w:r>
        <w:rPr/>
        <w:t>策</w:t>
      </w:r>
      <w:r>
        <w:rPr>
          <w:b w:val="0"/>
          <w:bCs w:val="0"/>
        </w:rPr>
      </w:r>
    </w:p>
    <w:p>
      <w:pPr>
        <w:pStyle w:val="BodyText"/>
        <w:spacing w:line="240" w:lineRule="auto" w:before="56"/>
        <w:ind w:right="249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497"/>
        <w:jc w:val="left"/>
        <w:rPr>
          <w:b w:val="0"/>
          <w:bCs w:val="0"/>
        </w:rPr>
      </w:pPr>
      <w:r>
        <w:rPr>
          <w:rFonts w:ascii="宋体" w:hAnsi="宋体" w:cs="宋体" w:eastAsia="宋体" w:hint="default"/>
        </w:rPr>
        <w:t>7</w:t>
      </w:r>
      <w:r>
        <w:rPr/>
        <w:t>、</w:t>
      </w:r>
      <w:r>
        <w:rPr>
          <w:spacing w:val="2"/>
        </w:rPr>
        <w:t> </w:t>
      </w:r>
      <w:r>
        <w:rPr/>
        <w:t>本期内发生的估值技术变更及变更原因</w:t>
      </w:r>
      <w:r>
        <w:rPr>
          <w:b w:val="0"/>
          <w:bCs w:val="0"/>
        </w:rPr>
      </w:r>
    </w:p>
    <w:p>
      <w:pPr>
        <w:pStyle w:val="BodyText"/>
        <w:spacing w:line="240" w:lineRule="auto" w:before="56"/>
        <w:ind w:right="249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497"/>
        <w:jc w:val="left"/>
        <w:rPr>
          <w:b w:val="0"/>
          <w:bCs w:val="0"/>
        </w:rPr>
      </w:pPr>
      <w:r>
        <w:rPr>
          <w:rFonts w:ascii="宋体" w:hAnsi="宋体" w:cs="宋体" w:eastAsia="宋体" w:hint="default"/>
        </w:rPr>
        <w:t>8</w:t>
      </w:r>
      <w:r>
        <w:rPr/>
        <w:t>、</w:t>
      </w:r>
      <w:r>
        <w:rPr>
          <w:spacing w:val="-1"/>
        </w:rPr>
        <w:t> </w:t>
      </w:r>
      <w:r>
        <w:rPr/>
        <w:t>不以公允价值计量的金融资产和金融负债的公允价值情况</w:t>
      </w:r>
      <w:r>
        <w:rPr>
          <w:b w:val="0"/>
          <w:bCs w:val="0"/>
        </w:rPr>
      </w:r>
    </w:p>
    <w:p>
      <w:pPr>
        <w:pStyle w:val="BodyText"/>
        <w:spacing w:line="240" w:lineRule="auto" w:before="58"/>
        <w:ind w:right="249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497"/>
        <w:jc w:val="left"/>
        <w:rPr>
          <w:b w:val="0"/>
          <w:bCs w:val="0"/>
        </w:rPr>
      </w:pPr>
      <w:r>
        <w:rPr>
          <w:rFonts w:ascii="宋体" w:hAnsi="宋体" w:cs="宋体" w:eastAsia="宋体" w:hint="default"/>
        </w:rPr>
        <w:t>9</w:t>
      </w:r>
      <w:r>
        <w:rPr/>
        <w:t>、</w:t>
      </w:r>
      <w:r>
        <w:rPr>
          <w:spacing w:val="2"/>
        </w:rPr>
        <w:t> </w:t>
      </w:r>
      <w:r>
        <w:rPr/>
        <w:t>其他</w:t>
      </w:r>
      <w:r>
        <w:rPr>
          <w:b w:val="0"/>
          <w:bCs w:val="0"/>
        </w:rPr>
      </w:r>
    </w:p>
    <w:p>
      <w:pPr>
        <w:pStyle w:val="BodyText"/>
        <w:spacing w:line="240" w:lineRule="auto" w:before="56"/>
        <w:ind w:right="2497"/>
        <w:jc w:val="left"/>
      </w:pPr>
      <w:r>
        <w:rPr/>
        <w:t>□适用</w:t>
      </w:r>
      <w:r>
        <w:rPr>
          <w:spacing w:val="-1"/>
        </w:rPr>
        <w:t> </w:t>
      </w:r>
      <w:r>
        <w:rPr/>
        <w:t>√不适用</w:t>
      </w:r>
    </w:p>
    <w:p>
      <w:pPr>
        <w:pStyle w:val="Heading2"/>
        <w:tabs>
          <w:tab w:pos="1057" w:val="left" w:leader="none"/>
        </w:tabs>
        <w:spacing w:line="290" w:lineRule="auto" w:before="58"/>
        <w:ind w:right="6536"/>
        <w:jc w:val="left"/>
        <w:rPr>
          <w:b w:val="0"/>
          <w:bCs w:val="0"/>
        </w:rPr>
      </w:pPr>
      <w:r>
        <w:rPr/>
        <w:t>十二、</w:t>
        <w:tab/>
        <w:t>关联方及关联交易</w:t>
      </w:r>
      <w:r>
        <w:rPr>
          <w:spacing w:val="-103"/>
        </w:rPr>
        <w:t> </w:t>
      </w:r>
      <w:r>
        <w:rPr>
          <w:spacing w:val="-103"/>
        </w:rPr>
      </w:r>
      <w:r>
        <w:rPr>
          <w:rFonts w:ascii="宋体" w:hAnsi="宋体" w:cs="宋体" w:eastAsia="宋体" w:hint="default"/>
        </w:rPr>
        <w:t>1</w:t>
      </w:r>
      <w:r>
        <w:rPr/>
        <w:t>、</w:t>
      </w:r>
      <w:r>
        <w:rPr>
          <w:spacing w:val="5"/>
        </w:rPr>
        <w:t> </w:t>
      </w:r>
      <w:r>
        <w:rPr/>
        <w:t>本企业的母公司情况</w:t>
      </w:r>
      <w:r>
        <w:rPr>
          <w:b w:val="0"/>
          <w:bCs w:val="0"/>
        </w:rPr>
      </w:r>
    </w:p>
    <w:p>
      <w:pPr>
        <w:pStyle w:val="BodyText"/>
        <w:spacing w:line="240" w:lineRule="auto" w:before="14"/>
        <w:ind w:right="249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spacing w:line="290" w:lineRule="auto" w:before="0"/>
        <w:ind w:left="218" w:right="6323"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 本企业的子公司情况</w:t>
      </w:r>
      <w:r>
        <w:rPr>
          <w:rFonts w:ascii="宋体" w:hAnsi="宋体" w:cs="宋体" w:eastAsia="宋体" w:hint="default"/>
          <w:b/>
          <w:bCs/>
          <w:spacing w:val="-101"/>
          <w:sz w:val="21"/>
          <w:szCs w:val="21"/>
        </w:rPr>
        <w:t> </w:t>
      </w:r>
      <w:r>
        <w:rPr>
          <w:rFonts w:ascii="宋体" w:hAnsi="宋体" w:cs="宋体" w:eastAsia="宋体" w:hint="default"/>
          <w:b/>
          <w:bCs/>
          <w:spacing w:val="-101"/>
          <w:sz w:val="21"/>
          <w:szCs w:val="21"/>
        </w:rPr>
      </w:r>
      <w:r>
        <w:rPr>
          <w:rFonts w:ascii="宋体" w:hAnsi="宋体" w:cs="宋体" w:eastAsia="宋体" w:hint="default"/>
          <w:spacing w:val="-2"/>
          <w:sz w:val="21"/>
          <w:szCs w:val="21"/>
        </w:rPr>
        <w:t>本企业子公司的情况详见附注</w:t>
      </w:r>
    </w:p>
    <w:p>
      <w:pPr>
        <w:pStyle w:val="BodyText"/>
        <w:spacing w:line="230" w:lineRule="exact"/>
        <w:ind w:right="249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spacing w:line="290" w:lineRule="auto" w:before="0"/>
        <w:ind w:left="218" w:right="360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本企业合营和联营企业情况</w:t>
      </w:r>
      <w:r>
        <w:rPr>
          <w:rFonts w:ascii="宋体" w:hAnsi="宋体" w:cs="宋体" w:eastAsia="宋体" w:hint="default"/>
          <w:b/>
          <w:bCs/>
          <w:w w:val="100"/>
          <w:sz w:val="21"/>
          <w:szCs w:val="21"/>
        </w:rPr>
        <w:t> </w:t>
      </w:r>
      <w:r>
        <w:rPr>
          <w:rFonts w:ascii="宋体" w:hAnsi="宋体" w:cs="宋体" w:eastAsia="宋体" w:hint="default"/>
          <w:spacing w:val="-2"/>
          <w:sz w:val="21"/>
          <w:szCs w:val="21"/>
        </w:rPr>
        <w:t>本企业重要的合营或联营企业详见附注</w:t>
      </w:r>
    </w:p>
    <w:p>
      <w:pPr>
        <w:pStyle w:val="BodyText"/>
        <w:spacing w:line="228" w:lineRule="exact"/>
        <w:ind w:right="2497"/>
        <w:jc w:val="left"/>
      </w:pPr>
      <w:r>
        <w:rPr/>
        <w:t>□适用</w:t>
      </w:r>
      <w:r>
        <w:rPr>
          <w:spacing w:val="-1"/>
        </w:rPr>
        <w:t> </w:t>
      </w:r>
      <w:r>
        <w:rPr/>
        <w:t>√不适用</w:t>
      </w:r>
    </w:p>
    <w:p>
      <w:pPr>
        <w:pStyle w:val="BodyText"/>
        <w:spacing w:line="272" w:lineRule="exact" w:before="26"/>
        <w:ind w:right="227"/>
        <w:jc w:val="left"/>
      </w:pPr>
      <w:r>
        <w:rPr>
          <w:spacing w:val="-2"/>
        </w:rPr>
        <w:t>本期与本公司发生关联方交易，或前期与本公司发生关联方交易形成余额的其他合营或联营企业</w:t>
      </w:r>
      <w:r>
        <w:rPr>
          <w:spacing w:val="-25"/>
        </w:rPr>
        <w:t> </w:t>
      </w:r>
      <w:r>
        <w:rPr>
          <w:spacing w:val="-25"/>
        </w:rPr>
      </w:r>
      <w:r>
        <w:rPr/>
        <w:t>情况如下</w:t>
      </w:r>
    </w:p>
    <w:p>
      <w:pPr>
        <w:pStyle w:val="BodyText"/>
        <w:spacing w:line="249" w:lineRule="exact"/>
        <w:ind w:right="2497"/>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85"/>
        <w:gridCol w:w="5065"/>
      </w:tblGrid>
      <w:tr>
        <w:trPr>
          <w:trHeight w:val="296"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41" w:right="0"/>
              <w:jc w:val="left"/>
              <w:rPr>
                <w:rFonts w:ascii="宋体" w:hAnsi="宋体" w:cs="宋体" w:eastAsia="宋体" w:hint="default"/>
                <w:sz w:val="21"/>
                <w:szCs w:val="21"/>
              </w:rPr>
            </w:pPr>
            <w:r>
              <w:rPr>
                <w:rFonts w:ascii="宋体" w:hAnsi="宋体" w:cs="宋体" w:eastAsia="宋体" w:hint="default"/>
                <w:sz w:val="21"/>
                <w:szCs w:val="21"/>
              </w:rPr>
              <w:t>合营或联营企业名称</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与本企业关系</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北京安铁供应链管理有限责任公司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公司持股</w:t>
            </w:r>
            <w:r>
              <w:rPr>
                <w:rFonts w:ascii="宋体" w:hAnsi="宋体" w:cs="宋体" w:eastAsia="宋体" w:hint="default"/>
                <w:spacing w:val="-55"/>
                <w:sz w:val="21"/>
                <w:szCs w:val="21"/>
              </w:rPr>
              <w:t> </w:t>
            </w:r>
            <w:r>
              <w:rPr>
                <w:rFonts w:ascii="宋体" w:hAnsi="宋体" w:cs="宋体" w:eastAsia="宋体" w:hint="default"/>
                <w:sz w:val="21"/>
                <w:szCs w:val="21"/>
              </w:rPr>
              <w:t>30%</w:t>
            </w:r>
            <w:r>
              <w:rPr>
                <w:rFonts w:ascii="宋体" w:hAnsi="宋体" w:cs="宋体" w:eastAsia="宋体" w:hint="default"/>
                <w:sz w:val="21"/>
                <w:szCs w:val="21"/>
              </w:rPr>
              <w:t>的参股子公司</w:t>
            </w:r>
          </w:p>
        </w:tc>
      </w:tr>
    </w:tbl>
    <w:p>
      <w:pPr>
        <w:spacing w:after="0" w:line="241" w:lineRule="exact"/>
        <w:jc w:val="left"/>
        <w:rPr>
          <w:rFonts w:ascii="宋体" w:hAnsi="宋体" w:cs="宋体" w:eastAsia="宋体" w:hint="default"/>
          <w:sz w:val="21"/>
          <w:szCs w:val="21"/>
        </w:rPr>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pStyle w:val="BodyText"/>
        <w:spacing w:line="274" w:lineRule="exact" w:before="36"/>
        <w:ind w:right="2497"/>
        <w:jc w:val="left"/>
      </w:pPr>
      <w:r>
        <w:rPr/>
        <w:t>其他说明</w:t>
      </w:r>
    </w:p>
    <w:p>
      <w:pPr>
        <w:pStyle w:val="BodyText"/>
        <w:spacing w:line="274" w:lineRule="exact"/>
        <w:ind w:right="249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497"/>
        <w:jc w:val="left"/>
        <w:rPr>
          <w:b w:val="0"/>
          <w:bCs w:val="0"/>
        </w:rPr>
      </w:pPr>
      <w:r>
        <w:rPr>
          <w:rFonts w:ascii="宋体" w:hAnsi="宋体" w:cs="宋体" w:eastAsia="宋体" w:hint="default"/>
        </w:rPr>
        <w:t>4</w:t>
      </w:r>
      <w:r>
        <w:rPr/>
        <w:t>、</w:t>
      </w:r>
      <w:r>
        <w:rPr>
          <w:spacing w:val="4"/>
        </w:rPr>
        <w:t> </w:t>
      </w:r>
      <w:r>
        <w:rPr/>
        <w:t>其他关联方情况</w:t>
      </w:r>
      <w:r>
        <w:rPr>
          <w:b w:val="0"/>
          <w:bCs w:val="0"/>
        </w:rPr>
      </w:r>
    </w:p>
    <w:p>
      <w:pPr>
        <w:pStyle w:val="BodyText"/>
        <w:spacing w:line="240" w:lineRule="auto" w:before="56"/>
        <w:ind w:right="2497"/>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80"/>
        <w:gridCol w:w="5070"/>
      </w:tblGrid>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7"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73" w:right="0"/>
              <w:jc w:val="left"/>
              <w:rPr>
                <w:rFonts w:ascii="宋体" w:hAnsi="宋体" w:cs="宋体" w:eastAsia="宋体" w:hint="default"/>
                <w:sz w:val="21"/>
                <w:szCs w:val="21"/>
              </w:rPr>
            </w:pPr>
            <w:r>
              <w:rPr>
                <w:rFonts w:ascii="宋体" w:hAnsi="宋体" w:cs="宋体" w:eastAsia="宋体" w:hint="default"/>
                <w:sz w:val="21"/>
                <w:szCs w:val="21"/>
              </w:rPr>
              <w:t>其他关联方与本企业关系</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仁建国际贸易（上海）有限公司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股东的子公司</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泉州仁建安通集装箱有限公司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股东的子公司</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上海仁建信息科技有限公司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股东的子公司</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辽宁东汇供应链管理有限公司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股东的子公司</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林亚查</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林丽森</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林聪明</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易通国际资产管理有限公司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股东的子公司</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石狮市利佳力服装织造有限公司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厦门石港物流有限公司（注</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泉州安华物流有限公司（注</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z w:val="21"/>
                <w:szCs w:val="21"/>
              </w:rPr>
              <w:t>）</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泉州绿湾贸易有限公司（注</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z w:val="21"/>
                <w:szCs w:val="21"/>
              </w:rPr>
              <w:t>）</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泉州安凯储运有限公司（注</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z w:val="21"/>
                <w:szCs w:val="21"/>
              </w:rPr>
              <w:t>）</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泉州一洋集装箱服务有限公司（注</w:t>
            </w:r>
            <w:r>
              <w:rPr>
                <w:rFonts w:ascii="宋体" w:hAnsi="宋体" w:cs="宋体" w:eastAsia="宋体" w:hint="default"/>
                <w:spacing w:val="-55"/>
                <w:sz w:val="21"/>
                <w:szCs w:val="21"/>
              </w:rPr>
              <w:t> </w:t>
            </w:r>
            <w:r>
              <w:rPr>
                <w:rFonts w:ascii="宋体" w:hAnsi="宋体" w:cs="宋体" w:eastAsia="宋体" w:hint="default"/>
                <w:sz w:val="21"/>
                <w:szCs w:val="21"/>
              </w:rPr>
              <w:t>2</w:t>
            </w:r>
            <w:r>
              <w:rPr>
                <w:rFonts w:ascii="宋体" w:hAnsi="宋体" w:cs="宋体" w:eastAsia="宋体" w:hint="default"/>
                <w:sz w:val="21"/>
                <w:szCs w:val="21"/>
              </w:rPr>
              <w:t>）</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bl>
    <w:p>
      <w:pPr>
        <w:spacing w:line="240" w:lineRule="auto" w:before="5"/>
        <w:rPr>
          <w:rFonts w:ascii="宋体" w:hAnsi="宋体" w:cs="宋体" w:eastAsia="宋体" w:hint="default"/>
          <w:sz w:val="15"/>
          <w:szCs w:val="15"/>
        </w:rPr>
      </w:pPr>
    </w:p>
    <w:p>
      <w:pPr>
        <w:pStyle w:val="BodyText"/>
        <w:spacing w:line="274" w:lineRule="exact" w:before="36"/>
        <w:ind w:right="2497"/>
        <w:jc w:val="left"/>
      </w:pPr>
      <w:r>
        <w:rPr/>
        <w:t>其他说明</w:t>
      </w:r>
    </w:p>
    <w:p>
      <w:pPr>
        <w:pStyle w:val="BodyText"/>
        <w:spacing w:line="274" w:lineRule="exact"/>
        <w:ind w:right="0"/>
        <w:jc w:val="left"/>
      </w:pPr>
      <w:r>
        <w:rPr>
          <w:spacing w:val="-9"/>
        </w:rPr>
        <w:t>注：</w:t>
      </w:r>
      <w:r>
        <w:rPr>
          <w:rFonts w:ascii="宋体" w:hAnsi="宋体" w:cs="宋体" w:eastAsia="宋体" w:hint="default"/>
          <w:spacing w:val="-9"/>
        </w:rPr>
        <w:t>1</w:t>
      </w:r>
      <w:r>
        <w:rPr>
          <w:spacing w:val="-9"/>
        </w:rPr>
        <w:t>、截止</w:t>
      </w:r>
      <w:r>
        <w:rPr>
          <w:spacing w:val="-46"/>
        </w:rPr>
        <w:t> </w:t>
      </w:r>
      <w:r>
        <w:rPr>
          <w:rFonts w:ascii="宋体" w:hAnsi="宋体" w:cs="宋体" w:eastAsia="宋体" w:hint="default"/>
        </w:rPr>
        <w:t>2015</w:t>
      </w:r>
      <w:r>
        <w:rPr>
          <w:rFonts w:ascii="宋体" w:hAnsi="宋体" w:cs="宋体" w:eastAsia="宋体" w:hint="default"/>
          <w:spacing w:val="-48"/>
        </w:rPr>
        <w:t> </w:t>
      </w:r>
      <w:r>
        <w:rPr/>
        <w:t>年</w:t>
      </w:r>
      <w:r>
        <w:rPr>
          <w:spacing w:val="-46"/>
        </w:rPr>
        <w:t> </w:t>
      </w:r>
      <w:r>
        <w:rPr>
          <w:rFonts w:ascii="宋体" w:hAnsi="宋体" w:cs="宋体" w:eastAsia="宋体" w:hint="default"/>
        </w:rPr>
        <w:t>6</w:t>
      </w:r>
      <w:r>
        <w:rPr>
          <w:rFonts w:ascii="宋体" w:hAnsi="宋体" w:cs="宋体" w:eastAsia="宋体" w:hint="default"/>
          <w:spacing w:val="-47"/>
        </w:rPr>
        <w:t> </w:t>
      </w:r>
      <w:r>
        <w:rPr/>
        <w:t>月</w:t>
      </w:r>
      <w:r>
        <w:rPr>
          <w:spacing w:val="-46"/>
        </w:rPr>
        <w:t> </w:t>
      </w:r>
      <w:r>
        <w:rPr>
          <w:rFonts w:ascii="宋体" w:hAnsi="宋体" w:cs="宋体" w:eastAsia="宋体" w:hint="default"/>
        </w:rPr>
        <w:t>16</w:t>
      </w:r>
      <w:r>
        <w:rPr>
          <w:rFonts w:ascii="宋体" w:hAnsi="宋体" w:cs="宋体" w:eastAsia="宋体" w:hint="default"/>
          <w:spacing w:val="-46"/>
        </w:rPr>
        <w:t> </w:t>
      </w:r>
      <w:r>
        <w:rPr>
          <w:spacing w:val="-3"/>
        </w:rPr>
        <w:t>日，林是金持有的厦门石港物流有限公司股权已转让，股权转让后十</w:t>
      </w:r>
    </w:p>
    <w:p>
      <w:pPr>
        <w:pStyle w:val="BodyText"/>
        <w:spacing w:line="355" w:lineRule="auto" w:before="133"/>
        <w:ind w:right="227"/>
        <w:jc w:val="left"/>
      </w:pPr>
      <w:r>
        <w:rPr>
          <w:spacing w:val="-6"/>
          <w:w w:val="100"/>
        </w:rPr>
        <w:t>二个月内依然将其视同为关联方，即本附注仅将</w:t>
      </w:r>
      <w:r>
        <w:rPr>
          <w:spacing w:val="-52"/>
          <w:w w:val="100"/>
        </w:rPr>
        <w:t> </w:t>
      </w:r>
      <w:r>
        <w:rPr>
          <w:rFonts w:ascii="宋体" w:hAnsi="宋体" w:cs="宋体" w:eastAsia="宋体" w:hint="default"/>
          <w:spacing w:val="-1"/>
          <w:w w:val="100"/>
        </w:rPr>
        <w:t>2016</w:t>
      </w:r>
      <w:r>
        <w:rPr>
          <w:rFonts w:ascii="宋体" w:hAnsi="宋体" w:cs="宋体" w:eastAsia="宋体" w:hint="default"/>
          <w:spacing w:val="-49"/>
          <w:w w:val="100"/>
        </w:rPr>
        <w:t> </w:t>
      </w:r>
      <w:r>
        <w:rPr>
          <w:w w:val="100"/>
        </w:rPr>
        <w:t>年</w:t>
      </w:r>
      <w:r>
        <w:rPr>
          <w:spacing w:val="-50"/>
          <w:w w:val="100"/>
        </w:rPr>
        <w:t> </w:t>
      </w:r>
      <w:r>
        <w:rPr>
          <w:rFonts w:ascii="宋体" w:hAnsi="宋体" w:cs="宋体" w:eastAsia="宋体" w:hint="default"/>
          <w:spacing w:val="-1"/>
          <w:w w:val="100"/>
        </w:rPr>
        <w:t>1-6</w:t>
      </w:r>
      <w:r>
        <w:rPr>
          <w:rFonts w:ascii="宋体" w:hAnsi="宋体" w:cs="宋体" w:eastAsia="宋体" w:hint="default"/>
          <w:spacing w:val="-50"/>
          <w:w w:val="100"/>
        </w:rPr>
        <w:t> </w:t>
      </w:r>
      <w:r>
        <w:rPr>
          <w:spacing w:val="-2"/>
          <w:w w:val="100"/>
        </w:rPr>
        <w:t>月与厦门石港物流有限公司发生的交</w:t>
      </w:r>
      <w:r>
        <w:rPr>
          <w:w w:val="100"/>
        </w:rPr>
        <w:t> </w:t>
      </w:r>
      <w:r>
        <w:rPr/>
        <w:t>易和往来披露为关联交易。</w:t>
      </w:r>
    </w:p>
    <w:p>
      <w:pPr>
        <w:pStyle w:val="BodyText"/>
        <w:spacing w:line="240" w:lineRule="auto" w:before="32"/>
        <w:ind w:right="0"/>
        <w:jc w:val="left"/>
      </w:pPr>
      <w:r>
        <w:rPr>
          <w:rFonts w:ascii="宋体" w:hAnsi="宋体" w:cs="宋体" w:eastAsia="宋体" w:hint="default"/>
          <w:spacing w:val="-9"/>
        </w:rPr>
        <w:t>2</w:t>
      </w:r>
      <w:r>
        <w:rPr>
          <w:spacing w:val="-9"/>
        </w:rPr>
        <w:t>、截止</w:t>
      </w:r>
      <w:r>
        <w:rPr>
          <w:spacing w:val="-42"/>
        </w:rPr>
        <w:t> </w:t>
      </w:r>
      <w:r>
        <w:rPr>
          <w:rFonts w:ascii="宋体" w:hAnsi="宋体" w:cs="宋体" w:eastAsia="宋体" w:hint="default"/>
        </w:rPr>
        <w:t>2015</w:t>
      </w:r>
      <w:r>
        <w:rPr>
          <w:rFonts w:ascii="宋体" w:hAnsi="宋体" w:cs="宋体" w:eastAsia="宋体" w:hint="default"/>
          <w:spacing w:val="-42"/>
        </w:rPr>
        <w:t> </w:t>
      </w:r>
      <w:r>
        <w:rPr/>
        <w:t>年</w:t>
      </w:r>
      <w:r>
        <w:rPr>
          <w:spacing w:val="-45"/>
        </w:rPr>
        <w:t> </w:t>
      </w:r>
      <w:r>
        <w:rPr>
          <w:rFonts w:ascii="宋体" w:hAnsi="宋体" w:cs="宋体" w:eastAsia="宋体" w:hint="default"/>
        </w:rPr>
        <w:t>6</w:t>
      </w:r>
      <w:r>
        <w:rPr>
          <w:rFonts w:ascii="宋体" w:hAnsi="宋体" w:cs="宋体" w:eastAsia="宋体" w:hint="default"/>
          <w:spacing w:val="-42"/>
        </w:rPr>
        <w:t> </w:t>
      </w:r>
      <w:r>
        <w:rPr/>
        <w:t>月</w:t>
      </w:r>
      <w:r>
        <w:rPr>
          <w:spacing w:val="-45"/>
        </w:rPr>
        <w:t> </w:t>
      </w:r>
      <w:r>
        <w:rPr>
          <w:rFonts w:ascii="宋体" w:hAnsi="宋体" w:cs="宋体" w:eastAsia="宋体" w:hint="default"/>
        </w:rPr>
        <w:t>30</w:t>
      </w:r>
      <w:r>
        <w:rPr>
          <w:rFonts w:ascii="宋体" w:hAnsi="宋体" w:cs="宋体" w:eastAsia="宋体" w:hint="default"/>
          <w:spacing w:val="-41"/>
        </w:rPr>
        <w:t> </w:t>
      </w:r>
      <w:r>
        <w:rPr>
          <w:spacing w:val="-4"/>
        </w:rPr>
        <w:t>日，上述协助关联方进行债务重组融资的事项已经解除，债务重组解除后</w:t>
      </w:r>
    </w:p>
    <w:p>
      <w:pPr>
        <w:pStyle w:val="BodyText"/>
        <w:spacing w:line="357" w:lineRule="auto" w:before="133"/>
        <w:ind w:right="227"/>
        <w:jc w:val="left"/>
      </w:pPr>
      <w:r>
        <w:rPr>
          <w:spacing w:val="-6"/>
          <w:w w:val="100"/>
        </w:rPr>
        <w:t>十二个月内依然将其视同为关联方，即本附注仅将</w:t>
      </w:r>
      <w:r>
        <w:rPr>
          <w:spacing w:val="-49"/>
          <w:w w:val="100"/>
        </w:rPr>
        <w:t> </w:t>
      </w:r>
      <w:r>
        <w:rPr>
          <w:rFonts w:ascii="宋体" w:hAnsi="宋体" w:cs="宋体" w:eastAsia="宋体" w:hint="default"/>
          <w:spacing w:val="-1"/>
          <w:w w:val="100"/>
        </w:rPr>
        <w:t>2016</w:t>
      </w:r>
      <w:r>
        <w:rPr>
          <w:rFonts w:ascii="宋体" w:hAnsi="宋体" w:cs="宋体" w:eastAsia="宋体" w:hint="default"/>
          <w:spacing w:val="-50"/>
          <w:w w:val="100"/>
        </w:rPr>
        <w:t> </w:t>
      </w:r>
      <w:r>
        <w:rPr>
          <w:w w:val="100"/>
        </w:rPr>
        <w:t>年</w:t>
      </w:r>
      <w:r>
        <w:rPr>
          <w:spacing w:val="-52"/>
          <w:w w:val="100"/>
        </w:rPr>
        <w:t> </w:t>
      </w:r>
      <w:r>
        <w:rPr>
          <w:rFonts w:ascii="宋体" w:hAnsi="宋体" w:cs="宋体" w:eastAsia="宋体" w:hint="default"/>
          <w:w w:val="100"/>
        </w:rPr>
        <w:t>1-6</w:t>
      </w:r>
      <w:r>
        <w:rPr>
          <w:rFonts w:ascii="宋体" w:hAnsi="宋体" w:cs="宋体" w:eastAsia="宋体" w:hint="default"/>
          <w:spacing w:val="-52"/>
          <w:w w:val="100"/>
        </w:rPr>
        <w:t> </w:t>
      </w:r>
      <w:r>
        <w:rPr>
          <w:spacing w:val="-2"/>
          <w:w w:val="100"/>
        </w:rPr>
        <w:t>月与上述公司发生的交易和往来披</w:t>
      </w:r>
      <w:r>
        <w:rPr>
          <w:w w:val="100"/>
        </w:rPr>
        <w:t> </w:t>
      </w:r>
      <w:r>
        <w:rPr/>
        <w:t>露为关联交易。</w:t>
      </w:r>
    </w:p>
    <w:p>
      <w:pPr>
        <w:spacing w:after="0" w:line="357" w:lineRule="auto"/>
        <w:jc w:val="left"/>
        <w:sectPr>
          <w:pgSz w:w="11910" w:h="16840"/>
          <w:pgMar w:header="882" w:footer="1195" w:top="1120" w:bottom="1380" w:left="1580" w:right="1040"/>
        </w:sectPr>
      </w:pPr>
    </w:p>
    <w:p>
      <w:pPr>
        <w:pStyle w:val="Heading2"/>
        <w:spacing w:line="240" w:lineRule="auto" w:before="90"/>
        <w:ind w:right="-18"/>
        <w:jc w:val="left"/>
        <w:rPr>
          <w:b w:val="0"/>
          <w:bCs w:val="0"/>
        </w:rPr>
      </w:pPr>
      <w:r>
        <w:rPr>
          <w:rFonts w:ascii="宋体" w:hAnsi="宋体" w:cs="宋体" w:eastAsia="宋体" w:hint="default"/>
        </w:rPr>
        <w:t>5</w:t>
      </w:r>
      <w:r>
        <w:rPr/>
        <w:t>、</w:t>
      </w:r>
      <w:r>
        <w:rPr>
          <w:spacing w:val="4"/>
        </w:rPr>
        <w:t> </w:t>
      </w:r>
      <w:r>
        <w:rPr/>
        <w:t>关联交易情况</w:t>
      </w:r>
      <w:r>
        <w:rPr>
          <w:b w:val="0"/>
          <w:bCs w:val="0"/>
        </w:rPr>
      </w:r>
    </w:p>
    <w:p>
      <w:pPr>
        <w:spacing w:line="290" w:lineRule="auto" w:before="56"/>
        <w:ind w:left="218" w:right="-18"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87"/>
          <w:sz w:val="21"/>
          <w:szCs w:val="21"/>
        </w:rPr>
        <w:t> </w:t>
      </w:r>
      <w:r>
        <w:rPr>
          <w:rFonts w:ascii="宋体" w:hAnsi="宋体" w:cs="宋体" w:eastAsia="宋体" w:hint="default"/>
          <w:b/>
          <w:bCs/>
          <w:sz w:val="21"/>
          <w:szCs w:val="21"/>
        </w:rPr>
        <w:t>购销商品、提供和接受劳务的关联交易</w:t>
      </w:r>
      <w:r>
        <w:rPr>
          <w:rFonts w:ascii="宋体" w:hAnsi="宋体" w:cs="宋体" w:eastAsia="宋体" w:hint="default"/>
          <w:b/>
          <w:bCs/>
          <w:w w:val="100"/>
          <w:sz w:val="21"/>
          <w:szCs w:val="21"/>
        </w:rPr>
        <w:t> </w:t>
      </w:r>
      <w:r>
        <w:rPr>
          <w:rFonts w:ascii="宋体" w:hAnsi="宋体" w:cs="宋体" w:eastAsia="宋体" w:hint="default"/>
          <w:sz w:val="21"/>
          <w:szCs w:val="21"/>
        </w:rPr>
        <w:t>采购商品</w:t>
      </w:r>
      <w:r>
        <w:rPr>
          <w:rFonts w:ascii="宋体" w:hAnsi="宋体" w:cs="宋体" w:eastAsia="宋体" w:hint="default"/>
          <w:sz w:val="21"/>
          <w:szCs w:val="21"/>
        </w:rPr>
        <w:t>/</w:t>
      </w:r>
      <w:r>
        <w:rPr>
          <w:rFonts w:ascii="宋体" w:hAnsi="宋体" w:cs="宋体" w:eastAsia="宋体" w:hint="default"/>
          <w:sz w:val="21"/>
          <w:szCs w:val="21"/>
        </w:rPr>
        <w:t>接受劳务情况表</w:t>
      </w:r>
    </w:p>
    <w:p>
      <w:pPr>
        <w:pStyle w:val="BodyText"/>
        <w:spacing w:line="228" w:lineRule="exact"/>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421" w:space="2101"/>
            <w:col w:w="27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425"/>
        <w:gridCol w:w="2143"/>
        <w:gridCol w:w="2170"/>
        <w:gridCol w:w="2158"/>
      </w:tblGrid>
      <w:tr>
        <w:trPr>
          <w:trHeight w:val="305"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34"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5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4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泉州绿湾贸易有限公司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购油</w:t>
            </w:r>
          </w:p>
        </w:tc>
        <w:tc>
          <w:tcPr>
            <w:tcW w:w="2170"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6,053,780.20</w:t>
            </w:r>
          </w:p>
        </w:tc>
      </w:tr>
      <w:tr>
        <w:trPr>
          <w:trHeight w:val="55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北京安铁供应链管理有限</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责任公司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铁路费</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43,504,622.83</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易通国际资产管理有限公</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箱租款</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12,684,937.68</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泉州仁建安通集装箱有限</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箱租款</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7,635,952.22</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12,655,337.80</w:t>
            </w:r>
          </w:p>
        </w:tc>
      </w:tr>
      <w:tr>
        <w:trPr>
          <w:trHeight w:val="55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上海仁建信息科技有限公</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软件费</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5,055,713.78</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泉州安华物流有限公司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hAnsi="宋体" w:cs="宋体" w:eastAsia="宋体" w:hint="default"/>
                <w:sz w:val="21"/>
                <w:szCs w:val="21"/>
              </w:rPr>
              <w:t>拖车费</w:t>
            </w:r>
          </w:p>
        </w:tc>
        <w:tc>
          <w:tcPr>
            <w:tcW w:w="2170"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1"/>
              <w:jc w:val="right"/>
              <w:rPr>
                <w:rFonts w:ascii="宋体" w:hAnsi="宋体" w:cs="宋体" w:eastAsia="宋体" w:hint="default"/>
                <w:sz w:val="21"/>
                <w:szCs w:val="21"/>
              </w:rPr>
            </w:pPr>
            <w:r>
              <w:rPr>
                <w:rFonts w:ascii="宋体"/>
                <w:spacing w:val="-1"/>
                <w:sz w:val="21"/>
              </w:rPr>
              <w:t>12,331,005.42</w:t>
            </w:r>
          </w:p>
        </w:tc>
      </w:tr>
      <w:tr>
        <w:trPr>
          <w:trHeight w:val="28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厦门石港物流有限公司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拖车费</w:t>
            </w:r>
          </w:p>
        </w:tc>
        <w:tc>
          <w:tcPr>
            <w:tcW w:w="2170"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6,842,591.51</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2425"/>
        <w:gridCol w:w="2143"/>
        <w:gridCol w:w="2170"/>
        <w:gridCol w:w="2158"/>
      </w:tblGrid>
      <w:tr>
        <w:trPr>
          <w:trHeight w:val="28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泉州安凯储运有限公司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hAnsi="宋体" w:cs="宋体" w:eastAsia="宋体" w:hint="default"/>
                <w:sz w:val="21"/>
                <w:szCs w:val="21"/>
              </w:rPr>
              <w:t>拖车费</w:t>
            </w:r>
          </w:p>
        </w:tc>
        <w:tc>
          <w:tcPr>
            <w:tcW w:w="2170"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1"/>
              <w:jc w:val="right"/>
              <w:rPr>
                <w:rFonts w:ascii="宋体" w:hAnsi="宋体" w:cs="宋体" w:eastAsia="宋体" w:hint="default"/>
                <w:sz w:val="21"/>
                <w:szCs w:val="21"/>
              </w:rPr>
            </w:pPr>
            <w:r>
              <w:rPr>
                <w:rFonts w:ascii="宋体"/>
                <w:spacing w:val="-1"/>
                <w:sz w:val="21"/>
              </w:rPr>
              <w:t>6,096,630.90</w:t>
            </w:r>
          </w:p>
        </w:tc>
      </w:tr>
      <w:tr>
        <w:trPr>
          <w:trHeight w:val="55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泉州一洋集装箱服务有限</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箱租款</w:t>
            </w:r>
          </w:p>
        </w:tc>
        <w:tc>
          <w:tcPr>
            <w:tcW w:w="2170"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2,294,288.12</w:t>
            </w:r>
          </w:p>
        </w:tc>
      </w:tr>
    </w:tbl>
    <w:p>
      <w:pPr>
        <w:spacing w:line="240" w:lineRule="auto" w:before="7"/>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882" w:footer="1195" w:top="1120" w:bottom="1380" w:left="1660" w:right="1120"/>
        </w:sectPr>
      </w:pPr>
    </w:p>
    <w:p>
      <w:pPr>
        <w:pStyle w:val="BodyText"/>
        <w:spacing w:line="273" w:lineRule="exact" w:before="36"/>
        <w:ind w:left="138" w:right="0"/>
        <w:jc w:val="left"/>
      </w:pPr>
      <w:r>
        <w:rPr>
          <w:spacing w:val="-2"/>
        </w:rPr>
        <w:t>出售商品</w:t>
      </w:r>
      <w:r>
        <w:rPr>
          <w:rFonts w:ascii="宋体" w:hAnsi="宋体" w:cs="宋体" w:eastAsia="宋体" w:hint="default"/>
          <w:spacing w:val="-2"/>
        </w:rPr>
        <w:t>/</w:t>
      </w:r>
      <w:r>
        <w:rPr>
          <w:spacing w:val="-2"/>
        </w:rPr>
        <w:t>提供劳务情况表</w:t>
      </w:r>
    </w:p>
    <w:p>
      <w:pPr>
        <w:pStyle w:val="BodyText"/>
        <w:spacing w:line="273" w:lineRule="exact"/>
        <w:ind w:left="13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2556" w:space="3966"/>
            <w:col w:w="2608"/>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417"/>
        <w:gridCol w:w="2122"/>
        <w:gridCol w:w="2177"/>
        <w:gridCol w:w="2180"/>
      </w:tblGrid>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24"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5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5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北京安铁供应链管理有限</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责任公司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物流服务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25,596,562.50</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仁建国际贸易（上海）有</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物流服务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24,830,962.91</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767,358.49</w:t>
            </w:r>
          </w:p>
        </w:tc>
      </w:tr>
      <w:tr>
        <w:trPr>
          <w:trHeight w:val="557"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辽宁东汇供应链管理有限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4" w:right="0"/>
              <w:jc w:val="left"/>
              <w:rPr>
                <w:rFonts w:ascii="宋体" w:hAnsi="宋体" w:cs="宋体" w:eastAsia="宋体" w:hint="default"/>
                <w:sz w:val="21"/>
                <w:szCs w:val="21"/>
              </w:rPr>
            </w:pPr>
            <w:r>
              <w:rPr>
                <w:rFonts w:ascii="宋体" w:hAnsi="宋体" w:cs="宋体" w:eastAsia="宋体" w:hint="default"/>
                <w:sz w:val="21"/>
                <w:szCs w:val="21"/>
              </w:rPr>
              <w:t>物流服务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1"/>
              <w:jc w:val="right"/>
              <w:rPr>
                <w:rFonts w:ascii="宋体" w:hAnsi="宋体" w:cs="宋体" w:eastAsia="宋体" w:hint="default"/>
                <w:sz w:val="21"/>
                <w:szCs w:val="21"/>
              </w:rPr>
            </w:pPr>
            <w:r>
              <w:rPr>
                <w:rFonts w:ascii="宋体"/>
                <w:spacing w:val="-1"/>
                <w:sz w:val="21"/>
              </w:rPr>
              <w:t>1,539,994.94</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泉州安华物流有限公司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物流服务</w:t>
            </w:r>
          </w:p>
        </w:tc>
        <w:tc>
          <w:tcPr>
            <w:tcW w:w="2177"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2,243,224.34</w:t>
            </w: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泉州绿湾贸易有限公司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物流服务</w:t>
            </w:r>
          </w:p>
        </w:tc>
        <w:tc>
          <w:tcPr>
            <w:tcW w:w="2177"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3,633,359.06</w:t>
            </w:r>
          </w:p>
        </w:tc>
      </w:tr>
    </w:tbl>
    <w:p>
      <w:pPr>
        <w:spacing w:line="240" w:lineRule="auto" w:before="5"/>
        <w:rPr>
          <w:rFonts w:ascii="宋体" w:hAnsi="宋体" w:cs="宋体" w:eastAsia="宋体" w:hint="default"/>
          <w:sz w:val="15"/>
          <w:szCs w:val="15"/>
        </w:rPr>
      </w:pPr>
    </w:p>
    <w:p>
      <w:pPr>
        <w:pStyle w:val="BodyText"/>
        <w:spacing w:line="274" w:lineRule="exact" w:before="36"/>
        <w:ind w:left="138" w:right="2859"/>
        <w:jc w:val="left"/>
      </w:pPr>
      <w:r>
        <w:rPr/>
        <w:t>购销商品、提供和接受劳务的关联交易说明</w:t>
      </w:r>
    </w:p>
    <w:p>
      <w:pPr>
        <w:pStyle w:val="BodyText"/>
        <w:spacing w:line="274" w:lineRule="exact"/>
        <w:ind w:left="138" w:right="4983"/>
        <w:jc w:val="left"/>
      </w:pPr>
      <w:r>
        <w:rPr/>
        <w:t>□适用</w:t>
      </w:r>
      <w:r>
        <w:rPr>
          <w:spacing w:val="-1"/>
        </w:rPr>
        <w:t> </w:t>
      </w:r>
      <w:r>
        <w:rPr/>
        <w:t>√不适用</w:t>
      </w:r>
    </w:p>
    <w:p>
      <w:pPr>
        <w:spacing w:line="240" w:lineRule="auto" w:before="3"/>
        <w:rPr>
          <w:rFonts w:ascii="宋体" w:hAnsi="宋体" w:cs="宋体" w:eastAsia="宋体" w:hint="default"/>
          <w:sz w:val="25"/>
          <w:szCs w:val="25"/>
        </w:rPr>
      </w:pPr>
    </w:p>
    <w:p>
      <w:pPr>
        <w:spacing w:line="271" w:lineRule="auto" w:before="0"/>
        <w:ind w:left="138" w:right="4554"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89"/>
          <w:sz w:val="21"/>
          <w:szCs w:val="21"/>
        </w:rPr>
        <w:t> </w:t>
      </w:r>
      <w:r>
        <w:rPr>
          <w:rFonts w:ascii="宋体" w:hAnsi="宋体" w:cs="宋体" w:eastAsia="宋体" w:hint="default"/>
          <w:b/>
          <w:bCs/>
          <w:sz w:val="21"/>
          <w:szCs w:val="21"/>
        </w:rPr>
        <w:t>关联受托管理</w:t>
      </w:r>
      <w:r>
        <w:rPr>
          <w:rFonts w:ascii="Cambria" w:hAnsi="Cambria" w:cs="Cambria" w:eastAsia="Cambria" w:hint="default"/>
          <w:b/>
          <w:bCs/>
          <w:sz w:val="21"/>
          <w:szCs w:val="21"/>
        </w:rPr>
        <w:t>/</w:t>
      </w:r>
      <w:r>
        <w:rPr>
          <w:rFonts w:ascii="宋体" w:hAnsi="宋体" w:cs="宋体" w:eastAsia="宋体" w:hint="default"/>
          <w:b/>
          <w:bCs/>
          <w:sz w:val="21"/>
          <w:szCs w:val="21"/>
        </w:rPr>
        <w:t>承包及委托管理</w:t>
      </w:r>
      <w:r>
        <w:rPr>
          <w:rFonts w:ascii="Cambria" w:hAnsi="Cambria" w:cs="Cambria" w:eastAsia="Cambria" w:hint="default"/>
          <w:b/>
          <w:bCs/>
          <w:sz w:val="21"/>
          <w:szCs w:val="21"/>
        </w:rPr>
        <w:t>/</w:t>
      </w:r>
      <w:r>
        <w:rPr>
          <w:rFonts w:ascii="宋体" w:hAnsi="宋体" w:cs="宋体" w:eastAsia="宋体" w:hint="default"/>
          <w:b/>
          <w:bCs/>
          <w:sz w:val="21"/>
          <w:szCs w:val="21"/>
        </w:rPr>
        <w:t>出包情况</w:t>
      </w:r>
      <w:r>
        <w:rPr>
          <w:rFonts w:ascii="宋体" w:hAnsi="宋体" w:cs="宋体" w:eastAsia="宋体" w:hint="default"/>
          <w:b/>
          <w:bCs/>
          <w:w w:val="100"/>
          <w:sz w:val="21"/>
          <w:szCs w:val="21"/>
        </w:rPr>
        <w:t> </w:t>
      </w:r>
      <w:r>
        <w:rPr>
          <w:rFonts w:ascii="宋体" w:hAnsi="宋体" w:cs="宋体" w:eastAsia="宋体" w:hint="default"/>
          <w:sz w:val="21"/>
          <w:szCs w:val="21"/>
        </w:rPr>
        <w:t>本公司受托管理</w:t>
      </w:r>
      <w:r>
        <w:rPr>
          <w:rFonts w:ascii="宋体" w:hAnsi="宋体" w:cs="宋体" w:eastAsia="宋体" w:hint="default"/>
          <w:sz w:val="21"/>
          <w:szCs w:val="21"/>
        </w:rPr>
        <w:t>/</w:t>
      </w:r>
      <w:r>
        <w:rPr>
          <w:rFonts w:ascii="宋体" w:hAnsi="宋体" w:cs="宋体" w:eastAsia="宋体" w:hint="default"/>
          <w:sz w:val="21"/>
          <w:szCs w:val="21"/>
        </w:rPr>
        <w:t>承包情况表：</w:t>
      </w:r>
    </w:p>
    <w:p>
      <w:pPr>
        <w:pStyle w:val="BodyText"/>
        <w:spacing w:line="245" w:lineRule="exact"/>
        <w:ind w:left="138" w:right="4983"/>
        <w:jc w:val="left"/>
      </w:pPr>
      <w:r>
        <w:rPr/>
        <w:t>□适用</w:t>
      </w:r>
      <w:r>
        <w:rPr>
          <w:spacing w:val="-1"/>
        </w:rPr>
        <w:t> </w:t>
      </w:r>
      <w:r>
        <w:rPr/>
        <w:t>√不适用</w:t>
      </w:r>
    </w:p>
    <w:p>
      <w:pPr>
        <w:pStyle w:val="BodyText"/>
        <w:spacing w:line="273" w:lineRule="exact"/>
        <w:ind w:left="138" w:right="4983"/>
        <w:jc w:val="left"/>
      </w:pPr>
      <w:r>
        <w:rPr/>
        <w:t>关联托管</w:t>
      </w:r>
      <w:r>
        <w:rPr>
          <w:rFonts w:ascii="宋体" w:hAnsi="宋体" w:cs="宋体" w:eastAsia="宋体" w:hint="default"/>
        </w:rPr>
        <w:t>/</w:t>
      </w:r>
      <w:r>
        <w:rPr/>
        <w:t>承包情况说明</w:t>
      </w:r>
    </w:p>
    <w:p>
      <w:pPr>
        <w:pStyle w:val="BodyText"/>
        <w:spacing w:line="274" w:lineRule="exact"/>
        <w:ind w:left="138" w:right="4983"/>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3" w:lineRule="exact"/>
        <w:ind w:left="138" w:right="4983"/>
        <w:jc w:val="left"/>
      </w:pPr>
      <w:r>
        <w:rPr/>
        <w:t>本公司委托管理</w:t>
      </w:r>
      <w:r>
        <w:rPr>
          <w:rFonts w:ascii="宋体" w:hAnsi="宋体" w:cs="宋体" w:eastAsia="宋体" w:hint="default"/>
        </w:rPr>
        <w:t>/</w:t>
      </w:r>
      <w:r>
        <w:rPr/>
        <w:t>出包情况表：</w:t>
      </w:r>
    </w:p>
    <w:p>
      <w:pPr>
        <w:pStyle w:val="BodyText"/>
        <w:spacing w:line="240" w:lineRule="auto"/>
        <w:ind w:left="138" w:right="5252"/>
        <w:jc w:val="left"/>
      </w:pPr>
      <w:r>
        <w:rPr/>
        <w:t>□适用</w:t>
      </w:r>
      <w:r>
        <w:rPr>
          <w:spacing w:val="-2"/>
        </w:rPr>
        <w:t> </w:t>
      </w:r>
      <w:r>
        <w:rPr/>
        <w:t>√不适用</w:t>
      </w:r>
      <w:r>
        <w:rPr>
          <w:w w:val="100"/>
        </w:rPr>
        <w:t> </w:t>
      </w:r>
      <w:r>
        <w:rPr>
          <w:spacing w:val="-2"/>
        </w:rPr>
        <w:t>关联管理</w:t>
      </w:r>
      <w:r>
        <w:rPr>
          <w:rFonts w:ascii="宋体" w:hAnsi="宋体" w:cs="宋体" w:eastAsia="宋体" w:hint="default"/>
          <w:spacing w:val="-2"/>
        </w:rPr>
        <w:t>/</w:t>
      </w:r>
      <w:r>
        <w:rPr>
          <w:spacing w:val="-2"/>
        </w:rPr>
        <w:t>出包情况说明</w:t>
      </w:r>
    </w:p>
    <w:p>
      <w:pPr>
        <w:pStyle w:val="BodyText"/>
        <w:spacing w:line="271" w:lineRule="exact"/>
        <w:ind w:left="138" w:right="4983"/>
        <w:jc w:val="left"/>
      </w:pPr>
      <w:r>
        <w:rPr/>
        <w:t>□适用</w:t>
      </w:r>
      <w:r>
        <w:rPr>
          <w:spacing w:val="-1"/>
        </w:rPr>
        <w:t> </w:t>
      </w:r>
      <w:r>
        <w:rPr/>
        <w:t>√不适用</w:t>
      </w:r>
    </w:p>
    <w:p>
      <w:pPr>
        <w:spacing w:line="240" w:lineRule="auto" w:before="3"/>
        <w:rPr>
          <w:rFonts w:ascii="宋体" w:hAnsi="宋体" w:cs="宋体" w:eastAsia="宋体" w:hint="default"/>
          <w:sz w:val="25"/>
          <w:szCs w:val="25"/>
        </w:rPr>
      </w:pPr>
    </w:p>
    <w:p>
      <w:pPr>
        <w:spacing w:line="290" w:lineRule="auto" w:before="0"/>
        <w:ind w:left="138" w:right="7085"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pacing w:val="89"/>
          <w:sz w:val="21"/>
          <w:szCs w:val="21"/>
        </w:rPr>
        <w:t> </w:t>
      </w:r>
      <w:r>
        <w:rPr>
          <w:rFonts w:ascii="宋体" w:hAnsi="宋体" w:cs="宋体" w:eastAsia="宋体" w:hint="default"/>
          <w:b/>
          <w:bCs/>
          <w:sz w:val="21"/>
          <w:szCs w:val="21"/>
        </w:rPr>
        <w:t>关联租赁情况</w:t>
      </w:r>
      <w:r>
        <w:rPr>
          <w:rFonts w:ascii="宋体" w:hAnsi="宋体" w:cs="宋体" w:eastAsia="宋体" w:hint="default"/>
          <w:b/>
          <w:bCs/>
          <w:w w:val="100"/>
          <w:sz w:val="21"/>
          <w:szCs w:val="21"/>
        </w:rPr>
        <w:t> </w:t>
      </w:r>
      <w:r>
        <w:rPr>
          <w:rFonts w:ascii="宋体" w:hAnsi="宋体" w:cs="宋体" w:eastAsia="宋体" w:hint="default"/>
          <w:spacing w:val="-1"/>
          <w:sz w:val="21"/>
          <w:szCs w:val="21"/>
        </w:rPr>
        <w:t>本公司作为出租方：</w:t>
      </w:r>
    </w:p>
    <w:p>
      <w:pPr>
        <w:pStyle w:val="BodyText"/>
        <w:spacing w:line="226" w:lineRule="exact"/>
        <w:ind w:left="138" w:right="4983"/>
        <w:jc w:val="left"/>
      </w:pPr>
      <w:r>
        <w:rPr/>
        <w:t>□适用</w:t>
      </w:r>
      <w:r>
        <w:rPr>
          <w:spacing w:val="-1"/>
        </w:rPr>
        <w:t> </w:t>
      </w:r>
      <w:r>
        <w:rPr/>
        <w:t>√不适用</w:t>
      </w:r>
    </w:p>
    <w:p>
      <w:pPr>
        <w:pStyle w:val="BodyText"/>
        <w:spacing w:line="273" w:lineRule="exact"/>
        <w:ind w:left="138" w:right="4983"/>
        <w:jc w:val="left"/>
      </w:pPr>
      <w:r>
        <w:rPr/>
        <w:t>本公司作为承租方：</w:t>
      </w:r>
    </w:p>
    <w:p>
      <w:pPr>
        <w:pStyle w:val="BodyText"/>
        <w:spacing w:line="240" w:lineRule="auto"/>
        <w:ind w:left="138" w:right="7303"/>
        <w:jc w:val="left"/>
      </w:pPr>
      <w:r>
        <w:rPr/>
        <w:t>□适用</w:t>
      </w:r>
      <w:r>
        <w:rPr>
          <w:spacing w:val="-2"/>
        </w:rPr>
        <w:t> </w:t>
      </w:r>
      <w:r>
        <w:rPr/>
        <w:t>√不适用</w:t>
      </w:r>
      <w:r>
        <w:rPr>
          <w:w w:val="100"/>
        </w:rPr>
        <w:t> </w:t>
      </w:r>
      <w:r>
        <w:rPr>
          <w:spacing w:val="-2"/>
        </w:rPr>
        <w:t>关联租赁情况说明</w:t>
      </w:r>
    </w:p>
    <w:p>
      <w:pPr>
        <w:pStyle w:val="BodyText"/>
        <w:spacing w:line="271" w:lineRule="exact"/>
        <w:ind w:left="138" w:right="4983"/>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660" w:right="1120"/>
        </w:sectPr>
      </w:pPr>
    </w:p>
    <w:p>
      <w:pPr>
        <w:spacing w:line="290" w:lineRule="auto" w:before="36"/>
        <w:ind w:left="138" w:right="-1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pacing w:val="89"/>
          <w:sz w:val="21"/>
          <w:szCs w:val="21"/>
        </w:rPr>
        <w:t> </w:t>
      </w:r>
      <w:r>
        <w:rPr>
          <w:rFonts w:ascii="宋体" w:hAnsi="宋体" w:cs="宋体" w:eastAsia="宋体" w:hint="default"/>
          <w:b/>
          <w:bCs/>
          <w:sz w:val="21"/>
          <w:szCs w:val="21"/>
        </w:rPr>
        <w:t>关联担保情况</w:t>
      </w:r>
      <w:r>
        <w:rPr>
          <w:rFonts w:ascii="宋体" w:hAnsi="宋体" w:cs="宋体" w:eastAsia="宋体" w:hint="default"/>
          <w:b/>
          <w:bCs/>
          <w:w w:val="100"/>
          <w:sz w:val="21"/>
          <w:szCs w:val="21"/>
        </w:rPr>
        <w:t> </w:t>
      </w:r>
      <w:r>
        <w:rPr>
          <w:rFonts w:ascii="宋体" w:hAnsi="宋体" w:cs="宋体" w:eastAsia="宋体" w:hint="default"/>
          <w:sz w:val="21"/>
          <w:szCs w:val="21"/>
        </w:rPr>
        <w:t>本公司作为担保方</w:t>
      </w:r>
    </w:p>
    <w:p>
      <w:pPr>
        <w:pStyle w:val="BodyText"/>
        <w:spacing w:line="228" w:lineRule="exact"/>
        <w:ind w:left="138" w:right="-10"/>
        <w:jc w:val="left"/>
      </w:pPr>
      <w:r>
        <w:rPr/>
        <w:t>□适用</w:t>
      </w:r>
      <w:r>
        <w:rPr>
          <w:spacing w:val="-1"/>
        </w:rPr>
        <w:t> </w:t>
      </w:r>
      <w:r>
        <w:rPr/>
        <w:t>√不适用</w:t>
      </w:r>
    </w:p>
    <w:p>
      <w:pPr>
        <w:pStyle w:val="BodyText"/>
        <w:spacing w:line="272" w:lineRule="exact"/>
        <w:ind w:left="138" w:right="-8"/>
        <w:jc w:val="left"/>
      </w:pPr>
      <w:r>
        <w:rPr>
          <w:spacing w:val="-1"/>
        </w:rPr>
        <w:t>本公司作为被担保方</w:t>
      </w:r>
    </w:p>
    <w:p>
      <w:pPr>
        <w:pStyle w:val="BodyText"/>
        <w:spacing w:line="274" w:lineRule="exact"/>
        <w:ind w:left="138" w:right="-1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48"/>
        <w:ind w:left="138" w:right="0"/>
        <w:jc w:val="left"/>
      </w:pPr>
      <w:r>
        <w:rPr/>
        <w:t>单位：元币种：人民币</w:t>
      </w:r>
    </w:p>
    <w:p>
      <w:pPr>
        <w:spacing w:after="0" w:line="240" w:lineRule="auto"/>
        <w:jc w:val="left"/>
        <w:sectPr>
          <w:type w:val="continuous"/>
          <w:pgSz w:w="11910" w:h="16840"/>
          <w:pgMar w:top="1120" w:bottom="1380" w:left="1660" w:right="1120"/>
          <w:cols w:num="2" w:equalWidth="0">
            <w:col w:w="2032" w:space="4701"/>
            <w:col w:w="2397"/>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572"/>
        <w:gridCol w:w="1652"/>
        <w:gridCol w:w="1808"/>
        <w:gridCol w:w="1790"/>
        <w:gridCol w:w="2074"/>
      </w:tblGrid>
      <w:tr>
        <w:trPr>
          <w:trHeight w:val="555"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65" w:right="0"/>
              <w:jc w:val="left"/>
              <w:rPr>
                <w:rFonts w:ascii="宋体" w:hAnsi="宋体" w:cs="宋体" w:eastAsia="宋体" w:hint="default"/>
                <w:sz w:val="21"/>
                <w:szCs w:val="21"/>
              </w:rPr>
            </w:pPr>
            <w:r>
              <w:rPr>
                <w:rFonts w:ascii="宋体" w:hAnsi="宋体" w:cs="宋体" w:eastAsia="宋体" w:hint="default"/>
                <w:sz w:val="21"/>
                <w:szCs w:val="21"/>
              </w:rPr>
              <w:t>担保方</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98"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72" w:right="0"/>
              <w:jc w:val="left"/>
              <w:rPr>
                <w:rFonts w:ascii="宋体" w:hAnsi="宋体" w:cs="宋体" w:eastAsia="宋体" w:hint="default"/>
                <w:sz w:val="21"/>
                <w:szCs w:val="21"/>
              </w:rPr>
            </w:pPr>
            <w:r>
              <w:rPr>
                <w:rFonts w:ascii="宋体" w:hAnsi="宋体" w:cs="宋体" w:eastAsia="宋体" w:hint="default"/>
                <w:sz w:val="21"/>
                <w:szCs w:val="21"/>
              </w:rPr>
              <w:t>担保起始日</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2" w:right="0"/>
              <w:jc w:val="left"/>
              <w:rPr>
                <w:rFonts w:ascii="宋体" w:hAnsi="宋体" w:cs="宋体" w:eastAsia="宋体" w:hint="default"/>
                <w:sz w:val="21"/>
                <w:szCs w:val="21"/>
              </w:rPr>
            </w:pPr>
            <w:r>
              <w:rPr>
                <w:rFonts w:ascii="宋体" w:hAnsi="宋体" w:cs="宋体" w:eastAsia="宋体" w:hint="default"/>
                <w:sz w:val="21"/>
                <w:szCs w:val="21"/>
              </w:rPr>
              <w:t>担保到期日</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担保是否已经履行完</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毕</w:t>
            </w:r>
          </w:p>
        </w:tc>
      </w:tr>
      <w:tr>
        <w:trPr>
          <w:trHeight w:val="528"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6" w:right="0"/>
              <w:jc w:val="left"/>
              <w:rPr>
                <w:rFonts w:ascii="宋体" w:hAnsi="宋体" w:cs="宋体" w:eastAsia="宋体" w:hint="default"/>
                <w:sz w:val="20"/>
                <w:szCs w:val="20"/>
              </w:rPr>
            </w:pPr>
            <w:r>
              <w:rPr>
                <w:rFonts w:ascii="宋体" w:hAnsi="宋体" w:cs="宋体" w:eastAsia="宋体" w:hint="default"/>
                <w:w w:val="99"/>
                <w:sz w:val="20"/>
                <w:szCs w:val="20"/>
              </w:rPr>
              <w:t>郭东泽</w:t>
            </w:r>
            <w:r>
              <w:rPr>
                <w:rFonts w:ascii="宋体" w:hAnsi="宋体" w:cs="宋体" w:eastAsia="宋体" w:hint="default"/>
                <w:spacing w:val="-87"/>
                <w:w w:val="99"/>
                <w:sz w:val="20"/>
                <w:szCs w:val="20"/>
              </w:rPr>
              <w:t>、</w:t>
            </w:r>
            <w:r>
              <w:rPr>
                <w:rFonts w:ascii="宋体" w:hAnsi="宋体" w:cs="宋体" w:eastAsia="宋体" w:hint="default"/>
                <w:w w:val="99"/>
                <w:sz w:val="20"/>
                <w:szCs w:val="20"/>
              </w:rPr>
              <w:t>林亚</w:t>
            </w:r>
            <w:r>
              <w:rPr>
                <w:rFonts w:ascii="宋体" w:hAnsi="宋体" w:cs="宋体" w:eastAsia="宋体" w:hint="default"/>
                <w:spacing w:val="2"/>
                <w:w w:val="99"/>
                <w:sz w:val="20"/>
                <w:szCs w:val="20"/>
              </w:rPr>
              <w:t>查</w:t>
            </w:r>
            <w:r>
              <w:rPr>
                <w:rFonts w:ascii="宋体" w:hAnsi="宋体" w:cs="宋体" w:eastAsia="宋体" w:hint="default"/>
                <w:w w:val="99"/>
                <w:sz w:val="20"/>
                <w:szCs w:val="20"/>
              </w:rPr>
              <w:t>夫</w:t>
            </w:r>
            <w:r>
              <w:rPr>
                <w:rFonts w:ascii="宋体" w:hAnsi="宋体" w:cs="宋体" w:eastAsia="宋体" w:hint="default"/>
                <w:sz w:val="20"/>
                <w:szCs w:val="20"/>
              </w:rPr>
            </w:r>
          </w:p>
          <w:p>
            <w:pPr>
              <w:pStyle w:val="TableParagraph"/>
              <w:spacing w:line="260" w:lineRule="exact"/>
              <w:ind w:left="26" w:right="0"/>
              <w:jc w:val="left"/>
              <w:rPr>
                <w:rFonts w:ascii="宋体" w:hAnsi="宋体" w:cs="宋体" w:eastAsia="宋体" w:hint="default"/>
                <w:sz w:val="20"/>
                <w:szCs w:val="20"/>
              </w:rPr>
            </w:pPr>
            <w:r>
              <w:rPr>
                <w:rFonts w:ascii="宋体" w:hAnsi="宋体" w:cs="宋体" w:eastAsia="宋体" w:hint="default"/>
                <w:w w:val="99"/>
                <w:sz w:val="20"/>
                <w:szCs w:val="20"/>
              </w:rPr>
              <w:t>妇</w:t>
            </w:r>
            <w:r>
              <w:rPr>
                <w:rFonts w:ascii="宋体" w:hAnsi="宋体" w:cs="宋体" w:eastAsia="宋体" w:hint="default"/>
                <w:sz w:val="20"/>
                <w:szCs w:val="20"/>
              </w:rPr>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15" w:right="0"/>
              <w:jc w:val="left"/>
              <w:rPr>
                <w:rFonts w:ascii="宋体" w:hAnsi="宋体" w:cs="宋体" w:eastAsia="宋体" w:hint="default"/>
                <w:sz w:val="20"/>
                <w:szCs w:val="20"/>
              </w:rPr>
            </w:pPr>
            <w:r>
              <w:rPr>
                <w:rFonts w:ascii="宋体"/>
                <w:sz w:val="20"/>
              </w:rPr>
              <w:t>200,000,000.00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770" w:right="0"/>
              <w:jc w:val="left"/>
              <w:rPr>
                <w:rFonts w:ascii="宋体" w:hAnsi="宋体" w:cs="宋体" w:eastAsia="宋体" w:hint="default"/>
                <w:sz w:val="20"/>
                <w:szCs w:val="20"/>
              </w:rPr>
            </w:pPr>
            <w:r>
              <w:rPr>
                <w:rFonts w:ascii="宋体"/>
                <w:sz w:val="20"/>
              </w:rPr>
              <w:t>2015/12/18</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753" w:right="0"/>
              <w:jc w:val="left"/>
              <w:rPr>
                <w:rFonts w:ascii="宋体" w:hAnsi="宋体" w:cs="宋体" w:eastAsia="宋体" w:hint="default"/>
                <w:sz w:val="20"/>
                <w:szCs w:val="20"/>
              </w:rPr>
            </w:pPr>
            <w:r>
              <w:rPr>
                <w:rFonts w:ascii="宋体"/>
                <w:sz w:val="20"/>
              </w:rPr>
              <w:t>2017/12/31</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1" w:lineRule="exact"/>
        <w:jc w:val="left"/>
        <w:rPr>
          <w:rFonts w:ascii="宋体" w:hAnsi="宋体" w:cs="宋体" w:eastAsia="宋体" w:hint="default"/>
          <w:sz w:val="21"/>
          <w:szCs w:val="21"/>
        </w:rPr>
        <w:sectPr>
          <w:type w:val="continuous"/>
          <w:pgSz w:w="11910" w:h="16840"/>
          <w:pgMar w:top="1120" w:bottom="1380" w:left="166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1572"/>
        <w:gridCol w:w="1652"/>
        <w:gridCol w:w="1808"/>
        <w:gridCol w:w="1790"/>
        <w:gridCol w:w="2074"/>
      </w:tblGrid>
      <w:tr>
        <w:trPr>
          <w:trHeight w:val="531"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6" w:right="0"/>
              <w:jc w:val="left"/>
              <w:rPr>
                <w:rFonts w:ascii="宋体" w:hAnsi="宋体" w:cs="宋体" w:eastAsia="宋体" w:hint="default"/>
                <w:sz w:val="20"/>
                <w:szCs w:val="20"/>
              </w:rPr>
            </w:pPr>
            <w:r>
              <w:rPr>
                <w:rFonts w:ascii="宋体" w:hAnsi="宋体" w:cs="宋体" w:eastAsia="宋体" w:hint="default"/>
                <w:w w:val="99"/>
                <w:sz w:val="20"/>
                <w:szCs w:val="20"/>
              </w:rPr>
              <w:t>郭东圣</w:t>
            </w:r>
            <w:r>
              <w:rPr>
                <w:rFonts w:ascii="宋体" w:hAnsi="宋体" w:cs="宋体" w:eastAsia="宋体" w:hint="default"/>
                <w:spacing w:val="-87"/>
                <w:w w:val="99"/>
                <w:sz w:val="20"/>
                <w:szCs w:val="20"/>
              </w:rPr>
              <w:t>、</w:t>
            </w:r>
            <w:r>
              <w:rPr>
                <w:rFonts w:ascii="宋体" w:hAnsi="宋体" w:cs="宋体" w:eastAsia="宋体" w:hint="default"/>
                <w:w w:val="99"/>
                <w:sz w:val="20"/>
                <w:szCs w:val="20"/>
              </w:rPr>
              <w:t>林丽</w:t>
            </w:r>
            <w:r>
              <w:rPr>
                <w:rFonts w:ascii="宋体" w:hAnsi="宋体" w:cs="宋体" w:eastAsia="宋体" w:hint="default"/>
                <w:spacing w:val="2"/>
                <w:w w:val="99"/>
                <w:sz w:val="20"/>
                <w:szCs w:val="20"/>
              </w:rPr>
              <w:t>森</w:t>
            </w:r>
            <w:r>
              <w:rPr>
                <w:rFonts w:ascii="宋体" w:hAnsi="宋体" w:cs="宋体" w:eastAsia="宋体" w:hint="default"/>
                <w:w w:val="99"/>
                <w:sz w:val="20"/>
                <w:szCs w:val="20"/>
              </w:rPr>
              <w:t>夫</w:t>
            </w:r>
            <w:r>
              <w:rPr>
                <w:rFonts w:ascii="宋体" w:hAnsi="宋体" w:cs="宋体" w:eastAsia="宋体" w:hint="default"/>
                <w:sz w:val="20"/>
                <w:szCs w:val="20"/>
              </w:rPr>
            </w:r>
          </w:p>
          <w:p>
            <w:pPr>
              <w:pStyle w:val="TableParagraph"/>
              <w:spacing w:line="260" w:lineRule="exact"/>
              <w:ind w:left="26" w:right="0"/>
              <w:jc w:val="left"/>
              <w:rPr>
                <w:rFonts w:ascii="宋体" w:hAnsi="宋体" w:cs="宋体" w:eastAsia="宋体" w:hint="default"/>
                <w:sz w:val="20"/>
                <w:szCs w:val="20"/>
              </w:rPr>
            </w:pPr>
            <w:r>
              <w:rPr>
                <w:rFonts w:ascii="宋体" w:hAnsi="宋体" w:cs="宋体" w:eastAsia="宋体" w:hint="default"/>
                <w:w w:val="99"/>
                <w:sz w:val="20"/>
                <w:szCs w:val="20"/>
              </w:rPr>
              <w:t>妇</w:t>
            </w:r>
            <w:r>
              <w:rPr>
                <w:rFonts w:ascii="宋体" w:hAnsi="宋体" w:cs="宋体" w:eastAsia="宋体" w:hint="default"/>
                <w:sz w:val="20"/>
                <w:szCs w:val="20"/>
              </w:rPr>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25"/>
              <w:jc w:val="right"/>
              <w:rPr>
                <w:rFonts w:ascii="宋体" w:hAnsi="宋体" w:cs="宋体" w:eastAsia="宋体" w:hint="default"/>
                <w:sz w:val="20"/>
                <w:szCs w:val="20"/>
              </w:rPr>
            </w:pPr>
            <w:r>
              <w:rPr>
                <w:rFonts w:ascii="宋体"/>
                <w:w w:val="95"/>
                <w:sz w:val="20"/>
              </w:rPr>
              <w:t>200,000,000.00</w:t>
            </w:r>
            <w:r>
              <w:rPr>
                <w:rFonts w:ascii="宋体"/>
                <w:sz w:val="20"/>
              </w:rPr>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25"/>
              <w:jc w:val="right"/>
              <w:rPr>
                <w:rFonts w:ascii="宋体" w:hAnsi="宋体" w:cs="宋体" w:eastAsia="宋体" w:hint="default"/>
                <w:sz w:val="20"/>
                <w:szCs w:val="20"/>
              </w:rPr>
            </w:pPr>
            <w:r>
              <w:rPr>
                <w:rFonts w:ascii="宋体"/>
                <w:w w:val="95"/>
                <w:sz w:val="20"/>
              </w:rPr>
              <w:t>2015/12/18</w:t>
            </w:r>
            <w:r>
              <w:rPr>
                <w:rFonts w:ascii="宋体"/>
                <w:sz w:val="20"/>
              </w:rPr>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24"/>
              <w:jc w:val="right"/>
              <w:rPr>
                <w:rFonts w:ascii="宋体" w:hAnsi="宋体" w:cs="宋体" w:eastAsia="宋体" w:hint="default"/>
                <w:sz w:val="20"/>
                <w:szCs w:val="20"/>
              </w:rPr>
            </w:pPr>
            <w:r>
              <w:rPr>
                <w:rFonts w:ascii="宋体"/>
                <w:w w:val="95"/>
                <w:sz w:val="20"/>
              </w:rPr>
              <w:t>2017/12/31</w:t>
            </w:r>
            <w:r>
              <w:rPr>
                <w:rFonts w:ascii="宋体"/>
                <w:sz w:val="20"/>
              </w:rPr>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28"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6" w:right="0"/>
              <w:jc w:val="left"/>
              <w:rPr>
                <w:rFonts w:ascii="宋体" w:hAnsi="宋体" w:cs="宋体" w:eastAsia="宋体" w:hint="default"/>
                <w:sz w:val="20"/>
                <w:szCs w:val="20"/>
              </w:rPr>
            </w:pPr>
            <w:r>
              <w:rPr>
                <w:rFonts w:ascii="宋体" w:hAnsi="宋体" w:cs="宋体" w:eastAsia="宋体" w:hint="default"/>
                <w:w w:val="99"/>
                <w:sz w:val="20"/>
                <w:szCs w:val="20"/>
              </w:rPr>
              <w:t>郭东泽</w:t>
            </w:r>
            <w:r>
              <w:rPr>
                <w:rFonts w:ascii="宋体" w:hAnsi="宋体" w:cs="宋体" w:eastAsia="宋体" w:hint="default"/>
                <w:spacing w:val="-87"/>
                <w:w w:val="99"/>
                <w:sz w:val="20"/>
                <w:szCs w:val="20"/>
              </w:rPr>
              <w:t>、</w:t>
            </w:r>
            <w:r>
              <w:rPr>
                <w:rFonts w:ascii="宋体" w:hAnsi="宋体" w:cs="宋体" w:eastAsia="宋体" w:hint="default"/>
                <w:w w:val="99"/>
                <w:sz w:val="20"/>
                <w:szCs w:val="20"/>
              </w:rPr>
              <w:t>林亚</w:t>
            </w:r>
            <w:r>
              <w:rPr>
                <w:rFonts w:ascii="宋体" w:hAnsi="宋体" w:cs="宋体" w:eastAsia="宋体" w:hint="default"/>
                <w:spacing w:val="2"/>
                <w:w w:val="99"/>
                <w:sz w:val="20"/>
                <w:szCs w:val="20"/>
              </w:rPr>
              <w:t>查</w:t>
            </w:r>
            <w:r>
              <w:rPr>
                <w:rFonts w:ascii="宋体" w:hAnsi="宋体" w:cs="宋体" w:eastAsia="宋体" w:hint="default"/>
                <w:w w:val="99"/>
                <w:sz w:val="20"/>
                <w:szCs w:val="20"/>
              </w:rPr>
              <w:t>夫</w:t>
            </w:r>
            <w:r>
              <w:rPr>
                <w:rFonts w:ascii="宋体" w:hAnsi="宋体" w:cs="宋体" w:eastAsia="宋体" w:hint="default"/>
                <w:sz w:val="20"/>
                <w:szCs w:val="20"/>
              </w:rPr>
            </w:r>
          </w:p>
          <w:p>
            <w:pPr>
              <w:pStyle w:val="TableParagraph"/>
              <w:spacing w:line="260" w:lineRule="exact"/>
              <w:ind w:left="26" w:right="0"/>
              <w:jc w:val="left"/>
              <w:rPr>
                <w:rFonts w:ascii="宋体" w:hAnsi="宋体" w:cs="宋体" w:eastAsia="宋体" w:hint="default"/>
                <w:sz w:val="20"/>
                <w:szCs w:val="20"/>
              </w:rPr>
            </w:pPr>
            <w:r>
              <w:rPr>
                <w:rFonts w:ascii="宋体" w:hAnsi="宋体" w:cs="宋体" w:eastAsia="宋体" w:hint="default"/>
                <w:w w:val="99"/>
                <w:sz w:val="20"/>
                <w:szCs w:val="20"/>
              </w:rPr>
              <w:t>妇</w:t>
            </w:r>
            <w:r>
              <w:rPr>
                <w:rFonts w:ascii="宋体" w:hAnsi="宋体" w:cs="宋体" w:eastAsia="宋体" w:hint="default"/>
                <w:sz w:val="20"/>
                <w:szCs w:val="20"/>
              </w:rPr>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5"/>
              <w:jc w:val="right"/>
              <w:rPr>
                <w:rFonts w:ascii="宋体" w:hAnsi="宋体" w:cs="宋体" w:eastAsia="宋体" w:hint="default"/>
                <w:sz w:val="20"/>
                <w:szCs w:val="20"/>
              </w:rPr>
            </w:pPr>
            <w:r>
              <w:rPr>
                <w:rFonts w:ascii="宋体"/>
                <w:w w:val="95"/>
                <w:sz w:val="20"/>
              </w:rPr>
              <w:t>76,000,000.00</w:t>
            </w:r>
            <w:r>
              <w:rPr>
                <w:rFonts w:ascii="宋体"/>
                <w:sz w:val="20"/>
              </w:rPr>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5"/>
              <w:jc w:val="right"/>
              <w:rPr>
                <w:rFonts w:ascii="宋体" w:hAnsi="宋体" w:cs="宋体" w:eastAsia="宋体" w:hint="default"/>
                <w:sz w:val="20"/>
                <w:szCs w:val="20"/>
              </w:rPr>
            </w:pPr>
            <w:r>
              <w:rPr>
                <w:rFonts w:ascii="宋体"/>
                <w:w w:val="95"/>
                <w:sz w:val="20"/>
              </w:rPr>
              <w:t>2016/12/21</w:t>
            </w:r>
            <w:r>
              <w:rPr>
                <w:rFonts w:ascii="宋体"/>
                <w:sz w:val="20"/>
              </w:rPr>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4"/>
              <w:jc w:val="right"/>
              <w:rPr>
                <w:rFonts w:ascii="宋体" w:hAnsi="宋体" w:cs="宋体" w:eastAsia="宋体" w:hint="default"/>
                <w:sz w:val="20"/>
                <w:szCs w:val="20"/>
              </w:rPr>
            </w:pPr>
            <w:r>
              <w:rPr>
                <w:rFonts w:ascii="宋体"/>
                <w:w w:val="95"/>
                <w:sz w:val="20"/>
              </w:rPr>
              <w:t>2017/12/21</w:t>
            </w:r>
            <w:r>
              <w:rPr>
                <w:rFonts w:ascii="宋体"/>
                <w:sz w:val="20"/>
              </w:rPr>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28"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6" w:right="0"/>
              <w:jc w:val="left"/>
              <w:rPr>
                <w:rFonts w:ascii="宋体" w:hAnsi="宋体" w:cs="宋体" w:eastAsia="宋体" w:hint="default"/>
                <w:sz w:val="20"/>
                <w:szCs w:val="20"/>
              </w:rPr>
            </w:pPr>
            <w:r>
              <w:rPr>
                <w:rFonts w:ascii="宋体" w:hAnsi="宋体" w:cs="宋体" w:eastAsia="宋体" w:hint="default"/>
                <w:w w:val="99"/>
                <w:sz w:val="20"/>
                <w:szCs w:val="20"/>
              </w:rPr>
              <w:t>郭东圣</w:t>
            </w:r>
            <w:r>
              <w:rPr>
                <w:rFonts w:ascii="宋体" w:hAnsi="宋体" w:cs="宋体" w:eastAsia="宋体" w:hint="default"/>
                <w:spacing w:val="-87"/>
                <w:w w:val="99"/>
                <w:sz w:val="20"/>
                <w:szCs w:val="20"/>
              </w:rPr>
              <w:t>、</w:t>
            </w:r>
            <w:r>
              <w:rPr>
                <w:rFonts w:ascii="宋体" w:hAnsi="宋体" w:cs="宋体" w:eastAsia="宋体" w:hint="default"/>
                <w:w w:val="99"/>
                <w:sz w:val="20"/>
                <w:szCs w:val="20"/>
              </w:rPr>
              <w:t>林丽</w:t>
            </w:r>
            <w:r>
              <w:rPr>
                <w:rFonts w:ascii="宋体" w:hAnsi="宋体" w:cs="宋体" w:eastAsia="宋体" w:hint="default"/>
                <w:spacing w:val="2"/>
                <w:w w:val="99"/>
                <w:sz w:val="20"/>
                <w:szCs w:val="20"/>
              </w:rPr>
              <w:t>森</w:t>
            </w:r>
            <w:r>
              <w:rPr>
                <w:rFonts w:ascii="宋体" w:hAnsi="宋体" w:cs="宋体" w:eastAsia="宋体" w:hint="default"/>
                <w:w w:val="99"/>
                <w:sz w:val="20"/>
                <w:szCs w:val="20"/>
              </w:rPr>
              <w:t>夫</w:t>
            </w:r>
            <w:r>
              <w:rPr>
                <w:rFonts w:ascii="宋体" w:hAnsi="宋体" w:cs="宋体" w:eastAsia="宋体" w:hint="default"/>
                <w:sz w:val="20"/>
                <w:szCs w:val="20"/>
              </w:rPr>
            </w:r>
          </w:p>
          <w:p>
            <w:pPr>
              <w:pStyle w:val="TableParagraph"/>
              <w:spacing w:line="260" w:lineRule="exact"/>
              <w:ind w:left="26" w:right="0"/>
              <w:jc w:val="left"/>
              <w:rPr>
                <w:rFonts w:ascii="宋体" w:hAnsi="宋体" w:cs="宋体" w:eastAsia="宋体" w:hint="default"/>
                <w:sz w:val="20"/>
                <w:szCs w:val="20"/>
              </w:rPr>
            </w:pPr>
            <w:r>
              <w:rPr>
                <w:rFonts w:ascii="宋体" w:hAnsi="宋体" w:cs="宋体" w:eastAsia="宋体" w:hint="default"/>
                <w:w w:val="99"/>
                <w:sz w:val="20"/>
                <w:szCs w:val="20"/>
              </w:rPr>
              <w:t>妇</w:t>
            </w:r>
            <w:r>
              <w:rPr>
                <w:rFonts w:ascii="宋体" w:hAnsi="宋体" w:cs="宋体" w:eastAsia="宋体" w:hint="default"/>
                <w:sz w:val="20"/>
                <w:szCs w:val="20"/>
              </w:rPr>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5"/>
              <w:jc w:val="right"/>
              <w:rPr>
                <w:rFonts w:ascii="宋体" w:hAnsi="宋体" w:cs="宋体" w:eastAsia="宋体" w:hint="default"/>
                <w:sz w:val="20"/>
                <w:szCs w:val="20"/>
              </w:rPr>
            </w:pPr>
            <w:r>
              <w:rPr>
                <w:rFonts w:ascii="宋体"/>
                <w:w w:val="95"/>
                <w:sz w:val="20"/>
              </w:rPr>
              <w:t>76,000,000.00</w:t>
            </w:r>
            <w:r>
              <w:rPr>
                <w:rFonts w:ascii="宋体"/>
                <w:sz w:val="20"/>
              </w:rPr>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5"/>
              <w:jc w:val="right"/>
              <w:rPr>
                <w:rFonts w:ascii="宋体" w:hAnsi="宋体" w:cs="宋体" w:eastAsia="宋体" w:hint="default"/>
                <w:sz w:val="20"/>
                <w:szCs w:val="20"/>
              </w:rPr>
            </w:pPr>
            <w:r>
              <w:rPr>
                <w:rFonts w:ascii="宋体"/>
                <w:w w:val="95"/>
                <w:sz w:val="20"/>
              </w:rPr>
              <w:t>2016/12/21</w:t>
            </w:r>
            <w:r>
              <w:rPr>
                <w:rFonts w:ascii="宋体"/>
                <w:sz w:val="20"/>
              </w:rPr>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4"/>
              <w:jc w:val="right"/>
              <w:rPr>
                <w:rFonts w:ascii="宋体" w:hAnsi="宋体" w:cs="宋体" w:eastAsia="宋体" w:hint="default"/>
                <w:sz w:val="20"/>
                <w:szCs w:val="20"/>
              </w:rPr>
            </w:pPr>
            <w:r>
              <w:rPr>
                <w:rFonts w:ascii="宋体"/>
                <w:w w:val="95"/>
                <w:sz w:val="20"/>
              </w:rPr>
              <w:t>2017/12/21</w:t>
            </w:r>
            <w:r>
              <w:rPr>
                <w:rFonts w:ascii="宋体"/>
                <w:sz w:val="20"/>
              </w:rPr>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30"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6" w:right="0"/>
              <w:jc w:val="left"/>
              <w:rPr>
                <w:rFonts w:ascii="宋体" w:hAnsi="宋体" w:cs="宋体" w:eastAsia="宋体" w:hint="default"/>
                <w:sz w:val="20"/>
                <w:szCs w:val="20"/>
              </w:rPr>
            </w:pPr>
            <w:r>
              <w:rPr>
                <w:rFonts w:ascii="宋体" w:hAnsi="宋体" w:cs="宋体" w:eastAsia="宋体" w:hint="default"/>
                <w:sz w:val="20"/>
                <w:szCs w:val="20"/>
              </w:rPr>
              <w:t>泉州一洋集装箱</w:t>
            </w:r>
          </w:p>
          <w:p>
            <w:pPr>
              <w:pStyle w:val="TableParagraph"/>
              <w:spacing w:line="260" w:lineRule="exact"/>
              <w:ind w:left="26" w:right="0"/>
              <w:jc w:val="left"/>
              <w:rPr>
                <w:rFonts w:ascii="宋体" w:hAnsi="宋体" w:cs="宋体" w:eastAsia="宋体" w:hint="default"/>
                <w:sz w:val="20"/>
                <w:szCs w:val="20"/>
              </w:rPr>
            </w:pPr>
            <w:r>
              <w:rPr>
                <w:rFonts w:ascii="宋体" w:hAnsi="宋体" w:cs="宋体" w:eastAsia="宋体" w:hint="default"/>
                <w:sz w:val="20"/>
                <w:szCs w:val="20"/>
              </w:rPr>
              <w:t>服务有限公司</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5"/>
              <w:jc w:val="right"/>
              <w:rPr>
                <w:rFonts w:ascii="宋体" w:hAnsi="宋体" w:cs="宋体" w:eastAsia="宋体" w:hint="default"/>
                <w:sz w:val="20"/>
                <w:szCs w:val="20"/>
              </w:rPr>
            </w:pPr>
            <w:r>
              <w:rPr>
                <w:rFonts w:ascii="宋体"/>
                <w:w w:val="95"/>
                <w:sz w:val="20"/>
              </w:rPr>
              <w:t>43,000,000.00</w:t>
            </w:r>
            <w:r>
              <w:rPr>
                <w:rFonts w:ascii="宋体"/>
                <w:sz w:val="20"/>
              </w:rPr>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5"/>
              <w:jc w:val="right"/>
              <w:rPr>
                <w:rFonts w:ascii="宋体" w:hAnsi="宋体" w:cs="宋体" w:eastAsia="宋体" w:hint="default"/>
                <w:sz w:val="20"/>
                <w:szCs w:val="20"/>
              </w:rPr>
            </w:pPr>
            <w:r>
              <w:rPr>
                <w:rFonts w:ascii="宋体"/>
                <w:w w:val="95"/>
                <w:sz w:val="20"/>
              </w:rPr>
              <w:t>2015/11/20</w:t>
            </w:r>
            <w:r>
              <w:rPr>
                <w:rFonts w:ascii="宋体"/>
                <w:sz w:val="20"/>
              </w:rPr>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4"/>
              <w:jc w:val="right"/>
              <w:rPr>
                <w:rFonts w:ascii="宋体" w:hAnsi="宋体" w:cs="宋体" w:eastAsia="宋体" w:hint="default"/>
                <w:sz w:val="20"/>
                <w:szCs w:val="20"/>
              </w:rPr>
            </w:pPr>
            <w:r>
              <w:rPr>
                <w:rFonts w:ascii="宋体"/>
                <w:w w:val="95"/>
                <w:sz w:val="20"/>
              </w:rPr>
              <w:t>2017/12/31</w:t>
            </w:r>
            <w:r>
              <w:rPr>
                <w:rFonts w:ascii="宋体"/>
                <w:sz w:val="20"/>
              </w:rPr>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28"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6" w:right="0"/>
              <w:jc w:val="left"/>
              <w:rPr>
                <w:rFonts w:ascii="宋体" w:hAnsi="宋体" w:cs="宋体" w:eastAsia="宋体" w:hint="default"/>
                <w:sz w:val="20"/>
                <w:szCs w:val="20"/>
              </w:rPr>
            </w:pPr>
            <w:r>
              <w:rPr>
                <w:rFonts w:ascii="宋体" w:hAnsi="宋体" w:cs="宋体" w:eastAsia="宋体" w:hint="default"/>
                <w:sz w:val="20"/>
                <w:szCs w:val="20"/>
              </w:rPr>
              <w:t>石狮市利佳利服</w:t>
            </w:r>
          </w:p>
          <w:p>
            <w:pPr>
              <w:pStyle w:val="TableParagraph"/>
              <w:spacing w:line="260" w:lineRule="exact"/>
              <w:ind w:left="26" w:right="0"/>
              <w:jc w:val="left"/>
              <w:rPr>
                <w:rFonts w:ascii="宋体" w:hAnsi="宋体" w:cs="宋体" w:eastAsia="宋体" w:hint="default"/>
                <w:sz w:val="20"/>
                <w:szCs w:val="20"/>
              </w:rPr>
            </w:pPr>
            <w:r>
              <w:rPr>
                <w:rFonts w:ascii="宋体" w:hAnsi="宋体" w:cs="宋体" w:eastAsia="宋体" w:hint="default"/>
                <w:sz w:val="20"/>
                <w:szCs w:val="20"/>
              </w:rPr>
              <w:t>装织造有限公司</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5"/>
              <w:jc w:val="right"/>
              <w:rPr>
                <w:rFonts w:ascii="宋体" w:hAnsi="宋体" w:cs="宋体" w:eastAsia="宋体" w:hint="default"/>
                <w:sz w:val="20"/>
                <w:szCs w:val="20"/>
              </w:rPr>
            </w:pPr>
            <w:r>
              <w:rPr>
                <w:rFonts w:ascii="宋体"/>
                <w:w w:val="95"/>
                <w:sz w:val="20"/>
              </w:rPr>
              <w:t>110,000,000.00</w:t>
            </w:r>
            <w:r>
              <w:rPr>
                <w:rFonts w:ascii="宋体"/>
                <w:sz w:val="20"/>
              </w:rPr>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5"/>
              <w:jc w:val="right"/>
              <w:rPr>
                <w:rFonts w:ascii="宋体" w:hAnsi="宋体" w:cs="宋体" w:eastAsia="宋体" w:hint="default"/>
                <w:sz w:val="20"/>
                <w:szCs w:val="20"/>
              </w:rPr>
            </w:pPr>
            <w:r>
              <w:rPr>
                <w:rFonts w:ascii="宋体"/>
                <w:w w:val="95"/>
                <w:sz w:val="20"/>
              </w:rPr>
              <w:t>2015/12/11</w:t>
            </w:r>
            <w:r>
              <w:rPr>
                <w:rFonts w:ascii="宋体"/>
                <w:sz w:val="20"/>
              </w:rPr>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4"/>
              <w:jc w:val="right"/>
              <w:rPr>
                <w:rFonts w:ascii="宋体" w:hAnsi="宋体" w:cs="宋体" w:eastAsia="宋体" w:hint="default"/>
                <w:sz w:val="20"/>
                <w:szCs w:val="20"/>
              </w:rPr>
            </w:pPr>
            <w:r>
              <w:rPr>
                <w:rFonts w:ascii="宋体"/>
                <w:w w:val="95"/>
                <w:sz w:val="20"/>
              </w:rPr>
              <w:t>2017/12/31</w:t>
            </w:r>
            <w:r>
              <w:rPr>
                <w:rFonts w:ascii="宋体"/>
                <w:sz w:val="20"/>
              </w:rPr>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6" w:right="0"/>
              <w:jc w:val="left"/>
              <w:rPr>
                <w:rFonts w:ascii="宋体" w:hAnsi="宋体" w:cs="宋体" w:eastAsia="宋体" w:hint="default"/>
                <w:sz w:val="20"/>
                <w:szCs w:val="20"/>
              </w:rPr>
            </w:pPr>
            <w:r>
              <w:rPr>
                <w:rFonts w:ascii="宋体" w:hAnsi="宋体" w:cs="宋体" w:eastAsia="宋体" w:hint="default"/>
                <w:sz w:val="20"/>
                <w:szCs w:val="20"/>
              </w:rPr>
              <w:t>郭东圣</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5"/>
              <w:jc w:val="right"/>
              <w:rPr>
                <w:rFonts w:ascii="宋体" w:hAnsi="宋体" w:cs="宋体" w:eastAsia="宋体" w:hint="default"/>
                <w:sz w:val="20"/>
                <w:szCs w:val="20"/>
              </w:rPr>
            </w:pPr>
            <w:r>
              <w:rPr>
                <w:rFonts w:ascii="宋体"/>
                <w:w w:val="95"/>
                <w:sz w:val="20"/>
              </w:rPr>
              <w:t>100,000,000.00</w:t>
            </w:r>
            <w:r>
              <w:rPr>
                <w:rFonts w:ascii="宋体"/>
                <w:sz w:val="20"/>
              </w:rPr>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4"/>
              <w:jc w:val="right"/>
              <w:rPr>
                <w:rFonts w:ascii="宋体" w:hAnsi="宋体" w:cs="宋体" w:eastAsia="宋体" w:hint="default"/>
                <w:sz w:val="20"/>
                <w:szCs w:val="20"/>
              </w:rPr>
            </w:pPr>
            <w:r>
              <w:rPr>
                <w:rFonts w:ascii="宋体"/>
                <w:w w:val="95"/>
                <w:sz w:val="20"/>
              </w:rPr>
              <w:t>2017/5/15</w:t>
            </w:r>
            <w:r>
              <w:rPr>
                <w:rFonts w:ascii="宋体"/>
                <w:sz w:val="20"/>
              </w:rPr>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4"/>
              <w:jc w:val="right"/>
              <w:rPr>
                <w:rFonts w:ascii="宋体" w:hAnsi="宋体" w:cs="宋体" w:eastAsia="宋体" w:hint="default"/>
                <w:sz w:val="20"/>
                <w:szCs w:val="20"/>
              </w:rPr>
            </w:pPr>
            <w:r>
              <w:rPr>
                <w:rFonts w:ascii="宋体"/>
                <w:w w:val="95"/>
                <w:sz w:val="20"/>
              </w:rPr>
              <w:t>2018/5/14</w:t>
            </w:r>
            <w:r>
              <w:rPr>
                <w:rFonts w:ascii="宋体"/>
                <w:sz w:val="20"/>
              </w:rPr>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6" w:right="0"/>
              <w:jc w:val="left"/>
              <w:rPr>
                <w:rFonts w:ascii="宋体" w:hAnsi="宋体" w:cs="宋体" w:eastAsia="宋体" w:hint="default"/>
                <w:sz w:val="20"/>
                <w:szCs w:val="20"/>
              </w:rPr>
            </w:pPr>
            <w:r>
              <w:rPr>
                <w:rFonts w:ascii="宋体" w:hAnsi="宋体" w:cs="宋体" w:eastAsia="宋体" w:hint="default"/>
                <w:sz w:val="20"/>
                <w:szCs w:val="20"/>
              </w:rPr>
              <w:t>郭东泽</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5"/>
              <w:jc w:val="right"/>
              <w:rPr>
                <w:rFonts w:ascii="宋体" w:hAnsi="宋体" w:cs="宋体" w:eastAsia="宋体" w:hint="default"/>
                <w:sz w:val="20"/>
                <w:szCs w:val="20"/>
              </w:rPr>
            </w:pPr>
            <w:r>
              <w:rPr>
                <w:rFonts w:ascii="宋体"/>
                <w:w w:val="95"/>
                <w:sz w:val="20"/>
              </w:rPr>
              <w:t>100,000,000.00</w:t>
            </w:r>
            <w:r>
              <w:rPr>
                <w:rFonts w:ascii="宋体"/>
                <w:sz w:val="20"/>
              </w:rPr>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4"/>
              <w:jc w:val="right"/>
              <w:rPr>
                <w:rFonts w:ascii="宋体" w:hAnsi="宋体" w:cs="宋体" w:eastAsia="宋体" w:hint="default"/>
                <w:sz w:val="20"/>
                <w:szCs w:val="20"/>
              </w:rPr>
            </w:pPr>
            <w:r>
              <w:rPr>
                <w:rFonts w:ascii="宋体"/>
                <w:w w:val="95"/>
                <w:sz w:val="20"/>
              </w:rPr>
              <w:t>2017/5/15</w:t>
            </w:r>
            <w:r>
              <w:rPr>
                <w:rFonts w:ascii="宋体"/>
                <w:sz w:val="20"/>
              </w:rPr>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4"/>
              <w:jc w:val="right"/>
              <w:rPr>
                <w:rFonts w:ascii="宋体" w:hAnsi="宋体" w:cs="宋体" w:eastAsia="宋体" w:hint="default"/>
                <w:sz w:val="20"/>
                <w:szCs w:val="20"/>
              </w:rPr>
            </w:pPr>
            <w:r>
              <w:rPr>
                <w:rFonts w:ascii="宋体"/>
                <w:w w:val="95"/>
                <w:sz w:val="20"/>
              </w:rPr>
              <w:t>2018/5/14</w:t>
            </w:r>
            <w:r>
              <w:rPr>
                <w:rFonts w:ascii="宋体"/>
                <w:sz w:val="20"/>
              </w:rPr>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4"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6" w:right="0"/>
              <w:jc w:val="left"/>
              <w:rPr>
                <w:rFonts w:ascii="宋体" w:hAnsi="宋体" w:cs="宋体" w:eastAsia="宋体" w:hint="default"/>
                <w:sz w:val="20"/>
                <w:szCs w:val="20"/>
              </w:rPr>
            </w:pPr>
            <w:r>
              <w:rPr>
                <w:rFonts w:ascii="宋体" w:hAnsi="宋体" w:cs="宋体" w:eastAsia="宋体" w:hint="default"/>
                <w:sz w:val="20"/>
                <w:szCs w:val="20"/>
              </w:rPr>
              <w:t>林丽森</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5"/>
              <w:jc w:val="right"/>
              <w:rPr>
                <w:rFonts w:ascii="宋体" w:hAnsi="宋体" w:cs="宋体" w:eastAsia="宋体" w:hint="default"/>
                <w:sz w:val="20"/>
                <w:szCs w:val="20"/>
              </w:rPr>
            </w:pPr>
            <w:r>
              <w:rPr>
                <w:rFonts w:ascii="宋体"/>
                <w:w w:val="95"/>
                <w:sz w:val="20"/>
              </w:rPr>
              <w:t>100,000,000.00</w:t>
            </w:r>
            <w:r>
              <w:rPr>
                <w:rFonts w:ascii="宋体"/>
                <w:sz w:val="20"/>
              </w:rPr>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4"/>
              <w:jc w:val="right"/>
              <w:rPr>
                <w:rFonts w:ascii="宋体" w:hAnsi="宋体" w:cs="宋体" w:eastAsia="宋体" w:hint="default"/>
                <w:sz w:val="20"/>
                <w:szCs w:val="20"/>
              </w:rPr>
            </w:pPr>
            <w:r>
              <w:rPr>
                <w:rFonts w:ascii="宋体"/>
                <w:w w:val="95"/>
                <w:sz w:val="20"/>
              </w:rPr>
              <w:t>2017/5/15</w:t>
            </w:r>
            <w:r>
              <w:rPr>
                <w:rFonts w:ascii="宋体"/>
                <w:sz w:val="20"/>
              </w:rPr>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4"/>
              <w:jc w:val="right"/>
              <w:rPr>
                <w:rFonts w:ascii="宋体" w:hAnsi="宋体" w:cs="宋体" w:eastAsia="宋体" w:hint="default"/>
                <w:sz w:val="20"/>
                <w:szCs w:val="20"/>
              </w:rPr>
            </w:pPr>
            <w:r>
              <w:rPr>
                <w:rFonts w:ascii="宋体"/>
                <w:w w:val="95"/>
                <w:sz w:val="20"/>
              </w:rPr>
              <w:t>2018/5/14</w:t>
            </w:r>
            <w:r>
              <w:rPr>
                <w:rFonts w:ascii="宋体"/>
                <w:sz w:val="20"/>
              </w:rPr>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6" w:right="0"/>
              <w:jc w:val="left"/>
              <w:rPr>
                <w:rFonts w:ascii="宋体" w:hAnsi="宋体" w:cs="宋体" w:eastAsia="宋体" w:hint="default"/>
                <w:sz w:val="20"/>
                <w:szCs w:val="20"/>
              </w:rPr>
            </w:pPr>
            <w:r>
              <w:rPr>
                <w:rFonts w:ascii="宋体" w:hAnsi="宋体" w:cs="宋体" w:eastAsia="宋体" w:hint="default"/>
                <w:sz w:val="20"/>
                <w:szCs w:val="20"/>
              </w:rPr>
              <w:t>林亚查</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5"/>
              <w:jc w:val="right"/>
              <w:rPr>
                <w:rFonts w:ascii="宋体" w:hAnsi="宋体" w:cs="宋体" w:eastAsia="宋体" w:hint="default"/>
                <w:sz w:val="20"/>
                <w:szCs w:val="20"/>
              </w:rPr>
            </w:pPr>
            <w:r>
              <w:rPr>
                <w:rFonts w:ascii="宋体"/>
                <w:w w:val="95"/>
                <w:sz w:val="20"/>
              </w:rPr>
              <w:t>100,000,000.00</w:t>
            </w:r>
            <w:r>
              <w:rPr>
                <w:rFonts w:ascii="宋体"/>
                <w:sz w:val="20"/>
              </w:rPr>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4"/>
              <w:jc w:val="right"/>
              <w:rPr>
                <w:rFonts w:ascii="宋体" w:hAnsi="宋体" w:cs="宋体" w:eastAsia="宋体" w:hint="default"/>
                <w:sz w:val="20"/>
                <w:szCs w:val="20"/>
              </w:rPr>
            </w:pPr>
            <w:r>
              <w:rPr>
                <w:rFonts w:ascii="宋体"/>
                <w:w w:val="95"/>
                <w:sz w:val="20"/>
              </w:rPr>
              <w:t>2017/5/15</w:t>
            </w:r>
            <w:r>
              <w:rPr>
                <w:rFonts w:ascii="宋体"/>
                <w:sz w:val="20"/>
              </w:rPr>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4"/>
              <w:jc w:val="right"/>
              <w:rPr>
                <w:rFonts w:ascii="宋体" w:hAnsi="宋体" w:cs="宋体" w:eastAsia="宋体" w:hint="default"/>
                <w:sz w:val="20"/>
                <w:szCs w:val="20"/>
              </w:rPr>
            </w:pPr>
            <w:r>
              <w:rPr>
                <w:rFonts w:ascii="宋体"/>
                <w:w w:val="95"/>
                <w:sz w:val="20"/>
              </w:rPr>
              <w:t>2018/5/14</w:t>
            </w:r>
            <w:r>
              <w:rPr>
                <w:rFonts w:ascii="宋体"/>
                <w:sz w:val="20"/>
              </w:rPr>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6" w:right="0"/>
              <w:jc w:val="left"/>
              <w:rPr>
                <w:rFonts w:ascii="宋体" w:hAnsi="宋体" w:cs="宋体" w:eastAsia="宋体" w:hint="default"/>
                <w:sz w:val="20"/>
                <w:szCs w:val="20"/>
              </w:rPr>
            </w:pPr>
            <w:r>
              <w:rPr>
                <w:rFonts w:ascii="宋体" w:hAnsi="宋体" w:cs="宋体" w:eastAsia="宋体" w:hint="default"/>
                <w:sz w:val="20"/>
                <w:szCs w:val="20"/>
              </w:rPr>
              <w:t>郭东泽</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5"/>
              <w:jc w:val="right"/>
              <w:rPr>
                <w:rFonts w:ascii="宋体" w:hAnsi="宋体" w:cs="宋体" w:eastAsia="宋体" w:hint="default"/>
                <w:sz w:val="20"/>
                <w:szCs w:val="20"/>
              </w:rPr>
            </w:pPr>
            <w:r>
              <w:rPr>
                <w:rFonts w:ascii="宋体"/>
                <w:w w:val="95"/>
                <w:sz w:val="20"/>
              </w:rPr>
              <w:t>300,000,000.00</w:t>
            </w:r>
            <w:r>
              <w:rPr>
                <w:rFonts w:ascii="宋体"/>
                <w:sz w:val="20"/>
              </w:rPr>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4"/>
              <w:jc w:val="right"/>
              <w:rPr>
                <w:rFonts w:ascii="宋体" w:hAnsi="宋体" w:cs="宋体" w:eastAsia="宋体" w:hint="default"/>
                <w:sz w:val="20"/>
                <w:szCs w:val="20"/>
              </w:rPr>
            </w:pPr>
            <w:r>
              <w:rPr>
                <w:rFonts w:ascii="宋体"/>
                <w:w w:val="95"/>
                <w:sz w:val="20"/>
              </w:rPr>
              <w:t>2017/8/23</w:t>
            </w:r>
            <w:r>
              <w:rPr>
                <w:rFonts w:ascii="宋体"/>
                <w:sz w:val="20"/>
              </w:rPr>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4"/>
              <w:jc w:val="right"/>
              <w:rPr>
                <w:rFonts w:ascii="宋体" w:hAnsi="宋体" w:cs="宋体" w:eastAsia="宋体" w:hint="default"/>
                <w:sz w:val="20"/>
                <w:szCs w:val="20"/>
              </w:rPr>
            </w:pPr>
            <w:r>
              <w:rPr>
                <w:rFonts w:ascii="宋体"/>
                <w:w w:val="95"/>
                <w:sz w:val="20"/>
              </w:rPr>
              <w:t>2018/8/23</w:t>
            </w:r>
            <w:r>
              <w:rPr>
                <w:rFonts w:ascii="宋体"/>
                <w:sz w:val="20"/>
              </w:rPr>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6" w:right="0"/>
              <w:jc w:val="left"/>
              <w:rPr>
                <w:rFonts w:ascii="宋体" w:hAnsi="宋体" w:cs="宋体" w:eastAsia="宋体" w:hint="default"/>
                <w:sz w:val="20"/>
                <w:szCs w:val="20"/>
              </w:rPr>
            </w:pPr>
            <w:r>
              <w:rPr>
                <w:rFonts w:ascii="宋体" w:hAnsi="宋体" w:cs="宋体" w:eastAsia="宋体" w:hint="default"/>
                <w:sz w:val="20"/>
                <w:szCs w:val="20"/>
              </w:rPr>
              <w:t>林亚查</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5"/>
              <w:jc w:val="right"/>
              <w:rPr>
                <w:rFonts w:ascii="宋体" w:hAnsi="宋体" w:cs="宋体" w:eastAsia="宋体" w:hint="default"/>
                <w:sz w:val="20"/>
                <w:szCs w:val="20"/>
              </w:rPr>
            </w:pPr>
            <w:r>
              <w:rPr>
                <w:rFonts w:ascii="宋体"/>
                <w:w w:val="95"/>
                <w:sz w:val="20"/>
              </w:rPr>
              <w:t>300,000,000.00</w:t>
            </w:r>
            <w:r>
              <w:rPr>
                <w:rFonts w:ascii="宋体"/>
                <w:sz w:val="20"/>
              </w:rPr>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4"/>
              <w:jc w:val="right"/>
              <w:rPr>
                <w:rFonts w:ascii="宋体" w:hAnsi="宋体" w:cs="宋体" w:eastAsia="宋体" w:hint="default"/>
                <w:sz w:val="20"/>
                <w:szCs w:val="20"/>
              </w:rPr>
            </w:pPr>
            <w:r>
              <w:rPr>
                <w:rFonts w:ascii="宋体"/>
                <w:w w:val="95"/>
                <w:sz w:val="20"/>
              </w:rPr>
              <w:t>2017/8/23</w:t>
            </w:r>
            <w:r>
              <w:rPr>
                <w:rFonts w:ascii="宋体"/>
                <w:sz w:val="20"/>
              </w:rPr>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4"/>
              <w:jc w:val="right"/>
              <w:rPr>
                <w:rFonts w:ascii="宋体" w:hAnsi="宋体" w:cs="宋体" w:eastAsia="宋体" w:hint="default"/>
                <w:sz w:val="20"/>
                <w:szCs w:val="20"/>
              </w:rPr>
            </w:pPr>
            <w:r>
              <w:rPr>
                <w:rFonts w:ascii="宋体"/>
                <w:w w:val="95"/>
                <w:sz w:val="20"/>
              </w:rPr>
              <w:t>2018/8/23</w:t>
            </w:r>
            <w:r>
              <w:rPr>
                <w:rFonts w:ascii="宋体"/>
                <w:sz w:val="20"/>
              </w:rPr>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28"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6" w:right="0"/>
              <w:jc w:val="left"/>
              <w:rPr>
                <w:rFonts w:ascii="宋体" w:hAnsi="宋体" w:cs="宋体" w:eastAsia="宋体" w:hint="default"/>
                <w:sz w:val="20"/>
                <w:szCs w:val="20"/>
              </w:rPr>
            </w:pPr>
            <w:r>
              <w:rPr>
                <w:rFonts w:ascii="宋体" w:hAnsi="宋体" w:cs="宋体" w:eastAsia="宋体" w:hint="default"/>
                <w:w w:val="99"/>
                <w:sz w:val="20"/>
                <w:szCs w:val="20"/>
              </w:rPr>
              <w:t>郭东泽</w:t>
            </w:r>
            <w:r>
              <w:rPr>
                <w:rFonts w:ascii="宋体" w:hAnsi="宋体" w:cs="宋体" w:eastAsia="宋体" w:hint="default"/>
                <w:spacing w:val="-87"/>
                <w:w w:val="99"/>
                <w:sz w:val="20"/>
                <w:szCs w:val="20"/>
              </w:rPr>
              <w:t>、</w:t>
            </w:r>
            <w:r>
              <w:rPr>
                <w:rFonts w:ascii="宋体" w:hAnsi="宋体" w:cs="宋体" w:eastAsia="宋体" w:hint="default"/>
                <w:w w:val="99"/>
                <w:sz w:val="20"/>
                <w:szCs w:val="20"/>
              </w:rPr>
              <w:t>林亚</w:t>
            </w:r>
            <w:r>
              <w:rPr>
                <w:rFonts w:ascii="宋体" w:hAnsi="宋体" w:cs="宋体" w:eastAsia="宋体" w:hint="default"/>
                <w:spacing w:val="2"/>
                <w:w w:val="99"/>
                <w:sz w:val="20"/>
                <w:szCs w:val="20"/>
              </w:rPr>
              <w:t>查</w:t>
            </w:r>
            <w:r>
              <w:rPr>
                <w:rFonts w:ascii="宋体" w:hAnsi="宋体" w:cs="宋体" w:eastAsia="宋体" w:hint="default"/>
                <w:w w:val="99"/>
                <w:sz w:val="20"/>
                <w:szCs w:val="20"/>
              </w:rPr>
              <w:t>夫</w:t>
            </w:r>
            <w:r>
              <w:rPr>
                <w:rFonts w:ascii="宋体" w:hAnsi="宋体" w:cs="宋体" w:eastAsia="宋体" w:hint="default"/>
                <w:sz w:val="20"/>
                <w:szCs w:val="20"/>
              </w:rPr>
            </w:r>
          </w:p>
          <w:p>
            <w:pPr>
              <w:pStyle w:val="TableParagraph"/>
              <w:spacing w:line="260" w:lineRule="exact"/>
              <w:ind w:left="26" w:right="0"/>
              <w:jc w:val="left"/>
              <w:rPr>
                <w:rFonts w:ascii="宋体" w:hAnsi="宋体" w:cs="宋体" w:eastAsia="宋体" w:hint="default"/>
                <w:sz w:val="20"/>
                <w:szCs w:val="20"/>
              </w:rPr>
            </w:pPr>
            <w:r>
              <w:rPr>
                <w:rFonts w:ascii="宋体" w:hAnsi="宋体" w:cs="宋体" w:eastAsia="宋体" w:hint="default"/>
                <w:w w:val="99"/>
                <w:sz w:val="20"/>
                <w:szCs w:val="20"/>
              </w:rPr>
              <w:t>妇</w:t>
            </w:r>
            <w:r>
              <w:rPr>
                <w:rFonts w:ascii="宋体" w:hAnsi="宋体" w:cs="宋体" w:eastAsia="宋体" w:hint="default"/>
                <w:sz w:val="20"/>
                <w:szCs w:val="20"/>
              </w:rPr>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5"/>
              <w:jc w:val="right"/>
              <w:rPr>
                <w:rFonts w:ascii="宋体" w:hAnsi="宋体" w:cs="宋体" w:eastAsia="宋体" w:hint="default"/>
                <w:sz w:val="20"/>
                <w:szCs w:val="20"/>
              </w:rPr>
            </w:pPr>
            <w:r>
              <w:rPr>
                <w:rFonts w:ascii="宋体"/>
                <w:w w:val="95"/>
                <w:sz w:val="20"/>
              </w:rPr>
              <w:t>60,000,000.00</w:t>
            </w:r>
            <w:r>
              <w:rPr>
                <w:rFonts w:ascii="宋体"/>
                <w:sz w:val="20"/>
              </w:rPr>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4"/>
              <w:jc w:val="right"/>
              <w:rPr>
                <w:rFonts w:ascii="宋体" w:hAnsi="宋体" w:cs="宋体" w:eastAsia="宋体" w:hint="default"/>
                <w:sz w:val="20"/>
                <w:szCs w:val="20"/>
              </w:rPr>
            </w:pPr>
            <w:r>
              <w:rPr>
                <w:rFonts w:ascii="宋体"/>
                <w:w w:val="95"/>
                <w:sz w:val="20"/>
              </w:rPr>
              <w:t>2017/9/12</w:t>
            </w:r>
            <w:r>
              <w:rPr>
                <w:rFonts w:ascii="宋体"/>
                <w:sz w:val="20"/>
              </w:rPr>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4"/>
              <w:jc w:val="right"/>
              <w:rPr>
                <w:rFonts w:ascii="宋体" w:hAnsi="宋体" w:cs="宋体" w:eastAsia="宋体" w:hint="default"/>
                <w:sz w:val="20"/>
                <w:szCs w:val="20"/>
              </w:rPr>
            </w:pPr>
            <w:r>
              <w:rPr>
                <w:rFonts w:ascii="宋体"/>
                <w:w w:val="95"/>
                <w:sz w:val="20"/>
              </w:rPr>
              <w:t>2018/9/12</w:t>
            </w:r>
            <w:r>
              <w:rPr>
                <w:rFonts w:ascii="宋体"/>
                <w:sz w:val="20"/>
              </w:rPr>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28"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6" w:right="0"/>
              <w:jc w:val="left"/>
              <w:rPr>
                <w:rFonts w:ascii="宋体" w:hAnsi="宋体" w:cs="宋体" w:eastAsia="宋体" w:hint="default"/>
                <w:sz w:val="20"/>
                <w:szCs w:val="20"/>
              </w:rPr>
            </w:pPr>
            <w:r>
              <w:rPr>
                <w:rFonts w:ascii="宋体" w:hAnsi="宋体" w:cs="宋体" w:eastAsia="宋体" w:hint="default"/>
                <w:w w:val="99"/>
                <w:sz w:val="20"/>
                <w:szCs w:val="20"/>
              </w:rPr>
              <w:t>郭东圣</w:t>
            </w:r>
            <w:r>
              <w:rPr>
                <w:rFonts w:ascii="宋体" w:hAnsi="宋体" w:cs="宋体" w:eastAsia="宋体" w:hint="default"/>
                <w:spacing w:val="-87"/>
                <w:w w:val="99"/>
                <w:sz w:val="20"/>
                <w:szCs w:val="20"/>
              </w:rPr>
              <w:t>、</w:t>
            </w:r>
            <w:r>
              <w:rPr>
                <w:rFonts w:ascii="宋体" w:hAnsi="宋体" w:cs="宋体" w:eastAsia="宋体" w:hint="default"/>
                <w:w w:val="99"/>
                <w:sz w:val="20"/>
                <w:szCs w:val="20"/>
              </w:rPr>
              <w:t>林丽</w:t>
            </w:r>
            <w:r>
              <w:rPr>
                <w:rFonts w:ascii="宋体" w:hAnsi="宋体" w:cs="宋体" w:eastAsia="宋体" w:hint="default"/>
                <w:spacing w:val="2"/>
                <w:w w:val="99"/>
                <w:sz w:val="20"/>
                <w:szCs w:val="20"/>
              </w:rPr>
              <w:t>森</w:t>
            </w:r>
            <w:r>
              <w:rPr>
                <w:rFonts w:ascii="宋体" w:hAnsi="宋体" w:cs="宋体" w:eastAsia="宋体" w:hint="default"/>
                <w:w w:val="99"/>
                <w:sz w:val="20"/>
                <w:szCs w:val="20"/>
              </w:rPr>
              <w:t>夫</w:t>
            </w:r>
            <w:r>
              <w:rPr>
                <w:rFonts w:ascii="宋体" w:hAnsi="宋体" w:cs="宋体" w:eastAsia="宋体" w:hint="default"/>
                <w:sz w:val="20"/>
                <w:szCs w:val="20"/>
              </w:rPr>
            </w:r>
          </w:p>
          <w:p>
            <w:pPr>
              <w:pStyle w:val="TableParagraph"/>
              <w:spacing w:line="260" w:lineRule="exact"/>
              <w:ind w:left="26" w:right="0"/>
              <w:jc w:val="left"/>
              <w:rPr>
                <w:rFonts w:ascii="宋体" w:hAnsi="宋体" w:cs="宋体" w:eastAsia="宋体" w:hint="default"/>
                <w:sz w:val="20"/>
                <w:szCs w:val="20"/>
              </w:rPr>
            </w:pPr>
            <w:r>
              <w:rPr>
                <w:rFonts w:ascii="宋体" w:hAnsi="宋体" w:cs="宋体" w:eastAsia="宋体" w:hint="default"/>
                <w:w w:val="99"/>
                <w:sz w:val="20"/>
                <w:szCs w:val="20"/>
              </w:rPr>
              <w:t>妇</w:t>
            </w:r>
            <w:r>
              <w:rPr>
                <w:rFonts w:ascii="宋体" w:hAnsi="宋体" w:cs="宋体" w:eastAsia="宋体" w:hint="default"/>
                <w:sz w:val="20"/>
                <w:szCs w:val="20"/>
              </w:rPr>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5"/>
              <w:jc w:val="right"/>
              <w:rPr>
                <w:rFonts w:ascii="宋体" w:hAnsi="宋体" w:cs="宋体" w:eastAsia="宋体" w:hint="default"/>
                <w:sz w:val="20"/>
                <w:szCs w:val="20"/>
              </w:rPr>
            </w:pPr>
            <w:r>
              <w:rPr>
                <w:rFonts w:ascii="宋体"/>
                <w:w w:val="95"/>
                <w:sz w:val="20"/>
              </w:rPr>
              <w:t>60,000,000.00</w:t>
            </w:r>
            <w:r>
              <w:rPr>
                <w:rFonts w:ascii="宋体"/>
                <w:sz w:val="20"/>
              </w:rPr>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4"/>
              <w:jc w:val="right"/>
              <w:rPr>
                <w:rFonts w:ascii="宋体" w:hAnsi="宋体" w:cs="宋体" w:eastAsia="宋体" w:hint="default"/>
                <w:sz w:val="20"/>
                <w:szCs w:val="20"/>
              </w:rPr>
            </w:pPr>
            <w:r>
              <w:rPr>
                <w:rFonts w:ascii="宋体"/>
                <w:w w:val="95"/>
                <w:sz w:val="20"/>
              </w:rPr>
              <w:t>2017/9/12</w:t>
            </w:r>
            <w:r>
              <w:rPr>
                <w:rFonts w:ascii="宋体"/>
                <w:sz w:val="20"/>
              </w:rPr>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4"/>
              <w:jc w:val="right"/>
              <w:rPr>
                <w:rFonts w:ascii="宋体" w:hAnsi="宋体" w:cs="宋体" w:eastAsia="宋体" w:hint="default"/>
                <w:sz w:val="20"/>
                <w:szCs w:val="20"/>
              </w:rPr>
            </w:pPr>
            <w:r>
              <w:rPr>
                <w:rFonts w:ascii="宋体"/>
                <w:w w:val="95"/>
                <w:sz w:val="20"/>
              </w:rPr>
              <w:t>2018/9/12</w:t>
            </w:r>
            <w:r>
              <w:rPr>
                <w:rFonts w:ascii="宋体"/>
                <w:sz w:val="20"/>
              </w:rPr>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6" w:right="0"/>
              <w:jc w:val="left"/>
              <w:rPr>
                <w:rFonts w:ascii="宋体" w:hAnsi="宋体" w:cs="宋体" w:eastAsia="宋体" w:hint="default"/>
                <w:sz w:val="20"/>
                <w:szCs w:val="20"/>
              </w:rPr>
            </w:pPr>
            <w:r>
              <w:rPr>
                <w:rFonts w:ascii="宋体" w:hAnsi="宋体" w:cs="宋体" w:eastAsia="宋体" w:hint="default"/>
                <w:sz w:val="20"/>
                <w:szCs w:val="20"/>
              </w:rPr>
              <w:t>郭东泽</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5"/>
              <w:jc w:val="right"/>
              <w:rPr>
                <w:rFonts w:ascii="宋体" w:hAnsi="宋体" w:cs="宋体" w:eastAsia="宋体" w:hint="default"/>
                <w:sz w:val="20"/>
                <w:szCs w:val="20"/>
              </w:rPr>
            </w:pPr>
            <w:r>
              <w:rPr>
                <w:rFonts w:ascii="宋体"/>
                <w:w w:val="95"/>
                <w:sz w:val="20"/>
              </w:rPr>
              <w:t>200,000,000.00</w:t>
            </w:r>
            <w:r>
              <w:rPr>
                <w:rFonts w:ascii="宋体"/>
                <w:sz w:val="20"/>
              </w:rPr>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5"/>
              <w:jc w:val="right"/>
              <w:rPr>
                <w:rFonts w:ascii="宋体" w:hAnsi="宋体" w:cs="宋体" w:eastAsia="宋体" w:hint="default"/>
                <w:sz w:val="20"/>
                <w:szCs w:val="20"/>
              </w:rPr>
            </w:pPr>
            <w:r>
              <w:rPr>
                <w:rFonts w:ascii="宋体"/>
                <w:w w:val="95"/>
                <w:sz w:val="20"/>
              </w:rPr>
              <w:t>2017/10/18</w:t>
            </w:r>
            <w:r>
              <w:rPr>
                <w:rFonts w:ascii="宋体"/>
                <w:sz w:val="20"/>
              </w:rPr>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4"/>
              <w:jc w:val="right"/>
              <w:rPr>
                <w:rFonts w:ascii="宋体" w:hAnsi="宋体" w:cs="宋体" w:eastAsia="宋体" w:hint="default"/>
                <w:sz w:val="20"/>
                <w:szCs w:val="20"/>
              </w:rPr>
            </w:pPr>
            <w:r>
              <w:rPr>
                <w:rFonts w:ascii="宋体"/>
                <w:w w:val="95"/>
                <w:sz w:val="20"/>
              </w:rPr>
              <w:t>2018/10/18</w:t>
            </w:r>
            <w:r>
              <w:rPr>
                <w:rFonts w:ascii="宋体"/>
                <w:sz w:val="20"/>
              </w:rPr>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6" w:right="0"/>
              <w:jc w:val="left"/>
              <w:rPr>
                <w:rFonts w:ascii="宋体" w:hAnsi="宋体" w:cs="宋体" w:eastAsia="宋体" w:hint="default"/>
                <w:sz w:val="20"/>
                <w:szCs w:val="20"/>
              </w:rPr>
            </w:pPr>
            <w:r>
              <w:rPr>
                <w:rFonts w:ascii="宋体" w:hAnsi="宋体" w:cs="宋体" w:eastAsia="宋体" w:hint="default"/>
                <w:sz w:val="20"/>
                <w:szCs w:val="20"/>
              </w:rPr>
              <w:t>郭东圣</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5"/>
              <w:jc w:val="right"/>
              <w:rPr>
                <w:rFonts w:ascii="宋体" w:hAnsi="宋体" w:cs="宋体" w:eastAsia="宋体" w:hint="default"/>
                <w:sz w:val="20"/>
                <w:szCs w:val="20"/>
              </w:rPr>
            </w:pPr>
            <w:r>
              <w:rPr>
                <w:rFonts w:ascii="宋体"/>
                <w:w w:val="95"/>
                <w:sz w:val="20"/>
              </w:rPr>
              <w:t>200,000,000.00</w:t>
            </w:r>
            <w:r>
              <w:rPr>
                <w:rFonts w:ascii="宋体"/>
                <w:sz w:val="20"/>
              </w:rPr>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5"/>
              <w:jc w:val="right"/>
              <w:rPr>
                <w:rFonts w:ascii="宋体" w:hAnsi="宋体" w:cs="宋体" w:eastAsia="宋体" w:hint="default"/>
                <w:sz w:val="20"/>
                <w:szCs w:val="20"/>
              </w:rPr>
            </w:pPr>
            <w:r>
              <w:rPr>
                <w:rFonts w:ascii="宋体"/>
                <w:w w:val="95"/>
                <w:sz w:val="20"/>
              </w:rPr>
              <w:t>2017/10/18</w:t>
            </w:r>
            <w:r>
              <w:rPr>
                <w:rFonts w:ascii="宋体"/>
                <w:sz w:val="20"/>
              </w:rPr>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4"/>
              <w:jc w:val="right"/>
              <w:rPr>
                <w:rFonts w:ascii="宋体" w:hAnsi="宋体" w:cs="宋体" w:eastAsia="宋体" w:hint="default"/>
                <w:sz w:val="20"/>
                <w:szCs w:val="20"/>
              </w:rPr>
            </w:pPr>
            <w:r>
              <w:rPr>
                <w:rFonts w:ascii="宋体"/>
                <w:w w:val="95"/>
                <w:sz w:val="20"/>
              </w:rPr>
              <w:t>2018/10/18</w:t>
            </w:r>
            <w:r>
              <w:rPr>
                <w:rFonts w:ascii="宋体"/>
                <w:sz w:val="20"/>
              </w:rPr>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28"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6" w:right="0"/>
              <w:jc w:val="left"/>
              <w:rPr>
                <w:rFonts w:ascii="宋体" w:hAnsi="宋体" w:cs="宋体" w:eastAsia="宋体" w:hint="default"/>
                <w:sz w:val="20"/>
                <w:szCs w:val="20"/>
              </w:rPr>
            </w:pPr>
            <w:r>
              <w:rPr>
                <w:rFonts w:ascii="宋体" w:hAnsi="宋体" w:cs="宋体" w:eastAsia="宋体" w:hint="default"/>
                <w:w w:val="99"/>
                <w:sz w:val="20"/>
                <w:szCs w:val="20"/>
              </w:rPr>
              <w:t>郭东圣</w:t>
            </w:r>
            <w:r>
              <w:rPr>
                <w:rFonts w:ascii="宋体" w:hAnsi="宋体" w:cs="宋体" w:eastAsia="宋体" w:hint="default"/>
                <w:spacing w:val="-87"/>
                <w:w w:val="99"/>
                <w:sz w:val="20"/>
                <w:szCs w:val="20"/>
              </w:rPr>
              <w:t>、</w:t>
            </w:r>
            <w:r>
              <w:rPr>
                <w:rFonts w:ascii="宋体" w:hAnsi="宋体" w:cs="宋体" w:eastAsia="宋体" w:hint="default"/>
                <w:w w:val="99"/>
                <w:sz w:val="20"/>
                <w:szCs w:val="20"/>
              </w:rPr>
              <w:t>林丽</w:t>
            </w:r>
            <w:r>
              <w:rPr>
                <w:rFonts w:ascii="宋体" w:hAnsi="宋体" w:cs="宋体" w:eastAsia="宋体" w:hint="default"/>
                <w:spacing w:val="2"/>
                <w:w w:val="99"/>
                <w:sz w:val="20"/>
                <w:szCs w:val="20"/>
              </w:rPr>
              <w:t>森</w:t>
            </w:r>
            <w:r>
              <w:rPr>
                <w:rFonts w:ascii="宋体" w:hAnsi="宋体" w:cs="宋体" w:eastAsia="宋体" w:hint="default"/>
                <w:w w:val="99"/>
                <w:sz w:val="20"/>
                <w:szCs w:val="20"/>
              </w:rPr>
              <w:t>夫</w:t>
            </w:r>
            <w:r>
              <w:rPr>
                <w:rFonts w:ascii="宋体" w:hAnsi="宋体" w:cs="宋体" w:eastAsia="宋体" w:hint="default"/>
                <w:sz w:val="20"/>
                <w:szCs w:val="20"/>
              </w:rPr>
            </w:r>
          </w:p>
          <w:p>
            <w:pPr>
              <w:pStyle w:val="TableParagraph"/>
              <w:spacing w:line="260" w:lineRule="exact"/>
              <w:ind w:left="26" w:right="0"/>
              <w:jc w:val="left"/>
              <w:rPr>
                <w:rFonts w:ascii="宋体" w:hAnsi="宋体" w:cs="宋体" w:eastAsia="宋体" w:hint="default"/>
                <w:sz w:val="20"/>
                <w:szCs w:val="20"/>
              </w:rPr>
            </w:pPr>
            <w:r>
              <w:rPr>
                <w:rFonts w:ascii="宋体" w:hAnsi="宋体" w:cs="宋体" w:eastAsia="宋体" w:hint="default"/>
                <w:w w:val="99"/>
                <w:sz w:val="20"/>
                <w:szCs w:val="20"/>
              </w:rPr>
              <w:t>妇</w:t>
            </w:r>
            <w:r>
              <w:rPr>
                <w:rFonts w:ascii="宋体" w:hAnsi="宋体" w:cs="宋体" w:eastAsia="宋体" w:hint="default"/>
                <w:sz w:val="20"/>
                <w:szCs w:val="20"/>
              </w:rPr>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5"/>
              <w:jc w:val="right"/>
              <w:rPr>
                <w:rFonts w:ascii="宋体" w:hAnsi="宋体" w:cs="宋体" w:eastAsia="宋体" w:hint="default"/>
                <w:sz w:val="20"/>
                <w:szCs w:val="20"/>
              </w:rPr>
            </w:pPr>
            <w:r>
              <w:rPr>
                <w:rFonts w:ascii="宋体"/>
                <w:w w:val="95"/>
                <w:sz w:val="20"/>
              </w:rPr>
              <w:t>300,000,000.00</w:t>
            </w:r>
            <w:r>
              <w:rPr>
                <w:rFonts w:ascii="宋体"/>
                <w:sz w:val="20"/>
              </w:rPr>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5"/>
              <w:jc w:val="right"/>
              <w:rPr>
                <w:rFonts w:ascii="宋体" w:hAnsi="宋体" w:cs="宋体" w:eastAsia="宋体" w:hint="default"/>
                <w:sz w:val="20"/>
                <w:szCs w:val="20"/>
              </w:rPr>
            </w:pPr>
            <w:r>
              <w:rPr>
                <w:rFonts w:ascii="宋体"/>
                <w:w w:val="95"/>
                <w:sz w:val="20"/>
              </w:rPr>
              <w:t>2016/11/10</w:t>
            </w:r>
            <w:r>
              <w:rPr>
                <w:rFonts w:ascii="宋体"/>
                <w:sz w:val="20"/>
              </w:rPr>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4"/>
              <w:jc w:val="right"/>
              <w:rPr>
                <w:rFonts w:ascii="宋体" w:hAnsi="宋体" w:cs="宋体" w:eastAsia="宋体" w:hint="default"/>
                <w:sz w:val="20"/>
                <w:szCs w:val="20"/>
              </w:rPr>
            </w:pPr>
            <w:r>
              <w:rPr>
                <w:rFonts w:ascii="宋体"/>
                <w:w w:val="95"/>
                <w:sz w:val="20"/>
              </w:rPr>
              <w:t>2018/11/9</w:t>
            </w:r>
            <w:r>
              <w:rPr>
                <w:rFonts w:ascii="宋体"/>
                <w:sz w:val="20"/>
              </w:rPr>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28"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6" w:right="0"/>
              <w:jc w:val="left"/>
              <w:rPr>
                <w:rFonts w:ascii="宋体" w:hAnsi="宋体" w:cs="宋体" w:eastAsia="宋体" w:hint="default"/>
                <w:sz w:val="20"/>
                <w:szCs w:val="20"/>
              </w:rPr>
            </w:pPr>
            <w:r>
              <w:rPr>
                <w:rFonts w:ascii="宋体" w:hAnsi="宋体" w:cs="宋体" w:eastAsia="宋体" w:hint="default"/>
                <w:w w:val="99"/>
                <w:sz w:val="20"/>
                <w:szCs w:val="20"/>
              </w:rPr>
              <w:t>郭东泽</w:t>
            </w:r>
            <w:r>
              <w:rPr>
                <w:rFonts w:ascii="宋体" w:hAnsi="宋体" w:cs="宋体" w:eastAsia="宋体" w:hint="default"/>
                <w:spacing w:val="-87"/>
                <w:w w:val="99"/>
                <w:sz w:val="20"/>
                <w:szCs w:val="20"/>
              </w:rPr>
              <w:t>、</w:t>
            </w:r>
            <w:r>
              <w:rPr>
                <w:rFonts w:ascii="宋体" w:hAnsi="宋体" w:cs="宋体" w:eastAsia="宋体" w:hint="default"/>
                <w:w w:val="99"/>
                <w:sz w:val="20"/>
                <w:szCs w:val="20"/>
              </w:rPr>
              <w:t>林亚</w:t>
            </w:r>
            <w:r>
              <w:rPr>
                <w:rFonts w:ascii="宋体" w:hAnsi="宋体" w:cs="宋体" w:eastAsia="宋体" w:hint="default"/>
                <w:spacing w:val="2"/>
                <w:w w:val="99"/>
                <w:sz w:val="20"/>
                <w:szCs w:val="20"/>
              </w:rPr>
              <w:t>查</w:t>
            </w:r>
            <w:r>
              <w:rPr>
                <w:rFonts w:ascii="宋体" w:hAnsi="宋体" w:cs="宋体" w:eastAsia="宋体" w:hint="default"/>
                <w:w w:val="99"/>
                <w:sz w:val="20"/>
                <w:szCs w:val="20"/>
              </w:rPr>
              <w:t>夫</w:t>
            </w:r>
            <w:r>
              <w:rPr>
                <w:rFonts w:ascii="宋体" w:hAnsi="宋体" w:cs="宋体" w:eastAsia="宋体" w:hint="default"/>
                <w:sz w:val="20"/>
                <w:szCs w:val="20"/>
              </w:rPr>
            </w:r>
          </w:p>
          <w:p>
            <w:pPr>
              <w:pStyle w:val="TableParagraph"/>
              <w:spacing w:line="260" w:lineRule="exact"/>
              <w:ind w:left="26" w:right="0"/>
              <w:jc w:val="left"/>
              <w:rPr>
                <w:rFonts w:ascii="宋体" w:hAnsi="宋体" w:cs="宋体" w:eastAsia="宋体" w:hint="default"/>
                <w:sz w:val="20"/>
                <w:szCs w:val="20"/>
              </w:rPr>
            </w:pPr>
            <w:r>
              <w:rPr>
                <w:rFonts w:ascii="宋体" w:hAnsi="宋体" w:cs="宋体" w:eastAsia="宋体" w:hint="default"/>
                <w:w w:val="99"/>
                <w:sz w:val="20"/>
                <w:szCs w:val="20"/>
              </w:rPr>
              <w:t>妇</w:t>
            </w:r>
            <w:r>
              <w:rPr>
                <w:rFonts w:ascii="宋体" w:hAnsi="宋体" w:cs="宋体" w:eastAsia="宋体" w:hint="default"/>
                <w:sz w:val="20"/>
                <w:szCs w:val="20"/>
              </w:rPr>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5"/>
              <w:jc w:val="right"/>
              <w:rPr>
                <w:rFonts w:ascii="宋体" w:hAnsi="宋体" w:cs="宋体" w:eastAsia="宋体" w:hint="default"/>
                <w:sz w:val="20"/>
                <w:szCs w:val="20"/>
              </w:rPr>
            </w:pPr>
            <w:r>
              <w:rPr>
                <w:rFonts w:ascii="宋体"/>
                <w:w w:val="95"/>
                <w:sz w:val="20"/>
              </w:rPr>
              <w:t>65,000,000.00</w:t>
            </w:r>
            <w:r>
              <w:rPr>
                <w:rFonts w:ascii="宋体"/>
                <w:sz w:val="20"/>
              </w:rPr>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4"/>
              <w:jc w:val="right"/>
              <w:rPr>
                <w:rFonts w:ascii="宋体" w:hAnsi="宋体" w:cs="宋体" w:eastAsia="宋体" w:hint="default"/>
                <w:sz w:val="20"/>
                <w:szCs w:val="20"/>
              </w:rPr>
            </w:pPr>
            <w:r>
              <w:rPr>
                <w:rFonts w:ascii="宋体"/>
                <w:w w:val="95"/>
                <w:sz w:val="20"/>
              </w:rPr>
              <w:t>2017/6/9</w:t>
            </w:r>
            <w:r>
              <w:rPr>
                <w:rFonts w:ascii="宋体"/>
                <w:sz w:val="20"/>
              </w:rPr>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4"/>
              <w:jc w:val="right"/>
              <w:rPr>
                <w:rFonts w:ascii="宋体" w:hAnsi="宋体" w:cs="宋体" w:eastAsia="宋体" w:hint="default"/>
                <w:sz w:val="20"/>
                <w:szCs w:val="20"/>
              </w:rPr>
            </w:pPr>
            <w:r>
              <w:rPr>
                <w:rFonts w:ascii="宋体"/>
                <w:w w:val="95"/>
                <w:sz w:val="20"/>
              </w:rPr>
              <w:t>2019/6/9</w:t>
            </w:r>
            <w:r>
              <w:rPr>
                <w:rFonts w:ascii="宋体"/>
                <w:sz w:val="20"/>
              </w:rPr>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30"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6" w:right="0"/>
              <w:jc w:val="left"/>
              <w:rPr>
                <w:rFonts w:ascii="宋体" w:hAnsi="宋体" w:cs="宋体" w:eastAsia="宋体" w:hint="default"/>
                <w:sz w:val="20"/>
                <w:szCs w:val="20"/>
              </w:rPr>
            </w:pPr>
            <w:r>
              <w:rPr>
                <w:rFonts w:ascii="宋体" w:hAnsi="宋体" w:cs="宋体" w:eastAsia="宋体" w:hint="default"/>
                <w:w w:val="99"/>
                <w:sz w:val="20"/>
                <w:szCs w:val="20"/>
              </w:rPr>
              <w:t>郭东圣</w:t>
            </w:r>
            <w:r>
              <w:rPr>
                <w:rFonts w:ascii="宋体" w:hAnsi="宋体" w:cs="宋体" w:eastAsia="宋体" w:hint="default"/>
                <w:spacing w:val="-87"/>
                <w:w w:val="99"/>
                <w:sz w:val="20"/>
                <w:szCs w:val="20"/>
              </w:rPr>
              <w:t>、</w:t>
            </w:r>
            <w:r>
              <w:rPr>
                <w:rFonts w:ascii="宋体" w:hAnsi="宋体" w:cs="宋体" w:eastAsia="宋体" w:hint="default"/>
                <w:w w:val="99"/>
                <w:sz w:val="20"/>
                <w:szCs w:val="20"/>
              </w:rPr>
              <w:t>林丽</w:t>
            </w:r>
            <w:r>
              <w:rPr>
                <w:rFonts w:ascii="宋体" w:hAnsi="宋体" w:cs="宋体" w:eastAsia="宋体" w:hint="default"/>
                <w:spacing w:val="2"/>
                <w:w w:val="99"/>
                <w:sz w:val="20"/>
                <w:szCs w:val="20"/>
              </w:rPr>
              <w:t>森</w:t>
            </w:r>
            <w:r>
              <w:rPr>
                <w:rFonts w:ascii="宋体" w:hAnsi="宋体" w:cs="宋体" w:eastAsia="宋体" w:hint="default"/>
                <w:w w:val="99"/>
                <w:sz w:val="20"/>
                <w:szCs w:val="20"/>
              </w:rPr>
              <w:t>夫</w:t>
            </w:r>
            <w:r>
              <w:rPr>
                <w:rFonts w:ascii="宋体" w:hAnsi="宋体" w:cs="宋体" w:eastAsia="宋体" w:hint="default"/>
                <w:sz w:val="20"/>
                <w:szCs w:val="20"/>
              </w:rPr>
            </w:r>
          </w:p>
          <w:p>
            <w:pPr>
              <w:pStyle w:val="TableParagraph"/>
              <w:spacing w:line="260" w:lineRule="exact"/>
              <w:ind w:left="26" w:right="0"/>
              <w:jc w:val="left"/>
              <w:rPr>
                <w:rFonts w:ascii="宋体" w:hAnsi="宋体" w:cs="宋体" w:eastAsia="宋体" w:hint="default"/>
                <w:sz w:val="20"/>
                <w:szCs w:val="20"/>
              </w:rPr>
            </w:pPr>
            <w:r>
              <w:rPr>
                <w:rFonts w:ascii="宋体" w:hAnsi="宋体" w:cs="宋体" w:eastAsia="宋体" w:hint="default"/>
                <w:w w:val="99"/>
                <w:sz w:val="20"/>
                <w:szCs w:val="20"/>
              </w:rPr>
              <w:t>妇</w:t>
            </w:r>
            <w:r>
              <w:rPr>
                <w:rFonts w:ascii="宋体" w:hAnsi="宋体" w:cs="宋体" w:eastAsia="宋体" w:hint="default"/>
                <w:sz w:val="20"/>
                <w:szCs w:val="20"/>
              </w:rPr>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5"/>
              <w:jc w:val="right"/>
              <w:rPr>
                <w:rFonts w:ascii="宋体" w:hAnsi="宋体" w:cs="宋体" w:eastAsia="宋体" w:hint="default"/>
                <w:sz w:val="20"/>
                <w:szCs w:val="20"/>
              </w:rPr>
            </w:pPr>
            <w:r>
              <w:rPr>
                <w:rFonts w:ascii="宋体"/>
                <w:w w:val="95"/>
                <w:sz w:val="20"/>
              </w:rPr>
              <w:t>65,000,000.00</w:t>
            </w:r>
            <w:r>
              <w:rPr>
                <w:rFonts w:ascii="宋体"/>
                <w:sz w:val="20"/>
              </w:rPr>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4"/>
              <w:jc w:val="right"/>
              <w:rPr>
                <w:rFonts w:ascii="宋体" w:hAnsi="宋体" w:cs="宋体" w:eastAsia="宋体" w:hint="default"/>
                <w:sz w:val="20"/>
                <w:szCs w:val="20"/>
              </w:rPr>
            </w:pPr>
            <w:r>
              <w:rPr>
                <w:rFonts w:ascii="宋体"/>
                <w:w w:val="95"/>
                <w:sz w:val="20"/>
              </w:rPr>
              <w:t>2017/6/9</w:t>
            </w:r>
            <w:r>
              <w:rPr>
                <w:rFonts w:ascii="宋体"/>
                <w:sz w:val="20"/>
              </w:rPr>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4"/>
              <w:jc w:val="right"/>
              <w:rPr>
                <w:rFonts w:ascii="宋体" w:hAnsi="宋体" w:cs="宋体" w:eastAsia="宋体" w:hint="default"/>
                <w:sz w:val="20"/>
                <w:szCs w:val="20"/>
              </w:rPr>
            </w:pPr>
            <w:r>
              <w:rPr>
                <w:rFonts w:ascii="宋体"/>
                <w:w w:val="95"/>
                <w:sz w:val="20"/>
              </w:rPr>
              <w:t>2019/6/9</w:t>
            </w:r>
            <w:r>
              <w:rPr>
                <w:rFonts w:ascii="宋体"/>
                <w:sz w:val="20"/>
              </w:rPr>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28"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6" w:right="0"/>
              <w:jc w:val="left"/>
              <w:rPr>
                <w:rFonts w:ascii="宋体" w:hAnsi="宋体" w:cs="宋体" w:eastAsia="宋体" w:hint="default"/>
                <w:sz w:val="20"/>
                <w:szCs w:val="20"/>
              </w:rPr>
            </w:pPr>
            <w:r>
              <w:rPr>
                <w:rFonts w:ascii="宋体" w:hAnsi="宋体" w:cs="宋体" w:eastAsia="宋体" w:hint="default"/>
                <w:w w:val="99"/>
                <w:sz w:val="20"/>
                <w:szCs w:val="20"/>
              </w:rPr>
              <w:t>郭东泽</w:t>
            </w:r>
            <w:r>
              <w:rPr>
                <w:rFonts w:ascii="宋体" w:hAnsi="宋体" w:cs="宋体" w:eastAsia="宋体" w:hint="default"/>
                <w:spacing w:val="-87"/>
                <w:w w:val="99"/>
                <w:sz w:val="20"/>
                <w:szCs w:val="20"/>
              </w:rPr>
              <w:t>、</w:t>
            </w:r>
            <w:r>
              <w:rPr>
                <w:rFonts w:ascii="宋体" w:hAnsi="宋体" w:cs="宋体" w:eastAsia="宋体" w:hint="default"/>
                <w:w w:val="99"/>
                <w:sz w:val="20"/>
                <w:szCs w:val="20"/>
              </w:rPr>
              <w:t>林亚</w:t>
            </w:r>
            <w:r>
              <w:rPr>
                <w:rFonts w:ascii="宋体" w:hAnsi="宋体" w:cs="宋体" w:eastAsia="宋体" w:hint="default"/>
                <w:spacing w:val="2"/>
                <w:w w:val="99"/>
                <w:sz w:val="20"/>
                <w:szCs w:val="20"/>
              </w:rPr>
              <w:t>查</w:t>
            </w:r>
            <w:r>
              <w:rPr>
                <w:rFonts w:ascii="宋体" w:hAnsi="宋体" w:cs="宋体" w:eastAsia="宋体" w:hint="default"/>
                <w:w w:val="99"/>
                <w:sz w:val="20"/>
                <w:szCs w:val="20"/>
              </w:rPr>
              <w:t>夫</w:t>
            </w:r>
            <w:r>
              <w:rPr>
                <w:rFonts w:ascii="宋体" w:hAnsi="宋体" w:cs="宋体" w:eastAsia="宋体" w:hint="default"/>
                <w:sz w:val="20"/>
                <w:szCs w:val="20"/>
              </w:rPr>
            </w:r>
          </w:p>
          <w:p>
            <w:pPr>
              <w:pStyle w:val="TableParagraph"/>
              <w:spacing w:line="260" w:lineRule="exact"/>
              <w:ind w:left="26" w:right="0"/>
              <w:jc w:val="left"/>
              <w:rPr>
                <w:rFonts w:ascii="宋体" w:hAnsi="宋体" w:cs="宋体" w:eastAsia="宋体" w:hint="default"/>
                <w:sz w:val="20"/>
                <w:szCs w:val="20"/>
              </w:rPr>
            </w:pPr>
            <w:r>
              <w:rPr>
                <w:rFonts w:ascii="宋体" w:hAnsi="宋体" w:cs="宋体" w:eastAsia="宋体" w:hint="default"/>
                <w:w w:val="99"/>
                <w:sz w:val="20"/>
                <w:szCs w:val="20"/>
              </w:rPr>
              <w:t>妇</w:t>
            </w:r>
            <w:r>
              <w:rPr>
                <w:rFonts w:ascii="宋体" w:hAnsi="宋体" w:cs="宋体" w:eastAsia="宋体" w:hint="default"/>
                <w:sz w:val="20"/>
                <w:szCs w:val="20"/>
              </w:rPr>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5"/>
              <w:jc w:val="right"/>
              <w:rPr>
                <w:rFonts w:ascii="宋体" w:hAnsi="宋体" w:cs="宋体" w:eastAsia="宋体" w:hint="default"/>
                <w:sz w:val="20"/>
                <w:szCs w:val="20"/>
              </w:rPr>
            </w:pPr>
            <w:r>
              <w:rPr>
                <w:rFonts w:ascii="宋体"/>
                <w:w w:val="95"/>
                <w:sz w:val="20"/>
              </w:rPr>
              <w:t>300,000,000.00</w:t>
            </w:r>
            <w:r>
              <w:rPr>
                <w:rFonts w:ascii="宋体"/>
                <w:sz w:val="20"/>
              </w:rPr>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4"/>
              <w:jc w:val="right"/>
              <w:rPr>
                <w:rFonts w:ascii="宋体" w:hAnsi="宋体" w:cs="宋体" w:eastAsia="宋体" w:hint="default"/>
                <w:sz w:val="20"/>
                <w:szCs w:val="20"/>
              </w:rPr>
            </w:pPr>
            <w:r>
              <w:rPr>
                <w:rFonts w:ascii="宋体"/>
                <w:w w:val="95"/>
                <w:sz w:val="20"/>
              </w:rPr>
              <w:t>2017/9/14</w:t>
            </w:r>
            <w:r>
              <w:rPr>
                <w:rFonts w:ascii="宋体"/>
                <w:sz w:val="20"/>
              </w:rPr>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4"/>
              <w:jc w:val="right"/>
              <w:rPr>
                <w:rFonts w:ascii="宋体" w:hAnsi="宋体" w:cs="宋体" w:eastAsia="宋体" w:hint="default"/>
                <w:sz w:val="20"/>
                <w:szCs w:val="20"/>
              </w:rPr>
            </w:pPr>
            <w:r>
              <w:rPr>
                <w:rFonts w:ascii="宋体"/>
                <w:w w:val="95"/>
                <w:sz w:val="20"/>
              </w:rPr>
              <w:t>2019/9/13</w:t>
            </w:r>
            <w:r>
              <w:rPr>
                <w:rFonts w:ascii="宋体"/>
                <w:sz w:val="20"/>
              </w:rPr>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28"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6" w:right="0"/>
              <w:jc w:val="left"/>
              <w:rPr>
                <w:rFonts w:ascii="宋体" w:hAnsi="宋体" w:cs="宋体" w:eastAsia="宋体" w:hint="default"/>
                <w:sz w:val="20"/>
                <w:szCs w:val="20"/>
              </w:rPr>
            </w:pPr>
            <w:r>
              <w:rPr>
                <w:rFonts w:ascii="宋体" w:hAnsi="宋体" w:cs="宋体" w:eastAsia="宋体" w:hint="default"/>
                <w:w w:val="99"/>
                <w:sz w:val="20"/>
                <w:szCs w:val="20"/>
              </w:rPr>
              <w:t>郭东泽</w:t>
            </w:r>
            <w:r>
              <w:rPr>
                <w:rFonts w:ascii="宋体" w:hAnsi="宋体" w:cs="宋体" w:eastAsia="宋体" w:hint="default"/>
                <w:spacing w:val="-87"/>
                <w:w w:val="99"/>
                <w:sz w:val="20"/>
                <w:szCs w:val="20"/>
              </w:rPr>
              <w:t>、</w:t>
            </w:r>
            <w:r>
              <w:rPr>
                <w:rFonts w:ascii="宋体" w:hAnsi="宋体" w:cs="宋体" w:eastAsia="宋体" w:hint="default"/>
                <w:w w:val="99"/>
                <w:sz w:val="20"/>
                <w:szCs w:val="20"/>
              </w:rPr>
              <w:t>林亚</w:t>
            </w:r>
            <w:r>
              <w:rPr>
                <w:rFonts w:ascii="宋体" w:hAnsi="宋体" w:cs="宋体" w:eastAsia="宋体" w:hint="default"/>
                <w:spacing w:val="2"/>
                <w:w w:val="99"/>
                <w:sz w:val="20"/>
                <w:szCs w:val="20"/>
              </w:rPr>
              <w:t>查</w:t>
            </w:r>
            <w:r>
              <w:rPr>
                <w:rFonts w:ascii="宋体" w:hAnsi="宋体" w:cs="宋体" w:eastAsia="宋体" w:hint="default"/>
                <w:w w:val="99"/>
                <w:sz w:val="20"/>
                <w:szCs w:val="20"/>
              </w:rPr>
              <w:t>夫</w:t>
            </w:r>
            <w:r>
              <w:rPr>
                <w:rFonts w:ascii="宋体" w:hAnsi="宋体" w:cs="宋体" w:eastAsia="宋体" w:hint="default"/>
                <w:sz w:val="20"/>
                <w:szCs w:val="20"/>
              </w:rPr>
            </w:r>
          </w:p>
          <w:p>
            <w:pPr>
              <w:pStyle w:val="TableParagraph"/>
              <w:spacing w:line="260" w:lineRule="exact"/>
              <w:ind w:left="26" w:right="0"/>
              <w:jc w:val="left"/>
              <w:rPr>
                <w:rFonts w:ascii="宋体" w:hAnsi="宋体" w:cs="宋体" w:eastAsia="宋体" w:hint="default"/>
                <w:sz w:val="20"/>
                <w:szCs w:val="20"/>
              </w:rPr>
            </w:pPr>
            <w:r>
              <w:rPr>
                <w:rFonts w:ascii="宋体" w:hAnsi="宋体" w:cs="宋体" w:eastAsia="宋体" w:hint="default"/>
                <w:w w:val="99"/>
                <w:sz w:val="20"/>
                <w:szCs w:val="20"/>
              </w:rPr>
              <w:t>妇</w:t>
            </w:r>
            <w:r>
              <w:rPr>
                <w:rFonts w:ascii="宋体" w:hAnsi="宋体" w:cs="宋体" w:eastAsia="宋体" w:hint="default"/>
                <w:sz w:val="20"/>
                <w:szCs w:val="20"/>
              </w:rPr>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5"/>
              <w:jc w:val="right"/>
              <w:rPr>
                <w:rFonts w:ascii="宋体" w:hAnsi="宋体" w:cs="宋体" w:eastAsia="宋体" w:hint="default"/>
                <w:sz w:val="20"/>
                <w:szCs w:val="20"/>
              </w:rPr>
            </w:pPr>
            <w:r>
              <w:rPr>
                <w:rFonts w:ascii="宋体"/>
                <w:w w:val="95"/>
                <w:sz w:val="20"/>
              </w:rPr>
              <w:t>10,098,500.00</w:t>
            </w:r>
            <w:r>
              <w:rPr>
                <w:rFonts w:ascii="宋体"/>
                <w:sz w:val="20"/>
              </w:rPr>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4"/>
              <w:jc w:val="right"/>
              <w:rPr>
                <w:rFonts w:ascii="宋体" w:hAnsi="宋体" w:cs="宋体" w:eastAsia="宋体" w:hint="default"/>
                <w:sz w:val="20"/>
                <w:szCs w:val="20"/>
              </w:rPr>
            </w:pPr>
            <w:r>
              <w:rPr>
                <w:rFonts w:ascii="宋体"/>
                <w:w w:val="95"/>
                <w:sz w:val="20"/>
              </w:rPr>
              <w:t>2015/4/14</w:t>
            </w:r>
            <w:r>
              <w:rPr>
                <w:rFonts w:ascii="宋体"/>
                <w:sz w:val="20"/>
              </w:rPr>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4"/>
              <w:jc w:val="right"/>
              <w:rPr>
                <w:rFonts w:ascii="宋体" w:hAnsi="宋体" w:cs="宋体" w:eastAsia="宋体" w:hint="default"/>
                <w:sz w:val="20"/>
                <w:szCs w:val="20"/>
              </w:rPr>
            </w:pPr>
            <w:r>
              <w:rPr>
                <w:rFonts w:ascii="宋体"/>
                <w:w w:val="95"/>
                <w:sz w:val="20"/>
              </w:rPr>
              <w:t>2020/4/13</w:t>
            </w:r>
            <w:r>
              <w:rPr>
                <w:rFonts w:ascii="宋体"/>
                <w:sz w:val="20"/>
              </w:rPr>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30"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6" w:right="0"/>
              <w:jc w:val="left"/>
              <w:rPr>
                <w:rFonts w:ascii="宋体" w:hAnsi="宋体" w:cs="宋体" w:eastAsia="宋体" w:hint="default"/>
                <w:sz w:val="20"/>
                <w:szCs w:val="20"/>
              </w:rPr>
            </w:pPr>
            <w:r>
              <w:rPr>
                <w:rFonts w:ascii="宋体" w:hAnsi="宋体" w:cs="宋体" w:eastAsia="宋体" w:hint="default"/>
                <w:w w:val="99"/>
                <w:sz w:val="20"/>
                <w:szCs w:val="20"/>
              </w:rPr>
              <w:t>郭东圣</w:t>
            </w:r>
            <w:r>
              <w:rPr>
                <w:rFonts w:ascii="宋体" w:hAnsi="宋体" w:cs="宋体" w:eastAsia="宋体" w:hint="default"/>
                <w:spacing w:val="-87"/>
                <w:w w:val="99"/>
                <w:sz w:val="20"/>
                <w:szCs w:val="20"/>
              </w:rPr>
              <w:t>、</w:t>
            </w:r>
            <w:r>
              <w:rPr>
                <w:rFonts w:ascii="宋体" w:hAnsi="宋体" w:cs="宋体" w:eastAsia="宋体" w:hint="default"/>
                <w:w w:val="99"/>
                <w:sz w:val="20"/>
                <w:szCs w:val="20"/>
              </w:rPr>
              <w:t>林丽</w:t>
            </w:r>
            <w:r>
              <w:rPr>
                <w:rFonts w:ascii="宋体" w:hAnsi="宋体" w:cs="宋体" w:eastAsia="宋体" w:hint="default"/>
                <w:spacing w:val="2"/>
                <w:w w:val="99"/>
                <w:sz w:val="20"/>
                <w:szCs w:val="20"/>
              </w:rPr>
              <w:t>森</w:t>
            </w:r>
            <w:r>
              <w:rPr>
                <w:rFonts w:ascii="宋体" w:hAnsi="宋体" w:cs="宋体" w:eastAsia="宋体" w:hint="default"/>
                <w:w w:val="99"/>
                <w:sz w:val="20"/>
                <w:szCs w:val="20"/>
              </w:rPr>
              <w:t>夫</w:t>
            </w:r>
            <w:r>
              <w:rPr>
                <w:rFonts w:ascii="宋体" w:hAnsi="宋体" w:cs="宋体" w:eastAsia="宋体" w:hint="default"/>
                <w:sz w:val="20"/>
                <w:szCs w:val="20"/>
              </w:rPr>
            </w:r>
          </w:p>
          <w:p>
            <w:pPr>
              <w:pStyle w:val="TableParagraph"/>
              <w:spacing w:line="240" w:lineRule="auto"/>
              <w:ind w:left="26" w:right="0"/>
              <w:jc w:val="left"/>
              <w:rPr>
                <w:rFonts w:ascii="宋体" w:hAnsi="宋体" w:cs="宋体" w:eastAsia="宋体" w:hint="default"/>
                <w:sz w:val="20"/>
                <w:szCs w:val="20"/>
              </w:rPr>
            </w:pPr>
            <w:r>
              <w:rPr>
                <w:rFonts w:ascii="宋体" w:hAnsi="宋体" w:cs="宋体" w:eastAsia="宋体" w:hint="default"/>
                <w:w w:val="99"/>
                <w:sz w:val="20"/>
                <w:szCs w:val="20"/>
              </w:rPr>
              <w:t>妇</w:t>
            </w:r>
            <w:r>
              <w:rPr>
                <w:rFonts w:ascii="宋体" w:hAnsi="宋体" w:cs="宋体" w:eastAsia="宋体" w:hint="default"/>
                <w:sz w:val="20"/>
                <w:szCs w:val="20"/>
              </w:rPr>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5"/>
              <w:jc w:val="right"/>
              <w:rPr>
                <w:rFonts w:ascii="宋体" w:hAnsi="宋体" w:cs="宋体" w:eastAsia="宋体" w:hint="default"/>
                <w:sz w:val="20"/>
                <w:szCs w:val="20"/>
              </w:rPr>
            </w:pPr>
            <w:r>
              <w:rPr>
                <w:rFonts w:ascii="宋体"/>
                <w:w w:val="95"/>
                <w:sz w:val="20"/>
              </w:rPr>
              <w:t>1,973,000.00</w:t>
            </w:r>
            <w:r>
              <w:rPr>
                <w:rFonts w:ascii="宋体"/>
                <w:sz w:val="20"/>
              </w:rPr>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4"/>
              <w:jc w:val="right"/>
              <w:rPr>
                <w:rFonts w:ascii="宋体" w:hAnsi="宋体" w:cs="宋体" w:eastAsia="宋体" w:hint="default"/>
                <w:sz w:val="20"/>
                <w:szCs w:val="20"/>
              </w:rPr>
            </w:pPr>
            <w:r>
              <w:rPr>
                <w:rFonts w:ascii="宋体"/>
                <w:w w:val="95"/>
                <w:sz w:val="20"/>
              </w:rPr>
              <w:t>2015/5/4</w:t>
            </w:r>
            <w:r>
              <w:rPr>
                <w:rFonts w:ascii="宋体"/>
                <w:sz w:val="20"/>
              </w:rPr>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4"/>
              <w:jc w:val="right"/>
              <w:rPr>
                <w:rFonts w:ascii="宋体" w:hAnsi="宋体" w:cs="宋体" w:eastAsia="宋体" w:hint="default"/>
                <w:sz w:val="20"/>
                <w:szCs w:val="20"/>
              </w:rPr>
            </w:pPr>
            <w:r>
              <w:rPr>
                <w:rFonts w:ascii="宋体"/>
                <w:w w:val="95"/>
                <w:sz w:val="20"/>
              </w:rPr>
              <w:t>2020/5/3</w:t>
            </w:r>
            <w:r>
              <w:rPr>
                <w:rFonts w:ascii="宋体"/>
                <w:sz w:val="20"/>
              </w:rPr>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6" w:right="0"/>
              <w:jc w:val="left"/>
              <w:rPr>
                <w:rFonts w:ascii="宋体" w:hAnsi="宋体" w:cs="宋体" w:eastAsia="宋体" w:hint="default"/>
                <w:sz w:val="20"/>
                <w:szCs w:val="20"/>
              </w:rPr>
            </w:pPr>
            <w:r>
              <w:rPr>
                <w:rFonts w:ascii="宋体" w:hAnsi="宋体" w:cs="宋体" w:eastAsia="宋体" w:hint="default"/>
                <w:sz w:val="20"/>
                <w:szCs w:val="20"/>
              </w:rPr>
              <w:t>郭东泽</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5"/>
              <w:jc w:val="right"/>
              <w:rPr>
                <w:rFonts w:ascii="宋体" w:hAnsi="宋体" w:cs="宋体" w:eastAsia="宋体" w:hint="default"/>
                <w:sz w:val="20"/>
                <w:szCs w:val="20"/>
              </w:rPr>
            </w:pPr>
            <w:r>
              <w:rPr>
                <w:rFonts w:ascii="宋体"/>
                <w:w w:val="95"/>
                <w:sz w:val="20"/>
              </w:rPr>
              <w:t>200,000,000.00</w:t>
            </w:r>
            <w:r>
              <w:rPr>
                <w:rFonts w:ascii="宋体"/>
                <w:sz w:val="20"/>
              </w:rPr>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4"/>
              <w:jc w:val="right"/>
              <w:rPr>
                <w:rFonts w:ascii="宋体" w:hAnsi="宋体" w:cs="宋体" w:eastAsia="宋体" w:hint="default"/>
                <w:sz w:val="20"/>
                <w:szCs w:val="20"/>
              </w:rPr>
            </w:pPr>
            <w:r>
              <w:rPr>
                <w:rFonts w:ascii="宋体"/>
                <w:w w:val="95"/>
                <w:sz w:val="20"/>
              </w:rPr>
              <w:t>2017/8/15</w:t>
            </w:r>
            <w:r>
              <w:rPr>
                <w:rFonts w:ascii="宋体"/>
                <w:sz w:val="20"/>
              </w:rPr>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4"/>
              <w:jc w:val="right"/>
              <w:rPr>
                <w:rFonts w:ascii="宋体" w:hAnsi="宋体" w:cs="宋体" w:eastAsia="宋体" w:hint="default"/>
                <w:sz w:val="20"/>
                <w:szCs w:val="20"/>
              </w:rPr>
            </w:pPr>
            <w:r>
              <w:rPr>
                <w:rFonts w:ascii="宋体"/>
                <w:w w:val="95"/>
                <w:sz w:val="20"/>
              </w:rPr>
              <w:t>2020/12/31</w:t>
            </w:r>
            <w:r>
              <w:rPr>
                <w:rFonts w:ascii="宋体"/>
                <w:sz w:val="20"/>
              </w:rPr>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郭东圣</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200,000,000.00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2017/8/15</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2020/12/31</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line="240" w:lineRule="auto" w:before="8"/>
        <w:rPr>
          <w:rFonts w:ascii="宋体" w:hAnsi="宋体" w:cs="宋体" w:eastAsia="宋体" w:hint="default"/>
          <w:sz w:val="15"/>
          <w:szCs w:val="15"/>
        </w:rPr>
      </w:pPr>
    </w:p>
    <w:p>
      <w:pPr>
        <w:pStyle w:val="BodyText"/>
        <w:spacing w:line="273" w:lineRule="exact" w:before="36"/>
        <w:ind w:left="138" w:right="4983"/>
        <w:jc w:val="left"/>
      </w:pPr>
      <w:r>
        <w:rPr/>
        <w:t>关联担保情况说明</w:t>
      </w:r>
    </w:p>
    <w:p>
      <w:pPr>
        <w:pStyle w:val="BodyText"/>
        <w:spacing w:line="273" w:lineRule="exact"/>
        <w:ind w:left="138" w:right="4983"/>
        <w:jc w:val="left"/>
      </w:pPr>
      <w:r>
        <w:rPr/>
        <w:t>√适用</w:t>
      </w:r>
      <w:r>
        <w:rPr>
          <w:spacing w:val="-1"/>
        </w:rPr>
        <w:t> </w:t>
      </w:r>
      <w:r>
        <w:rPr/>
        <w:t>□不适用</w:t>
      </w:r>
    </w:p>
    <w:p>
      <w:pPr>
        <w:spacing w:line="355" w:lineRule="auto" w:before="0"/>
        <w:ind w:left="138" w:right="0" w:firstLine="419"/>
        <w:jc w:val="left"/>
        <w:rPr>
          <w:rFonts w:ascii="宋体" w:hAnsi="宋体" w:cs="宋体" w:eastAsia="宋体" w:hint="default"/>
          <w:sz w:val="18"/>
          <w:szCs w:val="18"/>
        </w:rPr>
      </w:pPr>
      <w:r>
        <w:rPr>
          <w:rFonts w:ascii="宋体" w:hAnsi="宋体" w:cs="宋体" w:eastAsia="宋体" w:hint="default"/>
          <w:spacing w:val="-2"/>
          <w:sz w:val="18"/>
          <w:szCs w:val="18"/>
        </w:rPr>
        <w:t>其中由郭东泽、郭东圣、林亚查、林丽森、泉州一洋集装箱服务有限公司以及石狮市利佳利服装织造有限公</w:t>
      </w:r>
      <w:r>
        <w:rPr>
          <w:rFonts w:ascii="宋体" w:hAnsi="宋体" w:cs="宋体" w:eastAsia="宋体" w:hint="default"/>
          <w:sz w:val="18"/>
          <w:szCs w:val="18"/>
        </w:rPr>
        <w:t> 司提供保证担保的担保合同已到期，但借款合同未到期，现与银行办理续签，续签合同正在落实。</w:t>
      </w:r>
    </w:p>
    <w:p>
      <w:pPr>
        <w:spacing w:line="240" w:lineRule="auto" w:before="11"/>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82" w:footer="1195" w:top="1120" w:bottom="1380" w:left="1660" w:right="1120"/>
        </w:sectPr>
      </w:pPr>
    </w:p>
    <w:p>
      <w:pPr>
        <w:pStyle w:val="Heading2"/>
        <w:spacing w:line="240" w:lineRule="auto" w:before="36"/>
        <w:ind w:left="138" w:right="-18"/>
        <w:jc w:val="left"/>
        <w:rPr>
          <w:b w:val="0"/>
          <w:bCs w:val="0"/>
        </w:rPr>
      </w:pPr>
      <w:r>
        <w:rPr>
          <w:rFonts w:ascii="宋体" w:hAnsi="宋体" w:cs="宋体" w:eastAsia="宋体" w:hint="default"/>
        </w:rPr>
        <w:t>(5).</w:t>
      </w:r>
      <w:r>
        <w:rPr>
          <w:rFonts w:ascii="宋体" w:hAnsi="宋体" w:cs="宋体" w:eastAsia="宋体" w:hint="default"/>
          <w:spacing w:val="89"/>
        </w:rPr>
        <w:t> </w:t>
      </w:r>
      <w:r>
        <w:rPr/>
        <w:t>关联方资金拆借</w:t>
      </w:r>
      <w:r>
        <w:rPr>
          <w:b w:val="0"/>
          <w:bCs w:val="0"/>
        </w:rPr>
      </w:r>
    </w:p>
    <w:p>
      <w:pPr>
        <w:pStyle w:val="BodyText"/>
        <w:spacing w:line="240" w:lineRule="auto" w:before="56"/>
        <w:ind w:left="138" w:right="-18"/>
        <w:jc w:val="left"/>
      </w:pPr>
      <w:r>
        <w:rPr/>
        <w:t>□适用</w:t>
      </w:r>
      <w:r>
        <w:rPr>
          <w:spacing w:val="-1"/>
        </w:rPr>
        <w:t> </w:t>
      </w:r>
      <w:r>
        <w:rPr/>
        <w:t>√不适用</w:t>
      </w:r>
    </w:p>
    <w:p>
      <w:pPr>
        <w:pStyle w:val="Heading2"/>
        <w:spacing w:line="240" w:lineRule="auto" w:before="58"/>
        <w:ind w:left="138" w:right="-18"/>
        <w:jc w:val="left"/>
        <w:rPr>
          <w:b w:val="0"/>
          <w:bCs w:val="0"/>
        </w:rPr>
      </w:pPr>
      <w:r>
        <w:rPr>
          <w:rFonts w:ascii="宋体" w:hAnsi="宋体" w:cs="宋体" w:eastAsia="宋体" w:hint="default"/>
        </w:rPr>
        <w:t>(6).</w:t>
      </w:r>
      <w:r>
        <w:rPr>
          <w:rFonts w:ascii="宋体" w:hAnsi="宋体" w:cs="宋体" w:eastAsia="宋体" w:hint="default"/>
          <w:spacing w:val="86"/>
        </w:rPr>
        <w:t> </w:t>
      </w:r>
      <w:r>
        <w:rPr/>
        <w:t>关联方资产转让、债务重组情况</w:t>
      </w:r>
      <w:r>
        <w:rPr>
          <w:b w:val="0"/>
          <w:bCs w:val="0"/>
        </w:rPr>
      </w:r>
    </w:p>
    <w:p>
      <w:pPr>
        <w:pStyle w:val="BodyText"/>
        <w:spacing w:line="240" w:lineRule="auto" w:before="56"/>
        <w:ind w:left="138" w:right="-18"/>
        <w:jc w:val="left"/>
      </w:pPr>
      <w:r>
        <w:rPr/>
        <w:t>□适用</w:t>
      </w:r>
      <w:r>
        <w:rPr>
          <w:spacing w:val="-1"/>
        </w:rPr>
        <w:t> </w:t>
      </w:r>
      <w:r>
        <w:rPr/>
        <w:t>√不适用</w:t>
      </w:r>
    </w:p>
    <w:p>
      <w:pPr>
        <w:pStyle w:val="Heading2"/>
        <w:spacing w:line="240" w:lineRule="auto" w:before="58"/>
        <w:ind w:left="138" w:right="-18"/>
        <w:jc w:val="left"/>
        <w:rPr>
          <w:b w:val="0"/>
          <w:bCs w:val="0"/>
        </w:rPr>
      </w:pPr>
      <w:r>
        <w:rPr>
          <w:rFonts w:ascii="宋体" w:hAnsi="宋体" w:cs="宋体" w:eastAsia="宋体" w:hint="default"/>
        </w:rPr>
        <w:t>(7).</w:t>
      </w:r>
      <w:r>
        <w:rPr>
          <w:rFonts w:ascii="宋体" w:hAnsi="宋体" w:cs="宋体" w:eastAsia="宋体" w:hint="default"/>
          <w:spacing w:val="89"/>
        </w:rPr>
        <w:t> </w:t>
      </w:r>
      <w:r>
        <w:rPr/>
        <w:t>关键管理人员报酬</w:t>
      </w:r>
      <w:r>
        <w:rPr>
          <w:b w:val="0"/>
          <w:bCs w:val="0"/>
        </w:rPr>
      </w:r>
    </w:p>
    <w:p>
      <w:pPr>
        <w:pStyle w:val="BodyText"/>
        <w:spacing w:line="240" w:lineRule="auto" w:before="56"/>
        <w:ind w:left="13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9"/>
        <w:ind w:left="138" w:right="0"/>
        <w:jc w:val="left"/>
      </w:pPr>
      <w:r>
        <w:rPr/>
        <w:t>单位：万元币种：人民币</w:t>
      </w:r>
    </w:p>
    <w:p>
      <w:pPr>
        <w:spacing w:after="0" w:line="240" w:lineRule="auto"/>
        <w:jc w:val="left"/>
        <w:sectPr>
          <w:type w:val="continuous"/>
          <w:pgSz w:w="11910" w:h="16840"/>
          <w:pgMar w:top="1120" w:bottom="1380" w:left="1660" w:right="1120"/>
          <w:cols w:num="2" w:equalWidth="0">
            <w:col w:w="3707" w:space="2814"/>
            <w:col w:w="2609"/>
          </w:cols>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274"/>
        <w:gridCol w:w="3274"/>
        <w:gridCol w:w="2501"/>
      </w:tblGrid>
      <w:tr>
        <w:trPr>
          <w:trHeight w:val="284"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419"/>
              <w:jc w:val="right"/>
              <w:rPr>
                <w:rFonts w:ascii="宋体" w:hAnsi="宋体" w:cs="宋体" w:eastAsia="宋体" w:hint="default"/>
                <w:sz w:val="21"/>
                <w:szCs w:val="21"/>
              </w:rPr>
            </w:pPr>
            <w:r>
              <w:rPr>
                <w:rFonts w:ascii="宋体" w:hAnsi="宋体" w:cs="宋体" w:eastAsia="宋体" w:hint="default"/>
                <w:sz w:val="21"/>
                <w:szCs w:val="21"/>
              </w:rPr>
              <w:t>项目</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72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76"/>
              <w:jc w:val="right"/>
              <w:rPr>
                <w:rFonts w:ascii="宋体" w:hAnsi="宋体" w:cs="宋体" w:eastAsia="宋体" w:hint="default"/>
                <w:sz w:val="21"/>
                <w:szCs w:val="21"/>
              </w:rPr>
            </w:pPr>
            <w:r>
              <w:rPr>
                <w:rFonts w:ascii="宋体" w:hAnsi="宋体" w:cs="宋体" w:eastAsia="宋体" w:hint="default"/>
                <w:spacing w:val="-2"/>
                <w:sz w:val="21"/>
                <w:szCs w:val="21"/>
              </w:rPr>
              <w:t>关键管理人员报酬</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483.19</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431.68</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spacing w:line="240" w:lineRule="auto" w:before="36"/>
        <w:ind w:right="2497"/>
        <w:jc w:val="left"/>
        <w:rPr>
          <w:b w:val="0"/>
          <w:bCs w:val="0"/>
        </w:rPr>
      </w:pPr>
      <w:r>
        <w:rPr>
          <w:rFonts w:ascii="宋体" w:hAnsi="宋体" w:cs="宋体" w:eastAsia="宋体" w:hint="default"/>
        </w:rPr>
        <w:t>(8).</w:t>
      </w:r>
      <w:r>
        <w:rPr>
          <w:rFonts w:ascii="宋体" w:hAnsi="宋体" w:cs="宋体" w:eastAsia="宋体" w:hint="default"/>
          <w:spacing w:val="89"/>
        </w:rPr>
        <w:t> </w:t>
      </w:r>
      <w:r>
        <w:rPr/>
        <w:t>其他关联交易</w:t>
      </w:r>
      <w:r>
        <w:rPr>
          <w:b w:val="0"/>
          <w:bCs w:val="0"/>
        </w:rPr>
      </w:r>
    </w:p>
    <w:p>
      <w:pPr>
        <w:pStyle w:val="BodyText"/>
        <w:spacing w:line="240" w:lineRule="auto" w:before="56"/>
        <w:ind w:right="2497"/>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1040"/>
        </w:sectPr>
      </w:pPr>
    </w:p>
    <w:p>
      <w:pPr>
        <w:pStyle w:val="Heading2"/>
        <w:spacing w:line="290" w:lineRule="auto" w:before="36"/>
        <w:ind w:right="-20"/>
        <w:jc w:val="left"/>
        <w:rPr>
          <w:b w:val="0"/>
          <w:bCs w:val="0"/>
        </w:rPr>
      </w:pPr>
      <w:r>
        <w:rPr>
          <w:rFonts w:ascii="宋体" w:hAnsi="宋体" w:cs="宋体" w:eastAsia="宋体" w:hint="default"/>
        </w:rPr>
        <w:t>6</w:t>
      </w:r>
      <w:r>
        <w:rPr/>
        <w:t>、</w:t>
      </w:r>
      <w:r>
        <w:rPr>
          <w:spacing w:val="5"/>
        </w:rPr>
        <w:t> </w:t>
      </w:r>
      <w:r>
        <w:rPr/>
        <w:t>关联方应收应付款项</w:t>
      </w:r>
      <w:r>
        <w:rPr>
          <w:w w:val="100"/>
        </w:rPr>
        <w:t> </w:t>
      </w:r>
      <w:r>
        <w:rPr>
          <w:rFonts w:ascii="宋体" w:hAnsi="宋体" w:cs="宋体" w:eastAsia="宋体" w:hint="default"/>
        </w:rPr>
        <w:t>(1).</w:t>
      </w:r>
      <w:r>
        <w:rPr>
          <w:rFonts w:ascii="宋体" w:hAnsi="宋体" w:cs="宋体" w:eastAsia="宋体" w:hint="default"/>
          <w:spacing w:val="88"/>
        </w:rPr>
        <w:t> </w:t>
      </w:r>
      <w:r>
        <w:rPr/>
        <w:t>应收项目</w:t>
      </w:r>
      <w:r>
        <w:rPr>
          <w:b w:val="0"/>
          <w:bCs w:val="0"/>
        </w:rPr>
      </w:r>
    </w:p>
    <w:p>
      <w:pPr>
        <w:pStyle w:val="BodyText"/>
        <w:spacing w:line="240" w:lineRule="auto" w:before="12"/>
        <w:ind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164"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2544" w:space="4189"/>
            <w:col w:w="2557"/>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433"/>
        <w:gridCol w:w="1354"/>
        <w:gridCol w:w="1423"/>
        <w:gridCol w:w="1354"/>
        <w:gridCol w:w="1478"/>
        <w:gridCol w:w="1853"/>
      </w:tblGrid>
      <w:tr>
        <w:trPr>
          <w:trHeight w:val="284" w:hRule="exact"/>
        </w:trPr>
        <w:tc>
          <w:tcPr>
            <w:tcW w:w="1433" w:type="dxa"/>
            <w:vMerge w:val="restart"/>
            <w:tcBorders>
              <w:top w:val="single" w:sz="4" w:space="0" w:color="000000"/>
              <w:left w:val="single" w:sz="4" w:space="0" w:color="000000"/>
              <w:right w:val="single" w:sz="4" w:space="0" w:color="000000"/>
            </w:tcBorders>
          </w:tcPr>
          <w:p>
            <w:pPr>
              <w:pStyle w:val="TableParagraph"/>
              <w:spacing w:line="240" w:lineRule="auto" w:before="108"/>
              <w:ind w:left="292"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354" w:type="dxa"/>
            <w:vMerge w:val="restart"/>
            <w:tcBorders>
              <w:top w:val="single" w:sz="4" w:space="0" w:color="000000"/>
              <w:left w:val="single" w:sz="4" w:space="0" w:color="000000"/>
              <w:right w:val="single" w:sz="4" w:space="0" w:color="000000"/>
            </w:tcBorders>
          </w:tcPr>
          <w:p>
            <w:pPr>
              <w:pStyle w:val="TableParagraph"/>
              <w:spacing w:line="240" w:lineRule="auto" w:before="108"/>
              <w:ind w:left="352"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27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1433" w:type="dxa"/>
            <w:vMerge/>
            <w:tcBorders>
              <w:left w:val="single" w:sz="4" w:space="0" w:color="000000"/>
              <w:bottom w:val="single" w:sz="4" w:space="0" w:color="000000"/>
              <w:right w:val="single" w:sz="4" w:space="0" w:color="000000"/>
            </w:tcBorders>
          </w:tcPr>
          <w:p>
            <w:pPr/>
          </w:p>
        </w:tc>
        <w:tc>
          <w:tcPr>
            <w:tcW w:w="1354" w:type="dxa"/>
            <w:vMerge/>
            <w:tcBorders>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9"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828"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仁建国际贸易</w:t>
            </w:r>
          </w:p>
          <w:p>
            <w:pPr>
              <w:pStyle w:val="TableParagraph"/>
              <w:spacing w:line="240" w:lineRule="auto"/>
              <w:ind w:left="23" w:right="56"/>
              <w:jc w:val="left"/>
              <w:rPr>
                <w:rFonts w:ascii="宋体" w:hAnsi="宋体" w:cs="宋体" w:eastAsia="宋体" w:hint="default"/>
                <w:sz w:val="21"/>
                <w:szCs w:val="21"/>
              </w:rPr>
            </w:pPr>
            <w:r>
              <w:rPr>
                <w:rFonts w:ascii="宋体" w:hAnsi="宋体" w:cs="宋体" w:eastAsia="宋体" w:hint="default"/>
                <w:sz w:val="21"/>
                <w:szCs w:val="21"/>
              </w:rPr>
              <w:t>（上海）有限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14,803,035.08</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499,707.44</w:t>
            </w:r>
          </w:p>
        </w:tc>
        <w:tc>
          <w:tcPr>
            <w:tcW w:w="1478"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北京安铁供应</w:t>
            </w:r>
          </w:p>
          <w:p>
            <w:pPr>
              <w:pStyle w:val="TableParagraph"/>
              <w:spacing w:line="272" w:lineRule="exact" w:before="27"/>
              <w:ind w:left="23" w:right="56"/>
              <w:jc w:val="left"/>
              <w:rPr>
                <w:rFonts w:ascii="宋体" w:hAnsi="宋体" w:cs="宋体" w:eastAsia="宋体" w:hint="default"/>
                <w:sz w:val="21"/>
                <w:szCs w:val="21"/>
              </w:rPr>
            </w:pPr>
            <w:r>
              <w:rPr>
                <w:rFonts w:ascii="宋体" w:hAnsi="宋体" w:cs="宋体" w:eastAsia="宋体" w:hint="default"/>
                <w:sz w:val="21"/>
                <w:szCs w:val="21"/>
              </w:rPr>
              <w:t>链管理有限责</w:t>
            </w:r>
            <w:r>
              <w:rPr>
                <w:rFonts w:ascii="宋体" w:hAnsi="宋体" w:cs="宋体" w:eastAsia="宋体" w:hint="default"/>
                <w:w w:val="100"/>
                <w:sz w:val="21"/>
                <w:szCs w:val="21"/>
              </w:rPr>
              <w:t> </w:t>
            </w:r>
            <w:r>
              <w:rPr>
                <w:rFonts w:ascii="宋体" w:hAnsi="宋体" w:cs="宋体" w:eastAsia="宋体" w:hint="default"/>
                <w:sz w:val="21"/>
                <w:szCs w:val="21"/>
              </w:rPr>
              <w:t>任公司</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9,224,795.30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92,995.94</w:t>
            </w:r>
          </w:p>
        </w:tc>
        <w:tc>
          <w:tcPr>
            <w:tcW w:w="1478"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预付账款</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上海仁建信息</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5,359,056.61</w:t>
            </w:r>
          </w:p>
        </w:tc>
        <w:tc>
          <w:tcPr>
            <w:tcW w:w="1354"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3"/>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040"/>
        </w:sectPr>
      </w:pPr>
    </w:p>
    <w:p>
      <w:pPr>
        <w:pStyle w:val="Heading2"/>
        <w:spacing w:line="240" w:lineRule="auto" w:before="36"/>
        <w:ind w:right="-18"/>
        <w:jc w:val="left"/>
        <w:rPr>
          <w:b w:val="0"/>
          <w:bCs w:val="0"/>
        </w:rPr>
      </w:pPr>
      <w:r>
        <w:rPr>
          <w:rFonts w:ascii="宋体" w:hAnsi="宋体" w:cs="宋体" w:eastAsia="宋体" w:hint="default"/>
        </w:rPr>
        <w:t>(2).</w:t>
      </w:r>
      <w:r>
        <w:rPr>
          <w:rFonts w:ascii="宋体" w:hAnsi="宋体" w:cs="宋体" w:eastAsia="宋体" w:hint="default"/>
          <w:spacing w:val="88"/>
        </w:rPr>
        <w:t> </w:t>
      </w:r>
      <w:r>
        <w:rPr/>
        <w:t>应付项目</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64"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1795" w:space="4938"/>
            <w:col w:w="2557"/>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129"/>
        <w:gridCol w:w="2047"/>
        <w:gridCol w:w="2048"/>
        <w:gridCol w:w="2672"/>
      </w:tblGrid>
      <w:tr>
        <w:trPr>
          <w:trHeight w:val="28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8"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8"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0"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557"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北京安铁供应链管理</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有限责任公司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6,219,527.55</w:t>
            </w: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易通国际资产管理有</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3,786,010.12</w:t>
            </w: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泉州仁建安通集装箱</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2,634,051.92</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78" w:right="0"/>
              <w:jc w:val="left"/>
              <w:rPr>
                <w:rFonts w:ascii="宋体" w:hAnsi="宋体" w:cs="宋体" w:eastAsia="宋体" w:hint="default"/>
                <w:sz w:val="21"/>
                <w:szCs w:val="21"/>
              </w:rPr>
            </w:pPr>
            <w:r>
              <w:rPr>
                <w:rFonts w:ascii="宋体"/>
                <w:sz w:val="21"/>
              </w:rPr>
              <w:t>2,407,137.29</w:t>
            </w:r>
          </w:p>
        </w:tc>
      </w:tr>
    </w:tbl>
    <w:p>
      <w:pPr>
        <w:spacing w:line="240" w:lineRule="auto" w:before="12"/>
        <w:rPr>
          <w:rFonts w:ascii="宋体" w:hAnsi="宋体" w:cs="宋体" w:eastAsia="宋体" w:hint="default"/>
          <w:sz w:val="19"/>
          <w:szCs w:val="19"/>
        </w:rPr>
      </w:pPr>
    </w:p>
    <w:p>
      <w:pPr>
        <w:pStyle w:val="Heading2"/>
        <w:spacing w:line="240" w:lineRule="auto" w:before="36"/>
        <w:ind w:right="2497"/>
        <w:jc w:val="left"/>
        <w:rPr>
          <w:b w:val="0"/>
          <w:bCs w:val="0"/>
        </w:rPr>
      </w:pPr>
      <w:r>
        <w:rPr>
          <w:rFonts w:ascii="宋体" w:hAnsi="宋体" w:cs="宋体" w:eastAsia="宋体" w:hint="default"/>
        </w:rPr>
        <w:t>7</w:t>
      </w:r>
      <w:r>
        <w:rPr/>
        <w:t>、</w:t>
      </w:r>
      <w:r>
        <w:rPr>
          <w:spacing w:val="4"/>
        </w:rPr>
        <w:t> </w:t>
      </w:r>
      <w:r>
        <w:rPr/>
        <w:t>关联方承诺</w:t>
      </w:r>
      <w:r>
        <w:rPr>
          <w:b w:val="0"/>
          <w:bCs w:val="0"/>
        </w:rPr>
      </w:r>
    </w:p>
    <w:p>
      <w:pPr>
        <w:pStyle w:val="BodyText"/>
        <w:spacing w:line="240" w:lineRule="auto" w:before="59"/>
        <w:ind w:right="2497"/>
        <w:jc w:val="left"/>
      </w:pPr>
      <w:r>
        <w:rPr/>
        <w:t>□适用</w:t>
      </w:r>
      <w:r>
        <w:rPr>
          <w:spacing w:val="-1"/>
        </w:rPr>
        <w:t> </w:t>
      </w:r>
      <w:r>
        <w:rPr/>
        <w:t>√不适用</w:t>
      </w:r>
    </w:p>
    <w:p>
      <w:pPr>
        <w:spacing w:line="240" w:lineRule="auto" w:before="4"/>
        <w:rPr>
          <w:rFonts w:ascii="宋体" w:hAnsi="宋体" w:cs="宋体" w:eastAsia="宋体" w:hint="default"/>
          <w:sz w:val="22"/>
          <w:szCs w:val="22"/>
        </w:rPr>
      </w:pPr>
    </w:p>
    <w:p>
      <w:pPr>
        <w:spacing w:before="0"/>
        <w:ind w:left="218" w:right="2497" w:firstLine="0"/>
        <w:jc w:val="left"/>
        <w:rPr>
          <w:rFonts w:ascii="宋体" w:hAnsi="宋体" w:cs="宋体" w:eastAsia="宋体" w:hint="default"/>
          <w:sz w:val="21"/>
          <w:szCs w:val="21"/>
        </w:rPr>
      </w:pPr>
      <w:r>
        <w:rPr>
          <w:rFonts w:ascii="宋体" w:hAnsi="宋体" w:cs="宋体" w:eastAsia="宋体" w:hint="default"/>
          <w:b/>
          <w:bCs/>
          <w:sz w:val="20"/>
          <w:szCs w:val="20"/>
        </w:rPr>
        <w:t>8</w:t>
      </w:r>
      <w:r>
        <w:rPr>
          <w:rFonts w:ascii="宋体" w:hAnsi="宋体" w:cs="宋体" w:eastAsia="宋体" w:hint="default"/>
          <w:b/>
          <w:bCs/>
          <w:sz w:val="20"/>
          <w:szCs w:val="20"/>
        </w:rPr>
        <w:t>、</w:t>
      </w:r>
      <w:r>
        <w:rPr>
          <w:rFonts w:ascii="宋体" w:hAnsi="宋体" w:cs="宋体" w:eastAsia="宋体" w:hint="default"/>
          <w:b/>
          <w:bCs/>
          <w:spacing w:val="21"/>
          <w:sz w:val="20"/>
          <w:szCs w:val="20"/>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spacing w:line="240" w:lineRule="auto" w:before="58"/>
        <w:ind w:right="249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tabs>
          <w:tab w:pos="1057" w:val="left" w:leader="none"/>
        </w:tabs>
        <w:spacing w:line="240" w:lineRule="auto"/>
        <w:ind w:right="2497"/>
        <w:jc w:val="left"/>
        <w:rPr>
          <w:b w:val="0"/>
          <w:bCs w:val="0"/>
        </w:rPr>
      </w:pPr>
      <w:r>
        <w:rPr/>
        <w:t>十三、</w:t>
        <w:tab/>
        <w:t>股份支付</w:t>
      </w:r>
      <w:r>
        <w:rPr>
          <w:b w:val="0"/>
          <w:bCs w:val="0"/>
        </w:rPr>
      </w:r>
    </w:p>
    <w:p>
      <w:pPr>
        <w:pStyle w:val="Heading2"/>
        <w:spacing w:line="240" w:lineRule="auto" w:before="56"/>
        <w:ind w:right="2497"/>
        <w:jc w:val="left"/>
        <w:rPr>
          <w:b w:val="0"/>
          <w:bCs w:val="0"/>
        </w:rPr>
      </w:pPr>
      <w:r>
        <w:rPr>
          <w:rFonts w:ascii="宋体" w:hAnsi="宋体" w:cs="宋体" w:eastAsia="宋体" w:hint="default"/>
        </w:rPr>
        <w:t>1</w:t>
      </w:r>
      <w:r>
        <w:rPr/>
        <w:t>、</w:t>
      </w:r>
      <w:r>
        <w:rPr>
          <w:spacing w:val="5"/>
        </w:rPr>
        <w:t> </w:t>
      </w:r>
      <w:r>
        <w:rPr/>
        <w:t>股份支付总体情况</w:t>
      </w:r>
      <w:r>
        <w:rPr>
          <w:b w:val="0"/>
          <w:bCs w:val="0"/>
        </w:rPr>
      </w:r>
    </w:p>
    <w:p>
      <w:pPr>
        <w:pStyle w:val="BodyText"/>
        <w:spacing w:line="240" w:lineRule="auto" w:before="58"/>
        <w:ind w:right="2497"/>
        <w:jc w:val="left"/>
      </w:pPr>
      <w:r>
        <w:rPr/>
        <w:t>□适用</w:t>
      </w:r>
      <w:r>
        <w:rPr>
          <w:spacing w:val="-1"/>
        </w:rPr>
        <w:t> </w:t>
      </w:r>
      <w:r>
        <w:rPr/>
        <w:t>√不适用</w:t>
      </w:r>
    </w:p>
    <w:p>
      <w:pPr>
        <w:spacing w:line="240" w:lineRule="auto" w:before="0"/>
        <w:rPr>
          <w:rFonts w:ascii="宋体" w:hAnsi="宋体" w:cs="宋体" w:eastAsia="宋体" w:hint="default"/>
          <w:sz w:val="25"/>
          <w:szCs w:val="25"/>
        </w:rPr>
      </w:pPr>
    </w:p>
    <w:p>
      <w:pPr>
        <w:pStyle w:val="Heading2"/>
        <w:spacing w:line="240" w:lineRule="auto"/>
        <w:ind w:right="2497"/>
        <w:jc w:val="left"/>
        <w:rPr>
          <w:b w:val="0"/>
          <w:bCs w:val="0"/>
        </w:rPr>
      </w:pPr>
      <w:r>
        <w:rPr>
          <w:rFonts w:ascii="宋体" w:hAnsi="宋体" w:cs="宋体" w:eastAsia="宋体" w:hint="default"/>
        </w:rPr>
        <w:t>2</w:t>
      </w:r>
      <w:r>
        <w:rPr/>
        <w:t>、 以权益结算的股份支付情况</w:t>
      </w:r>
      <w:r>
        <w:rPr>
          <w:b w:val="0"/>
          <w:bCs w:val="0"/>
        </w:rPr>
      </w:r>
    </w:p>
    <w:p>
      <w:pPr>
        <w:pStyle w:val="BodyText"/>
        <w:spacing w:line="240" w:lineRule="auto" w:before="59"/>
        <w:ind w:right="2497"/>
        <w:jc w:val="left"/>
      </w:pPr>
      <w:r>
        <w:rPr/>
        <w:t>□适用</w:t>
      </w:r>
      <w:r>
        <w:rPr>
          <w:spacing w:val="-1"/>
        </w:rPr>
        <w:t> </w:t>
      </w:r>
      <w:r>
        <w:rPr/>
        <w:t>√不适用</w:t>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Heading2"/>
        <w:spacing w:line="240" w:lineRule="auto" w:before="36"/>
        <w:ind w:left="238" w:right="930"/>
        <w:jc w:val="left"/>
        <w:rPr>
          <w:b w:val="0"/>
          <w:bCs w:val="0"/>
        </w:rPr>
      </w:pPr>
      <w:r>
        <w:rPr>
          <w:rFonts w:ascii="宋体" w:hAnsi="宋体" w:cs="宋体" w:eastAsia="宋体" w:hint="default"/>
        </w:rPr>
        <w:t>3</w:t>
      </w:r>
      <w:r>
        <w:rPr/>
        <w:t>、 以现金结算的股份支付情况</w:t>
      </w:r>
      <w:r>
        <w:rPr>
          <w:b w:val="0"/>
          <w:bCs w:val="0"/>
        </w:rPr>
      </w:r>
    </w:p>
    <w:p>
      <w:pPr>
        <w:pStyle w:val="BodyText"/>
        <w:spacing w:line="240" w:lineRule="auto" w:before="58"/>
        <w:ind w:left="238" w:right="93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238" w:right="930"/>
        <w:jc w:val="left"/>
        <w:rPr>
          <w:b w:val="0"/>
          <w:bCs w:val="0"/>
        </w:rPr>
      </w:pPr>
      <w:r>
        <w:rPr>
          <w:rFonts w:ascii="宋体" w:hAnsi="宋体" w:cs="宋体" w:eastAsia="宋体" w:hint="default"/>
        </w:rPr>
        <w:t>4</w:t>
      </w:r>
      <w:r>
        <w:rPr/>
        <w:t>、 股份支付的修改、终止情况</w:t>
      </w:r>
      <w:r>
        <w:rPr>
          <w:b w:val="0"/>
          <w:bCs w:val="0"/>
        </w:rPr>
      </w:r>
    </w:p>
    <w:p>
      <w:pPr>
        <w:pStyle w:val="BodyText"/>
        <w:spacing w:line="240" w:lineRule="auto" w:before="56"/>
        <w:ind w:left="238" w:right="93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238" w:right="930"/>
        <w:jc w:val="left"/>
        <w:rPr>
          <w:b w:val="0"/>
          <w:bCs w:val="0"/>
        </w:rPr>
      </w:pPr>
      <w:r>
        <w:rPr>
          <w:rFonts w:ascii="宋体" w:hAnsi="宋体" w:cs="宋体" w:eastAsia="宋体" w:hint="default"/>
        </w:rPr>
        <w:t>5</w:t>
      </w:r>
      <w:r>
        <w:rPr/>
        <w:t>、</w:t>
      </w:r>
      <w:r>
        <w:rPr>
          <w:spacing w:val="2"/>
        </w:rPr>
        <w:t> </w:t>
      </w:r>
      <w:r>
        <w:rPr/>
        <w:t>其他</w:t>
      </w:r>
      <w:r>
        <w:rPr>
          <w:b w:val="0"/>
          <w:bCs w:val="0"/>
        </w:rPr>
      </w:r>
    </w:p>
    <w:p>
      <w:pPr>
        <w:pStyle w:val="BodyText"/>
        <w:spacing w:line="240" w:lineRule="auto" w:before="58"/>
        <w:ind w:left="238" w:right="93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tabs>
          <w:tab w:pos="1077" w:val="left" w:leader="none"/>
        </w:tabs>
        <w:spacing w:line="290" w:lineRule="auto"/>
        <w:ind w:left="238" w:right="6768"/>
        <w:jc w:val="left"/>
        <w:rPr>
          <w:b w:val="0"/>
          <w:bCs w:val="0"/>
        </w:rPr>
      </w:pPr>
      <w:r>
        <w:rPr/>
        <w:t>十四、</w:t>
        <w:tab/>
        <w:t>承诺及或有事项</w:t>
      </w:r>
      <w:r>
        <w:rPr>
          <w:spacing w:val="-104"/>
        </w:rPr>
        <w:t> </w:t>
      </w:r>
      <w:r>
        <w:rPr>
          <w:spacing w:val="-104"/>
        </w:rPr>
      </w:r>
      <w:r>
        <w:rPr>
          <w:rFonts w:ascii="宋体" w:hAnsi="宋体" w:cs="宋体" w:eastAsia="宋体" w:hint="default"/>
        </w:rPr>
        <w:t>1</w:t>
      </w:r>
      <w:r>
        <w:rPr/>
        <w:t>、</w:t>
      </w:r>
      <w:r>
        <w:rPr>
          <w:spacing w:val="4"/>
        </w:rPr>
        <w:t> </w:t>
      </w:r>
      <w:r>
        <w:rPr/>
        <w:t>重要承诺事项</w:t>
      </w:r>
      <w:r>
        <w:rPr>
          <w:b w:val="0"/>
          <w:bCs w:val="0"/>
        </w:rPr>
      </w:r>
    </w:p>
    <w:p>
      <w:pPr>
        <w:pStyle w:val="BodyText"/>
        <w:spacing w:line="272" w:lineRule="exact" w:before="43"/>
        <w:ind w:left="238" w:right="3401"/>
        <w:jc w:val="left"/>
      </w:pPr>
      <w:r>
        <w:rPr/>
        <w:t>√适用</w:t>
      </w:r>
      <w:r>
        <w:rPr>
          <w:spacing w:val="-2"/>
        </w:rPr>
        <w:t> </w:t>
      </w:r>
      <w:r>
        <w:rPr/>
        <w:t>□不适用</w:t>
      </w:r>
      <w:r>
        <w:rPr>
          <w:w w:val="100"/>
        </w:rPr>
        <w:t> </w:t>
      </w:r>
      <w:r>
        <w:rPr>
          <w:spacing w:val="-2"/>
        </w:rPr>
        <w:t>资产负债表日存在的对外重要承诺、性质、金额</w:t>
      </w:r>
    </w:p>
    <w:p>
      <w:pPr>
        <w:pStyle w:val="BodyText"/>
        <w:spacing w:line="249" w:lineRule="exact"/>
        <w:ind w:left="658" w:right="930"/>
        <w:jc w:val="left"/>
      </w:pPr>
      <w:r>
        <w:rPr/>
        <w:t>（</w:t>
      </w:r>
      <w:r>
        <w:rPr>
          <w:rFonts w:ascii="宋体" w:hAnsi="宋体" w:cs="宋体" w:eastAsia="宋体" w:hint="default"/>
        </w:rPr>
        <w:t>1</w:t>
      </w:r>
      <w:r>
        <w:rPr/>
        <w:t>）</w:t>
      </w:r>
      <w:r>
        <w:rPr>
          <w:spacing w:val="90"/>
        </w:rPr>
        <w:t> </w:t>
      </w:r>
      <w:r>
        <w:rPr/>
        <w:t>融资租赁租入及分期付款购买</w:t>
      </w:r>
    </w:p>
    <w:p>
      <w:pPr>
        <w:pStyle w:val="BodyText"/>
        <w:spacing w:line="240" w:lineRule="auto" w:before="133"/>
        <w:ind w:left="658" w:right="930"/>
        <w:jc w:val="left"/>
      </w:pPr>
      <w:r>
        <w:rPr/>
        <w:t>①融资租赁租入及分期付款购入固定资产情况</w:t>
      </w:r>
    </w:p>
    <w:p>
      <w:pPr>
        <w:spacing w:line="240" w:lineRule="auto" w:before="10"/>
        <w:rPr>
          <w:rFonts w:ascii="宋体" w:hAnsi="宋体" w:cs="宋体" w:eastAsia="宋体"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1886"/>
        <w:gridCol w:w="1760"/>
        <w:gridCol w:w="1764"/>
        <w:gridCol w:w="1764"/>
        <w:gridCol w:w="1889"/>
      </w:tblGrid>
      <w:tr>
        <w:trPr>
          <w:trHeight w:val="427" w:hRule="exact"/>
        </w:trPr>
        <w:tc>
          <w:tcPr>
            <w:tcW w:w="1886" w:type="dxa"/>
            <w:vMerge w:val="restart"/>
            <w:tcBorders>
              <w:top w:val="single" w:sz="12" w:space="0" w:color="000000"/>
              <w:left w:val="nil" w:sz="6" w:space="0" w:color="auto"/>
              <w:right w:val="single" w:sz="2" w:space="0" w:color="000000"/>
            </w:tcBorders>
          </w:tcPr>
          <w:p>
            <w:pPr>
              <w:pStyle w:val="TableParagraph"/>
              <w:tabs>
                <w:tab w:pos="1161" w:val="left" w:leader="none"/>
              </w:tabs>
              <w:spacing w:line="240" w:lineRule="auto" w:before="174"/>
              <w:ind w:left="530"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7177" w:type="dxa"/>
            <w:gridSpan w:val="4"/>
            <w:tcBorders>
              <w:top w:val="single" w:sz="12" w:space="0" w:color="000000"/>
              <w:left w:val="single" w:sz="2" w:space="0" w:color="000000"/>
              <w:bottom w:val="single" w:sz="2" w:space="0" w:color="000000"/>
              <w:right w:val="nil" w:sz="6" w:space="0" w:color="auto"/>
            </w:tcBorders>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413" w:hRule="exact"/>
        </w:trPr>
        <w:tc>
          <w:tcPr>
            <w:tcW w:w="1886" w:type="dxa"/>
            <w:vMerge/>
            <w:tcBorders>
              <w:left w:val="nil" w:sz="6" w:space="0" w:color="auto"/>
              <w:bottom w:val="single" w:sz="2" w:space="0" w:color="000000"/>
              <w:right w:val="single" w:sz="2" w:space="0" w:color="000000"/>
            </w:tcBorders>
          </w:tcPr>
          <w:p>
            <w:pPr/>
          </w:p>
        </w:tc>
        <w:tc>
          <w:tcPr>
            <w:tcW w:w="1760"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left="456" w:right="0"/>
              <w:jc w:val="left"/>
              <w:rPr>
                <w:rFonts w:ascii="宋体" w:hAnsi="宋体" w:cs="宋体" w:eastAsia="宋体" w:hint="default"/>
                <w:sz w:val="21"/>
                <w:szCs w:val="21"/>
              </w:rPr>
            </w:pPr>
            <w:r>
              <w:rPr>
                <w:rFonts w:ascii="宋体" w:hAnsi="宋体" w:cs="宋体" w:eastAsia="宋体" w:hint="default"/>
                <w:sz w:val="21"/>
                <w:szCs w:val="21"/>
              </w:rPr>
              <w:t>账面原值</w:t>
            </w:r>
          </w:p>
        </w:tc>
        <w:tc>
          <w:tcPr>
            <w:tcW w:w="1764"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left="458" w:right="0"/>
              <w:jc w:val="left"/>
              <w:rPr>
                <w:rFonts w:ascii="宋体" w:hAnsi="宋体" w:cs="宋体" w:eastAsia="宋体" w:hint="default"/>
                <w:sz w:val="21"/>
                <w:szCs w:val="21"/>
              </w:rPr>
            </w:pPr>
            <w:r>
              <w:rPr>
                <w:rFonts w:ascii="宋体" w:hAnsi="宋体" w:cs="宋体" w:eastAsia="宋体" w:hint="default"/>
                <w:sz w:val="21"/>
                <w:szCs w:val="21"/>
              </w:rPr>
              <w:t>累计折旧</w:t>
            </w:r>
          </w:p>
        </w:tc>
        <w:tc>
          <w:tcPr>
            <w:tcW w:w="1764"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left="458"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889" w:type="dxa"/>
            <w:tcBorders>
              <w:top w:val="single" w:sz="2" w:space="0" w:color="000000"/>
              <w:left w:val="single" w:sz="2" w:space="0" w:color="000000"/>
              <w:bottom w:val="single" w:sz="2" w:space="0" w:color="000000"/>
              <w:right w:val="nil" w:sz="6" w:space="0" w:color="auto"/>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823" w:hRule="exact"/>
        </w:trPr>
        <w:tc>
          <w:tcPr>
            <w:tcW w:w="18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70"/>
              <w:ind w:left="122" w:right="0"/>
              <w:jc w:val="left"/>
              <w:rPr>
                <w:rFonts w:ascii="宋体" w:hAnsi="宋体" w:cs="宋体" w:eastAsia="宋体" w:hint="default"/>
                <w:sz w:val="21"/>
                <w:szCs w:val="21"/>
              </w:rPr>
            </w:pPr>
            <w:r>
              <w:rPr>
                <w:rFonts w:ascii="宋体" w:hAnsi="宋体" w:cs="宋体" w:eastAsia="宋体" w:hint="default"/>
                <w:sz w:val="21"/>
                <w:szCs w:val="21"/>
              </w:rPr>
              <w:t>船舶</w:t>
            </w:r>
          </w:p>
        </w:tc>
        <w:tc>
          <w:tcPr>
            <w:tcW w:w="1760"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2,068,396,139.</w:t>
            </w:r>
          </w:p>
          <w:p>
            <w:pPr>
              <w:pStyle w:val="TableParagraph"/>
              <w:spacing w:line="240" w:lineRule="auto" w:before="133"/>
              <w:ind w:right="103"/>
              <w:jc w:val="right"/>
              <w:rPr>
                <w:rFonts w:ascii="宋体" w:hAnsi="宋体" w:cs="宋体" w:eastAsia="宋体" w:hint="default"/>
                <w:sz w:val="21"/>
                <w:szCs w:val="21"/>
              </w:rPr>
            </w:pPr>
            <w:r>
              <w:rPr>
                <w:rFonts w:ascii="宋体"/>
                <w:sz w:val="21"/>
              </w:rPr>
              <w:t>73</w:t>
            </w:r>
          </w:p>
        </w:tc>
        <w:tc>
          <w:tcPr>
            <w:tcW w:w="17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0"/>
              <w:ind w:right="101"/>
              <w:jc w:val="right"/>
              <w:rPr>
                <w:rFonts w:ascii="宋体" w:hAnsi="宋体" w:cs="宋体" w:eastAsia="宋体" w:hint="default"/>
                <w:sz w:val="21"/>
                <w:szCs w:val="21"/>
              </w:rPr>
            </w:pPr>
            <w:r>
              <w:rPr>
                <w:rFonts w:ascii="宋体"/>
                <w:spacing w:val="-1"/>
                <w:sz w:val="21"/>
              </w:rPr>
              <w:t>155,981,500.64</w:t>
            </w:r>
          </w:p>
        </w:tc>
        <w:tc>
          <w:tcPr>
            <w:tcW w:w="17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0"/>
              <w:ind w:right="101"/>
              <w:jc w:val="righ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p>
        </w:tc>
        <w:tc>
          <w:tcPr>
            <w:tcW w:w="1889" w:type="dxa"/>
            <w:tcBorders>
              <w:top w:val="single" w:sz="2" w:space="0" w:color="000000"/>
              <w:left w:val="single" w:sz="2" w:space="0" w:color="000000"/>
              <w:bottom w:val="single" w:sz="2"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1,912,414,639.0</w:t>
            </w:r>
          </w:p>
          <w:p>
            <w:pPr>
              <w:pStyle w:val="TableParagraph"/>
              <w:spacing w:line="240" w:lineRule="auto" w:before="133"/>
              <w:ind w:right="105"/>
              <w:jc w:val="right"/>
              <w:rPr>
                <w:rFonts w:ascii="宋体" w:hAnsi="宋体" w:cs="宋体" w:eastAsia="宋体" w:hint="default"/>
                <w:sz w:val="21"/>
                <w:szCs w:val="21"/>
              </w:rPr>
            </w:pPr>
            <w:r>
              <w:rPr>
                <w:rFonts w:ascii="宋体"/>
                <w:w w:val="100"/>
                <w:sz w:val="21"/>
              </w:rPr>
              <w:t>9</w:t>
            </w:r>
          </w:p>
        </w:tc>
      </w:tr>
      <w:tr>
        <w:trPr>
          <w:trHeight w:val="821" w:hRule="exact"/>
        </w:trPr>
        <w:tc>
          <w:tcPr>
            <w:tcW w:w="18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70"/>
              <w:ind w:left="122" w:right="0"/>
              <w:jc w:val="left"/>
              <w:rPr>
                <w:rFonts w:ascii="宋体" w:hAnsi="宋体" w:cs="宋体" w:eastAsia="宋体" w:hint="default"/>
                <w:sz w:val="21"/>
                <w:szCs w:val="21"/>
              </w:rPr>
            </w:pPr>
            <w:r>
              <w:rPr>
                <w:rFonts w:ascii="宋体" w:hAnsi="宋体" w:cs="宋体" w:eastAsia="宋体" w:hint="default"/>
                <w:sz w:val="21"/>
                <w:szCs w:val="21"/>
              </w:rPr>
              <w:t>集装箱</w:t>
            </w:r>
          </w:p>
        </w:tc>
        <w:tc>
          <w:tcPr>
            <w:tcW w:w="1760"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1,103,611,540.</w:t>
            </w:r>
          </w:p>
          <w:p>
            <w:pPr>
              <w:pStyle w:val="TableParagraph"/>
              <w:spacing w:line="240" w:lineRule="auto" w:before="133"/>
              <w:ind w:right="103"/>
              <w:jc w:val="right"/>
              <w:rPr>
                <w:rFonts w:ascii="宋体" w:hAnsi="宋体" w:cs="宋体" w:eastAsia="宋体" w:hint="default"/>
                <w:sz w:val="21"/>
                <w:szCs w:val="21"/>
              </w:rPr>
            </w:pPr>
            <w:r>
              <w:rPr>
                <w:rFonts w:ascii="宋体"/>
                <w:sz w:val="21"/>
              </w:rPr>
              <w:t>08</w:t>
            </w:r>
          </w:p>
        </w:tc>
        <w:tc>
          <w:tcPr>
            <w:tcW w:w="17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0"/>
              <w:ind w:right="101"/>
              <w:jc w:val="right"/>
              <w:rPr>
                <w:rFonts w:ascii="宋体" w:hAnsi="宋体" w:cs="宋体" w:eastAsia="宋体" w:hint="default"/>
                <w:sz w:val="21"/>
                <w:szCs w:val="21"/>
              </w:rPr>
            </w:pPr>
            <w:r>
              <w:rPr>
                <w:rFonts w:ascii="宋体"/>
                <w:spacing w:val="-1"/>
                <w:sz w:val="21"/>
              </w:rPr>
              <w:t>165,059,775.29</w:t>
            </w:r>
          </w:p>
        </w:tc>
        <w:tc>
          <w:tcPr>
            <w:tcW w:w="17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0"/>
              <w:ind w:right="101"/>
              <w:jc w:val="righ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p>
        </w:tc>
        <w:tc>
          <w:tcPr>
            <w:tcW w:w="188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70"/>
              <w:ind w:right="103"/>
              <w:jc w:val="right"/>
              <w:rPr>
                <w:rFonts w:ascii="宋体" w:hAnsi="宋体" w:cs="宋体" w:eastAsia="宋体" w:hint="default"/>
                <w:sz w:val="21"/>
                <w:szCs w:val="21"/>
              </w:rPr>
            </w:pPr>
            <w:r>
              <w:rPr>
                <w:rFonts w:ascii="宋体"/>
                <w:spacing w:val="-1"/>
                <w:sz w:val="21"/>
              </w:rPr>
              <w:t>938,551,764.79</w:t>
            </w:r>
          </w:p>
        </w:tc>
      </w:tr>
      <w:tr>
        <w:trPr>
          <w:trHeight w:val="413" w:hRule="exact"/>
        </w:trPr>
        <w:tc>
          <w:tcPr>
            <w:tcW w:w="1886" w:type="dxa"/>
            <w:tcBorders>
              <w:top w:val="single" w:sz="2" w:space="0" w:color="000000"/>
              <w:left w:val="nil" w:sz="6" w:space="0" w:color="auto"/>
              <w:bottom w:val="single" w:sz="2" w:space="0" w:color="000000"/>
              <w:right w:val="single" w:sz="2"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760"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left="389" w:right="0"/>
              <w:jc w:val="left"/>
              <w:rPr>
                <w:rFonts w:ascii="宋体" w:hAnsi="宋体" w:cs="宋体" w:eastAsia="宋体" w:hint="default"/>
                <w:sz w:val="21"/>
                <w:szCs w:val="21"/>
              </w:rPr>
            </w:pPr>
            <w:r>
              <w:rPr>
                <w:rFonts w:ascii="宋体"/>
                <w:sz w:val="21"/>
              </w:rPr>
              <w:t>6,113,637.61</w:t>
            </w:r>
          </w:p>
        </w:tc>
        <w:tc>
          <w:tcPr>
            <w:tcW w:w="1764"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3,356,912.43</w:t>
            </w:r>
          </w:p>
        </w:tc>
        <w:tc>
          <w:tcPr>
            <w:tcW w:w="1764"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p>
        </w:tc>
        <w:tc>
          <w:tcPr>
            <w:tcW w:w="1889" w:type="dxa"/>
            <w:tcBorders>
              <w:top w:val="single" w:sz="2" w:space="0" w:color="000000"/>
              <w:left w:val="single" w:sz="2" w:space="0" w:color="000000"/>
              <w:bottom w:val="single" w:sz="2"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2,756,725.18</w:t>
            </w:r>
          </w:p>
        </w:tc>
      </w:tr>
      <w:tr>
        <w:trPr>
          <w:trHeight w:val="835" w:hRule="exact"/>
        </w:trPr>
        <w:tc>
          <w:tcPr>
            <w:tcW w:w="188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72"/>
              <w:ind w:left="16"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60" w:type="dxa"/>
            <w:tcBorders>
              <w:top w:val="single" w:sz="2" w:space="0" w:color="000000"/>
              <w:left w:val="single" w:sz="2" w:space="0" w:color="000000"/>
              <w:bottom w:val="single" w:sz="12" w:space="0" w:color="000000"/>
              <w:right w:val="single" w:sz="2"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3,178,121,317.</w:t>
            </w:r>
          </w:p>
          <w:p>
            <w:pPr>
              <w:pStyle w:val="TableParagraph"/>
              <w:spacing w:line="240" w:lineRule="auto" w:before="135"/>
              <w:ind w:right="103"/>
              <w:jc w:val="right"/>
              <w:rPr>
                <w:rFonts w:ascii="宋体" w:hAnsi="宋体" w:cs="宋体" w:eastAsia="宋体" w:hint="default"/>
                <w:sz w:val="21"/>
                <w:szCs w:val="21"/>
              </w:rPr>
            </w:pPr>
            <w:r>
              <w:rPr>
                <w:rFonts w:ascii="宋体"/>
                <w:sz w:val="21"/>
              </w:rPr>
              <w:t>42</w:t>
            </w:r>
          </w:p>
        </w:tc>
        <w:tc>
          <w:tcPr>
            <w:tcW w:w="176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72"/>
              <w:ind w:right="101"/>
              <w:jc w:val="right"/>
              <w:rPr>
                <w:rFonts w:ascii="宋体" w:hAnsi="宋体" w:cs="宋体" w:eastAsia="宋体" w:hint="default"/>
                <w:sz w:val="21"/>
                <w:szCs w:val="21"/>
              </w:rPr>
            </w:pPr>
            <w:r>
              <w:rPr>
                <w:rFonts w:ascii="宋体"/>
                <w:spacing w:val="-1"/>
                <w:sz w:val="21"/>
              </w:rPr>
              <w:t>324,398,188.36</w:t>
            </w:r>
          </w:p>
        </w:tc>
        <w:tc>
          <w:tcPr>
            <w:tcW w:w="176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72"/>
              <w:ind w:right="101"/>
              <w:jc w:val="righ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p>
        </w:tc>
        <w:tc>
          <w:tcPr>
            <w:tcW w:w="1889" w:type="dxa"/>
            <w:tcBorders>
              <w:top w:val="single" w:sz="2" w:space="0" w:color="000000"/>
              <w:left w:val="single" w:sz="2" w:space="0" w:color="000000"/>
              <w:bottom w:val="single" w:sz="12"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2,853,723,129.0</w:t>
            </w:r>
          </w:p>
          <w:p>
            <w:pPr>
              <w:pStyle w:val="TableParagraph"/>
              <w:spacing w:line="240" w:lineRule="auto" w:before="135"/>
              <w:ind w:right="105"/>
              <w:jc w:val="right"/>
              <w:rPr>
                <w:rFonts w:ascii="宋体" w:hAnsi="宋体" w:cs="宋体" w:eastAsia="宋体" w:hint="default"/>
                <w:sz w:val="21"/>
                <w:szCs w:val="21"/>
              </w:rPr>
            </w:pPr>
            <w:r>
              <w:rPr>
                <w:rFonts w:ascii="宋体"/>
                <w:w w:val="100"/>
                <w:sz w:val="21"/>
              </w:rPr>
              <w:t>6</w:t>
            </w:r>
          </w:p>
        </w:tc>
      </w:tr>
    </w:tbl>
    <w:p>
      <w:pPr>
        <w:pStyle w:val="BodyText"/>
        <w:spacing w:line="241" w:lineRule="exact"/>
        <w:ind w:left="238" w:right="930"/>
        <w:jc w:val="left"/>
      </w:pPr>
      <w:r>
        <w:rPr/>
        <w:t>（续上表）</w:t>
      </w:r>
    </w:p>
    <w:p>
      <w:pPr>
        <w:spacing w:line="240" w:lineRule="auto" w:before="13"/>
        <w:rPr>
          <w:rFonts w:ascii="宋体" w:hAnsi="宋体" w:cs="宋体" w:eastAsia="宋体"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1766"/>
        <w:gridCol w:w="1897"/>
        <w:gridCol w:w="1752"/>
        <w:gridCol w:w="1752"/>
        <w:gridCol w:w="1896"/>
      </w:tblGrid>
      <w:tr>
        <w:trPr>
          <w:trHeight w:val="425" w:hRule="exact"/>
        </w:trPr>
        <w:tc>
          <w:tcPr>
            <w:tcW w:w="1766" w:type="dxa"/>
            <w:vMerge w:val="restart"/>
            <w:tcBorders>
              <w:top w:val="single" w:sz="12" w:space="0" w:color="000000"/>
              <w:left w:val="nil" w:sz="6" w:space="0" w:color="auto"/>
              <w:right w:val="single" w:sz="2" w:space="0" w:color="000000"/>
            </w:tcBorders>
          </w:tcPr>
          <w:p>
            <w:pPr>
              <w:pStyle w:val="TableParagraph"/>
              <w:tabs>
                <w:tab w:pos="1101" w:val="left" w:leader="none"/>
              </w:tabs>
              <w:spacing w:line="240" w:lineRule="auto" w:before="172"/>
              <w:ind w:left="470"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7297" w:type="dxa"/>
            <w:gridSpan w:val="4"/>
            <w:tcBorders>
              <w:top w:val="single" w:sz="12" w:space="0" w:color="000000"/>
              <w:left w:val="single" w:sz="2" w:space="0" w:color="000000"/>
              <w:bottom w:val="single" w:sz="2" w:space="0" w:color="000000"/>
              <w:right w:val="nil" w:sz="6" w:space="0" w:color="auto"/>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15" w:hRule="exact"/>
        </w:trPr>
        <w:tc>
          <w:tcPr>
            <w:tcW w:w="1766" w:type="dxa"/>
            <w:vMerge/>
            <w:tcBorders>
              <w:left w:val="nil" w:sz="6" w:space="0" w:color="auto"/>
              <w:bottom w:val="single" w:sz="2" w:space="0" w:color="000000"/>
              <w:right w:val="single" w:sz="2" w:space="0" w:color="000000"/>
            </w:tcBorders>
          </w:tcPr>
          <w:p>
            <w:pPr/>
          </w:p>
        </w:tc>
        <w:tc>
          <w:tcPr>
            <w:tcW w:w="1897"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账面原值</w:t>
            </w:r>
          </w:p>
        </w:tc>
        <w:tc>
          <w:tcPr>
            <w:tcW w:w="1752"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left="451" w:right="0"/>
              <w:jc w:val="left"/>
              <w:rPr>
                <w:rFonts w:ascii="宋体" w:hAnsi="宋体" w:cs="宋体" w:eastAsia="宋体" w:hint="default"/>
                <w:sz w:val="21"/>
                <w:szCs w:val="21"/>
              </w:rPr>
            </w:pPr>
            <w:r>
              <w:rPr>
                <w:rFonts w:ascii="宋体" w:hAnsi="宋体" w:cs="宋体" w:eastAsia="宋体" w:hint="default"/>
                <w:sz w:val="21"/>
                <w:szCs w:val="21"/>
              </w:rPr>
              <w:t>累计折旧</w:t>
            </w:r>
          </w:p>
        </w:tc>
        <w:tc>
          <w:tcPr>
            <w:tcW w:w="1752"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left="451"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896" w:type="dxa"/>
            <w:tcBorders>
              <w:top w:val="single" w:sz="2" w:space="0" w:color="000000"/>
              <w:left w:val="single" w:sz="2" w:space="0" w:color="000000"/>
              <w:bottom w:val="single" w:sz="2" w:space="0" w:color="000000"/>
              <w:right w:val="nil" w:sz="6" w:space="0" w:color="auto"/>
            </w:tcBorders>
          </w:tcPr>
          <w:p>
            <w:pPr>
              <w:pStyle w:val="TableParagraph"/>
              <w:spacing w:line="241" w:lineRule="exact"/>
              <w:ind w:left="526"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413" w:hRule="exact"/>
        </w:trPr>
        <w:tc>
          <w:tcPr>
            <w:tcW w:w="1766" w:type="dxa"/>
            <w:tcBorders>
              <w:top w:val="single" w:sz="2" w:space="0" w:color="000000"/>
              <w:left w:val="nil" w:sz="6" w:space="0" w:color="auto"/>
              <w:bottom w:val="single" w:sz="2" w:space="0" w:color="000000"/>
              <w:right w:val="single" w:sz="2"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船舶</w:t>
            </w:r>
          </w:p>
        </w:tc>
        <w:tc>
          <w:tcPr>
            <w:tcW w:w="1897"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2,259,562,545.77</w:t>
            </w:r>
          </w:p>
        </w:tc>
        <w:tc>
          <w:tcPr>
            <w:tcW w:w="1752"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230,173,075.83</w:t>
            </w:r>
          </w:p>
        </w:tc>
        <w:tc>
          <w:tcPr>
            <w:tcW w:w="1752"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p>
        </w:tc>
        <w:tc>
          <w:tcPr>
            <w:tcW w:w="1896" w:type="dxa"/>
            <w:tcBorders>
              <w:top w:val="single" w:sz="2" w:space="0" w:color="000000"/>
              <w:left w:val="single" w:sz="2" w:space="0" w:color="000000"/>
              <w:bottom w:val="single" w:sz="2"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2,029,389,469.94</w:t>
            </w:r>
          </w:p>
        </w:tc>
      </w:tr>
      <w:tr>
        <w:trPr>
          <w:trHeight w:val="413" w:hRule="exact"/>
        </w:trPr>
        <w:tc>
          <w:tcPr>
            <w:tcW w:w="1766" w:type="dxa"/>
            <w:tcBorders>
              <w:top w:val="single" w:sz="2" w:space="0" w:color="000000"/>
              <w:left w:val="nil" w:sz="6" w:space="0" w:color="auto"/>
              <w:bottom w:val="single" w:sz="2" w:space="0" w:color="000000"/>
              <w:right w:val="single" w:sz="2"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集装箱</w:t>
            </w:r>
          </w:p>
        </w:tc>
        <w:tc>
          <w:tcPr>
            <w:tcW w:w="1897"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1,024,356,270.36</w:t>
            </w:r>
          </w:p>
        </w:tc>
        <w:tc>
          <w:tcPr>
            <w:tcW w:w="1752"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119,125,217.88</w:t>
            </w:r>
          </w:p>
        </w:tc>
        <w:tc>
          <w:tcPr>
            <w:tcW w:w="1752"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p>
        </w:tc>
        <w:tc>
          <w:tcPr>
            <w:tcW w:w="1896" w:type="dxa"/>
            <w:tcBorders>
              <w:top w:val="single" w:sz="2" w:space="0" w:color="000000"/>
              <w:left w:val="single" w:sz="2" w:space="0" w:color="000000"/>
              <w:bottom w:val="single" w:sz="2"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905,231,052.48</w:t>
            </w:r>
          </w:p>
        </w:tc>
      </w:tr>
      <w:tr>
        <w:trPr>
          <w:trHeight w:val="415" w:hRule="exact"/>
        </w:trPr>
        <w:tc>
          <w:tcPr>
            <w:tcW w:w="1766" w:type="dxa"/>
            <w:tcBorders>
              <w:top w:val="single" w:sz="2" w:space="0" w:color="000000"/>
              <w:left w:val="nil" w:sz="6" w:space="0" w:color="auto"/>
              <w:bottom w:val="single" w:sz="2" w:space="0" w:color="000000"/>
              <w:right w:val="single" w:sz="2"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897"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6,113,637.61</w:t>
            </w:r>
          </w:p>
        </w:tc>
        <w:tc>
          <w:tcPr>
            <w:tcW w:w="1752"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2,195,321.07</w:t>
            </w:r>
          </w:p>
        </w:tc>
        <w:tc>
          <w:tcPr>
            <w:tcW w:w="1752"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p>
        </w:tc>
        <w:tc>
          <w:tcPr>
            <w:tcW w:w="1896" w:type="dxa"/>
            <w:tcBorders>
              <w:top w:val="single" w:sz="2" w:space="0" w:color="000000"/>
              <w:left w:val="single" w:sz="2" w:space="0" w:color="000000"/>
              <w:bottom w:val="single" w:sz="2"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3,918,316.54</w:t>
            </w:r>
          </w:p>
        </w:tc>
      </w:tr>
      <w:tr>
        <w:trPr>
          <w:trHeight w:val="425" w:hRule="exact"/>
        </w:trPr>
        <w:tc>
          <w:tcPr>
            <w:tcW w:w="1766" w:type="dxa"/>
            <w:tcBorders>
              <w:top w:val="single" w:sz="2" w:space="0" w:color="000000"/>
              <w:left w:val="nil" w:sz="6" w:space="0" w:color="auto"/>
              <w:bottom w:val="single" w:sz="12" w:space="0" w:color="000000"/>
              <w:right w:val="single" w:sz="2" w:space="0" w:color="000000"/>
            </w:tcBorders>
          </w:tcPr>
          <w:p>
            <w:pPr>
              <w:pStyle w:val="TableParagraph"/>
              <w:spacing w:line="241" w:lineRule="exact"/>
              <w:ind w:left="16"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97" w:type="dxa"/>
            <w:tcBorders>
              <w:top w:val="single" w:sz="2" w:space="0" w:color="000000"/>
              <w:left w:val="single" w:sz="2" w:space="0" w:color="000000"/>
              <w:bottom w:val="single" w:sz="12" w:space="0" w:color="000000"/>
              <w:right w:val="single" w:sz="2"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3,290,032,453.74</w:t>
            </w:r>
          </w:p>
        </w:tc>
        <w:tc>
          <w:tcPr>
            <w:tcW w:w="1752" w:type="dxa"/>
            <w:tcBorders>
              <w:top w:val="single" w:sz="2" w:space="0" w:color="000000"/>
              <w:left w:val="single" w:sz="2" w:space="0" w:color="000000"/>
              <w:bottom w:val="single" w:sz="12" w:space="0" w:color="000000"/>
              <w:right w:val="single" w:sz="2"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351,493,614.78</w:t>
            </w:r>
          </w:p>
        </w:tc>
        <w:tc>
          <w:tcPr>
            <w:tcW w:w="1752" w:type="dxa"/>
            <w:tcBorders>
              <w:top w:val="single" w:sz="2" w:space="0" w:color="000000"/>
              <w:left w:val="single" w:sz="2" w:space="0" w:color="000000"/>
              <w:bottom w:val="single" w:sz="12" w:space="0" w:color="000000"/>
              <w:right w:val="single" w:sz="2"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p>
        </w:tc>
        <w:tc>
          <w:tcPr>
            <w:tcW w:w="1896" w:type="dxa"/>
            <w:tcBorders>
              <w:top w:val="single" w:sz="2" w:space="0" w:color="000000"/>
              <w:left w:val="single" w:sz="2" w:space="0" w:color="000000"/>
              <w:bottom w:val="single" w:sz="12"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2,938,538,838.96</w:t>
            </w:r>
          </w:p>
        </w:tc>
      </w:tr>
    </w:tbl>
    <w:p>
      <w:pPr>
        <w:pStyle w:val="BodyText"/>
        <w:spacing w:line="241" w:lineRule="exact"/>
        <w:ind w:left="658" w:right="930"/>
        <w:jc w:val="left"/>
      </w:pPr>
      <w:r>
        <w:rPr/>
        <w:t>②以后年度最低租赁付款额及分期付款额情况</w:t>
      </w:r>
    </w:p>
    <w:p>
      <w:pPr>
        <w:spacing w:line="240" w:lineRule="auto" w:before="13"/>
        <w:rPr>
          <w:rFonts w:ascii="宋体" w:hAnsi="宋体" w:cs="宋体" w:eastAsia="宋体"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4539"/>
        <w:gridCol w:w="4525"/>
      </w:tblGrid>
      <w:tr>
        <w:trPr>
          <w:trHeight w:val="427" w:hRule="exact"/>
        </w:trPr>
        <w:tc>
          <w:tcPr>
            <w:tcW w:w="4539" w:type="dxa"/>
            <w:tcBorders>
              <w:top w:val="single" w:sz="12" w:space="0" w:color="000000"/>
              <w:left w:val="nil" w:sz="6" w:space="0" w:color="auto"/>
              <w:bottom w:val="single" w:sz="4" w:space="0" w:color="000000"/>
              <w:right w:val="single" w:sz="4" w:space="0" w:color="000000"/>
            </w:tcBorders>
          </w:tcPr>
          <w:p>
            <w:pPr>
              <w:pStyle w:val="TableParagraph"/>
              <w:spacing w:line="241" w:lineRule="exact"/>
              <w:ind w:left="18" w:right="0"/>
              <w:jc w:val="center"/>
              <w:rPr>
                <w:rFonts w:ascii="宋体" w:hAnsi="宋体" w:cs="宋体" w:eastAsia="宋体" w:hint="default"/>
                <w:sz w:val="21"/>
                <w:szCs w:val="21"/>
              </w:rPr>
            </w:pPr>
            <w:r>
              <w:rPr>
                <w:rFonts w:ascii="宋体" w:hAnsi="宋体" w:cs="宋体" w:eastAsia="宋体" w:hint="default"/>
                <w:sz w:val="21"/>
                <w:szCs w:val="21"/>
              </w:rPr>
              <w:t>剩余租赁期</w:t>
            </w:r>
          </w:p>
        </w:tc>
        <w:tc>
          <w:tcPr>
            <w:tcW w:w="4525" w:type="dxa"/>
            <w:tcBorders>
              <w:top w:val="single" w:sz="12" w:space="0" w:color="000000"/>
              <w:left w:val="single" w:sz="4" w:space="0" w:color="000000"/>
              <w:bottom w:val="single" w:sz="4" w:space="0" w:color="000000"/>
              <w:right w:val="nil" w:sz="6" w:space="0" w:color="auto"/>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最低租赁付款额</w:t>
            </w:r>
          </w:p>
        </w:tc>
      </w:tr>
      <w:tr>
        <w:trPr>
          <w:trHeight w:val="420" w:hRule="exact"/>
        </w:trPr>
        <w:tc>
          <w:tcPr>
            <w:tcW w:w="4539"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年以内（含</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4525"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646,889,862.28</w:t>
            </w:r>
          </w:p>
        </w:tc>
      </w:tr>
      <w:tr>
        <w:trPr>
          <w:trHeight w:val="418" w:hRule="exact"/>
        </w:trPr>
        <w:tc>
          <w:tcPr>
            <w:tcW w:w="4539"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年以上</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5"/>
                <w:sz w:val="21"/>
                <w:szCs w:val="21"/>
              </w:rPr>
              <w:t> </w:t>
            </w:r>
            <w:r>
              <w:rPr>
                <w:rFonts w:ascii="宋体" w:hAnsi="宋体" w:cs="宋体" w:eastAsia="宋体" w:hint="default"/>
                <w:sz w:val="21"/>
                <w:szCs w:val="21"/>
              </w:rPr>
              <w:t>年以内（含</w:t>
            </w:r>
            <w:r>
              <w:rPr>
                <w:rFonts w:ascii="宋体" w:hAnsi="宋体" w:cs="宋体" w:eastAsia="宋体" w:hint="default"/>
                <w:spacing w:val="-51"/>
                <w:sz w:val="21"/>
                <w:szCs w:val="21"/>
              </w:rPr>
              <w:t> </w:t>
            </w:r>
            <w:r>
              <w:rPr>
                <w:rFonts w:ascii="宋体" w:hAnsi="宋体" w:cs="宋体" w:eastAsia="宋体" w:hint="default"/>
                <w:sz w:val="21"/>
                <w:szCs w:val="21"/>
              </w:rPr>
              <w:t>2</w:t>
            </w:r>
            <w:r>
              <w:rPr>
                <w:rFonts w:ascii="宋体" w:hAnsi="宋体" w:cs="宋体" w:eastAsia="宋体" w:hint="default"/>
                <w:spacing w:val="-55"/>
                <w:sz w:val="21"/>
                <w:szCs w:val="21"/>
              </w:rPr>
              <w:t> </w:t>
            </w:r>
            <w:r>
              <w:rPr>
                <w:rFonts w:ascii="宋体" w:hAnsi="宋体" w:cs="宋体" w:eastAsia="宋体" w:hint="default"/>
                <w:sz w:val="21"/>
                <w:szCs w:val="21"/>
              </w:rPr>
              <w:t>年）</w:t>
            </w:r>
          </w:p>
        </w:tc>
        <w:tc>
          <w:tcPr>
            <w:tcW w:w="4525"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568,150,499.24</w:t>
            </w:r>
          </w:p>
        </w:tc>
      </w:tr>
      <w:tr>
        <w:trPr>
          <w:trHeight w:val="430" w:hRule="exact"/>
        </w:trPr>
        <w:tc>
          <w:tcPr>
            <w:tcW w:w="4539" w:type="dxa"/>
            <w:tcBorders>
              <w:top w:val="single" w:sz="4" w:space="0" w:color="000000"/>
              <w:left w:val="nil" w:sz="6" w:space="0" w:color="auto"/>
              <w:bottom w:val="single" w:sz="12"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年以上</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年以内（含</w:t>
            </w:r>
            <w:r>
              <w:rPr>
                <w:rFonts w:ascii="宋体" w:hAnsi="宋体" w:cs="宋体" w:eastAsia="宋体" w:hint="default"/>
                <w:spacing w:val="-51"/>
                <w:sz w:val="21"/>
                <w:szCs w:val="21"/>
              </w:rPr>
              <w:t> </w:t>
            </w: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年）</w:t>
            </w:r>
          </w:p>
        </w:tc>
        <w:tc>
          <w:tcPr>
            <w:tcW w:w="4525" w:type="dxa"/>
            <w:tcBorders>
              <w:top w:val="single" w:sz="4" w:space="0" w:color="000000"/>
              <w:left w:val="single" w:sz="4" w:space="0" w:color="000000"/>
              <w:bottom w:val="single" w:sz="12"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1,068,987,593.11</w:t>
            </w:r>
          </w:p>
        </w:tc>
      </w:tr>
    </w:tbl>
    <w:p>
      <w:pPr>
        <w:spacing w:after="0" w:line="241" w:lineRule="exact"/>
        <w:jc w:val="right"/>
        <w:rPr>
          <w:rFonts w:ascii="宋体" w:hAnsi="宋体" w:cs="宋体" w:eastAsia="宋体" w:hint="default"/>
          <w:sz w:val="21"/>
          <w:szCs w:val="21"/>
        </w:rPr>
        <w:sectPr>
          <w:pgSz w:w="11910" w:h="16840"/>
          <w:pgMar w:header="882" w:footer="1195" w:top="1120" w:bottom="1380" w:left="15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4539"/>
        <w:gridCol w:w="4525"/>
      </w:tblGrid>
      <w:tr>
        <w:trPr>
          <w:trHeight w:val="430" w:hRule="exact"/>
        </w:trPr>
        <w:tc>
          <w:tcPr>
            <w:tcW w:w="4539" w:type="dxa"/>
            <w:tcBorders>
              <w:top w:val="single" w:sz="12" w:space="0" w:color="000000"/>
              <w:left w:val="nil" w:sz="6" w:space="0" w:color="auto"/>
              <w:bottom w:val="single" w:sz="4" w:space="0" w:color="000000"/>
              <w:right w:val="single" w:sz="4" w:space="0" w:color="000000"/>
            </w:tcBorders>
          </w:tcPr>
          <w:p>
            <w:pPr>
              <w:pStyle w:val="TableParagraph"/>
              <w:spacing w:line="244" w:lineRule="exact"/>
              <w:ind w:left="122"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4525" w:type="dxa"/>
            <w:tcBorders>
              <w:top w:val="single" w:sz="12" w:space="0" w:color="000000"/>
              <w:left w:val="single" w:sz="4" w:space="0" w:color="000000"/>
              <w:bottom w:val="single" w:sz="4" w:space="0" w:color="000000"/>
              <w:right w:val="nil" w:sz="6" w:space="0" w:color="auto"/>
            </w:tcBorders>
          </w:tcPr>
          <w:p>
            <w:pPr>
              <w:pStyle w:val="TableParagraph"/>
              <w:spacing w:line="244" w:lineRule="exact"/>
              <w:ind w:right="105"/>
              <w:jc w:val="right"/>
              <w:rPr>
                <w:rFonts w:ascii="宋体" w:hAnsi="宋体" w:cs="宋体" w:eastAsia="宋体" w:hint="default"/>
                <w:sz w:val="21"/>
                <w:szCs w:val="21"/>
              </w:rPr>
            </w:pPr>
            <w:r>
              <w:rPr>
                <w:rFonts w:ascii="宋体"/>
                <w:spacing w:val="-1"/>
                <w:sz w:val="21"/>
              </w:rPr>
              <w:t>219,525,067.70</w:t>
            </w:r>
          </w:p>
        </w:tc>
      </w:tr>
      <w:tr>
        <w:trPr>
          <w:trHeight w:val="430" w:hRule="exact"/>
        </w:trPr>
        <w:tc>
          <w:tcPr>
            <w:tcW w:w="4539" w:type="dxa"/>
            <w:tcBorders>
              <w:top w:val="single" w:sz="4" w:space="0" w:color="000000"/>
              <w:left w:val="nil" w:sz="6" w:space="0" w:color="auto"/>
              <w:bottom w:val="single" w:sz="12" w:space="0" w:color="000000"/>
              <w:right w:val="single" w:sz="4" w:space="0" w:color="000000"/>
            </w:tcBorders>
          </w:tcPr>
          <w:p>
            <w:pPr>
              <w:pStyle w:val="TableParagraph"/>
              <w:spacing w:line="241" w:lineRule="exact"/>
              <w:ind w:left="20"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5" w:type="dxa"/>
            <w:tcBorders>
              <w:top w:val="single" w:sz="4" w:space="0" w:color="000000"/>
              <w:left w:val="single" w:sz="4" w:space="0" w:color="000000"/>
              <w:bottom w:val="single" w:sz="12"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2,503,553,022.33</w:t>
            </w:r>
          </w:p>
        </w:tc>
      </w:tr>
    </w:tbl>
    <w:p>
      <w:pPr>
        <w:pStyle w:val="BodyText"/>
        <w:spacing w:line="241" w:lineRule="exact"/>
        <w:ind w:left="658" w:right="930"/>
        <w:jc w:val="left"/>
      </w:pPr>
      <w:r>
        <w:rPr/>
        <w:t>注：截止</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2"/>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日，公司未确认的融资费用余额为</w:t>
      </w:r>
      <w:r>
        <w:rPr>
          <w:spacing w:val="-53"/>
        </w:rPr>
        <w:t> </w:t>
      </w:r>
      <w:r>
        <w:rPr>
          <w:rFonts w:ascii="宋体" w:hAnsi="宋体" w:cs="宋体" w:eastAsia="宋体" w:hint="default"/>
        </w:rPr>
        <w:t>346,736,426.55</w:t>
      </w:r>
      <w:r>
        <w:rPr>
          <w:rFonts w:ascii="宋体" w:hAnsi="宋体" w:cs="宋体" w:eastAsia="宋体" w:hint="default"/>
          <w:spacing w:val="-55"/>
        </w:rPr>
        <w:t> </w:t>
      </w:r>
      <w:r>
        <w:rPr/>
        <w:t>元。</w:t>
      </w:r>
    </w:p>
    <w:p>
      <w:pPr>
        <w:pStyle w:val="BodyText"/>
        <w:spacing w:line="355" w:lineRule="auto" w:before="133"/>
        <w:ind w:left="658" w:right="3401"/>
        <w:jc w:val="left"/>
      </w:pPr>
      <w:r>
        <w:rPr/>
        <w:t>（</w:t>
      </w:r>
      <w:r>
        <w:rPr>
          <w:rFonts w:ascii="宋体" w:hAnsi="宋体" w:cs="宋体" w:eastAsia="宋体" w:hint="default"/>
        </w:rPr>
        <w:t>2</w:t>
      </w:r>
      <w:r>
        <w:rPr/>
        <w:t>）经营租赁承租人</w:t>
      </w:r>
      <w:r>
        <w:rPr>
          <w:w w:val="100"/>
        </w:rPr>
        <w:t> </w:t>
      </w:r>
      <w:r>
        <w:rPr>
          <w:spacing w:val="-2"/>
        </w:rPr>
        <w:t>经营租赁承租人最低租赁付款额情况</w:t>
      </w:r>
    </w:p>
    <w:p>
      <w:pPr>
        <w:spacing w:line="240" w:lineRule="auto" w:before="3"/>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4539"/>
        <w:gridCol w:w="4525"/>
      </w:tblGrid>
      <w:tr>
        <w:trPr>
          <w:trHeight w:val="427" w:hRule="exact"/>
        </w:trPr>
        <w:tc>
          <w:tcPr>
            <w:tcW w:w="4539" w:type="dxa"/>
            <w:tcBorders>
              <w:top w:val="single" w:sz="12" w:space="0" w:color="000000"/>
              <w:left w:val="nil" w:sz="6" w:space="0" w:color="auto"/>
              <w:bottom w:val="single" w:sz="4" w:space="0" w:color="000000"/>
              <w:right w:val="single" w:sz="4" w:space="0" w:color="000000"/>
            </w:tcBorders>
          </w:tcPr>
          <w:p>
            <w:pPr>
              <w:pStyle w:val="TableParagraph"/>
              <w:spacing w:line="241" w:lineRule="exact"/>
              <w:ind w:left="18" w:right="0"/>
              <w:jc w:val="center"/>
              <w:rPr>
                <w:rFonts w:ascii="宋体" w:hAnsi="宋体" w:cs="宋体" w:eastAsia="宋体" w:hint="default"/>
                <w:sz w:val="21"/>
                <w:szCs w:val="21"/>
              </w:rPr>
            </w:pPr>
            <w:r>
              <w:rPr>
                <w:rFonts w:ascii="宋体" w:hAnsi="宋体" w:cs="宋体" w:eastAsia="宋体" w:hint="default"/>
                <w:sz w:val="21"/>
                <w:szCs w:val="21"/>
              </w:rPr>
              <w:t>剩余租赁期</w:t>
            </w:r>
          </w:p>
        </w:tc>
        <w:tc>
          <w:tcPr>
            <w:tcW w:w="4525" w:type="dxa"/>
            <w:tcBorders>
              <w:top w:val="single" w:sz="12" w:space="0" w:color="000000"/>
              <w:left w:val="single" w:sz="4" w:space="0" w:color="000000"/>
              <w:bottom w:val="single" w:sz="4" w:space="0" w:color="000000"/>
              <w:right w:val="nil" w:sz="6" w:space="0" w:color="auto"/>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最低租赁付款额</w:t>
            </w:r>
          </w:p>
        </w:tc>
      </w:tr>
      <w:tr>
        <w:trPr>
          <w:trHeight w:val="420" w:hRule="exact"/>
        </w:trPr>
        <w:tc>
          <w:tcPr>
            <w:tcW w:w="4539"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年以内（含</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4525" w:type="dxa"/>
            <w:tcBorders>
              <w:top w:val="single" w:sz="4" w:space="0" w:color="000000"/>
              <w:left w:val="single" w:sz="4" w:space="0" w:color="000000"/>
              <w:bottom w:val="single" w:sz="4" w:space="0" w:color="000000"/>
              <w:right w:val="nil" w:sz="6" w:space="0" w:color="auto"/>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220,036,242.32</w:t>
            </w:r>
          </w:p>
        </w:tc>
      </w:tr>
      <w:tr>
        <w:trPr>
          <w:trHeight w:val="418" w:hRule="exact"/>
        </w:trPr>
        <w:tc>
          <w:tcPr>
            <w:tcW w:w="4539"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年以上</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年以内（含</w:t>
            </w:r>
            <w:r>
              <w:rPr>
                <w:rFonts w:ascii="宋体" w:hAnsi="宋体" w:cs="宋体" w:eastAsia="宋体" w:hint="default"/>
                <w:spacing w:val="-51"/>
                <w:sz w:val="21"/>
                <w:szCs w:val="21"/>
              </w:rPr>
              <w:t> </w:t>
            </w: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年）</w:t>
            </w:r>
          </w:p>
        </w:tc>
        <w:tc>
          <w:tcPr>
            <w:tcW w:w="4525"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591,436,645.26</w:t>
            </w:r>
          </w:p>
        </w:tc>
      </w:tr>
      <w:tr>
        <w:trPr>
          <w:trHeight w:val="420" w:hRule="exact"/>
        </w:trPr>
        <w:tc>
          <w:tcPr>
            <w:tcW w:w="4539"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4525"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409,483,884.78</w:t>
            </w:r>
          </w:p>
        </w:tc>
      </w:tr>
      <w:tr>
        <w:trPr>
          <w:trHeight w:val="427" w:hRule="exact"/>
        </w:trPr>
        <w:tc>
          <w:tcPr>
            <w:tcW w:w="4539" w:type="dxa"/>
            <w:tcBorders>
              <w:top w:val="single" w:sz="4" w:space="0" w:color="000000"/>
              <w:left w:val="nil" w:sz="6" w:space="0" w:color="auto"/>
              <w:bottom w:val="single" w:sz="12" w:space="0" w:color="000000"/>
              <w:right w:val="single" w:sz="4" w:space="0" w:color="000000"/>
            </w:tcBorders>
          </w:tcPr>
          <w:p>
            <w:pPr>
              <w:pStyle w:val="TableParagraph"/>
              <w:spacing w:line="241" w:lineRule="exact"/>
              <w:ind w:left="20"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5" w:type="dxa"/>
            <w:tcBorders>
              <w:top w:val="single" w:sz="4" w:space="0" w:color="000000"/>
              <w:left w:val="single" w:sz="4" w:space="0" w:color="000000"/>
              <w:bottom w:val="single" w:sz="12"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1,220,956,772.36</w:t>
            </w:r>
          </w:p>
        </w:tc>
      </w:tr>
    </w:tbl>
    <w:p>
      <w:pPr>
        <w:pStyle w:val="BodyText"/>
        <w:spacing w:line="241" w:lineRule="exact"/>
        <w:ind w:left="658" w:right="930"/>
        <w:jc w:val="left"/>
      </w:pPr>
      <w:r>
        <w:rPr/>
        <w:t>（</w:t>
      </w:r>
      <w:r>
        <w:rPr>
          <w:rFonts w:ascii="宋体" w:hAnsi="宋体" w:cs="宋体" w:eastAsia="宋体" w:hint="default"/>
        </w:rPr>
        <w:t>3</w:t>
      </w:r>
      <w:r>
        <w:rPr/>
        <w:t>）售后回租交易以及售后回租合同中的重要条款</w:t>
      </w:r>
    </w:p>
    <w:p>
      <w:pPr>
        <w:pStyle w:val="BodyText"/>
        <w:spacing w:line="240" w:lineRule="auto" w:before="135"/>
        <w:ind w:left="658" w:right="930"/>
        <w:jc w:val="left"/>
      </w:pPr>
      <w:r>
        <w:rPr/>
        <w:t>①船舶“仁建</w:t>
      </w:r>
      <w:r>
        <w:rPr>
          <w:spacing w:val="-53"/>
        </w:rPr>
        <w:t> </w:t>
      </w:r>
      <w:r>
        <w:rPr>
          <w:rFonts w:ascii="宋体" w:hAnsi="宋体" w:cs="宋体" w:eastAsia="宋体" w:hint="default"/>
        </w:rPr>
        <w:t>9</w:t>
      </w:r>
      <w:r>
        <w:rPr/>
        <w:t>”售后回租</w:t>
      </w:r>
      <w:r>
        <w:rPr>
          <w:spacing w:val="1"/>
        </w:rPr>
        <w:t> </w:t>
      </w:r>
      <w:r>
        <w:rPr/>
        <w:t>（合同签订日期：</w:t>
      </w:r>
      <w:r>
        <w:rPr>
          <w:rFonts w:ascii="宋体" w:hAnsi="宋体" w:cs="宋体" w:eastAsia="宋体" w:hint="default"/>
        </w:rPr>
        <w:t>2014</w:t>
      </w:r>
      <w:r>
        <w:rPr>
          <w:rFonts w:ascii="宋体" w:hAnsi="宋体" w:cs="宋体" w:eastAsia="宋体" w:hint="default"/>
          <w:spacing w:val="-53"/>
        </w:rPr>
        <w:t> </w:t>
      </w:r>
      <w:r>
        <w:rPr/>
        <w:t>年</w:t>
      </w:r>
      <w:r>
        <w:rPr>
          <w:spacing w:val="-53"/>
        </w:rPr>
        <w:t> </w:t>
      </w:r>
      <w:r>
        <w:rPr>
          <w:rFonts w:ascii="宋体" w:hAnsi="宋体" w:cs="宋体" w:eastAsia="宋体" w:hint="default"/>
        </w:rPr>
        <w:t>5</w:t>
      </w:r>
      <w:r>
        <w:rPr>
          <w:rFonts w:ascii="宋体" w:hAnsi="宋体" w:cs="宋体" w:eastAsia="宋体" w:hint="default"/>
          <w:spacing w:val="-55"/>
        </w:rPr>
        <w:t> </w:t>
      </w:r>
      <w:r>
        <w:rPr/>
        <w:t>月）</w:t>
      </w:r>
    </w:p>
    <w:p>
      <w:pPr>
        <w:pStyle w:val="BodyText"/>
        <w:spacing w:line="240" w:lineRule="auto" w:before="133"/>
        <w:ind w:left="658" w:right="0"/>
        <w:jc w:val="left"/>
      </w:pPr>
      <w:r>
        <w:rPr/>
        <w:t>本公司于</w:t>
      </w:r>
      <w:r>
        <w:rPr>
          <w:spacing w:val="-38"/>
        </w:rPr>
        <w:t> </w:t>
      </w:r>
      <w:r>
        <w:rPr>
          <w:rFonts w:ascii="宋体" w:hAnsi="宋体" w:cs="宋体" w:eastAsia="宋体" w:hint="default"/>
        </w:rPr>
        <w:t>2014</w:t>
      </w:r>
      <w:r>
        <w:rPr>
          <w:rFonts w:ascii="宋体" w:hAnsi="宋体" w:cs="宋体" w:eastAsia="宋体" w:hint="default"/>
          <w:spacing w:val="-40"/>
        </w:rPr>
        <w:t> </w:t>
      </w:r>
      <w:r>
        <w:rPr/>
        <w:t>年</w:t>
      </w:r>
      <w:r>
        <w:rPr>
          <w:spacing w:val="-36"/>
        </w:rPr>
        <w:t> </w:t>
      </w:r>
      <w:r>
        <w:rPr>
          <w:rFonts w:ascii="宋体" w:hAnsi="宋体" w:cs="宋体" w:eastAsia="宋体" w:hint="default"/>
        </w:rPr>
        <w:t>5</w:t>
      </w:r>
      <w:r>
        <w:rPr>
          <w:rFonts w:ascii="宋体" w:hAnsi="宋体" w:cs="宋体" w:eastAsia="宋体" w:hint="default"/>
          <w:spacing w:val="-40"/>
        </w:rPr>
        <w:t> </w:t>
      </w:r>
      <w:r>
        <w:rPr>
          <w:spacing w:val="-5"/>
        </w:rPr>
        <w:t>月与厦门弘信博格租赁有限公司签订融资租赁合同，对公司自有船舶“仁</w:t>
      </w:r>
    </w:p>
    <w:p>
      <w:pPr>
        <w:pStyle w:val="BodyText"/>
        <w:spacing w:line="240" w:lineRule="auto" w:before="133"/>
        <w:ind w:left="238" w:right="930"/>
        <w:jc w:val="left"/>
      </w:pPr>
      <w:r>
        <w:rPr/>
        <w:t>建</w:t>
      </w:r>
      <w:r>
        <w:rPr>
          <w:spacing w:val="-53"/>
        </w:rPr>
        <w:t> </w:t>
      </w:r>
      <w:r>
        <w:rPr>
          <w:rFonts w:ascii="宋体" w:hAnsi="宋体" w:cs="宋体" w:eastAsia="宋体" w:hint="default"/>
        </w:rPr>
        <w:t>9</w:t>
      </w:r>
      <w:r>
        <w:rPr/>
        <w:t>”进行了售后回租，融资额</w:t>
      </w:r>
      <w:r>
        <w:rPr>
          <w:spacing w:val="-53"/>
        </w:rPr>
        <w:t> </w:t>
      </w:r>
      <w:r>
        <w:rPr>
          <w:rFonts w:ascii="宋体" w:hAnsi="宋体" w:cs="宋体" w:eastAsia="宋体" w:hint="default"/>
        </w:rPr>
        <w:t>10,000.00</w:t>
      </w:r>
      <w:r>
        <w:rPr>
          <w:rFonts w:ascii="宋体" w:hAnsi="宋体" w:cs="宋体" w:eastAsia="宋体" w:hint="default"/>
          <w:spacing w:val="-53"/>
        </w:rPr>
        <w:t> </w:t>
      </w:r>
      <w:r>
        <w:rPr/>
        <w:t>万元，租赁期间</w:t>
      </w:r>
      <w:r>
        <w:rPr>
          <w:spacing w:val="-53"/>
        </w:rPr>
        <w:t> </w:t>
      </w:r>
      <w:r>
        <w:rPr>
          <w:rFonts w:ascii="宋体" w:hAnsi="宋体" w:cs="宋体" w:eastAsia="宋体" w:hint="default"/>
        </w:rPr>
        <w:t>2014</w:t>
      </w:r>
      <w:r>
        <w:rPr>
          <w:rFonts w:ascii="宋体" w:hAnsi="宋体" w:cs="宋体" w:eastAsia="宋体" w:hint="default"/>
          <w:spacing w:val="-55"/>
        </w:rPr>
        <w:t> </w:t>
      </w:r>
      <w:r>
        <w:rPr/>
        <w:t>年</w:t>
      </w:r>
      <w:r>
        <w:rPr>
          <w:spacing w:val="-53"/>
        </w:rPr>
        <w:t> </w:t>
      </w:r>
      <w:r>
        <w:rPr>
          <w:rFonts w:ascii="宋体" w:hAnsi="宋体" w:cs="宋体" w:eastAsia="宋体" w:hint="default"/>
        </w:rPr>
        <w:t>4</w:t>
      </w:r>
      <w:r>
        <w:rPr>
          <w:rFonts w:ascii="宋体" w:hAnsi="宋体" w:cs="宋体" w:eastAsia="宋体" w:hint="default"/>
          <w:spacing w:val="-55"/>
        </w:rPr>
        <w:t> </w:t>
      </w:r>
      <w:r>
        <w:rPr/>
        <w:t>月</w:t>
      </w:r>
      <w:r>
        <w:rPr>
          <w:rFonts w:ascii="宋体" w:hAnsi="宋体" w:cs="宋体" w:eastAsia="宋体" w:hint="default"/>
        </w:rPr>
        <w:t>-2019</w:t>
      </w:r>
      <w:r>
        <w:rPr>
          <w:rFonts w:ascii="宋体" w:hAnsi="宋体" w:cs="宋体" w:eastAsia="宋体" w:hint="default"/>
          <w:spacing w:val="-52"/>
        </w:rPr>
        <w:t> </w:t>
      </w:r>
      <w:r>
        <w:rPr/>
        <w:t>年</w:t>
      </w:r>
      <w:r>
        <w:rPr>
          <w:spacing w:val="-53"/>
        </w:rPr>
        <w:t> </w:t>
      </w:r>
      <w:r>
        <w:rPr>
          <w:rFonts w:ascii="宋体" w:hAnsi="宋体" w:cs="宋体" w:eastAsia="宋体" w:hint="default"/>
        </w:rPr>
        <w:t>4</w:t>
      </w:r>
      <w:r>
        <w:rPr>
          <w:rFonts w:ascii="宋体" w:hAnsi="宋体" w:cs="宋体" w:eastAsia="宋体" w:hint="default"/>
          <w:spacing w:val="-55"/>
        </w:rPr>
        <w:t> </w:t>
      </w:r>
      <w:r>
        <w:rPr/>
        <w:t>月。</w:t>
      </w:r>
    </w:p>
    <w:p>
      <w:pPr>
        <w:pStyle w:val="BodyText"/>
        <w:spacing w:line="240" w:lineRule="auto" w:before="133"/>
        <w:ind w:left="658" w:right="930"/>
        <w:jc w:val="left"/>
      </w:pPr>
      <w:r>
        <w:rPr/>
        <w:t>②船舶“安盛</w:t>
      </w:r>
      <w:r>
        <w:rPr>
          <w:spacing w:val="-54"/>
        </w:rPr>
        <w:t> </w:t>
      </w:r>
      <w:r>
        <w:rPr>
          <w:rFonts w:ascii="宋体" w:hAnsi="宋体" w:cs="宋体" w:eastAsia="宋体" w:hint="default"/>
        </w:rPr>
        <w:t>25</w:t>
      </w:r>
      <w:r>
        <w:rPr/>
        <w:t>”售后回租</w:t>
      </w:r>
      <w:r>
        <w:rPr>
          <w:spacing w:val="-1"/>
        </w:rPr>
        <w:t> </w:t>
      </w:r>
      <w:r>
        <w:rPr/>
        <w:t>（合同签订日期：</w:t>
      </w:r>
      <w:r>
        <w:rPr>
          <w:rFonts w:ascii="宋体" w:hAnsi="宋体" w:cs="宋体" w:eastAsia="宋体" w:hint="default"/>
        </w:rPr>
        <w:t>2014</w:t>
      </w:r>
      <w:r>
        <w:rPr>
          <w:rFonts w:ascii="宋体" w:hAnsi="宋体" w:cs="宋体" w:eastAsia="宋体" w:hint="default"/>
          <w:spacing w:val="-54"/>
        </w:rPr>
        <w:t> </w:t>
      </w:r>
      <w:r>
        <w:rPr/>
        <w:t>年</w:t>
      </w:r>
      <w:r>
        <w:rPr>
          <w:spacing w:val="-54"/>
        </w:rPr>
        <w:t> </w:t>
      </w:r>
      <w:r>
        <w:rPr>
          <w:rFonts w:ascii="宋体" w:hAnsi="宋体" w:cs="宋体" w:eastAsia="宋体" w:hint="default"/>
        </w:rPr>
        <w:t>7</w:t>
      </w:r>
      <w:r>
        <w:rPr>
          <w:rFonts w:ascii="宋体" w:hAnsi="宋体" w:cs="宋体" w:eastAsia="宋体" w:hint="default"/>
          <w:spacing w:val="-56"/>
        </w:rPr>
        <w:t> </w:t>
      </w:r>
      <w:r>
        <w:rPr/>
        <w:t>月）</w:t>
      </w:r>
    </w:p>
    <w:p>
      <w:pPr>
        <w:pStyle w:val="BodyText"/>
        <w:spacing w:line="240" w:lineRule="auto" w:before="133"/>
        <w:ind w:left="658" w:right="0"/>
        <w:jc w:val="left"/>
      </w:pPr>
      <w:r>
        <w:rPr/>
        <w:t>本公司于</w:t>
      </w:r>
      <w:r>
        <w:rPr>
          <w:spacing w:val="-54"/>
        </w:rPr>
        <w:t> </w:t>
      </w:r>
      <w:r>
        <w:rPr>
          <w:rFonts w:ascii="宋体" w:hAnsi="宋体" w:cs="宋体" w:eastAsia="宋体" w:hint="default"/>
        </w:rPr>
        <w:t>2010</w:t>
      </w:r>
      <w:r>
        <w:rPr>
          <w:rFonts w:ascii="宋体" w:hAnsi="宋体" w:cs="宋体" w:eastAsia="宋体" w:hint="default"/>
          <w:spacing w:val="-56"/>
        </w:rPr>
        <w:t> </w:t>
      </w:r>
      <w:r>
        <w:rPr/>
        <w:t>年</w:t>
      </w:r>
      <w:r>
        <w:rPr>
          <w:spacing w:val="-53"/>
        </w:rPr>
        <w:t> </w:t>
      </w:r>
      <w:r>
        <w:rPr>
          <w:rFonts w:ascii="宋体" w:hAnsi="宋体" w:cs="宋体" w:eastAsia="宋体" w:hint="default"/>
        </w:rPr>
        <w:t>7</w:t>
      </w:r>
      <w:r>
        <w:rPr>
          <w:rFonts w:ascii="宋体" w:hAnsi="宋体" w:cs="宋体" w:eastAsia="宋体" w:hint="default"/>
          <w:spacing w:val="-56"/>
        </w:rPr>
        <w:t> </w:t>
      </w:r>
      <w:r>
        <w:rPr/>
        <w:t>月与上海国金租赁有限公司签订融资租赁合同，对公司自有船舶“安盛</w:t>
      </w:r>
    </w:p>
    <w:p>
      <w:pPr>
        <w:pStyle w:val="BodyText"/>
        <w:spacing w:line="240" w:lineRule="auto" w:before="136"/>
        <w:ind w:left="238" w:right="930"/>
        <w:jc w:val="left"/>
      </w:pPr>
      <w:r>
        <w:rPr>
          <w:rFonts w:ascii="宋体" w:hAnsi="宋体" w:cs="宋体" w:eastAsia="宋体" w:hint="default"/>
        </w:rPr>
        <w:t>25</w:t>
      </w:r>
      <w:r>
        <w:rPr/>
        <w:t>”进行了售后回租，融资额</w:t>
      </w:r>
      <w:r>
        <w:rPr>
          <w:spacing w:val="-52"/>
        </w:rPr>
        <w:t> </w:t>
      </w:r>
      <w:r>
        <w:rPr>
          <w:rFonts w:ascii="宋体" w:hAnsi="宋体" w:cs="宋体" w:eastAsia="宋体" w:hint="default"/>
        </w:rPr>
        <w:t>4,800.00</w:t>
      </w:r>
      <w:r>
        <w:rPr>
          <w:rFonts w:ascii="宋体" w:hAnsi="宋体" w:cs="宋体" w:eastAsia="宋体" w:hint="default"/>
          <w:spacing w:val="-55"/>
        </w:rPr>
        <w:t> </w:t>
      </w:r>
      <w:r>
        <w:rPr/>
        <w:t>万元，租赁期间</w:t>
      </w:r>
      <w:r>
        <w:rPr>
          <w:spacing w:val="-53"/>
        </w:rPr>
        <w:t> </w:t>
      </w:r>
      <w:r>
        <w:rPr>
          <w:rFonts w:ascii="宋体" w:hAnsi="宋体" w:cs="宋体" w:eastAsia="宋体" w:hint="default"/>
        </w:rPr>
        <w:t>2014</w:t>
      </w:r>
      <w:r>
        <w:rPr>
          <w:rFonts w:ascii="宋体" w:hAnsi="宋体" w:cs="宋体" w:eastAsia="宋体" w:hint="default"/>
          <w:spacing w:val="-55"/>
        </w:rPr>
        <w:t> </w:t>
      </w:r>
      <w:r>
        <w:rPr/>
        <w:t>年</w:t>
      </w:r>
      <w:r>
        <w:rPr>
          <w:spacing w:val="-53"/>
        </w:rPr>
        <w:t> </w:t>
      </w:r>
      <w:r>
        <w:rPr>
          <w:rFonts w:ascii="宋体" w:hAnsi="宋体" w:cs="宋体" w:eastAsia="宋体" w:hint="default"/>
        </w:rPr>
        <w:t>7</w:t>
      </w:r>
      <w:r>
        <w:rPr>
          <w:rFonts w:ascii="宋体" w:hAnsi="宋体" w:cs="宋体" w:eastAsia="宋体" w:hint="default"/>
          <w:spacing w:val="-55"/>
        </w:rPr>
        <w:t> </w:t>
      </w:r>
      <w:r>
        <w:rPr/>
        <w:t>月</w:t>
      </w:r>
      <w:r>
        <w:rPr>
          <w:rFonts w:ascii="宋体" w:hAnsi="宋体" w:cs="宋体" w:eastAsia="宋体" w:hint="default"/>
        </w:rPr>
        <w:t>-2019</w:t>
      </w:r>
      <w:r>
        <w:rPr>
          <w:rFonts w:ascii="宋体" w:hAnsi="宋体" w:cs="宋体" w:eastAsia="宋体" w:hint="default"/>
          <w:spacing w:val="-55"/>
        </w:rPr>
        <w:t> </w:t>
      </w:r>
      <w:r>
        <w:rPr/>
        <w:t>年</w:t>
      </w:r>
      <w:r>
        <w:rPr>
          <w:spacing w:val="-54"/>
        </w:rPr>
        <w:t> </w:t>
      </w:r>
      <w:r>
        <w:rPr>
          <w:rFonts w:ascii="宋体" w:hAnsi="宋体" w:cs="宋体" w:eastAsia="宋体" w:hint="default"/>
        </w:rPr>
        <w:t>7</w:t>
      </w:r>
      <w:r>
        <w:rPr>
          <w:rFonts w:ascii="宋体" w:hAnsi="宋体" w:cs="宋体" w:eastAsia="宋体" w:hint="default"/>
          <w:spacing w:val="-53"/>
        </w:rPr>
        <w:t> </w:t>
      </w:r>
      <w:r>
        <w:rPr/>
        <w:t>月。</w:t>
      </w:r>
    </w:p>
    <w:p>
      <w:pPr>
        <w:pStyle w:val="BodyText"/>
        <w:spacing w:line="240" w:lineRule="auto" w:before="133"/>
        <w:ind w:left="658" w:right="930"/>
        <w:jc w:val="left"/>
      </w:pPr>
      <w:r>
        <w:rPr/>
        <w:t>③船舶“仁建</w:t>
      </w:r>
      <w:r>
        <w:rPr>
          <w:spacing w:val="-53"/>
        </w:rPr>
        <w:t> </w:t>
      </w:r>
      <w:r>
        <w:rPr>
          <w:rFonts w:ascii="宋体" w:hAnsi="宋体" w:cs="宋体" w:eastAsia="宋体" w:hint="default"/>
        </w:rPr>
        <w:t>8</w:t>
      </w:r>
      <w:r>
        <w:rPr/>
        <w:t>”售后回租</w:t>
      </w:r>
      <w:r>
        <w:rPr>
          <w:spacing w:val="1"/>
        </w:rPr>
        <w:t> </w:t>
      </w:r>
      <w:r>
        <w:rPr/>
        <w:t>（合同签订日期：</w:t>
      </w:r>
      <w:r>
        <w:rPr>
          <w:rFonts w:ascii="宋体" w:hAnsi="宋体" w:cs="宋体" w:eastAsia="宋体" w:hint="default"/>
        </w:rPr>
        <w:t>2014</w:t>
      </w:r>
      <w:r>
        <w:rPr>
          <w:rFonts w:ascii="宋体" w:hAnsi="宋体" w:cs="宋体" w:eastAsia="宋体" w:hint="default"/>
          <w:spacing w:val="-53"/>
        </w:rPr>
        <w:t> </w:t>
      </w:r>
      <w:r>
        <w:rPr/>
        <w:t>年</w:t>
      </w:r>
      <w:r>
        <w:rPr>
          <w:spacing w:val="-53"/>
        </w:rPr>
        <w:t> </w:t>
      </w:r>
      <w:r>
        <w:rPr>
          <w:rFonts w:ascii="宋体" w:hAnsi="宋体" w:cs="宋体" w:eastAsia="宋体" w:hint="default"/>
        </w:rPr>
        <w:t>9</w:t>
      </w:r>
      <w:r>
        <w:rPr>
          <w:rFonts w:ascii="宋体" w:hAnsi="宋体" w:cs="宋体" w:eastAsia="宋体" w:hint="default"/>
          <w:spacing w:val="-55"/>
        </w:rPr>
        <w:t> </w:t>
      </w:r>
      <w:r>
        <w:rPr/>
        <w:t>月）</w:t>
      </w:r>
    </w:p>
    <w:p>
      <w:pPr>
        <w:pStyle w:val="BodyText"/>
        <w:spacing w:line="240" w:lineRule="auto" w:before="133"/>
        <w:ind w:left="658" w:right="0"/>
        <w:jc w:val="left"/>
      </w:pPr>
      <w:r>
        <w:rPr>
          <w:w w:val="100"/>
        </w:rPr>
        <w:t>本公</w:t>
      </w:r>
      <w:r>
        <w:rPr>
          <w:spacing w:val="-3"/>
          <w:w w:val="100"/>
        </w:rPr>
        <w:t>司</w:t>
      </w:r>
      <w:r>
        <w:rPr>
          <w:w w:val="100"/>
        </w:rPr>
        <w:t>于</w:t>
      </w:r>
      <w:r>
        <w:rPr>
          <w:spacing w:val="-62"/>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4</w:t>
      </w:r>
      <w:r>
        <w:rPr>
          <w:rFonts w:ascii="宋体" w:hAnsi="宋体" w:cs="宋体" w:eastAsia="宋体" w:hint="default"/>
          <w:spacing w:val="-62"/>
        </w:rPr>
        <w:t> </w:t>
      </w:r>
      <w:r>
        <w:rPr>
          <w:w w:val="100"/>
        </w:rPr>
        <w:t>年</w:t>
      </w:r>
      <w:r>
        <w:rPr>
          <w:spacing w:val="-59"/>
        </w:rPr>
        <w:t> </w:t>
      </w:r>
      <w:r>
        <w:rPr>
          <w:rFonts w:ascii="宋体" w:hAnsi="宋体" w:cs="宋体" w:eastAsia="宋体" w:hint="default"/>
          <w:w w:val="100"/>
        </w:rPr>
        <w:t>9</w:t>
      </w:r>
      <w:r>
        <w:rPr>
          <w:rFonts w:ascii="宋体" w:hAnsi="宋体" w:cs="宋体" w:eastAsia="宋体" w:hint="default"/>
          <w:spacing w:val="-62"/>
        </w:rPr>
        <w:t> </w:t>
      </w:r>
      <w:r>
        <w:rPr>
          <w:w w:val="100"/>
        </w:rPr>
        <w:t>月</w:t>
      </w:r>
      <w:r>
        <w:rPr>
          <w:spacing w:val="-3"/>
          <w:w w:val="100"/>
        </w:rPr>
        <w:t>与皖</w:t>
      </w:r>
      <w:r>
        <w:rPr>
          <w:w w:val="100"/>
        </w:rPr>
        <w:t>江金</w:t>
      </w:r>
      <w:r>
        <w:rPr>
          <w:spacing w:val="-3"/>
          <w:w w:val="100"/>
        </w:rPr>
        <w:t>融</w:t>
      </w:r>
      <w:r>
        <w:rPr>
          <w:w w:val="100"/>
        </w:rPr>
        <w:t>租</w:t>
      </w:r>
      <w:r>
        <w:rPr>
          <w:spacing w:val="-3"/>
          <w:w w:val="100"/>
        </w:rPr>
        <w:t>赁</w:t>
      </w:r>
      <w:r>
        <w:rPr>
          <w:w w:val="100"/>
        </w:rPr>
        <w:t>有</w:t>
      </w:r>
      <w:r>
        <w:rPr>
          <w:spacing w:val="-3"/>
          <w:w w:val="100"/>
        </w:rPr>
        <w:t>限</w:t>
      </w:r>
      <w:r>
        <w:rPr>
          <w:w w:val="100"/>
        </w:rPr>
        <w:t>公</w:t>
      </w:r>
      <w:r>
        <w:rPr>
          <w:spacing w:val="-3"/>
          <w:w w:val="100"/>
        </w:rPr>
        <w:t>司</w:t>
      </w:r>
      <w:r>
        <w:rPr>
          <w:w w:val="100"/>
        </w:rPr>
        <w:t>签</w:t>
      </w:r>
      <w:r>
        <w:rPr>
          <w:spacing w:val="-3"/>
          <w:w w:val="100"/>
        </w:rPr>
        <w:t>订</w:t>
      </w:r>
      <w:r>
        <w:rPr>
          <w:w w:val="100"/>
        </w:rPr>
        <w:t>融资</w:t>
      </w:r>
      <w:r>
        <w:rPr>
          <w:spacing w:val="-3"/>
          <w:w w:val="100"/>
        </w:rPr>
        <w:t>租</w:t>
      </w:r>
      <w:r>
        <w:rPr>
          <w:w w:val="100"/>
        </w:rPr>
        <w:t>赁</w:t>
      </w:r>
      <w:r>
        <w:rPr>
          <w:spacing w:val="-3"/>
          <w:w w:val="100"/>
        </w:rPr>
        <w:t>合</w:t>
      </w:r>
      <w:r>
        <w:rPr>
          <w:w w:val="100"/>
        </w:rPr>
        <w:t>同</w:t>
      </w:r>
      <w:r>
        <w:rPr>
          <w:spacing w:val="-108"/>
          <w:w w:val="100"/>
        </w:rPr>
        <w:t>，</w:t>
      </w:r>
      <w:r>
        <w:rPr>
          <w:w w:val="100"/>
        </w:rPr>
        <w:t>对</w:t>
      </w:r>
      <w:r>
        <w:rPr>
          <w:spacing w:val="-3"/>
          <w:w w:val="100"/>
        </w:rPr>
        <w:t>公</w:t>
      </w:r>
      <w:r>
        <w:rPr>
          <w:w w:val="100"/>
        </w:rPr>
        <w:t>司</w:t>
      </w:r>
      <w:r>
        <w:rPr>
          <w:spacing w:val="-3"/>
          <w:w w:val="100"/>
        </w:rPr>
        <w:t>自有</w:t>
      </w:r>
      <w:r>
        <w:rPr>
          <w:w w:val="100"/>
        </w:rPr>
        <w:t>船</w:t>
      </w:r>
      <w:r>
        <w:rPr>
          <w:spacing w:val="-106"/>
          <w:w w:val="100"/>
        </w:rPr>
        <w:t>舶</w:t>
      </w:r>
      <w:r>
        <w:rPr>
          <w:spacing w:val="-3"/>
          <w:w w:val="100"/>
        </w:rPr>
        <w:t>“仁</w:t>
      </w:r>
      <w:r>
        <w:rPr>
          <w:w w:val="100"/>
        </w:rPr>
        <w:t>建</w:t>
      </w:r>
      <w:r>
        <w:rPr>
          <w:spacing w:val="-60"/>
        </w:rPr>
        <w:t> </w:t>
      </w:r>
      <w:r>
        <w:rPr>
          <w:rFonts w:ascii="宋体" w:hAnsi="宋体" w:cs="宋体" w:eastAsia="宋体" w:hint="default"/>
          <w:w w:val="100"/>
        </w:rPr>
        <w:t>8</w:t>
      </w:r>
      <w:r>
        <w:rPr>
          <w:w w:val="100"/>
        </w:rPr>
        <w:t>”</w:t>
      </w:r>
    </w:p>
    <w:p>
      <w:pPr>
        <w:pStyle w:val="BodyText"/>
        <w:spacing w:line="240" w:lineRule="auto" w:before="133"/>
        <w:ind w:left="238" w:right="930"/>
        <w:jc w:val="left"/>
      </w:pPr>
      <w:r>
        <w:rPr/>
        <w:t>进行了售后回租，融资额</w:t>
      </w:r>
      <w:r>
        <w:rPr>
          <w:spacing w:val="-54"/>
        </w:rPr>
        <w:t> </w:t>
      </w:r>
      <w:r>
        <w:rPr>
          <w:rFonts w:ascii="宋体" w:hAnsi="宋体" w:cs="宋体" w:eastAsia="宋体" w:hint="default"/>
        </w:rPr>
        <w:t>9,400.00</w:t>
      </w:r>
      <w:r>
        <w:rPr>
          <w:rFonts w:ascii="宋体" w:hAnsi="宋体" w:cs="宋体" w:eastAsia="宋体" w:hint="default"/>
          <w:spacing w:val="-54"/>
        </w:rPr>
        <w:t> </w:t>
      </w:r>
      <w:r>
        <w:rPr/>
        <w:t>万元，租赁期间</w:t>
      </w:r>
      <w:r>
        <w:rPr>
          <w:spacing w:val="-54"/>
        </w:rPr>
        <w:t> </w:t>
      </w:r>
      <w:r>
        <w:rPr>
          <w:rFonts w:ascii="宋体" w:hAnsi="宋体" w:cs="宋体" w:eastAsia="宋体" w:hint="default"/>
        </w:rPr>
        <w:t>2014</w:t>
      </w:r>
      <w:r>
        <w:rPr>
          <w:rFonts w:ascii="宋体" w:hAnsi="宋体" w:cs="宋体" w:eastAsia="宋体" w:hint="default"/>
          <w:spacing w:val="-54"/>
        </w:rPr>
        <w:t> </w:t>
      </w:r>
      <w:r>
        <w:rPr/>
        <w:t>年</w:t>
      </w:r>
      <w:r>
        <w:rPr>
          <w:spacing w:val="-52"/>
        </w:rPr>
        <w:t> </w:t>
      </w:r>
      <w:r>
        <w:rPr>
          <w:rFonts w:ascii="宋体" w:hAnsi="宋体" w:cs="宋体" w:eastAsia="宋体" w:hint="default"/>
        </w:rPr>
        <w:t>9</w:t>
      </w:r>
      <w:r>
        <w:rPr>
          <w:rFonts w:ascii="宋体" w:hAnsi="宋体" w:cs="宋体" w:eastAsia="宋体" w:hint="default"/>
          <w:spacing w:val="-54"/>
        </w:rPr>
        <w:t> </w:t>
      </w:r>
      <w:r>
        <w:rPr/>
        <w:t>月</w:t>
      </w:r>
      <w:r>
        <w:rPr>
          <w:rFonts w:ascii="宋体" w:hAnsi="宋体" w:cs="宋体" w:eastAsia="宋体" w:hint="default"/>
        </w:rPr>
        <w:t>-2019</w:t>
      </w:r>
      <w:r>
        <w:rPr>
          <w:rFonts w:ascii="宋体" w:hAnsi="宋体" w:cs="宋体" w:eastAsia="宋体" w:hint="default"/>
          <w:spacing w:val="-54"/>
        </w:rPr>
        <w:t> </w:t>
      </w:r>
      <w:r>
        <w:rPr/>
        <w:t>年</w:t>
      </w:r>
      <w:r>
        <w:rPr>
          <w:spacing w:val="-52"/>
        </w:rPr>
        <w:t> </w:t>
      </w:r>
      <w:r>
        <w:rPr>
          <w:rFonts w:ascii="宋体" w:hAnsi="宋体" w:cs="宋体" w:eastAsia="宋体" w:hint="default"/>
        </w:rPr>
        <w:t>9</w:t>
      </w:r>
      <w:r>
        <w:rPr>
          <w:rFonts w:ascii="宋体" w:hAnsi="宋体" w:cs="宋体" w:eastAsia="宋体" w:hint="default"/>
          <w:spacing w:val="-52"/>
        </w:rPr>
        <w:t> </w:t>
      </w:r>
      <w:r>
        <w:rPr>
          <w:spacing w:val="-3"/>
        </w:rPr>
        <w:t>月。</w:t>
      </w:r>
      <w:r>
        <w:rPr/>
      </w:r>
    </w:p>
    <w:p>
      <w:pPr>
        <w:pStyle w:val="BodyText"/>
        <w:spacing w:line="240" w:lineRule="auto" w:before="135"/>
        <w:ind w:left="658" w:right="930"/>
        <w:jc w:val="left"/>
      </w:pPr>
      <w:r>
        <w:rPr/>
        <w:t>④船舶“安盛</w:t>
      </w:r>
      <w:r>
        <w:rPr>
          <w:spacing w:val="-54"/>
        </w:rPr>
        <w:t> </w:t>
      </w:r>
      <w:r>
        <w:rPr>
          <w:rFonts w:ascii="宋体" w:hAnsi="宋体" w:cs="宋体" w:eastAsia="宋体" w:hint="default"/>
        </w:rPr>
        <w:t>26</w:t>
      </w:r>
      <w:r>
        <w:rPr/>
        <w:t>”售后回租</w:t>
      </w:r>
      <w:r>
        <w:rPr>
          <w:spacing w:val="-1"/>
        </w:rPr>
        <w:t> </w:t>
      </w:r>
      <w:r>
        <w:rPr/>
        <w:t>（合同签订日期：</w:t>
      </w:r>
      <w:r>
        <w:rPr>
          <w:rFonts w:ascii="宋体" w:hAnsi="宋体" w:cs="宋体" w:eastAsia="宋体" w:hint="default"/>
        </w:rPr>
        <w:t>2015</w:t>
      </w:r>
      <w:r>
        <w:rPr>
          <w:rFonts w:ascii="宋体" w:hAnsi="宋体" w:cs="宋体" w:eastAsia="宋体" w:hint="default"/>
          <w:spacing w:val="-54"/>
        </w:rPr>
        <w:t> </w:t>
      </w:r>
      <w:r>
        <w:rPr/>
        <w:t>年</w:t>
      </w:r>
      <w:r>
        <w:rPr>
          <w:spacing w:val="-54"/>
        </w:rPr>
        <w:t> </w:t>
      </w:r>
      <w:r>
        <w:rPr>
          <w:rFonts w:ascii="宋体" w:hAnsi="宋体" w:cs="宋体" w:eastAsia="宋体" w:hint="default"/>
        </w:rPr>
        <w:t>4</w:t>
      </w:r>
      <w:r>
        <w:rPr>
          <w:rFonts w:ascii="宋体" w:hAnsi="宋体" w:cs="宋体" w:eastAsia="宋体" w:hint="default"/>
          <w:spacing w:val="-56"/>
        </w:rPr>
        <w:t> </w:t>
      </w:r>
      <w:r>
        <w:rPr/>
        <w:t>月）</w:t>
      </w:r>
    </w:p>
    <w:p>
      <w:pPr>
        <w:pStyle w:val="BodyText"/>
        <w:spacing w:line="240" w:lineRule="auto" w:before="133"/>
        <w:ind w:left="658" w:right="0"/>
        <w:jc w:val="left"/>
      </w:pPr>
      <w:r>
        <w:rPr/>
        <w:t>本公司于</w:t>
      </w:r>
      <w:r>
        <w:rPr>
          <w:spacing w:val="-54"/>
        </w:rPr>
        <w:t> </w:t>
      </w:r>
      <w:r>
        <w:rPr>
          <w:rFonts w:ascii="宋体" w:hAnsi="宋体" w:cs="宋体" w:eastAsia="宋体" w:hint="default"/>
        </w:rPr>
        <w:t>2015</w:t>
      </w:r>
      <w:r>
        <w:rPr>
          <w:rFonts w:ascii="宋体" w:hAnsi="宋体" w:cs="宋体" w:eastAsia="宋体" w:hint="default"/>
          <w:spacing w:val="-56"/>
        </w:rPr>
        <w:t> </w:t>
      </w:r>
      <w:r>
        <w:rPr/>
        <w:t>年</w:t>
      </w:r>
      <w:r>
        <w:rPr>
          <w:spacing w:val="-53"/>
        </w:rPr>
        <w:t> </w:t>
      </w:r>
      <w:r>
        <w:rPr>
          <w:rFonts w:ascii="宋体" w:hAnsi="宋体" w:cs="宋体" w:eastAsia="宋体" w:hint="default"/>
        </w:rPr>
        <w:t>4</w:t>
      </w:r>
      <w:r>
        <w:rPr>
          <w:rFonts w:ascii="宋体" w:hAnsi="宋体" w:cs="宋体" w:eastAsia="宋体" w:hint="default"/>
          <w:spacing w:val="-56"/>
        </w:rPr>
        <w:t> </w:t>
      </w:r>
      <w:r>
        <w:rPr/>
        <w:t>月与上海国金租赁有限公司签订融资租赁合同，对公司自有船舶“安盛</w:t>
      </w:r>
    </w:p>
    <w:p>
      <w:pPr>
        <w:pStyle w:val="BodyText"/>
        <w:spacing w:line="240" w:lineRule="auto" w:before="133"/>
        <w:ind w:left="238" w:right="930"/>
        <w:jc w:val="left"/>
      </w:pPr>
      <w:r>
        <w:rPr>
          <w:rFonts w:ascii="宋体" w:hAnsi="宋体" w:cs="宋体" w:eastAsia="宋体" w:hint="default"/>
        </w:rPr>
        <w:t>26</w:t>
      </w:r>
      <w:r>
        <w:rPr/>
        <w:t>”进行了售后回租，融资额</w:t>
      </w:r>
      <w:r>
        <w:rPr>
          <w:spacing w:val="-52"/>
        </w:rPr>
        <w:t> </w:t>
      </w:r>
      <w:r>
        <w:rPr>
          <w:rFonts w:ascii="宋体" w:hAnsi="宋体" w:cs="宋体" w:eastAsia="宋体" w:hint="default"/>
        </w:rPr>
        <w:t>4,800.00</w:t>
      </w:r>
      <w:r>
        <w:rPr>
          <w:rFonts w:ascii="宋体" w:hAnsi="宋体" w:cs="宋体" w:eastAsia="宋体" w:hint="default"/>
          <w:spacing w:val="-55"/>
        </w:rPr>
        <w:t> </w:t>
      </w:r>
      <w:r>
        <w:rPr/>
        <w:t>万元，租赁期间</w:t>
      </w:r>
      <w:r>
        <w:rPr>
          <w:spacing w:val="-53"/>
        </w:rPr>
        <w:t> </w:t>
      </w:r>
      <w:r>
        <w:rPr>
          <w:rFonts w:ascii="宋体" w:hAnsi="宋体" w:cs="宋体" w:eastAsia="宋体" w:hint="default"/>
        </w:rPr>
        <w:t>2015</w:t>
      </w:r>
      <w:r>
        <w:rPr>
          <w:rFonts w:ascii="宋体" w:hAnsi="宋体" w:cs="宋体" w:eastAsia="宋体" w:hint="default"/>
          <w:spacing w:val="-55"/>
        </w:rPr>
        <w:t> </w:t>
      </w:r>
      <w:r>
        <w:rPr/>
        <w:t>年</w:t>
      </w:r>
      <w:r>
        <w:rPr>
          <w:spacing w:val="-53"/>
        </w:rPr>
        <w:t> </w:t>
      </w:r>
      <w:r>
        <w:rPr>
          <w:rFonts w:ascii="宋体" w:hAnsi="宋体" w:cs="宋体" w:eastAsia="宋体" w:hint="default"/>
        </w:rPr>
        <w:t>4</w:t>
      </w:r>
      <w:r>
        <w:rPr>
          <w:rFonts w:ascii="宋体" w:hAnsi="宋体" w:cs="宋体" w:eastAsia="宋体" w:hint="default"/>
          <w:spacing w:val="-55"/>
        </w:rPr>
        <w:t> </w:t>
      </w:r>
      <w:r>
        <w:rPr/>
        <w:t>月</w:t>
      </w:r>
      <w:r>
        <w:rPr>
          <w:rFonts w:ascii="宋体" w:hAnsi="宋体" w:cs="宋体" w:eastAsia="宋体" w:hint="default"/>
        </w:rPr>
        <w:t>-2023</w:t>
      </w:r>
      <w:r>
        <w:rPr>
          <w:rFonts w:ascii="宋体" w:hAnsi="宋体" w:cs="宋体" w:eastAsia="宋体" w:hint="default"/>
          <w:spacing w:val="-55"/>
        </w:rPr>
        <w:t> </w:t>
      </w:r>
      <w:r>
        <w:rPr/>
        <w:t>年</w:t>
      </w:r>
      <w:r>
        <w:rPr>
          <w:spacing w:val="-54"/>
        </w:rPr>
        <w:t> </w:t>
      </w:r>
      <w:r>
        <w:rPr>
          <w:rFonts w:ascii="宋体" w:hAnsi="宋体" w:cs="宋体" w:eastAsia="宋体" w:hint="default"/>
        </w:rPr>
        <w:t>4</w:t>
      </w:r>
      <w:r>
        <w:rPr>
          <w:rFonts w:ascii="宋体" w:hAnsi="宋体" w:cs="宋体" w:eastAsia="宋体" w:hint="default"/>
          <w:spacing w:val="-53"/>
        </w:rPr>
        <w:t> </w:t>
      </w:r>
      <w:r>
        <w:rPr/>
        <w:t>月。</w:t>
      </w:r>
    </w:p>
    <w:p>
      <w:pPr>
        <w:pStyle w:val="BodyText"/>
        <w:spacing w:line="240" w:lineRule="auto" w:before="133"/>
        <w:ind w:left="658" w:right="930"/>
        <w:jc w:val="left"/>
      </w:pPr>
      <w:r>
        <w:rPr/>
        <w:t>⑤船舶“海丝</w:t>
      </w:r>
      <w:r>
        <w:rPr>
          <w:spacing w:val="-54"/>
        </w:rPr>
        <w:t> </w:t>
      </w:r>
      <w:r>
        <w:rPr>
          <w:rFonts w:ascii="宋体" w:hAnsi="宋体" w:cs="宋体" w:eastAsia="宋体" w:hint="default"/>
        </w:rPr>
        <w:t>1</w:t>
      </w:r>
      <w:r>
        <w:rPr/>
        <w:t>”售后回租 （合同签订日期：</w:t>
      </w:r>
      <w:r>
        <w:rPr>
          <w:rFonts w:ascii="宋体" w:hAnsi="宋体" w:cs="宋体" w:eastAsia="宋体" w:hint="default"/>
        </w:rPr>
        <w:t>2015</w:t>
      </w:r>
      <w:r>
        <w:rPr>
          <w:rFonts w:ascii="宋体" w:hAnsi="宋体" w:cs="宋体" w:eastAsia="宋体" w:hint="default"/>
          <w:spacing w:val="-54"/>
        </w:rPr>
        <w:t> </w:t>
      </w:r>
      <w:r>
        <w:rPr/>
        <w:t>年</w:t>
      </w:r>
      <w:r>
        <w:rPr>
          <w:spacing w:val="-54"/>
        </w:rPr>
        <w:t> </w:t>
      </w:r>
      <w:r>
        <w:rPr>
          <w:rFonts w:ascii="宋体" w:hAnsi="宋体" w:cs="宋体" w:eastAsia="宋体" w:hint="default"/>
        </w:rPr>
        <w:t>11</w:t>
      </w:r>
      <w:r>
        <w:rPr>
          <w:rFonts w:ascii="宋体" w:hAnsi="宋体" w:cs="宋体" w:eastAsia="宋体" w:hint="default"/>
          <w:spacing w:val="-54"/>
        </w:rPr>
        <w:t> </w:t>
      </w:r>
      <w:r>
        <w:rPr>
          <w:spacing w:val="-3"/>
        </w:rPr>
        <w:t>月）</w:t>
      </w:r>
      <w:r>
        <w:rPr/>
      </w:r>
    </w:p>
    <w:p>
      <w:pPr>
        <w:pStyle w:val="BodyText"/>
        <w:spacing w:line="240" w:lineRule="auto" w:before="133"/>
        <w:ind w:left="658" w:right="0"/>
        <w:jc w:val="left"/>
      </w:pPr>
      <w:r>
        <w:rPr/>
        <w:t>本公司于</w:t>
      </w:r>
      <w:r>
        <w:rPr>
          <w:spacing w:val="-53"/>
        </w:rPr>
        <w:t> </w:t>
      </w:r>
      <w:r>
        <w:rPr>
          <w:rFonts w:ascii="宋体" w:hAnsi="宋体" w:cs="宋体" w:eastAsia="宋体" w:hint="default"/>
        </w:rPr>
        <w:t>2015</w:t>
      </w:r>
      <w:r>
        <w:rPr>
          <w:rFonts w:ascii="宋体" w:hAnsi="宋体" w:cs="宋体" w:eastAsia="宋体" w:hint="default"/>
          <w:spacing w:val="-55"/>
        </w:rPr>
        <w:t> </w:t>
      </w:r>
      <w:r>
        <w:rPr/>
        <w:t>年</w:t>
      </w:r>
      <w:r>
        <w:rPr>
          <w:spacing w:val="-52"/>
        </w:rPr>
        <w:t> </w:t>
      </w:r>
      <w:r>
        <w:rPr>
          <w:rFonts w:ascii="宋体" w:hAnsi="宋体" w:cs="宋体" w:eastAsia="宋体" w:hint="default"/>
        </w:rPr>
        <w:t>11</w:t>
      </w:r>
      <w:r>
        <w:rPr>
          <w:rFonts w:ascii="宋体" w:hAnsi="宋体" w:cs="宋体" w:eastAsia="宋体" w:hint="default"/>
          <w:spacing w:val="-55"/>
        </w:rPr>
        <w:t> </w:t>
      </w:r>
      <w:r>
        <w:rPr/>
        <w:t>月与民生金融租赁有限公司签订融资租赁合同，对公司自有船舶“海丝</w:t>
      </w:r>
    </w:p>
    <w:p>
      <w:pPr>
        <w:pStyle w:val="BodyText"/>
        <w:spacing w:line="240" w:lineRule="auto" w:before="135"/>
        <w:ind w:left="238" w:right="930"/>
        <w:jc w:val="left"/>
      </w:pPr>
      <w:r>
        <w:rPr>
          <w:rFonts w:ascii="宋体" w:hAnsi="宋体" w:cs="宋体" w:eastAsia="宋体" w:hint="default"/>
        </w:rPr>
        <w:t>1</w:t>
      </w:r>
      <w:r>
        <w:rPr/>
        <w:t>”进行了售后回租，融资额</w:t>
      </w:r>
      <w:r>
        <w:rPr>
          <w:spacing w:val="-53"/>
        </w:rPr>
        <w:t> </w:t>
      </w:r>
      <w:r>
        <w:rPr>
          <w:rFonts w:ascii="宋体" w:hAnsi="宋体" w:cs="宋体" w:eastAsia="宋体" w:hint="default"/>
        </w:rPr>
        <w:t>12,942.00</w:t>
      </w:r>
      <w:r>
        <w:rPr>
          <w:rFonts w:ascii="宋体" w:hAnsi="宋体" w:cs="宋体" w:eastAsia="宋体" w:hint="default"/>
          <w:spacing w:val="-53"/>
        </w:rPr>
        <w:t> </w:t>
      </w:r>
      <w:r>
        <w:rPr/>
        <w:t>万元，租赁期间</w:t>
      </w:r>
      <w:r>
        <w:rPr>
          <w:spacing w:val="-53"/>
        </w:rPr>
        <w:t> </w:t>
      </w:r>
      <w:r>
        <w:rPr>
          <w:rFonts w:ascii="宋体" w:hAnsi="宋体" w:cs="宋体" w:eastAsia="宋体" w:hint="default"/>
        </w:rPr>
        <w:t>2015</w:t>
      </w:r>
      <w:r>
        <w:rPr>
          <w:rFonts w:ascii="宋体" w:hAnsi="宋体" w:cs="宋体" w:eastAsia="宋体" w:hint="default"/>
          <w:spacing w:val="-55"/>
        </w:rPr>
        <w:t> </w:t>
      </w:r>
      <w:r>
        <w:rPr/>
        <w:t>年</w:t>
      </w:r>
      <w:r>
        <w:rPr>
          <w:spacing w:val="-53"/>
        </w:rPr>
        <w:t> </w:t>
      </w:r>
      <w:r>
        <w:rPr>
          <w:rFonts w:ascii="宋体" w:hAnsi="宋体" w:cs="宋体" w:eastAsia="宋体" w:hint="default"/>
        </w:rPr>
        <w:t>11</w:t>
      </w:r>
      <w:r>
        <w:rPr>
          <w:rFonts w:ascii="宋体" w:hAnsi="宋体" w:cs="宋体" w:eastAsia="宋体" w:hint="default"/>
          <w:spacing w:val="-55"/>
        </w:rPr>
        <w:t> </w:t>
      </w:r>
      <w:r>
        <w:rPr/>
        <w:t>月</w:t>
      </w:r>
      <w:r>
        <w:rPr>
          <w:rFonts w:ascii="宋体" w:hAnsi="宋体" w:cs="宋体" w:eastAsia="宋体" w:hint="default"/>
        </w:rPr>
        <w:t>-2021</w:t>
      </w:r>
      <w:r>
        <w:rPr>
          <w:rFonts w:ascii="宋体" w:hAnsi="宋体" w:cs="宋体" w:eastAsia="宋体" w:hint="default"/>
          <w:spacing w:val="-55"/>
        </w:rPr>
        <w:t> </w:t>
      </w:r>
      <w:r>
        <w:rPr/>
        <w:t>年</w:t>
      </w:r>
      <w:r>
        <w:rPr>
          <w:spacing w:val="-52"/>
        </w:rPr>
        <w:t> </w:t>
      </w:r>
      <w:r>
        <w:rPr>
          <w:rFonts w:ascii="宋体" w:hAnsi="宋体" w:cs="宋体" w:eastAsia="宋体" w:hint="default"/>
        </w:rPr>
        <w:t>11</w:t>
      </w:r>
      <w:r>
        <w:rPr>
          <w:rFonts w:ascii="宋体" w:hAnsi="宋体" w:cs="宋体" w:eastAsia="宋体" w:hint="default"/>
          <w:spacing w:val="-55"/>
        </w:rPr>
        <w:t> </w:t>
      </w:r>
      <w:r>
        <w:rPr/>
        <w:t>月。</w:t>
      </w:r>
    </w:p>
    <w:p>
      <w:pPr>
        <w:pStyle w:val="BodyText"/>
        <w:spacing w:line="240" w:lineRule="auto" w:before="133"/>
        <w:ind w:left="658" w:right="930"/>
        <w:jc w:val="left"/>
      </w:pPr>
      <w:r>
        <w:rPr/>
        <w:t>⑥船舶“刺桐</w:t>
      </w:r>
      <w:r>
        <w:rPr>
          <w:spacing w:val="-53"/>
        </w:rPr>
        <w:t> </w:t>
      </w:r>
      <w:r>
        <w:rPr>
          <w:rFonts w:ascii="宋体" w:hAnsi="宋体" w:cs="宋体" w:eastAsia="宋体" w:hint="default"/>
        </w:rPr>
        <w:t>1</w:t>
      </w:r>
      <w:r>
        <w:rPr/>
        <w:t>”售后回租</w:t>
      </w:r>
      <w:r>
        <w:rPr>
          <w:spacing w:val="1"/>
        </w:rPr>
        <w:t> </w:t>
      </w:r>
      <w:r>
        <w:rPr/>
        <w:t>（合同签订日期：</w:t>
      </w:r>
      <w:r>
        <w:rPr>
          <w:rFonts w:ascii="宋体" w:hAnsi="宋体" w:cs="宋体" w:eastAsia="宋体" w:hint="default"/>
        </w:rPr>
        <w:t>2016</w:t>
      </w:r>
      <w:r>
        <w:rPr>
          <w:rFonts w:ascii="宋体" w:hAnsi="宋体" w:cs="宋体" w:eastAsia="宋体" w:hint="default"/>
          <w:spacing w:val="-53"/>
        </w:rPr>
        <w:t> </w:t>
      </w:r>
      <w:r>
        <w:rPr/>
        <w:t>年</w:t>
      </w:r>
      <w:r>
        <w:rPr>
          <w:spacing w:val="-53"/>
        </w:rPr>
        <w:t> </w:t>
      </w:r>
      <w:r>
        <w:rPr>
          <w:rFonts w:ascii="宋体" w:hAnsi="宋体" w:cs="宋体" w:eastAsia="宋体" w:hint="default"/>
        </w:rPr>
        <w:t>6</w:t>
      </w:r>
      <w:r>
        <w:rPr>
          <w:rFonts w:ascii="宋体" w:hAnsi="宋体" w:cs="宋体" w:eastAsia="宋体" w:hint="default"/>
          <w:spacing w:val="-55"/>
        </w:rPr>
        <w:t> </w:t>
      </w:r>
      <w:r>
        <w:rPr/>
        <w:t>月）</w:t>
      </w:r>
    </w:p>
    <w:p>
      <w:pPr>
        <w:pStyle w:val="BodyText"/>
        <w:spacing w:line="240" w:lineRule="auto" w:before="133"/>
        <w:ind w:left="658" w:right="0"/>
        <w:jc w:val="left"/>
      </w:pPr>
      <w:r>
        <w:rPr>
          <w:w w:val="100"/>
        </w:rPr>
        <w:t>本公</w:t>
      </w:r>
      <w:r>
        <w:rPr>
          <w:spacing w:val="-3"/>
          <w:w w:val="100"/>
        </w:rPr>
        <w:t>司</w:t>
      </w:r>
      <w:r>
        <w:rPr>
          <w:w w:val="100"/>
        </w:rPr>
        <w:t>于</w:t>
      </w:r>
      <w:r>
        <w:rPr>
          <w:spacing w:val="-62"/>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6</w:t>
      </w:r>
      <w:r>
        <w:rPr>
          <w:rFonts w:ascii="宋体" w:hAnsi="宋体" w:cs="宋体" w:eastAsia="宋体" w:hint="default"/>
          <w:spacing w:val="-62"/>
        </w:rPr>
        <w:t> </w:t>
      </w:r>
      <w:r>
        <w:rPr>
          <w:w w:val="100"/>
        </w:rPr>
        <w:t>年</w:t>
      </w:r>
      <w:r>
        <w:rPr>
          <w:spacing w:val="-59"/>
        </w:rPr>
        <w:t> </w:t>
      </w:r>
      <w:r>
        <w:rPr>
          <w:rFonts w:ascii="宋体" w:hAnsi="宋体" w:cs="宋体" w:eastAsia="宋体" w:hint="default"/>
          <w:w w:val="100"/>
        </w:rPr>
        <w:t>6</w:t>
      </w:r>
      <w:r>
        <w:rPr>
          <w:rFonts w:ascii="宋体" w:hAnsi="宋体" w:cs="宋体" w:eastAsia="宋体" w:hint="default"/>
          <w:spacing w:val="-62"/>
        </w:rPr>
        <w:t> </w:t>
      </w:r>
      <w:r>
        <w:rPr>
          <w:w w:val="100"/>
        </w:rPr>
        <w:t>月</w:t>
      </w:r>
      <w:r>
        <w:rPr>
          <w:spacing w:val="-3"/>
          <w:w w:val="100"/>
        </w:rPr>
        <w:t>与民</w:t>
      </w:r>
      <w:r>
        <w:rPr>
          <w:w w:val="100"/>
        </w:rPr>
        <w:t>生金</w:t>
      </w:r>
      <w:r>
        <w:rPr>
          <w:spacing w:val="-3"/>
          <w:w w:val="100"/>
        </w:rPr>
        <w:t>融</w:t>
      </w:r>
      <w:r>
        <w:rPr>
          <w:w w:val="100"/>
        </w:rPr>
        <w:t>租</w:t>
      </w:r>
      <w:r>
        <w:rPr>
          <w:spacing w:val="-3"/>
          <w:w w:val="100"/>
        </w:rPr>
        <w:t>赁</w:t>
      </w:r>
      <w:r>
        <w:rPr>
          <w:w w:val="100"/>
        </w:rPr>
        <w:t>有</w:t>
      </w:r>
      <w:r>
        <w:rPr>
          <w:spacing w:val="-3"/>
          <w:w w:val="100"/>
        </w:rPr>
        <w:t>限</w:t>
      </w:r>
      <w:r>
        <w:rPr>
          <w:w w:val="100"/>
        </w:rPr>
        <w:t>公</w:t>
      </w:r>
      <w:r>
        <w:rPr>
          <w:spacing w:val="-3"/>
          <w:w w:val="100"/>
        </w:rPr>
        <w:t>司</w:t>
      </w:r>
      <w:r>
        <w:rPr>
          <w:w w:val="100"/>
        </w:rPr>
        <w:t>签</w:t>
      </w:r>
      <w:r>
        <w:rPr>
          <w:spacing w:val="-3"/>
          <w:w w:val="100"/>
        </w:rPr>
        <w:t>订</w:t>
      </w:r>
      <w:r>
        <w:rPr>
          <w:w w:val="100"/>
        </w:rPr>
        <w:t>融资</w:t>
      </w:r>
      <w:r>
        <w:rPr>
          <w:spacing w:val="-3"/>
          <w:w w:val="100"/>
        </w:rPr>
        <w:t>租</w:t>
      </w:r>
      <w:r>
        <w:rPr>
          <w:w w:val="100"/>
        </w:rPr>
        <w:t>赁</w:t>
      </w:r>
      <w:r>
        <w:rPr>
          <w:spacing w:val="-3"/>
          <w:w w:val="100"/>
        </w:rPr>
        <w:t>合</w:t>
      </w:r>
      <w:r>
        <w:rPr>
          <w:w w:val="100"/>
        </w:rPr>
        <w:t>同</w:t>
      </w:r>
      <w:r>
        <w:rPr>
          <w:spacing w:val="-108"/>
          <w:w w:val="100"/>
        </w:rPr>
        <w:t>，</w:t>
      </w:r>
      <w:r>
        <w:rPr>
          <w:w w:val="100"/>
        </w:rPr>
        <w:t>对</w:t>
      </w:r>
      <w:r>
        <w:rPr>
          <w:spacing w:val="-3"/>
          <w:w w:val="100"/>
        </w:rPr>
        <w:t>公</w:t>
      </w:r>
      <w:r>
        <w:rPr>
          <w:w w:val="100"/>
        </w:rPr>
        <w:t>司</w:t>
      </w:r>
      <w:r>
        <w:rPr>
          <w:spacing w:val="-3"/>
          <w:w w:val="100"/>
        </w:rPr>
        <w:t>自有</w:t>
      </w:r>
      <w:r>
        <w:rPr>
          <w:w w:val="100"/>
        </w:rPr>
        <w:t>船</w:t>
      </w:r>
      <w:r>
        <w:rPr>
          <w:spacing w:val="-106"/>
          <w:w w:val="100"/>
        </w:rPr>
        <w:t>舶</w:t>
      </w:r>
      <w:r>
        <w:rPr>
          <w:spacing w:val="-3"/>
          <w:w w:val="100"/>
        </w:rPr>
        <w:t>“刺</w:t>
      </w:r>
      <w:r>
        <w:rPr>
          <w:w w:val="100"/>
        </w:rPr>
        <w:t>桐</w:t>
      </w:r>
      <w:r>
        <w:rPr>
          <w:spacing w:val="-60"/>
        </w:rPr>
        <w:t> </w:t>
      </w:r>
      <w:r>
        <w:rPr>
          <w:rFonts w:ascii="宋体" w:hAnsi="宋体" w:cs="宋体" w:eastAsia="宋体" w:hint="default"/>
          <w:w w:val="100"/>
        </w:rPr>
        <w:t>1</w:t>
      </w:r>
      <w:r>
        <w:rPr>
          <w:w w:val="100"/>
        </w:rPr>
        <w:t>”</w:t>
      </w:r>
    </w:p>
    <w:p>
      <w:pPr>
        <w:pStyle w:val="BodyText"/>
        <w:spacing w:line="240" w:lineRule="auto" w:before="133"/>
        <w:ind w:left="238" w:right="930"/>
        <w:jc w:val="left"/>
      </w:pPr>
      <w:r>
        <w:rPr/>
        <w:t>进行了售后回租，融资额</w:t>
      </w:r>
      <w:r>
        <w:rPr>
          <w:spacing w:val="-55"/>
        </w:rPr>
        <w:t> </w:t>
      </w:r>
      <w:r>
        <w:rPr>
          <w:rFonts w:ascii="宋体" w:hAnsi="宋体" w:cs="宋体" w:eastAsia="宋体" w:hint="default"/>
        </w:rPr>
        <w:t>12,942.00</w:t>
      </w:r>
      <w:r>
        <w:rPr>
          <w:rFonts w:ascii="宋体" w:hAnsi="宋体" w:cs="宋体" w:eastAsia="宋体" w:hint="default"/>
          <w:spacing w:val="-55"/>
        </w:rPr>
        <w:t> </w:t>
      </w:r>
      <w:r>
        <w:rPr/>
        <w:t>万元，租赁期间</w:t>
      </w:r>
      <w:r>
        <w:rPr>
          <w:spacing w:val="-53"/>
        </w:rPr>
        <w:t> </w:t>
      </w:r>
      <w:r>
        <w:rPr>
          <w:rFonts w:ascii="宋体" w:hAnsi="宋体" w:cs="宋体" w:eastAsia="宋体" w:hint="default"/>
        </w:rPr>
        <w:t>2016</w:t>
      </w:r>
      <w:r>
        <w:rPr>
          <w:rFonts w:ascii="宋体" w:hAnsi="宋体" w:cs="宋体" w:eastAsia="宋体" w:hint="default"/>
          <w:spacing w:val="-53"/>
        </w:rPr>
        <w:t> </w:t>
      </w:r>
      <w:r>
        <w:rPr/>
        <w:t>年</w:t>
      </w:r>
      <w:r>
        <w:rPr>
          <w:spacing w:val="-55"/>
        </w:rPr>
        <w:t> </w:t>
      </w:r>
      <w:r>
        <w:rPr>
          <w:rFonts w:ascii="宋体" w:hAnsi="宋体" w:cs="宋体" w:eastAsia="宋体" w:hint="default"/>
        </w:rPr>
        <w:t>6</w:t>
      </w:r>
      <w:r>
        <w:rPr>
          <w:rFonts w:ascii="宋体" w:hAnsi="宋体" w:cs="宋体" w:eastAsia="宋体" w:hint="default"/>
          <w:spacing w:val="-53"/>
        </w:rPr>
        <w:t> </w:t>
      </w:r>
      <w:r>
        <w:rPr/>
        <w:t>月</w:t>
      </w:r>
      <w:r>
        <w:rPr>
          <w:rFonts w:ascii="宋体" w:hAnsi="宋体" w:cs="宋体" w:eastAsia="宋体" w:hint="default"/>
        </w:rPr>
        <w:t>-2022</w:t>
      </w:r>
      <w:r>
        <w:rPr>
          <w:rFonts w:ascii="宋体" w:hAnsi="宋体" w:cs="宋体" w:eastAsia="宋体" w:hint="default"/>
          <w:spacing w:val="-53"/>
        </w:rPr>
        <w:t> </w:t>
      </w:r>
      <w:r>
        <w:rPr/>
        <w:t>年</w:t>
      </w:r>
      <w:r>
        <w:rPr>
          <w:spacing w:val="-55"/>
        </w:rPr>
        <w:t> </w:t>
      </w:r>
      <w:r>
        <w:rPr>
          <w:rFonts w:ascii="宋体" w:hAnsi="宋体" w:cs="宋体" w:eastAsia="宋体" w:hint="default"/>
        </w:rPr>
        <w:t>6</w:t>
      </w:r>
      <w:r>
        <w:rPr>
          <w:rFonts w:ascii="宋体" w:hAnsi="宋体" w:cs="宋体" w:eastAsia="宋体" w:hint="default"/>
          <w:spacing w:val="-55"/>
        </w:rPr>
        <w:t> </w:t>
      </w:r>
      <w:r>
        <w:rPr/>
        <w:t>月。</w:t>
      </w:r>
    </w:p>
    <w:p>
      <w:pPr>
        <w:pStyle w:val="BodyText"/>
        <w:spacing w:line="240" w:lineRule="auto" w:before="133"/>
        <w:ind w:left="658" w:right="930"/>
        <w:jc w:val="left"/>
      </w:pPr>
      <w:r>
        <w:rPr/>
        <w:t>⑦船舶“仁建泉州”售后回租（合同签订日期：</w:t>
      </w:r>
      <w:r>
        <w:rPr>
          <w:rFonts w:ascii="宋体" w:hAnsi="宋体" w:cs="宋体" w:eastAsia="宋体" w:hint="default"/>
        </w:rPr>
        <w:t>2017</w:t>
      </w:r>
      <w:r>
        <w:rPr>
          <w:rFonts w:ascii="宋体" w:hAnsi="宋体" w:cs="宋体" w:eastAsia="宋体" w:hint="default"/>
          <w:spacing w:val="-55"/>
        </w:rPr>
        <w:t> </w:t>
      </w:r>
      <w:r>
        <w:rPr/>
        <w:t>年</w:t>
      </w:r>
      <w:r>
        <w:rPr>
          <w:spacing w:val="-55"/>
        </w:rPr>
        <w:t> </w:t>
      </w:r>
      <w:r>
        <w:rPr>
          <w:rFonts w:ascii="宋体" w:hAnsi="宋体" w:cs="宋体" w:eastAsia="宋体" w:hint="default"/>
        </w:rPr>
        <w:t>10</w:t>
      </w:r>
      <w:r>
        <w:rPr>
          <w:rFonts w:ascii="宋体" w:hAnsi="宋体" w:cs="宋体" w:eastAsia="宋体" w:hint="default"/>
          <w:spacing w:val="-55"/>
        </w:rPr>
        <w:t> </w:t>
      </w:r>
      <w:r>
        <w:rPr>
          <w:spacing w:val="-3"/>
        </w:rPr>
        <w:t>月）</w:t>
      </w:r>
      <w:r>
        <w:rPr/>
      </w:r>
    </w:p>
    <w:p>
      <w:pPr>
        <w:pStyle w:val="BodyText"/>
        <w:spacing w:line="240" w:lineRule="auto" w:before="135"/>
        <w:ind w:left="658" w:right="0"/>
        <w:jc w:val="left"/>
      </w:pPr>
      <w:r>
        <w:rPr/>
        <w:t>本公司于</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2"/>
        </w:rPr>
        <w:t> </w:t>
      </w:r>
      <w:r>
        <w:rPr>
          <w:rFonts w:ascii="宋体" w:hAnsi="宋体" w:cs="宋体" w:eastAsia="宋体" w:hint="default"/>
        </w:rPr>
        <w:t>10</w:t>
      </w:r>
      <w:r>
        <w:rPr>
          <w:rFonts w:ascii="宋体" w:hAnsi="宋体" w:cs="宋体" w:eastAsia="宋体" w:hint="default"/>
          <w:spacing w:val="-55"/>
        </w:rPr>
        <w:t> </w:t>
      </w:r>
      <w:r>
        <w:rPr/>
        <w:t>月与民生金融租赁有限公司签订融资租赁合同，对公司自有船舶“仁建</w:t>
      </w:r>
    </w:p>
    <w:p>
      <w:pPr>
        <w:pStyle w:val="BodyText"/>
        <w:spacing w:line="240" w:lineRule="auto" w:before="133"/>
        <w:ind w:left="238" w:right="930"/>
        <w:jc w:val="left"/>
      </w:pPr>
      <w:r>
        <w:rPr/>
        <w:t>泉州”进行了售后回租，融资额</w:t>
      </w:r>
      <w:r>
        <w:rPr>
          <w:spacing w:val="-54"/>
        </w:rPr>
        <w:t> </w:t>
      </w:r>
      <w:r>
        <w:rPr>
          <w:rFonts w:ascii="宋体" w:hAnsi="宋体" w:cs="宋体" w:eastAsia="宋体" w:hint="default"/>
        </w:rPr>
        <w:t>7,000.00</w:t>
      </w:r>
      <w:r>
        <w:rPr>
          <w:rFonts w:ascii="宋体" w:hAnsi="宋体" w:cs="宋体" w:eastAsia="宋体" w:hint="default"/>
          <w:spacing w:val="-54"/>
        </w:rPr>
        <w:t> </w:t>
      </w:r>
      <w:r>
        <w:rPr/>
        <w:t>万元，租赁期间</w:t>
      </w:r>
      <w:r>
        <w:rPr>
          <w:spacing w:val="-54"/>
        </w:rPr>
        <w:t> </w:t>
      </w:r>
      <w:r>
        <w:rPr>
          <w:rFonts w:ascii="宋体" w:hAnsi="宋体" w:cs="宋体" w:eastAsia="宋体" w:hint="default"/>
        </w:rPr>
        <w:t>2017</w:t>
      </w:r>
      <w:r>
        <w:rPr>
          <w:rFonts w:ascii="宋体" w:hAnsi="宋体" w:cs="宋体" w:eastAsia="宋体" w:hint="default"/>
          <w:spacing w:val="-54"/>
        </w:rPr>
        <w:t> </w:t>
      </w:r>
      <w:r>
        <w:rPr/>
        <w:t>年</w:t>
      </w:r>
      <w:r>
        <w:rPr>
          <w:spacing w:val="-56"/>
        </w:rPr>
        <w:t> </w:t>
      </w:r>
      <w:r>
        <w:rPr>
          <w:rFonts w:ascii="宋体" w:hAnsi="宋体" w:cs="宋体" w:eastAsia="宋体" w:hint="default"/>
        </w:rPr>
        <w:t>10</w:t>
      </w:r>
      <w:r>
        <w:rPr>
          <w:rFonts w:ascii="宋体" w:hAnsi="宋体" w:cs="宋体" w:eastAsia="宋体" w:hint="default"/>
          <w:spacing w:val="-54"/>
        </w:rPr>
        <w:t> </w:t>
      </w:r>
      <w:r>
        <w:rPr/>
        <w:t>月</w:t>
      </w:r>
      <w:r>
        <w:rPr>
          <w:rFonts w:ascii="宋体" w:hAnsi="宋体" w:cs="宋体" w:eastAsia="宋体" w:hint="default"/>
        </w:rPr>
        <w:t>-2022</w:t>
      </w:r>
      <w:r>
        <w:rPr>
          <w:rFonts w:ascii="宋体" w:hAnsi="宋体" w:cs="宋体" w:eastAsia="宋体" w:hint="default"/>
          <w:spacing w:val="-53"/>
        </w:rPr>
        <w:t> </w:t>
      </w:r>
      <w:r>
        <w:rPr/>
        <w:t>年</w:t>
      </w:r>
      <w:r>
        <w:rPr>
          <w:spacing w:val="-54"/>
        </w:rPr>
        <w:t> </w:t>
      </w:r>
      <w:r>
        <w:rPr>
          <w:rFonts w:ascii="宋体" w:hAnsi="宋体" w:cs="宋体" w:eastAsia="宋体" w:hint="default"/>
        </w:rPr>
        <w:t>10</w:t>
      </w:r>
      <w:r>
        <w:rPr>
          <w:rFonts w:ascii="宋体" w:hAnsi="宋体" w:cs="宋体" w:eastAsia="宋体" w:hint="default"/>
          <w:spacing w:val="-54"/>
        </w:rPr>
        <w:t> </w:t>
      </w:r>
      <w:r>
        <w:rPr>
          <w:spacing w:val="-3"/>
        </w:rPr>
        <w:t>月。</w:t>
      </w:r>
      <w:r>
        <w:rPr/>
      </w:r>
    </w:p>
    <w:p>
      <w:pPr>
        <w:pStyle w:val="BodyText"/>
        <w:spacing w:line="240" w:lineRule="auto" w:before="133"/>
        <w:ind w:left="658" w:right="930"/>
        <w:jc w:val="left"/>
      </w:pPr>
      <w:r>
        <w:rPr/>
        <w:t>⑧船舶“仁建海口”售后回租（合同签订日期：</w:t>
      </w:r>
      <w:r>
        <w:rPr>
          <w:rFonts w:ascii="宋体" w:hAnsi="宋体" w:cs="宋体" w:eastAsia="宋体" w:hint="default"/>
        </w:rPr>
        <w:t>2017</w:t>
      </w:r>
      <w:r>
        <w:rPr>
          <w:rFonts w:ascii="宋体" w:hAnsi="宋体" w:cs="宋体" w:eastAsia="宋体" w:hint="default"/>
          <w:spacing w:val="-55"/>
        </w:rPr>
        <w:t> </w:t>
      </w:r>
      <w:r>
        <w:rPr/>
        <w:t>年</w:t>
      </w:r>
      <w:r>
        <w:rPr>
          <w:spacing w:val="-55"/>
        </w:rPr>
        <w:t> </w:t>
      </w:r>
      <w:r>
        <w:rPr>
          <w:rFonts w:ascii="宋体" w:hAnsi="宋体" w:cs="宋体" w:eastAsia="宋体" w:hint="default"/>
        </w:rPr>
        <w:t>11</w:t>
      </w:r>
      <w:r>
        <w:rPr>
          <w:rFonts w:ascii="宋体" w:hAnsi="宋体" w:cs="宋体" w:eastAsia="宋体" w:hint="default"/>
          <w:spacing w:val="-55"/>
        </w:rPr>
        <w:t> </w:t>
      </w:r>
      <w:r>
        <w:rPr>
          <w:spacing w:val="-3"/>
        </w:rPr>
        <w:t>月）</w:t>
      </w:r>
      <w:r>
        <w:rPr/>
      </w:r>
    </w:p>
    <w:p>
      <w:pPr>
        <w:spacing w:after="0" w:line="240" w:lineRule="auto"/>
        <w:jc w:val="left"/>
        <w:sectPr>
          <w:footerReference w:type="default" r:id="rId55"/>
          <w:pgSz w:w="11910" w:h="16840"/>
          <w:pgMar w:footer="1195" w:header="882" w:top="1120" w:bottom="1380" w:left="1560" w:right="1020"/>
        </w:sectPr>
      </w:pPr>
    </w:p>
    <w:p>
      <w:pPr>
        <w:spacing w:line="240" w:lineRule="auto" w:before="1"/>
        <w:rPr>
          <w:rFonts w:ascii="宋体" w:hAnsi="宋体" w:cs="宋体" w:eastAsia="宋体" w:hint="default"/>
          <w:sz w:val="25"/>
          <w:szCs w:val="25"/>
        </w:rPr>
      </w:pPr>
    </w:p>
    <w:p>
      <w:pPr>
        <w:pStyle w:val="BodyText"/>
        <w:spacing w:line="240" w:lineRule="auto" w:before="36"/>
        <w:ind w:left="558" w:right="0"/>
        <w:jc w:val="left"/>
      </w:pPr>
      <w:r>
        <w:rPr/>
        <w:t>本公司于</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2"/>
        </w:rPr>
        <w:t> </w:t>
      </w:r>
      <w:r>
        <w:rPr>
          <w:rFonts w:ascii="宋体" w:hAnsi="宋体" w:cs="宋体" w:eastAsia="宋体" w:hint="default"/>
        </w:rPr>
        <w:t>11</w:t>
      </w:r>
      <w:r>
        <w:rPr>
          <w:rFonts w:ascii="宋体" w:hAnsi="宋体" w:cs="宋体" w:eastAsia="宋体" w:hint="default"/>
          <w:spacing w:val="-55"/>
        </w:rPr>
        <w:t> </w:t>
      </w:r>
      <w:r>
        <w:rPr/>
        <w:t>月与民生金融租赁有限公司签订融资租赁合同，对公司自有船舶“仁建</w:t>
      </w:r>
    </w:p>
    <w:p>
      <w:pPr>
        <w:pStyle w:val="BodyText"/>
        <w:spacing w:line="240" w:lineRule="auto" w:before="135"/>
        <w:ind w:left="138" w:right="125"/>
        <w:jc w:val="left"/>
      </w:pPr>
      <w:r>
        <w:rPr/>
        <w:t>海口”进行了售后回租，融资额</w:t>
      </w:r>
      <w:r>
        <w:rPr>
          <w:spacing w:val="-54"/>
        </w:rPr>
        <w:t> </w:t>
      </w:r>
      <w:r>
        <w:rPr>
          <w:rFonts w:ascii="宋体" w:hAnsi="宋体" w:cs="宋体" w:eastAsia="宋体" w:hint="default"/>
        </w:rPr>
        <w:t>7,000.00</w:t>
      </w:r>
      <w:r>
        <w:rPr>
          <w:rFonts w:ascii="宋体" w:hAnsi="宋体" w:cs="宋体" w:eastAsia="宋体" w:hint="default"/>
          <w:spacing w:val="-54"/>
        </w:rPr>
        <w:t> </w:t>
      </w:r>
      <w:r>
        <w:rPr/>
        <w:t>万元，租赁期间</w:t>
      </w:r>
      <w:r>
        <w:rPr>
          <w:spacing w:val="-54"/>
        </w:rPr>
        <w:t> </w:t>
      </w:r>
      <w:r>
        <w:rPr>
          <w:rFonts w:ascii="宋体" w:hAnsi="宋体" w:cs="宋体" w:eastAsia="宋体" w:hint="default"/>
        </w:rPr>
        <w:t>2017</w:t>
      </w:r>
      <w:r>
        <w:rPr>
          <w:rFonts w:ascii="宋体" w:hAnsi="宋体" w:cs="宋体" w:eastAsia="宋体" w:hint="default"/>
          <w:spacing w:val="-54"/>
        </w:rPr>
        <w:t> </w:t>
      </w:r>
      <w:r>
        <w:rPr/>
        <w:t>年</w:t>
      </w:r>
      <w:r>
        <w:rPr>
          <w:spacing w:val="-56"/>
        </w:rPr>
        <w:t> </w:t>
      </w:r>
      <w:r>
        <w:rPr>
          <w:rFonts w:ascii="宋体" w:hAnsi="宋体" w:cs="宋体" w:eastAsia="宋体" w:hint="default"/>
        </w:rPr>
        <w:t>11</w:t>
      </w:r>
      <w:r>
        <w:rPr>
          <w:rFonts w:ascii="宋体" w:hAnsi="宋体" w:cs="宋体" w:eastAsia="宋体" w:hint="default"/>
          <w:spacing w:val="-54"/>
        </w:rPr>
        <w:t> </w:t>
      </w:r>
      <w:r>
        <w:rPr/>
        <w:t>月</w:t>
      </w:r>
      <w:r>
        <w:rPr>
          <w:rFonts w:ascii="宋体" w:hAnsi="宋体" w:cs="宋体" w:eastAsia="宋体" w:hint="default"/>
        </w:rPr>
        <w:t>-2022</w:t>
      </w:r>
      <w:r>
        <w:rPr>
          <w:rFonts w:ascii="宋体" w:hAnsi="宋体" w:cs="宋体" w:eastAsia="宋体" w:hint="default"/>
          <w:spacing w:val="-53"/>
        </w:rPr>
        <w:t> </w:t>
      </w:r>
      <w:r>
        <w:rPr/>
        <w:t>年</w:t>
      </w:r>
      <w:r>
        <w:rPr>
          <w:spacing w:val="-54"/>
        </w:rPr>
        <w:t> </w:t>
      </w:r>
      <w:r>
        <w:rPr>
          <w:rFonts w:ascii="宋体" w:hAnsi="宋体" w:cs="宋体" w:eastAsia="宋体" w:hint="default"/>
        </w:rPr>
        <w:t>10</w:t>
      </w:r>
      <w:r>
        <w:rPr>
          <w:rFonts w:ascii="宋体" w:hAnsi="宋体" w:cs="宋体" w:eastAsia="宋体" w:hint="default"/>
          <w:spacing w:val="-54"/>
        </w:rPr>
        <w:t> </w:t>
      </w:r>
      <w:r>
        <w:rPr>
          <w:spacing w:val="-3"/>
        </w:rPr>
        <w:t>月。</w:t>
      </w:r>
      <w:r>
        <w:rPr/>
      </w:r>
    </w:p>
    <w:p>
      <w:pPr>
        <w:pStyle w:val="BodyText"/>
        <w:spacing w:line="240" w:lineRule="auto" w:before="133"/>
        <w:ind w:left="558" w:right="125"/>
        <w:jc w:val="left"/>
      </w:pPr>
      <w:r>
        <w:rPr/>
        <w:t>⑨</w:t>
      </w:r>
      <w:r>
        <w:rPr>
          <w:rFonts w:ascii="宋体" w:hAnsi="宋体" w:cs="宋体" w:eastAsia="宋体" w:hint="default"/>
        </w:rPr>
        <w:t>6898</w:t>
      </w:r>
      <w:r>
        <w:rPr>
          <w:rFonts w:ascii="宋体" w:hAnsi="宋体" w:cs="宋体" w:eastAsia="宋体" w:hint="default"/>
          <w:spacing w:val="-54"/>
        </w:rPr>
        <w:t> </w:t>
      </w:r>
      <w:r>
        <w:rPr/>
        <w:t>台集装箱售后回租（合同签订日期：</w:t>
      </w:r>
      <w:r>
        <w:rPr>
          <w:rFonts w:ascii="宋体" w:hAnsi="宋体" w:cs="宋体" w:eastAsia="宋体" w:hint="default"/>
        </w:rPr>
        <w:t>2016</w:t>
      </w:r>
      <w:r>
        <w:rPr>
          <w:rFonts w:ascii="宋体" w:hAnsi="宋体" w:cs="宋体" w:eastAsia="宋体" w:hint="default"/>
          <w:spacing w:val="-56"/>
        </w:rPr>
        <w:t> </w:t>
      </w:r>
      <w:r>
        <w:rPr/>
        <w:t>年</w:t>
      </w:r>
      <w:r>
        <w:rPr>
          <w:spacing w:val="-56"/>
        </w:rPr>
        <w:t> </w:t>
      </w:r>
      <w:r>
        <w:rPr>
          <w:rFonts w:ascii="宋体" w:hAnsi="宋体" w:cs="宋体" w:eastAsia="宋体" w:hint="default"/>
        </w:rPr>
        <w:t>1</w:t>
      </w:r>
      <w:r>
        <w:rPr>
          <w:rFonts w:ascii="宋体" w:hAnsi="宋体" w:cs="宋体" w:eastAsia="宋体" w:hint="default"/>
          <w:spacing w:val="-54"/>
        </w:rPr>
        <w:t> </w:t>
      </w:r>
      <w:r>
        <w:rPr/>
        <w:t>月）</w:t>
      </w:r>
    </w:p>
    <w:p>
      <w:pPr>
        <w:pStyle w:val="BodyText"/>
        <w:spacing w:line="240" w:lineRule="auto" w:before="133"/>
        <w:ind w:left="558" w:right="0"/>
        <w:jc w:val="left"/>
      </w:pPr>
      <w:r>
        <w:rPr/>
        <w:t>本公司于</w:t>
      </w:r>
      <w:r>
        <w:rPr>
          <w:spacing w:val="-54"/>
        </w:rPr>
        <w:t> </w:t>
      </w:r>
      <w:r>
        <w:rPr>
          <w:rFonts w:ascii="宋体" w:hAnsi="宋体" w:cs="宋体" w:eastAsia="宋体" w:hint="default"/>
        </w:rPr>
        <w:t>2016</w:t>
      </w:r>
      <w:r>
        <w:rPr>
          <w:rFonts w:ascii="宋体" w:hAnsi="宋体" w:cs="宋体" w:eastAsia="宋体" w:hint="default"/>
          <w:spacing w:val="-56"/>
        </w:rPr>
        <w:t> </w:t>
      </w:r>
      <w:r>
        <w:rPr/>
        <w:t>年</w:t>
      </w:r>
      <w:r>
        <w:rPr>
          <w:spacing w:val="-53"/>
        </w:rPr>
        <w:t> </w:t>
      </w:r>
      <w:r>
        <w:rPr>
          <w:rFonts w:ascii="宋体" w:hAnsi="宋体" w:cs="宋体" w:eastAsia="宋体" w:hint="default"/>
        </w:rPr>
        <w:t>1</w:t>
      </w:r>
      <w:r>
        <w:rPr>
          <w:rFonts w:ascii="宋体" w:hAnsi="宋体" w:cs="宋体" w:eastAsia="宋体" w:hint="default"/>
          <w:spacing w:val="-56"/>
        </w:rPr>
        <w:t> </w:t>
      </w:r>
      <w:r>
        <w:rPr/>
        <w:t>月与中民国际融资租赁有限公司签订融资租赁合同，对公司</w:t>
      </w:r>
      <w:r>
        <w:rPr>
          <w:spacing w:val="-54"/>
        </w:rPr>
        <w:t> </w:t>
      </w:r>
      <w:r>
        <w:rPr>
          <w:rFonts w:ascii="宋体" w:hAnsi="宋体" w:cs="宋体" w:eastAsia="宋体" w:hint="default"/>
        </w:rPr>
        <w:t>6898</w:t>
      </w:r>
      <w:r>
        <w:rPr>
          <w:rFonts w:ascii="宋体" w:hAnsi="宋体" w:cs="宋体" w:eastAsia="宋体" w:hint="default"/>
          <w:spacing w:val="-54"/>
        </w:rPr>
        <w:t> </w:t>
      </w:r>
      <w:r>
        <w:rPr/>
        <w:t>台集装</w:t>
      </w:r>
    </w:p>
    <w:p>
      <w:pPr>
        <w:pStyle w:val="BodyText"/>
        <w:spacing w:line="240" w:lineRule="auto" w:before="133"/>
        <w:ind w:left="558" w:right="125"/>
        <w:jc w:val="left"/>
      </w:pPr>
      <w:r>
        <w:rPr/>
        <w:t>箱进行了售后回租，融资额</w:t>
      </w:r>
      <w:r>
        <w:rPr>
          <w:spacing w:val="-52"/>
        </w:rPr>
        <w:t> </w:t>
      </w:r>
      <w:r>
        <w:rPr>
          <w:rFonts w:ascii="宋体" w:hAnsi="宋体" w:cs="宋体" w:eastAsia="宋体" w:hint="default"/>
        </w:rPr>
        <w:t>10,000.00</w:t>
      </w:r>
      <w:r>
        <w:rPr>
          <w:rFonts w:ascii="宋体" w:hAnsi="宋体" w:cs="宋体" w:eastAsia="宋体" w:hint="default"/>
          <w:spacing w:val="-53"/>
        </w:rPr>
        <w:t> </w:t>
      </w:r>
      <w:r>
        <w:rPr/>
        <w:t>万元，租赁期间</w:t>
      </w:r>
      <w:r>
        <w:rPr>
          <w:spacing w:val="-53"/>
        </w:rPr>
        <w:t> </w:t>
      </w:r>
      <w:r>
        <w:rPr>
          <w:rFonts w:ascii="宋体" w:hAnsi="宋体" w:cs="宋体" w:eastAsia="宋体" w:hint="default"/>
        </w:rPr>
        <w:t>2016</w:t>
      </w:r>
      <w:r>
        <w:rPr>
          <w:rFonts w:ascii="宋体" w:hAnsi="宋体" w:cs="宋体" w:eastAsia="宋体" w:hint="default"/>
          <w:spacing w:val="-55"/>
        </w:rPr>
        <w:t> </w:t>
      </w:r>
      <w:r>
        <w:rPr/>
        <w:t>年</w:t>
      </w:r>
      <w:r>
        <w:rPr>
          <w:spacing w:val="-53"/>
        </w:rPr>
        <w:t> </w:t>
      </w:r>
      <w:r>
        <w:rPr>
          <w:rFonts w:ascii="宋体" w:hAnsi="宋体" w:cs="宋体" w:eastAsia="宋体" w:hint="default"/>
        </w:rPr>
        <w:t>1</w:t>
      </w:r>
      <w:r>
        <w:rPr>
          <w:rFonts w:ascii="宋体" w:hAnsi="宋体" w:cs="宋体" w:eastAsia="宋体" w:hint="default"/>
          <w:spacing w:val="-55"/>
        </w:rPr>
        <w:t> </w:t>
      </w:r>
      <w:r>
        <w:rPr/>
        <w:t>月</w:t>
      </w:r>
      <w:r>
        <w:rPr>
          <w:rFonts w:ascii="宋体" w:hAnsi="宋体" w:cs="宋体" w:eastAsia="宋体" w:hint="default"/>
        </w:rPr>
        <w:t>-2017</w:t>
      </w:r>
      <w:r>
        <w:rPr>
          <w:rFonts w:ascii="宋体" w:hAnsi="宋体" w:cs="宋体" w:eastAsia="宋体" w:hint="default"/>
          <w:spacing w:val="-55"/>
        </w:rPr>
        <w:t> </w:t>
      </w:r>
      <w:r>
        <w:rPr/>
        <w:t>年</w:t>
      </w:r>
      <w:r>
        <w:rPr>
          <w:spacing w:val="-55"/>
        </w:rPr>
        <w:t> </w:t>
      </w:r>
      <w:r>
        <w:rPr>
          <w:rFonts w:ascii="宋体" w:hAnsi="宋体" w:cs="宋体" w:eastAsia="宋体" w:hint="default"/>
        </w:rPr>
        <w:t>1</w:t>
      </w:r>
      <w:r>
        <w:rPr>
          <w:rFonts w:ascii="宋体" w:hAnsi="宋体" w:cs="宋体" w:eastAsia="宋体" w:hint="default"/>
          <w:spacing w:val="-53"/>
        </w:rPr>
        <w:t> </w:t>
      </w:r>
      <w:r>
        <w:rPr/>
        <w:t>月。</w:t>
      </w:r>
    </w:p>
    <w:p>
      <w:pPr>
        <w:pStyle w:val="BodyText"/>
        <w:spacing w:line="240" w:lineRule="auto" w:before="133"/>
        <w:ind w:left="558" w:right="125"/>
        <w:jc w:val="left"/>
      </w:pPr>
      <w:r>
        <w:rPr/>
        <w:t>⑩</w:t>
      </w:r>
      <w:r>
        <w:rPr>
          <w:rFonts w:ascii="宋体" w:hAnsi="宋体" w:cs="宋体" w:eastAsia="宋体" w:hint="default"/>
        </w:rPr>
        <w:t>11015</w:t>
      </w:r>
      <w:r>
        <w:rPr>
          <w:rFonts w:ascii="宋体" w:hAnsi="宋体" w:cs="宋体" w:eastAsia="宋体" w:hint="default"/>
          <w:spacing w:val="-53"/>
        </w:rPr>
        <w:t> </w:t>
      </w:r>
      <w:r>
        <w:rPr/>
        <w:t>台集装箱售后回租（合同签订日期：</w:t>
      </w:r>
      <w:r>
        <w:rPr>
          <w:rFonts w:ascii="宋体" w:hAnsi="宋体" w:cs="宋体" w:eastAsia="宋体" w:hint="default"/>
        </w:rPr>
        <w:t>2016</w:t>
      </w:r>
      <w:r>
        <w:rPr>
          <w:rFonts w:ascii="宋体" w:hAnsi="宋体" w:cs="宋体" w:eastAsia="宋体" w:hint="default"/>
          <w:spacing w:val="-55"/>
        </w:rPr>
        <w:t> </w:t>
      </w:r>
      <w:r>
        <w:rPr/>
        <w:t>年</w:t>
      </w:r>
      <w:r>
        <w:rPr>
          <w:spacing w:val="-53"/>
        </w:rPr>
        <w:t> </w:t>
      </w:r>
      <w:r>
        <w:rPr>
          <w:rFonts w:ascii="宋体" w:hAnsi="宋体" w:cs="宋体" w:eastAsia="宋体" w:hint="default"/>
        </w:rPr>
        <w:t>9</w:t>
      </w:r>
      <w:r>
        <w:rPr>
          <w:rFonts w:ascii="宋体" w:hAnsi="宋体" w:cs="宋体" w:eastAsia="宋体" w:hint="default"/>
          <w:spacing w:val="-53"/>
        </w:rPr>
        <w:t> </w:t>
      </w:r>
      <w:r>
        <w:rPr>
          <w:spacing w:val="-3"/>
        </w:rPr>
        <w:t>月）</w:t>
      </w:r>
      <w:r>
        <w:rPr/>
      </w:r>
    </w:p>
    <w:p>
      <w:pPr>
        <w:pStyle w:val="BodyText"/>
        <w:spacing w:line="240" w:lineRule="auto" w:before="135"/>
        <w:ind w:left="558" w:right="0"/>
        <w:jc w:val="left"/>
      </w:pPr>
      <w:r>
        <w:rPr>
          <w:w w:val="100"/>
        </w:rPr>
        <w:t>本公</w:t>
      </w:r>
      <w:r>
        <w:rPr>
          <w:spacing w:val="-3"/>
          <w:w w:val="100"/>
        </w:rPr>
        <w:t>司</w:t>
      </w:r>
      <w:r>
        <w:rPr>
          <w:w w:val="100"/>
        </w:rPr>
        <w:t>于</w:t>
      </w:r>
      <w:r>
        <w:rPr>
          <w:spacing w:val="-53"/>
        </w:rPr>
        <w:t> </w:t>
      </w:r>
      <w:r>
        <w:rPr>
          <w:rFonts w:ascii="宋体" w:hAnsi="宋体" w:cs="宋体" w:eastAsia="宋体" w:hint="default"/>
          <w:spacing w:val="-3"/>
          <w:w w:val="100"/>
        </w:rPr>
        <w:t>2</w:t>
      </w:r>
      <w:r>
        <w:rPr>
          <w:rFonts w:ascii="宋体" w:hAnsi="宋体" w:cs="宋体" w:eastAsia="宋体" w:hint="default"/>
          <w:w w:val="100"/>
        </w:rPr>
        <w:t>016</w:t>
      </w:r>
      <w:r>
        <w:rPr>
          <w:rFonts w:ascii="宋体" w:hAnsi="宋体" w:cs="宋体" w:eastAsia="宋体" w:hint="default"/>
          <w:spacing w:val="-55"/>
        </w:rPr>
        <w:t> </w:t>
      </w:r>
      <w:r>
        <w:rPr>
          <w:w w:val="100"/>
        </w:rPr>
        <w:t>年</w:t>
      </w:r>
      <w:r>
        <w:rPr>
          <w:spacing w:val="-52"/>
        </w:rPr>
        <w:t> </w:t>
      </w:r>
      <w:r>
        <w:rPr>
          <w:rFonts w:ascii="宋体" w:hAnsi="宋体" w:cs="宋体" w:eastAsia="宋体" w:hint="default"/>
          <w:w w:val="100"/>
        </w:rPr>
        <w:t>9</w:t>
      </w:r>
      <w:r>
        <w:rPr>
          <w:rFonts w:ascii="宋体" w:hAnsi="宋体" w:cs="宋体" w:eastAsia="宋体" w:hint="default"/>
          <w:spacing w:val="-55"/>
        </w:rPr>
        <w:t> </w:t>
      </w:r>
      <w:r>
        <w:rPr>
          <w:w w:val="100"/>
        </w:rPr>
        <w:t>月</w:t>
      </w:r>
      <w:r>
        <w:rPr>
          <w:spacing w:val="-3"/>
          <w:w w:val="100"/>
        </w:rPr>
        <w:t>与华</w:t>
      </w:r>
      <w:r>
        <w:rPr>
          <w:w w:val="100"/>
        </w:rPr>
        <w:t>融金</w:t>
      </w:r>
      <w:r>
        <w:rPr>
          <w:spacing w:val="-3"/>
          <w:w w:val="100"/>
        </w:rPr>
        <w:t>融</w:t>
      </w:r>
      <w:r>
        <w:rPr>
          <w:w w:val="100"/>
        </w:rPr>
        <w:t>租</w:t>
      </w:r>
      <w:r>
        <w:rPr>
          <w:spacing w:val="-3"/>
          <w:w w:val="100"/>
        </w:rPr>
        <w:t>赁</w:t>
      </w:r>
      <w:r>
        <w:rPr>
          <w:w w:val="100"/>
        </w:rPr>
        <w:t>股</w:t>
      </w:r>
      <w:r>
        <w:rPr>
          <w:spacing w:val="-3"/>
          <w:w w:val="100"/>
        </w:rPr>
        <w:t>份</w:t>
      </w:r>
      <w:r>
        <w:rPr>
          <w:w w:val="100"/>
        </w:rPr>
        <w:t>有</w:t>
      </w:r>
      <w:r>
        <w:rPr>
          <w:spacing w:val="-3"/>
          <w:w w:val="100"/>
        </w:rPr>
        <w:t>限</w:t>
      </w:r>
      <w:r>
        <w:rPr>
          <w:w w:val="100"/>
        </w:rPr>
        <w:t>公</w:t>
      </w:r>
      <w:r>
        <w:rPr>
          <w:spacing w:val="-3"/>
          <w:w w:val="100"/>
        </w:rPr>
        <w:t>司</w:t>
      </w:r>
      <w:r>
        <w:rPr>
          <w:w w:val="100"/>
        </w:rPr>
        <w:t>签订</w:t>
      </w:r>
      <w:r>
        <w:rPr>
          <w:spacing w:val="-3"/>
          <w:w w:val="100"/>
        </w:rPr>
        <w:t>融</w:t>
      </w:r>
      <w:r>
        <w:rPr>
          <w:w w:val="100"/>
        </w:rPr>
        <w:t>资</w:t>
      </w:r>
      <w:r>
        <w:rPr>
          <w:spacing w:val="-3"/>
          <w:w w:val="100"/>
        </w:rPr>
        <w:t>租</w:t>
      </w:r>
      <w:r>
        <w:rPr>
          <w:w w:val="100"/>
        </w:rPr>
        <w:t>赁</w:t>
      </w:r>
      <w:r>
        <w:rPr>
          <w:spacing w:val="-3"/>
          <w:w w:val="100"/>
        </w:rPr>
        <w:t>合同</w:t>
      </w:r>
      <w:r>
        <w:rPr>
          <w:spacing w:val="-92"/>
          <w:w w:val="100"/>
        </w:rPr>
        <w:t>，</w:t>
      </w:r>
      <w:r>
        <w:rPr>
          <w:spacing w:val="-3"/>
          <w:w w:val="100"/>
        </w:rPr>
        <w:t>对公</w:t>
      </w:r>
      <w:r>
        <w:rPr>
          <w:w w:val="100"/>
        </w:rPr>
        <w:t>司</w:t>
      </w:r>
      <w:r>
        <w:rPr>
          <w:spacing w:val="-53"/>
        </w:rPr>
        <w:t> </w:t>
      </w:r>
      <w:r>
        <w:rPr>
          <w:rFonts w:ascii="宋体" w:hAnsi="宋体" w:cs="宋体" w:eastAsia="宋体" w:hint="default"/>
          <w:w w:val="100"/>
        </w:rPr>
        <w:t>11</w:t>
      </w:r>
      <w:r>
        <w:rPr>
          <w:rFonts w:ascii="宋体" w:hAnsi="宋体" w:cs="宋体" w:eastAsia="宋体" w:hint="default"/>
          <w:spacing w:val="-3"/>
          <w:w w:val="100"/>
        </w:rPr>
        <w:t>0</w:t>
      </w:r>
      <w:r>
        <w:rPr>
          <w:rFonts w:ascii="宋体" w:hAnsi="宋体" w:cs="宋体" w:eastAsia="宋体" w:hint="default"/>
          <w:w w:val="100"/>
        </w:rPr>
        <w:t>15</w:t>
      </w:r>
      <w:r>
        <w:rPr>
          <w:rFonts w:ascii="宋体" w:hAnsi="宋体" w:cs="宋体" w:eastAsia="宋体" w:hint="default"/>
          <w:spacing w:val="-53"/>
        </w:rPr>
        <w:t> </w:t>
      </w:r>
      <w:r>
        <w:rPr>
          <w:spacing w:val="-3"/>
          <w:w w:val="100"/>
        </w:rPr>
        <w:t>台</w:t>
      </w:r>
      <w:r>
        <w:rPr>
          <w:w w:val="100"/>
        </w:rPr>
        <w:t>集装</w:t>
      </w:r>
    </w:p>
    <w:p>
      <w:pPr>
        <w:pStyle w:val="BodyText"/>
        <w:spacing w:line="240" w:lineRule="auto" w:before="133"/>
        <w:ind w:left="138" w:right="125"/>
        <w:jc w:val="left"/>
      </w:pPr>
      <w:r>
        <w:rPr/>
        <w:t>箱进行了售后回租，融资额</w:t>
      </w:r>
      <w:r>
        <w:rPr>
          <w:spacing w:val="-53"/>
        </w:rPr>
        <w:t> </w:t>
      </w:r>
      <w:r>
        <w:rPr>
          <w:rFonts w:ascii="宋体" w:hAnsi="宋体" w:cs="宋体" w:eastAsia="宋体" w:hint="default"/>
        </w:rPr>
        <w:t>12,000.00</w:t>
      </w:r>
      <w:r>
        <w:rPr>
          <w:rFonts w:ascii="宋体" w:hAnsi="宋体" w:cs="宋体" w:eastAsia="宋体" w:hint="default"/>
          <w:spacing w:val="-53"/>
        </w:rPr>
        <w:t> </w:t>
      </w:r>
      <w:r>
        <w:rPr/>
        <w:t>万元，租赁期间</w:t>
      </w:r>
      <w:r>
        <w:rPr>
          <w:spacing w:val="-53"/>
        </w:rPr>
        <w:t> </w:t>
      </w:r>
      <w:r>
        <w:rPr>
          <w:rFonts w:ascii="宋体" w:hAnsi="宋体" w:cs="宋体" w:eastAsia="宋体" w:hint="default"/>
        </w:rPr>
        <w:t>2016</w:t>
      </w:r>
      <w:r>
        <w:rPr>
          <w:rFonts w:ascii="宋体" w:hAnsi="宋体" w:cs="宋体" w:eastAsia="宋体" w:hint="default"/>
          <w:spacing w:val="-55"/>
        </w:rPr>
        <w:t> </w:t>
      </w:r>
      <w:r>
        <w:rPr/>
        <w:t>年</w:t>
      </w:r>
      <w:r>
        <w:rPr>
          <w:spacing w:val="-53"/>
        </w:rPr>
        <w:t> </w:t>
      </w:r>
      <w:r>
        <w:rPr>
          <w:rFonts w:ascii="宋体" w:hAnsi="宋体" w:cs="宋体" w:eastAsia="宋体" w:hint="default"/>
        </w:rPr>
        <w:t>9</w:t>
      </w:r>
      <w:r>
        <w:rPr>
          <w:rFonts w:ascii="宋体" w:hAnsi="宋体" w:cs="宋体" w:eastAsia="宋体" w:hint="default"/>
          <w:spacing w:val="-55"/>
        </w:rPr>
        <w:t> </w:t>
      </w:r>
      <w:r>
        <w:rPr/>
        <w:t>月</w:t>
      </w:r>
      <w:r>
        <w:rPr>
          <w:rFonts w:ascii="宋体" w:hAnsi="宋体" w:cs="宋体" w:eastAsia="宋体" w:hint="default"/>
        </w:rPr>
        <w:t>-2021</w:t>
      </w:r>
      <w:r>
        <w:rPr>
          <w:rFonts w:ascii="宋体" w:hAnsi="宋体" w:cs="宋体" w:eastAsia="宋体" w:hint="default"/>
          <w:spacing w:val="-55"/>
        </w:rPr>
        <w:t> </w:t>
      </w:r>
      <w:r>
        <w:rPr/>
        <w:t>年</w:t>
      </w:r>
      <w:r>
        <w:rPr>
          <w:spacing w:val="-55"/>
        </w:rPr>
        <w:t> </w:t>
      </w:r>
      <w:r>
        <w:rPr>
          <w:rFonts w:ascii="宋体" w:hAnsi="宋体" w:cs="宋体" w:eastAsia="宋体" w:hint="default"/>
        </w:rPr>
        <w:t>9</w:t>
      </w:r>
      <w:r>
        <w:rPr>
          <w:rFonts w:ascii="宋体" w:hAnsi="宋体" w:cs="宋体" w:eastAsia="宋体" w:hint="default"/>
          <w:spacing w:val="-52"/>
        </w:rPr>
        <w:t> </w:t>
      </w:r>
      <w:r>
        <w:rPr/>
        <w:t>月。</w:t>
      </w:r>
    </w:p>
    <w:p>
      <w:pPr>
        <w:pStyle w:val="BodyText"/>
        <w:spacing w:line="240" w:lineRule="auto" w:before="133"/>
        <w:ind w:left="558" w:right="125"/>
        <w:jc w:val="left"/>
      </w:pPr>
      <w:r>
        <w:rPr>
          <w:rFonts w:ascii="MS UI Gothic" w:hAnsi="MS UI Gothic" w:cs="MS UI Gothic" w:eastAsia="MS UI Gothic" w:hint="default"/>
          <w:spacing w:val="-13"/>
        </w:rPr>
        <w:t>⑪</w:t>
      </w:r>
      <w:r>
        <w:rPr>
          <w:rFonts w:ascii="宋体" w:hAnsi="宋体" w:cs="宋体" w:eastAsia="宋体" w:hint="default"/>
          <w:spacing w:val="-13"/>
        </w:rPr>
        <w:t>13540</w:t>
      </w:r>
      <w:r>
        <w:rPr>
          <w:rFonts w:ascii="宋体" w:hAnsi="宋体" w:cs="宋体" w:eastAsia="宋体" w:hint="default"/>
          <w:spacing w:val="-52"/>
        </w:rPr>
        <w:t> </w:t>
      </w:r>
      <w:r>
        <w:rPr/>
        <w:t>台集装箱售后回租（合同签订日期：</w:t>
      </w:r>
      <w:r>
        <w:rPr>
          <w:rFonts w:ascii="宋体" w:hAnsi="宋体" w:cs="宋体" w:eastAsia="宋体" w:hint="default"/>
        </w:rPr>
        <w:t>2017</w:t>
      </w:r>
      <w:r>
        <w:rPr>
          <w:rFonts w:ascii="宋体" w:hAnsi="宋体" w:cs="宋体" w:eastAsia="宋体" w:hint="default"/>
          <w:spacing w:val="-54"/>
        </w:rPr>
        <w:t> </w:t>
      </w:r>
      <w:r>
        <w:rPr/>
        <w:t>年</w:t>
      </w:r>
      <w:r>
        <w:rPr>
          <w:spacing w:val="-54"/>
        </w:rPr>
        <w:t> </w:t>
      </w:r>
      <w:r>
        <w:rPr>
          <w:rFonts w:ascii="宋体" w:hAnsi="宋体" w:cs="宋体" w:eastAsia="宋体" w:hint="default"/>
        </w:rPr>
        <w:t>4</w:t>
      </w:r>
      <w:r>
        <w:rPr>
          <w:rFonts w:ascii="宋体" w:hAnsi="宋体" w:cs="宋体" w:eastAsia="宋体" w:hint="default"/>
          <w:spacing w:val="-52"/>
        </w:rPr>
        <w:t> </w:t>
      </w:r>
      <w:r>
        <w:rPr/>
        <w:t>月）</w:t>
      </w:r>
    </w:p>
    <w:p>
      <w:pPr>
        <w:pStyle w:val="BodyText"/>
        <w:spacing w:line="240" w:lineRule="auto" w:before="133"/>
        <w:ind w:left="558" w:right="0"/>
        <w:jc w:val="left"/>
      </w:pPr>
      <w:r>
        <w:rPr>
          <w:w w:val="100"/>
        </w:rPr>
        <w:t>本公</w:t>
      </w:r>
      <w:r>
        <w:rPr>
          <w:spacing w:val="-3"/>
          <w:w w:val="100"/>
        </w:rPr>
        <w:t>司</w:t>
      </w:r>
      <w:r>
        <w:rPr>
          <w:w w:val="100"/>
        </w:rPr>
        <w:t>于</w:t>
      </w:r>
      <w:r>
        <w:rPr>
          <w:spacing w:val="-53"/>
        </w:rPr>
        <w:t> </w:t>
      </w:r>
      <w:r>
        <w:rPr>
          <w:rFonts w:ascii="宋体" w:hAnsi="宋体" w:cs="宋体" w:eastAsia="宋体" w:hint="default"/>
          <w:spacing w:val="-3"/>
          <w:w w:val="100"/>
        </w:rPr>
        <w:t>2</w:t>
      </w:r>
      <w:r>
        <w:rPr>
          <w:rFonts w:ascii="宋体" w:hAnsi="宋体" w:cs="宋体" w:eastAsia="宋体" w:hint="default"/>
          <w:w w:val="100"/>
        </w:rPr>
        <w:t>017</w:t>
      </w:r>
      <w:r>
        <w:rPr>
          <w:rFonts w:ascii="宋体" w:hAnsi="宋体" w:cs="宋体" w:eastAsia="宋体" w:hint="default"/>
          <w:spacing w:val="-55"/>
        </w:rPr>
        <w:t> </w:t>
      </w:r>
      <w:r>
        <w:rPr>
          <w:w w:val="100"/>
        </w:rPr>
        <w:t>年</w:t>
      </w:r>
      <w:r>
        <w:rPr>
          <w:spacing w:val="-52"/>
        </w:rPr>
        <w:t> </w:t>
      </w:r>
      <w:r>
        <w:rPr>
          <w:rFonts w:ascii="宋体" w:hAnsi="宋体" w:cs="宋体" w:eastAsia="宋体" w:hint="default"/>
          <w:w w:val="100"/>
        </w:rPr>
        <w:t>4</w:t>
      </w:r>
      <w:r>
        <w:rPr>
          <w:rFonts w:ascii="宋体" w:hAnsi="宋体" w:cs="宋体" w:eastAsia="宋体" w:hint="default"/>
          <w:spacing w:val="-55"/>
        </w:rPr>
        <w:t> </w:t>
      </w:r>
      <w:r>
        <w:rPr>
          <w:w w:val="100"/>
        </w:rPr>
        <w:t>月</w:t>
      </w:r>
      <w:r>
        <w:rPr>
          <w:spacing w:val="-3"/>
          <w:w w:val="100"/>
        </w:rPr>
        <w:t>与中</w:t>
      </w:r>
      <w:r>
        <w:rPr>
          <w:w w:val="100"/>
        </w:rPr>
        <w:t>民国</w:t>
      </w:r>
      <w:r>
        <w:rPr>
          <w:spacing w:val="-3"/>
          <w:w w:val="100"/>
        </w:rPr>
        <w:t>际</w:t>
      </w:r>
      <w:r>
        <w:rPr>
          <w:spacing w:val="-1"/>
          <w:w w:val="100"/>
        </w:rPr>
        <w:t>融</w:t>
      </w:r>
      <w:r>
        <w:rPr>
          <w:spacing w:val="-3"/>
          <w:w w:val="100"/>
        </w:rPr>
        <w:t>资</w:t>
      </w:r>
      <w:r>
        <w:rPr>
          <w:w w:val="100"/>
        </w:rPr>
        <w:t>租</w:t>
      </w:r>
      <w:r>
        <w:rPr>
          <w:spacing w:val="-3"/>
          <w:w w:val="100"/>
        </w:rPr>
        <w:t>赁</w:t>
      </w:r>
      <w:r>
        <w:rPr>
          <w:w w:val="100"/>
        </w:rPr>
        <w:t>有</w:t>
      </w:r>
      <w:r>
        <w:rPr>
          <w:spacing w:val="-3"/>
          <w:w w:val="100"/>
        </w:rPr>
        <w:t>限</w:t>
      </w:r>
      <w:r>
        <w:rPr>
          <w:w w:val="100"/>
        </w:rPr>
        <w:t>公</w:t>
      </w:r>
      <w:r>
        <w:rPr>
          <w:spacing w:val="-3"/>
          <w:w w:val="100"/>
        </w:rPr>
        <w:t>司</w:t>
      </w:r>
      <w:r>
        <w:rPr>
          <w:w w:val="100"/>
        </w:rPr>
        <w:t>签订</w:t>
      </w:r>
      <w:r>
        <w:rPr>
          <w:spacing w:val="-3"/>
          <w:w w:val="100"/>
        </w:rPr>
        <w:t>融</w:t>
      </w:r>
      <w:r>
        <w:rPr>
          <w:w w:val="100"/>
        </w:rPr>
        <w:t>资</w:t>
      </w:r>
      <w:r>
        <w:rPr>
          <w:spacing w:val="-3"/>
          <w:w w:val="100"/>
        </w:rPr>
        <w:t>租</w:t>
      </w:r>
      <w:r>
        <w:rPr>
          <w:w w:val="100"/>
        </w:rPr>
        <w:t>赁</w:t>
      </w:r>
      <w:r>
        <w:rPr>
          <w:spacing w:val="-3"/>
          <w:w w:val="100"/>
        </w:rPr>
        <w:t>合同</w:t>
      </w:r>
      <w:r>
        <w:rPr>
          <w:spacing w:val="-92"/>
          <w:w w:val="100"/>
        </w:rPr>
        <w:t>，</w:t>
      </w:r>
      <w:r>
        <w:rPr>
          <w:spacing w:val="-3"/>
          <w:w w:val="100"/>
        </w:rPr>
        <w:t>对公</w:t>
      </w:r>
      <w:r>
        <w:rPr>
          <w:w w:val="100"/>
        </w:rPr>
        <w:t>司</w:t>
      </w:r>
      <w:r>
        <w:rPr>
          <w:spacing w:val="-52"/>
        </w:rPr>
        <w:t> </w:t>
      </w:r>
      <w:r>
        <w:rPr>
          <w:rFonts w:ascii="宋体" w:hAnsi="宋体" w:cs="宋体" w:eastAsia="宋体" w:hint="default"/>
          <w:w w:val="100"/>
        </w:rPr>
        <w:t>13</w:t>
      </w:r>
      <w:r>
        <w:rPr>
          <w:rFonts w:ascii="宋体" w:hAnsi="宋体" w:cs="宋体" w:eastAsia="宋体" w:hint="default"/>
          <w:spacing w:val="-3"/>
          <w:w w:val="100"/>
        </w:rPr>
        <w:t>5</w:t>
      </w:r>
      <w:r>
        <w:rPr>
          <w:rFonts w:ascii="宋体" w:hAnsi="宋体" w:cs="宋体" w:eastAsia="宋体" w:hint="default"/>
          <w:w w:val="100"/>
        </w:rPr>
        <w:t>40</w:t>
      </w:r>
      <w:r>
        <w:rPr>
          <w:rFonts w:ascii="宋体" w:hAnsi="宋体" w:cs="宋体" w:eastAsia="宋体" w:hint="default"/>
          <w:spacing w:val="-53"/>
        </w:rPr>
        <w:t> </w:t>
      </w:r>
      <w:r>
        <w:rPr>
          <w:spacing w:val="-3"/>
          <w:w w:val="100"/>
        </w:rPr>
        <w:t>台</w:t>
      </w:r>
      <w:r>
        <w:rPr>
          <w:w w:val="100"/>
        </w:rPr>
        <w:t>集装</w:t>
      </w:r>
    </w:p>
    <w:p>
      <w:pPr>
        <w:pStyle w:val="BodyText"/>
        <w:spacing w:line="240" w:lineRule="auto" w:before="135"/>
        <w:ind w:left="138" w:right="125"/>
        <w:jc w:val="left"/>
      </w:pPr>
      <w:r>
        <w:rPr/>
        <w:t>箱进行了售后回租，融资额</w:t>
      </w:r>
      <w:r>
        <w:rPr>
          <w:spacing w:val="-53"/>
        </w:rPr>
        <w:t> </w:t>
      </w:r>
      <w:r>
        <w:rPr>
          <w:rFonts w:ascii="宋体" w:hAnsi="宋体" w:cs="宋体" w:eastAsia="宋体" w:hint="default"/>
        </w:rPr>
        <w:t>20,000.00</w:t>
      </w:r>
      <w:r>
        <w:rPr>
          <w:rFonts w:ascii="宋体" w:hAnsi="宋体" w:cs="宋体" w:eastAsia="宋体" w:hint="default"/>
          <w:spacing w:val="-53"/>
        </w:rPr>
        <w:t> </w:t>
      </w:r>
      <w:r>
        <w:rPr/>
        <w:t>万元，租赁期间</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4</w:t>
      </w:r>
      <w:r>
        <w:rPr>
          <w:rFonts w:ascii="宋体" w:hAnsi="宋体" w:cs="宋体" w:eastAsia="宋体" w:hint="default"/>
          <w:spacing w:val="-55"/>
        </w:rPr>
        <w:t> </w:t>
      </w:r>
      <w:r>
        <w:rPr/>
        <w:t>月</w:t>
      </w:r>
      <w:r>
        <w:rPr>
          <w:rFonts w:ascii="宋体" w:hAnsi="宋体" w:cs="宋体" w:eastAsia="宋体" w:hint="default"/>
        </w:rPr>
        <w:t>-2022</w:t>
      </w:r>
      <w:r>
        <w:rPr>
          <w:rFonts w:ascii="宋体" w:hAnsi="宋体" w:cs="宋体" w:eastAsia="宋体" w:hint="default"/>
          <w:spacing w:val="-55"/>
        </w:rPr>
        <w:t> </w:t>
      </w:r>
      <w:r>
        <w:rPr/>
        <w:t>年</w:t>
      </w:r>
      <w:r>
        <w:rPr>
          <w:spacing w:val="-55"/>
        </w:rPr>
        <w:t> </w:t>
      </w:r>
      <w:r>
        <w:rPr>
          <w:rFonts w:ascii="宋体" w:hAnsi="宋体" w:cs="宋体" w:eastAsia="宋体" w:hint="default"/>
        </w:rPr>
        <w:t>4</w:t>
      </w:r>
      <w:r>
        <w:rPr>
          <w:rFonts w:ascii="宋体" w:hAnsi="宋体" w:cs="宋体" w:eastAsia="宋体" w:hint="default"/>
          <w:spacing w:val="-52"/>
        </w:rPr>
        <w:t> </w:t>
      </w:r>
      <w:r>
        <w:rPr/>
        <w:t>月。</w:t>
      </w:r>
    </w:p>
    <w:p>
      <w:pPr>
        <w:spacing w:line="240" w:lineRule="auto" w:before="5"/>
        <w:rPr>
          <w:rFonts w:ascii="宋体" w:hAnsi="宋体" w:cs="宋体" w:eastAsia="宋体" w:hint="default"/>
          <w:sz w:val="19"/>
          <w:szCs w:val="19"/>
        </w:rPr>
      </w:pPr>
    </w:p>
    <w:p>
      <w:pPr>
        <w:pStyle w:val="BodyText"/>
        <w:spacing w:line="240" w:lineRule="auto"/>
        <w:ind w:left="558" w:right="125"/>
        <w:jc w:val="left"/>
      </w:pPr>
      <w:r>
        <w:rPr>
          <w:rFonts w:ascii="MS UI Gothic" w:hAnsi="MS UI Gothic" w:cs="MS UI Gothic" w:eastAsia="MS UI Gothic" w:hint="default"/>
        </w:rPr>
        <w:t>⑫</w:t>
      </w:r>
      <w:r>
        <w:rPr/>
        <w:t>船舶“仁建</w:t>
      </w:r>
      <w:r>
        <w:rPr>
          <w:spacing w:val="-54"/>
        </w:rPr>
        <w:t> </w:t>
      </w:r>
      <w:r>
        <w:rPr>
          <w:rFonts w:ascii="宋体" w:hAnsi="宋体" w:cs="宋体" w:eastAsia="宋体" w:hint="default"/>
        </w:rPr>
        <w:t>15</w:t>
      </w:r>
      <w:r>
        <w:rPr/>
        <w:t>”售后回租（合同签订时间</w:t>
      </w:r>
      <w:r>
        <w:rPr>
          <w:spacing w:val="-54"/>
        </w:rPr>
        <w:t> </w:t>
      </w: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9</w:t>
      </w:r>
      <w:r>
        <w:rPr>
          <w:rFonts w:ascii="宋体" w:hAnsi="宋体" w:cs="宋体" w:eastAsia="宋体" w:hint="default"/>
          <w:spacing w:val="-54"/>
        </w:rPr>
        <w:t> </w:t>
      </w:r>
      <w:r>
        <w:rPr>
          <w:spacing w:val="-3"/>
        </w:rPr>
        <w:t>月）</w:t>
      </w:r>
      <w:r>
        <w:rPr/>
      </w:r>
    </w:p>
    <w:p>
      <w:pPr>
        <w:spacing w:line="240" w:lineRule="auto" w:before="5"/>
        <w:rPr>
          <w:rFonts w:ascii="宋体" w:hAnsi="宋体" w:cs="宋体" w:eastAsia="宋体" w:hint="default"/>
          <w:sz w:val="19"/>
          <w:szCs w:val="19"/>
        </w:rPr>
      </w:pPr>
    </w:p>
    <w:p>
      <w:pPr>
        <w:pStyle w:val="BodyText"/>
        <w:spacing w:line="240" w:lineRule="auto"/>
        <w:ind w:left="558" w:right="125"/>
        <w:jc w:val="left"/>
      </w:pPr>
      <w:r>
        <w:rPr/>
        <w:t>本公司于</w:t>
      </w:r>
      <w:r>
        <w:rPr>
          <w:spacing w:val="-54"/>
        </w:rPr>
        <w:t> </w:t>
      </w:r>
      <w:r>
        <w:rPr>
          <w:rFonts w:ascii="宋体" w:hAnsi="宋体" w:cs="宋体" w:eastAsia="宋体" w:hint="default"/>
        </w:rPr>
        <w:t>2017</w:t>
      </w:r>
      <w:r>
        <w:rPr>
          <w:rFonts w:ascii="宋体" w:hAnsi="宋体" w:cs="宋体" w:eastAsia="宋体" w:hint="default"/>
          <w:spacing w:val="-56"/>
        </w:rPr>
        <w:t> </w:t>
      </w:r>
      <w:r>
        <w:rPr/>
        <w:t>年</w:t>
      </w:r>
      <w:r>
        <w:rPr>
          <w:spacing w:val="-53"/>
        </w:rPr>
        <w:t> </w:t>
      </w:r>
      <w:r>
        <w:rPr>
          <w:rFonts w:ascii="宋体" w:hAnsi="宋体" w:cs="宋体" w:eastAsia="宋体" w:hint="default"/>
        </w:rPr>
        <w:t>9</w:t>
      </w:r>
      <w:r>
        <w:rPr>
          <w:rFonts w:ascii="宋体" w:hAnsi="宋体" w:cs="宋体" w:eastAsia="宋体" w:hint="default"/>
          <w:spacing w:val="-56"/>
        </w:rPr>
        <w:t> </w:t>
      </w:r>
      <w:r>
        <w:rPr/>
        <w:t>月与信达金融租赁有限公司签订融资租赁合同，对公司自有船舶“仁建</w:t>
      </w:r>
    </w:p>
    <w:p>
      <w:pPr>
        <w:pStyle w:val="BodyText"/>
        <w:spacing w:line="240" w:lineRule="auto" w:before="133"/>
        <w:ind w:left="138" w:right="125"/>
        <w:jc w:val="left"/>
      </w:pPr>
      <w:r>
        <w:rPr>
          <w:rFonts w:ascii="宋体" w:hAnsi="宋体" w:cs="宋体" w:eastAsia="宋体" w:hint="default"/>
        </w:rPr>
        <w:t>15</w:t>
      </w:r>
      <w:r>
        <w:rPr/>
        <w:t>”进行了售后回租，融资额</w:t>
      </w:r>
      <w:r>
        <w:rPr>
          <w:spacing w:val="-52"/>
        </w:rPr>
        <w:t> </w:t>
      </w:r>
      <w:r>
        <w:rPr>
          <w:rFonts w:ascii="宋体" w:hAnsi="宋体" w:cs="宋体" w:eastAsia="宋体" w:hint="default"/>
        </w:rPr>
        <w:t>8,600.00</w:t>
      </w:r>
      <w:r>
        <w:rPr>
          <w:rFonts w:ascii="宋体" w:hAnsi="宋体" w:cs="宋体" w:eastAsia="宋体" w:hint="default"/>
          <w:spacing w:val="-55"/>
        </w:rPr>
        <w:t> </w:t>
      </w:r>
      <w:r>
        <w:rPr/>
        <w:t>万元，租赁期间</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9</w:t>
      </w:r>
      <w:r>
        <w:rPr>
          <w:rFonts w:ascii="宋体" w:hAnsi="宋体" w:cs="宋体" w:eastAsia="宋体" w:hint="default"/>
          <w:spacing w:val="-55"/>
        </w:rPr>
        <w:t> </w:t>
      </w:r>
      <w:r>
        <w:rPr/>
        <w:t>月</w:t>
      </w:r>
      <w:r>
        <w:rPr>
          <w:rFonts w:ascii="宋体" w:hAnsi="宋体" w:cs="宋体" w:eastAsia="宋体" w:hint="default"/>
        </w:rPr>
        <w:t>-2022</w:t>
      </w:r>
      <w:r>
        <w:rPr>
          <w:rFonts w:ascii="宋体" w:hAnsi="宋体" w:cs="宋体" w:eastAsia="宋体" w:hint="default"/>
          <w:spacing w:val="-55"/>
        </w:rPr>
        <w:t> </w:t>
      </w:r>
      <w:r>
        <w:rPr/>
        <w:t>年</w:t>
      </w:r>
      <w:r>
        <w:rPr>
          <w:spacing w:val="-54"/>
        </w:rPr>
        <w:t> </w:t>
      </w:r>
      <w:r>
        <w:rPr>
          <w:rFonts w:ascii="宋体" w:hAnsi="宋体" w:cs="宋体" w:eastAsia="宋体" w:hint="default"/>
        </w:rPr>
        <w:t>9</w:t>
      </w:r>
      <w:r>
        <w:rPr>
          <w:rFonts w:ascii="宋体" w:hAnsi="宋体" w:cs="宋体" w:eastAsia="宋体" w:hint="default"/>
          <w:spacing w:val="-53"/>
        </w:rPr>
        <w:t> </w:t>
      </w:r>
      <w:r>
        <w:rPr/>
        <w:t>月。</w:t>
      </w:r>
    </w:p>
    <w:p>
      <w:pPr>
        <w:spacing w:line="240" w:lineRule="auto" w:before="5"/>
        <w:rPr>
          <w:rFonts w:ascii="宋体" w:hAnsi="宋体" w:cs="宋体" w:eastAsia="宋体" w:hint="default"/>
          <w:sz w:val="19"/>
          <w:szCs w:val="19"/>
        </w:rPr>
      </w:pPr>
    </w:p>
    <w:p>
      <w:pPr>
        <w:pStyle w:val="BodyText"/>
        <w:spacing w:line="240" w:lineRule="auto"/>
        <w:ind w:left="558" w:right="125"/>
        <w:jc w:val="left"/>
      </w:pPr>
      <w:r>
        <w:rPr>
          <w:rFonts w:ascii="MS UI Gothic" w:hAnsi="MS UI Gothic" w:cs="MS UI Gothic" w:eastAsia="MS UI Gothic" w:hint="default"/>
        </w:rPr>
        <w:t>⑬</w:t>
      </w:r>
      <w:r>
        <w:rPr/>
        <w:t>船舶“仁建</w:t>
      </w:r>
      <w:r>
        <w:rPr>
          <w:spacing w:val="-54"/>
        </w:rPr>
        <w:t> </w:t>
      </w:r>
      <w:r>
        <w:rPr>
          <w:rFonts w:ascii="宋体" w:hAnsi="宋体" w:cs="宋体" w:eastAsia="宋体" w:hint="default"/>
        </w:rPr>
        <w:t>16</w:t>
      </w:r>
      <w:r>
        <w:rPr/>
        <w:t>”售后回租（合同签订时间</w:t>
      </w:r>
      <w:r>
        <w:rPr>
          <w:spacing w:val="-54"/>
        </w:rPr>
        <w:t> </w:t>
      </w: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9</w:t>
      </w:r>
      <w:r>
        <w:rPr>
          <w:rFonts w:ascii="宋体" w:hAnsi="宋体" w:cs="宋体" w:eastAsia="宋体" w:hint="default"/>
          <w:spacing w:val="-54"/>
        </w:rPr>
        <w:t> </w:t>
      </w:r>
      <w:r>
        <w:rPr>
          <w:spacing w:val="-3"/>
        </w:rPr>
        <w:t>月）</w:t>
      </w:r>
      <w:r>
        <w:rPr/>
      </w:r>
    </w:p>
    <w:p>
      <w:pPr>
        <w:spacing w:line="240" w:lineRule="auto" w:before="7"/>
        <w:rPr>
          <w:rFonts w:ascii="宋体" w:hAnsi="宋体" w:cs="宋体" w:eastAsia="宋体" w:hint="default"/>
          <w:sz w:val="19"/>
          <w:szCs w:val="19"/>
        </w:rPr>
      </w:pPr>
    </w:p>
    <w:p>
      <w:pPr>
        <w:pStyle w:val="BodyText"/>
        <w:spacing w:line="240" w:lineRule="auto"/>
        <w:ind w:left="558" w:right="125"/>
        <w:jc w:val="left"/>
      </w:pPr>
      <w:r>
        <w:rPr/>
        <w:t>本公司于</w:t>
      </w:r>
      <w:r>
        <w:rPr>
          <w:spacing w:val="-54"/>
        </w:rPr>
        <w:t> </w:t>
      </w:r>
      <w:r>
        <w:rPr>
          <w:rFonts w:ascii="宋体" w:hAnsi="宋体" w:cs="宋体" w:eastAsia="宋体" w:hint="default"/>
        </w:rPr>
        <w:t>2017</w:t>
      </w:r>
      <w:r>
        <w:rPr>
          <w:rFonts w:ascii="宋体" w:hAnsi="宋体" w:cs="宋体" w:eastAsia="宋体" w:hint="default"/>
          <w:spacing w:val="-56"/>
        </w:rPr>
        <w:t> </w:t>
      </w:r>
      <w:r>
        <w:rPr/>
        <w:t>年</w:t>
      </w:r>
      <w:r>
        <w:rPr>
          <w:spacing w:val="-53"/>
        </w:rPr>
        <w:t> </w:t>
      </w:r>
      <w:r>
        <w:rPr>
          <w:rFonts w:ascii="宋体" w:hAnsi="宋体" w:cs="宋体" w:eastAsia="宋体" w:hint="default"/>
        </w:rPr>
        <w:t>9</w:t>
      </w:r>
      <w:r>
        <w:rPr>
          <w:rFonts w:ascii="宋体" w:hAnsi="宋体" w:cs="宋体" w:eastAsia="宋体" w:hint="default"/>
          <w:spacing w:val="-56"/>
        </w:rPr>
        <w:t> </w:t>
      </w:r>
      <w:r>
        <w:rPr/>
        <w:t>月与信达金融租赁有限公司签订融资租赁合同，对公司自有船舶“仁建</w:t>
      </w:r>
    </w:p>
    <w:p>
      <w:pPr>
        <w:pStyle w:val="BodyText"/>
        <w:spacing w:line="240" w:lineRule="auto" w:before="133"/>
        <w:ind w:left="138" w:right="125"/>
        <w:jc w:val="left"/>
      </w:pPr>
      <w:r>
        <w:rPr>
          <w:rFonts w:ascii="宋体" w:hAnsi="宋体" w:cs="宋体" w:eastAsia="宋体" w:hint="default"/>
        </w:rPr>
        <w:t>16</w:t>
      </w:r>
      <w:r>
        <w:rPr/>
        <w:t>”进行了售后回租，融资额</w:t>
      </w:r>
      <w:r>
        <w:rPr>
          <w:spacing w:val="-52"/>
        </w:rPr>
        <w:t> </w:t>
      </w:r>
      <w:r>
        <w:rPr>
          <w:rFonts w:ascii="宋体" w:hAnsi="宋体" w:cs="宋体" w:eastAsia="宋体" w:hint="default"/>
        </w:rPr>
        <w:t>8,600.00</w:t>
      </w:r>
      <w:r>
        <w:rPr>
          <w:rFonts w:ascii="宋体" w:hAnsi="宋体" w:cs="宋体" w:eastAsia="宋体" w:hint="default"/>
          <w:spacing w:val="-55"/>
        </w:rPr>
        <w:t> </w:t>
      </w:r>
      <w:r>
        <w:rPr/>
        <w:t>万元，租赁期间</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9</w:t>
      </w:r>
      <w:r>
        <w:rPr>
          <w:rFonts w:ascii="宋体" w:hAnsi="宋体" w:cs="宋体" w:eastAsia="宋体" w:hint="default"/>
          <w:spacing w:val="-55"/>
        </w:rPr>
        <w:t> </w:t>
      </w:r>
      <w:r>
        <w:rPr/>
        <w:t>月</w:t>
      </w:r>
      <w:r>
        <w:rPr>
          <w:rFonts w:ascii="宋体" w:hAnsi="宋体" w:cs="宋体" w:eastAsia="宋体" w:hint="default"/>
        </w:rPr>
        <w:t>-2022</w:t>
      </w:r>
      <w:r>
        <w:rPr>
          <w:rFonts w:ascii="宋体" w:hAnsi="宋体" w:cs="宋体" w:eastAsia="宋体" w:hint="default"/>
          <w:spacing w:val="-55"/>
        </w:rPr>
        <w:t> </w:t>
      </w:r>
      <w:r>
        <w:rPr/>
        <w:t>年</w:t>
      </w:r>
      <w:r>
        <w:rPr>
          <w:spacing w:val="-54"/>
        </w:rPr>
        <w:t> </w:t>
      </w:r>
      <w:r>
        <w:rPr>
          <w:rFonts w:ascii="宋体" w:hAnsi="宋体" w:cs="宋体" w:eastAsia="宋体" w:hint="default"/>
        </w:rPr>
        <w:t>9</w:t>
      </w:r>
      <w:r>
        <w:rPr>
          <w:rFonts w:ascii="宋体" w:hAnsi="宋体" w:cs="宋体" w:eastAsia="宋体" w:hint="default"/>
          <w:spacing w:val="-53"/>
        </w:rPr>
        <w:t> </w:t>
      </w:r>
      <w:r>
        <w:rPr/>
        <w:t>月。</w:t>
      </w:r>
    </w:p>
    <w:p>
      <w:pPr>
        <w:spacing w:line="240" w:lineRule="auto" w:before="5"/>
        <w:rPr>
          <w:rFonts w:ascii="宋体" w:hAnsi="宋体" w:cs="宋体" w:eastAsia="宋体" w:hint="default"/>
          <w:sz w:val="19"/>
          <w:szCs w:val="19"/>
        </w:rPr>
      </w:pPr>
    </w:p>
    <w:p>
      <w:pPr>
        <w:pStyle w:val="BodyText"/>
        <w:spacing w:line="240" w:lineRule="auto"/>
        <w:ind w:left="558" w:right="125"/>
        <w:jc w:val="left"/>
      </w:pPr>
      <w:r>
        <w:rPr>
          <w:rFonts w:ascii="MS UI Gothic" w:hAnsi="MS UI Gothic" w:cs="MS UI Gothic" w:eastAsia="MS UI Gothic" w:hint="default"/>
        </w:rPr>
        <w:t>⑭</w:t>
      </w:r>
      <w:r>
        <w:rPr/>
        <w:t>船舶“仁建</w:t>
      </w:r>
      <w:r>
        <w:rPr>
          <w:spacing w:val="-54"/>
        </w:rPr>
        <w:t> </w:t>
      </w:r>
      <w:r>
        <w:rPr>
          <w:rFonts w:ascii="宋体" w:hAnsi="宋体" w:cs="宋体" w:eastAsia="宋体" w:hint="default"/>
        </w:rPr>
        <w:t>17</w:t>
      </w:r>
      <w:r>
        <w:rPr/>
        <w:t>”售后回租（合同签订时间</w:t>
      </w:r>
      <w:r>
        <w:rPr>
          <w:spacing w:val="-54"/>
        </w:rPr>
        <w:t> </w:t>
      </w: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9</w:t>
      </w:r>
      <w:r>
        <w:rPr>
          <w:rFonts w:ascii="宋体" w:hAnsi="宋体" w:cs="宋体" w:eastAsia="宋体" w:hint="default"/>
          <w:spacing w:val="-54"/>
        </w:rPr>
        <w:t> </w:t>
      </w:r>
      <w:r>
        <w:rPr>
          <w:spacing w:val="-3"/>
        </w:rPr>
        <w:t>月）</w:t>
      </w:r>
      <w:r>
        <w:rPr/>
      </w:r>
    </w:p>
    <w:p>
      <w:pPr>
        <w:spacing w:line="240" w:lineRule="auto" w:before="5"/>
        <w:rPr>
          <w:rFonts w:ascii="宋体" w:hAnsi="宋体" w:cs="宋体" w:eastAsia="宋体" w:hint="default"/>
          <w:sz w:val="19"/>
          <w:szCs w:val="19"/>
        </w:rPr>
      </w:pPr>
    </w:p>
    <w:p>
      <w:pPr>
        <w:pStyle w:val="BodyText"/>
        <w:spacing w:line="240" w:lineRule="auto"/>
        <w:ind w:left="558" w:right="125"/>
        <w:jc w:val="left"/>
      </w:pPr>
      <w:r>
        <w:rPr/>
        <w:t>本公司于</w:t>
      </w:r>
      <w:r>
        <w:rPr>
          <w:spacing w:val="-54"/>
        </w:rPr>
        <w:t> </w:t>
      </w:r>
      <w:r>
        <w:rPr>
          <w:rFonts w:ascii="宋体" w:hAnsi="宋体" w:cs="宋体" w:eastAsia="宋体" w:hint="default"/>
        </w:rPr>
        <w:t>2017</w:t>
      </w:r>
      <w:r>
        <w:rPr>
          <w:rFonts w:ascii="宋体" w:hAnsi="宋体" w:cs="宋体" w:eastAsia="宋体" w:hint="default"/>
          <w:spacing w:val="-56"/>
        </w:rPr>
        <w:t> </w:t>
      </w:r>
      <w:r>
        <w:rPr/>
        <w:t>年</w:t>
      </w:r>
      <w:r>
        <w:rPr>
          <w:spacing w:val="-53"/>
        </w:rPr>
        <w:t> </w:t>
      </w:r>
      <w:r>
        <w:rPr>
          <w:rFonts w:ascii="宋体" w:hAnsi="宋体" w:cs="宋体" w:eastAsia="宋体" w:hint="default"/>
        </w:rPr>
        <w:t>9</w:t>
      </w:r>
      <w:r>
        <w:rPr>
          <w:rFonts w:ascii="宋体" w:hAnsi="宋体" w:cs="宋体" w:eastAsia="宋体" w:hint="default"/>
          <w:spacing w:val="-56"/>
        </w:rPr>
        <w:t> </w:t>
      </w:r>
      <w:r>
        <w:rPr/>
        <w:t>月与信达金融租赁有限公司签订融资租赁合同，对公司自有船舶“仁建</w:t>
      </w:r>
    </w:p>
    <w:p>
      <w:pPr>
        <w:pStyle w:val="BodyText"/>
        <w:spacing w:line="240" w:lineRule="auto" w:before="133"/>
        <w:ind w:left="138" w:right="125"/>
        <w:jc w:val="left"/>
      </w:pPr>
      <w:r>
        <w:rPr>
          <w:rFonts w:ascii="宋体" w:hAnsi="宋体" w:cs="宋体" w:eastAsia="宋体" w:hint="default"/>
        </w:rPr>
        <w:t>17</w:t>
      </w:r>
      <w:r>
        <w:rPr/>
        <w:t>”进行了售后回租，融资额</w:t>
      </w:r>
      <w:r>
        <w:rPr>
          <w:spacing w:val="-52"/>
        </w:rPr>
        <w:t> </w:t>
      </w:r>
      <w:r>
        <w:rPr>
          <w:rFonts w:ascii="宋体" w:hAnsi="宋体" w:cs="宋体" w:eastAsia="宋体" w:hint="default"/>
        </w:rPr>
        <w:t>8,600.00</w:t>
      </w:r>
      <w:r>
        <w:rPr>
          <w:rFonts w:ascii="宋体" w:hAnsi="宋体" w:cs="宋体" w:eastAsia="宋体" w:hint="default"/>
          <w:spacing w:val="-55"/>
        </w:rPr>
        <w:t> </w:t>
      </w:r>
      <w:r>
        <w:rPr/>
        <w:t>万元，租赁期间</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9</w:t>
      </w:r>
      <w:r>
        <w:rPr>
          <w:rFonts w:ascii="宋体" w:hAnsi="宋体" w:cs="宋体" w:eastAsia="宋体" w:hint="default"/>
          <w:spacing w:val="-55"/>
        </w:rPr>
        <w:t> </w:t>
      </w:r>
      <w:r>
        <w:rPr/>
        <w:t>月</w:t>
      </w:r>
      <w:r>
        <w:rPr>
          <w:rFonts w:ascii="宋体" w:hAnsi="宋体" w:cs="宋体" w:eastAsia="宋体" w:hint="default"/>
        </w:rPr>
        <w:t>-2022</w:t>
      </w:r>
      <w:r>
        <w:rPr>
          <w:rFonts w:ascii="宋体" w:hAnsi="宋体" w:cs="宋体" w:eastAsia="宋体" w:hint="default"/>
          <w:spacing w:val="-55"/>
        </w:rPr>
        <w:t> </w:t>
      </w:r>
      <w:r>
        <w:rPr/>
        <w:t>年</w:t>
      </w:r>
      <w:r>
        <w:rPr>
          <w:spacing w:val="-54"/>
        </w:rPr>
        <w:t> </w:t>
      </w:r>
      <w:r>
        <w:rPr>
          <w:rFonts w:ascii="宋体" w:hAnsi="宋体" w:cs="宋体" w:eastAsia="宋体" w:hint="default"/>
        </w:rPr>
        <w:t>9</w:t>
      </w:r>
      <w:r>
        <w:rPr>
          <w:rFonts w:ascii="宋体" w:hAnsi="宋体" w:cs="宋体" w:eastAsia="宋体" w:hint="default"/>
          <w:spacing w:val="-53"/>
        </w:rPr>
        <w:t> </w:t>
      </w:r>
      <w:r>
        <w:rPr/>
        <w:t>月。</w:t>
      </w:r>
    </w:p>
    <w:p>
      <w:pPr>
        <w:spacing w:line="240" w:lineRule="auto" w:before="7"/>
        <w:rPr>
          <w:rFonts w:ascii="宋体" w:hAnsi="宋体" w:cs="宋体" w:eastAsia="宋体" w:hint="default"/>
          <w:sz w:val="19"/>
          <w:szCs w:val="19"/>
        </w:rPr>
      </w:pPr>
    </w:p>
    <w:p>
      <w:pPr>
        <w:pStyle w:val="BodyText"/>
        <w:spacing w:line="240" w:lineRule="auto"/>
        <w:ind w:left="558" w:right="125"/>
        <w:jc w:val="left"/>
      </w:pPr>
      <w:r>
        <w:rPr>
          <w:rFonts w:ascii="MS UI Gothic" w:hAnsi="MS UI Gothic" w:cs="MS UI Gothic" w:eastAsia="MS UI Gothic" w:hint="default"/>
        </w:rPr>
        <w:t>⑮</w:t>
      </w:r>
      <w:r>
        <w:rPr/>
        <w:t>船舶“仁建</w:t>
      </w:r>
      <w:r>
        <w:rPr>
          <w:spacing w:val="-53"/>
        </w:rPr>
        <w:t> </w:t>
      </w:r>
      <w:r>
        <w:rPr>
          <w:rFonts w:ascii="宋体" w:hAnsi="宋体" w:cs="宋体" w:eastAsia="宋体" w:hint="default"/>
        </w:rPr>
        <w:t>19</w:t>
      </w:r>
      <w:r>
        <w:rPr/>
        <w:t>”售后回租（合同签订时间</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p>
    <w:p>
      <w:pPr>
        <w:pStyle w:val="BodyText"/>
        <w:spacing w:line="240" w:lineRule="auto" w:before="133"/>
        <w:ind w:left="558" w:right="0"/>
        <w:jc w:val="left"/>
      </w:pPr>
      <w:r>
        <w:rPr/>
        <w:t>本公司于</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2"/>
        </w:rPr>
        <w:t> </w:t>
      </w:r>
      <w:r>
        <w:rPr>
          <w:rFonts w:ascii="宋体" w:hAnsi="宋体" w:cs="宋体" w:eastAsia="宋体" w:hint="default"/>
        </w:rPr>
        <w:t>12</w:t>
      </w:r>
      <w:r>
        <w:rPr>
          <w:rFonts w:ascii="宋体" w:hAnsi="宋体" w:cs="宋体" w:eastAsia="宋体" w:hint="default"/>
          <w:spacing w:val="-55"/>
        </w:rPr>
        <w:t> </w:t>
      </w:r>
      <w:r>
        <w:rPr/>
        <w:t>月与信达金融租赁有限公司签订融资租赁合同，对公司自有船舶“仁建</w:t>
      </w:r>
    </w:p>
    <w:p>
      <w:pPr>
        <w:pStyle w:val="BodyText"/>
        <w:spacing w:line="240" w:lineRule="auto" w:before="133"/>
        <w:ind w:left="138" w:right="125"/>
        <w:jc w:val="left"/>
      </w:pPr>
      <w:r>
        <w:rPr>
          <w:rFonts w:ascii="宋体" w:hAnsi="宋体" w:cs="宋体" w:eastAsia="宋体" w:hint="default"/>
        </w:rPr>
        <w:t>19</w:t>
      </w:r>
      <w:r>
        <w:rPr/>
        <w:t>”进行了售后回租，融资额</w:t>
      </w:r>
      <w:r>
        <w:rPr>
          <w:spacing w:val="-52"/>
        </w:rPr>
        <w:t> </w:t>
      </w:r>
      <w:r>
        <w:rPr>
          <w:rFonts w:ascii="宋体" w:hAnsi="宋体" w:cs="宋体" w:eastAsia="宋体" w:hint="default"/>
        </w:rPr>
        <w:t>7,800.00</w:t>
      </w:r>
      <w:r>
        <w:rPr>
          <w:rFonts w:ascii="宋体" w:hAnsi="宋体" w:cs="宋体" w:eastAsia="宋体" w:hint="default"/>
          <w:spacing w:val="-55"/>
        </w:rPr>
        <w:t> </w:t>
      </w:r>
      <w:r>
        <w:rPr/>
        <w:t>万元，租赁期间</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rFonts w:ascii="宋体" w:hAnsi="宋体" w:cs="宋体" w:eastAsia="宋体" w:hint="default"/>
        </w:rPr>
        <w:t>-2022</w:t>
      </w:r>
      <w:r>
        <w:rPr>
          <w:rFonts w:ascii="宋体" w:hAnsi="宋体" w:cs="宋体" w:eastAsia="宋体" w:hint="default"/>
          <w:spacing w:val="-55"/>
        </w:rPr>
        <w:t> </w:t>
      </w:r>
      <w:r>
        <w:rPr/>
        <w:t>年</w:t>
      </w:r>
      <w:r>
        <w:rPr>
          <w:spacing w:val="-52"/>
        </w:rPr>
        <w:t> </w:t>
      </w:r>
      <w:r>
        <w:rPr>
          <w:rFonts w:ascii="宋体" w:hAnsi="宋体" w:cs="宋体" w:eastAsia="宋体" w:hint="default"/>
        </w:rPr>
        <w:t>12</w:t>
      </w:r>
      <w:r>
        <w:rPr>
          <w:rFonts w:ascii="宋体" w:hAnsi="宋体" w:cs="宋体" w:eastAsia="宋体" w:hint="default"/>
          <w:spacing w:val="-55"/>
        </w:rPr>
        <w:t> </w:t>
      </w:r>
      <w:r>
        <w:rPr/>
        <w:t>月。</w:t>
      </w:r>
    </w:p>
    <w:p>
      <w:pPr>
        <w:pStyle w:val="BodyText"/>
        <w:spacing w:line="357" w:lineRule="auto" w:before="133"/>
        <w:ind w:left="558" w:right="125"/>
        <w:jc w:val="left"/>
      </w:pPr>
      <w:r>
        <w:rPr/>
        <w:t>（</w:t>
      </w:r>
      <w:r>
        <w:rPr>
          <w:rFonts w:ascii="宋体" w:hAnsi="宋体" w:cs="宋体" w:eastAsia="宋体" w:hint="default"/>
        </w:rPr>
        <w:t>4</w:t>
      </w:r>
      <w:r>
        <w:rPr/>
        <w:t>）业绩承诺</w:t>
      </w:r>
      <w:r>
        <w:rPr>
          <w:w w:val="100"/>
        </w:rPr>
        <w:t> </w:t>
      </w:r>
      <w:r>
        <w:rPr>
          <w:spacing w:val="-7"/>
          <w:w w:val="100"/>
        </w:rPr>
        <w:t>根据《重大资产出售及发行股份购买资产并募集配套资金暨关联交易报告书》中的重组方案，</w:t>
      </w:r>
    </w:p>
    <w:p>
      <w:pPr>
        <w:pStyle w:val="BodyText"/>
        <w:spacing w:line="240" w:lineRule="auto" w:before="30"/>
        <w:ind w:left="138" w:right="0"/>
        <w:jc w:val="left"/>
      </w:pPr>
      <w:r>
        <w:rPr>
          <w:spacing w:val="-3"/>
        </w:rPr>
        <w:t>本公司子公司安通物流、安盛船务 </w:t>
      </w:r>
      <w:r>
        <w:rPr>
          <w:rFonts w:ascii="宋体" w:hAnsi="宋体" w:cs="宋体" w:eastAsia="宋体" w:hint="default"/>
        </w:rPr>
        <w:t>2016 </w:t>
      </w:r>
      <w:r>
        <w:rPr>
          <w:spacing w:val="-3"/>
        </w:rPr>
        <w:t>年、</w:t>
      </w:r>
      <w:r>
        <w:rPr>
          <w:rFonts w:ascii="宋体" w:hAnsi="宋体" w:cs="宋体" w:eastAsia="宋体" w:hint="default"/>
          <w:spacing w:val="-3"/>
        </w:rPr>
        <w:t>2017 </w:t>
      </w:r>
      <w:r>
        <w:rPr/>
        <w:t>年和 </w:t>
      </w:r>
      <w:r>
        <w:rPr>
          <w:rFonts w:ascii="宋体" w:hAnsi="宋体" w:cs="宋体" w:eastAsia="宋体" w:hint="default"/>
        </w:rPr>
        <w:t>2018</w:t>
      </w:r>
      <w:r>
        <w:rPr>
          <w:rFonts w:ascii="宋体" w:hAnsi="宋体" w:cs="宋体" w:eastAsia="宋体" w:hint="default"/>
          <w:spacing w:val="13"/>
        </w:rPr>
        <w:t> </w:t>
      </w:r>
      <w:r>
        <w:rPr>
          <w:spacing w:val="-3"/>
        </w:rPr>
        <w:t>年实现的合并净利润（公司合并净</w:t>
      </w:r>
    </w:p>
    <w:p>
      <w:pPr>
        <w:pStyle w:val="BodyText"/>
        <w:spacing w:line="240" w:lineRule="auto" w:before="133"/>
        <w:ind w:left="138" w:right="125"/>
        <w:jc w:val="left"/>
      </w:pPr>
      <w:r>
        <w:rPr/>
        <w:t>利润中扣除非经常性损益后归属于母公司股东的净利润）应分别不低于 </w:t>
      </w:r>
      <w:r>
        <w:rPr>
          <w:rFonts w:ascii="宋体" w:hAnsi="宋体" w:cs="宋体" w:eastAsia="宋体" w:hint="default"/>
        </w:rPr>
        <w:t>32,820.00</w:t>
      </w:r>
      <w:r>
        <w:rPr>
          <w:rFonts w:ascii="宋体" w:hAnsi="宋体" w:cs="宋体" w:eastAsia="宋体" w:hint="default"/>
          <w:spacing w:val="-59"/>
        </w:rPr>
        <w:t> </w:t>
      </w:r>
      <w:r>
        <w:rPr/>
        <w:t>万元、</w:t>
      </w:r>
    </w:p>
    <w:p>
      <w:pPr>
        <w:pStyle w:val="BodyText"/>
        <w:spacing w:line="240" w:lineRule="auto" w:before="133"/>
        <w:ind w:left="138" w:right="125"/>
        <w:jc w:val="left"/>
      </w:pPr>
      <w:r>
        <w:rPr>
          <w:rFonts w:ascii="宋体" w:hAnsi="宋体" w:cs="宋体" w:eastAsia="宋体" w:hint="default"/>
        </w:rPr>
        <w:t>40,690.00 </w:t>
      </w:r>
      <w:r>
        <w:rPr/>
        <w:t>万元、</w:t>
      </w:r>
      <w:r>
        <w:rPr>
          <w:rFonts w:ascii="宋体" w:hAnsi="宋体" w:cs="宋体" w:eastAsia="宋体" w:hint="default"/>
        </w:rPr>
        <w:t>47,370.00</w:t>
      </w:r>
      <w:r>
        <w:rPr>
          <w:rFonts w:ascii="宋体" w:hAnsi="宋体" w:cs="宋体" w:eastAsia="宋体" w:hint="default"/>
          <w:spacing w:val="-55"/>
        </w:rPr>
        <w:t> </w:t>
      </w:r>
      <w:r>
        <w:rPr/>
        <w:t>万元。</w:t>
      </w:r>
    </w:p>
    <w:p>
      <w:pPr>
        <w:spacing w:line="240" w:lineRule="auto" w:before="10"/>
        <w:rPr>
          <w:rFonts w:ascii="宋体" w:hAnsi="宋体" w:cs="宋体" w:eastAsia="宋体" w:hint="default"/>
          <w:sz w:val="14"/>
          <w:szCs w:val="14"/>
        </w:rPr>
      </w:pPr>
    </w:p>
    <w:p>
      <w:pPr>
        <w:pStyle w:val="Heading2"/>
        <w:spacing w:line="240" w:lineRule="auto"/>
        <w:ind w:left="138" w:right="125"/>
        <w:jc w:val="left"/>
        <w:rPr>
          <w:b w:val="0"/>
          <w:bCs w:val="0"/>
        </w:rPr>
      </w:pPr>
      <w:r>
        <w:rPr>
          <w:rFonts w:ascii="宋体" w:hAnsi="宋体" w:cs="宋体" w:eastAsia="宋体" w:hint="default"/>
        </w:rPr>
        <w:t>2</w:t>
      </w:r>
      <w:r>
        <w:rPr/>
        <w:t>、</w:t>
      </w:r>
      <w:r>
        <w:rPr>
          <w:spacing w:val="3"/>
        </w:rPr>
        <w:t> </w:t>
      </w:r>
      <w:r>
        <w:rPr/>
        <w:t>或有事项</w:t>
      </w:r>
      <w:r>
        <w:rPr>
          <w:b w:val="0"/>
          <w:bCs w:val="0"/>
        </w:rPr>
      </w:r>
    </w:p>
    <w:p>
      <w:pPr>
        <w:pStyle w:val="Heading2"/>
        <w:spacing w:line="240" w:lineRule="auto" w:before="58"/>
        <w:ind w:left="138" w:right="125"/>
        <w:jc w:val="left"/>
        <w:rPr>
          <w:b w:val="0"/>
          <w:bCs w:val="0"/>
        </w:rPr>
      </w:pPr>
      <w:r>
        <w:rPr>
          <w:rFonts w:ascii="宋体" w:hAnsi="宋体" w:cs="宋体" w:eastAsia="宋体" w:hint="default"/>
        </w:rPr>
        <w:t>(1).</w:t>
      </w:r>
      <w:r>
        <w:rPr>
          <w:rFonts w:ascii="宋体" w:hAnsi="宋体" w:cs="宋体" w:eastAsia="宋体" w:hint="default"/>
          <w:spacing w:val="86"/>
        </w:rPr>
        <w:t> </w:t>
      </w:r>
      <w:r>
        <w:rPr/>
        <w:t>资产负债表日存在的重要或有事项</w:t>
      </w:r>
      <w:r>
        <w:rPr>
          <w:b w:val="0"/>
          <w:bCs w:val="0"/>
        </w:rPr>
      </w:r>
    </w:p>
    <w:p>
      <w:pPr>
        <w:pStyle w:val="BodyText"/>
        <w:spacing w:line="240" w:lineRule="auto" w:before="56"/>
        <w:ind w:left="138" w:right="125"/>
        <w:jc w:val="left"/>
      </w:pPr>
      <w:r>
        <w:rPr/>
        <w:t>□适用</w:t>
      </w:r>
      <w:r>
        <w:rPr>
          <w:spacing w:val="-1"/>
        </w:rPr>
        <w:t> </w:t>
      </w:r>
      <w:r>
        <w:rPr/>
        <w:t>√不适用</w:t>
      </w:r>
    </w:p>
    <w:p>
      <w:pPr>
        <w:spacing w:after="0" w:line="240" w:lineRule="auto"/>
        <w:jc w:val="left"/>
        <w:sectPr>
          <w:footerReference w:type="default" r:id="rId56"/>
          <w:pgSz w:w="11910" w:h="16840"/>
          <w:pgMar w:footer="1195" w:header="882" w:top="1120" w:bottom="1380" w:left="1660" w:right="1140"/>
          <w:pgNumType w:start="161"/>
        </w:sectPr>
      </w:pPr>
    </w:p>
    <w:p>
      <w:pPr>
        <w:spacing w:line="240" w:lineRule="auto" w:before="1"/>
        <w:rPr>
          <w:rFonts w:ascii="宋体" w:hAnsi="宋体" w:cs="宋体" w:eastAsia="宋体" w:hint="default"/>
          <w:sz w:val="25"/>
          <w:szCs w:val="25"/>
        </w:rPr>
      </w:pPr>
    </w:p>
    <w:p>
      <w:pPr>
        <w:pStyle w:val="Heading2"/>
        <w:spacing w:line="240" w:lineRule="auto" w:before="36"/>
        <w:ind w:right="2497"/>
        <w:jc w:val="left"/>
        <w:rPr>
          <w:b w:val="0"/>
          <w:bCs w:val="0"/>
        </w:rPr>
      </w:pPr>
      <w:r>
        <w:rPr>
          <w:rFonts w:ascii="宋体" w:hAnsi="宋体" w:cs="宋体" w:eastAsia="宋体" w:hint="default"/>
        </w:rPr>
        <w:t>(2).</w:t>
      </w:r>
      <w:r>
        <w:rPr>
          <w:rFonts w:ascii="宋体" w:hAnsi="宋体" w:cs="宋体" w:eastAsia="宋体" w:hint="default"/>
          <w:spacing w:val="83"/>
        </w:rPr>
        <w:t> </w:t>
      </w:r>
      <w:r>
        <w:rPr/>
        <w:t>公司没有需要披露的重要或有事项，也应予以说明：</w:t>
      </w:r>
      <w:r>
        <w:rPr>
          <w:b w:val="0"/>
          <w:bCs w:val="0"/>
        </w:rPr>
      </w:r>
    </w:p>
    <w:p>
      <w:pPr>
        <w:pStyle w:val="BodyText"/>
        <w:spacing w:line="240" w:lineRule="auto" w:before="58"/>
        <w:ind w:right="2497"/>
        <w:jc w:val="left"/>
      </w:pPr>
      <w:r>
        <w:rPr/>
        <w:t>□适用</w:t>
      </w:r>
      <w:r>
        <w:rPr>
          <w:spacing w:val="-1"/>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2497"/>
        <w:jc w:val="left"/>
        <w:rPr>
          <w:b w:val="0"/>
          <w:bCs w:val="0"/>
        </w:rPr>
      </w:pPr>
      <w:r>
        <w:rPr>
          <w:rFonts w:ascii="宋体" w:hAnsi="宋体" w:cs="宋体" w:eastAsia="宋体" w:hint="default"/>
        </w:rPr>
        <w:t>3</w:t>
      </w:r>
      <w:r>
        <w:rPr/>
        <w:t>、</w:t>
      </w:r>
      <w:r>
        <w:rPr>
          <w:spacing w:val="2"/>
        </w:rPr>
        <w:t> </w:t>
      </w:r>
      <w:r>
        <w:rPr/>
        <w:t>其他</w:t>
      </w:r>
      <w:r>
        <w:rPr>
          <w:b w:val="0"/>
          <w:bCs w:val="0"/>
        </w:rPr>
      </w:r>
    </w:p>
    <w:p>
      <w:pPr>
        <w:pStyle w:val="BodyText"/>
        <w:spacing w:line="240" w:lineRule="auto" w:before="58"/>
        <w:ind w:right="2497"/>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1040"/>
        </w:sectPr>
      </w:pPr>
    </w:p>
    <w:p>
      <w:pPr>
        <w:pStyle w:val="Heading2"/>
        <w:tabs>
          <w:tab w:pos="1057" w:val="left" w:leader="none"/>
        </w:tabs>
        <w:spacing w:line="240" w:lineRule="auto" w:before="36"/>
        <w:ind w:right="-16"/>
        <w:jc w:val="left"/>
        <w:rPr>
          <w:b w:val="0"/>
          <w:bCs w:val="0"/>
        </w:rPr>
      </w:pPr>
      <w:r>
        <w:rPr/>
        <w:t>十五、</w:t>
        <w:tab/>
        <w:t>资产负债表日后事项</w:t>
      </w:r>
      <w:r>
        <w:rPr>
          <w:b w:val="0"/>
          <w:bCs w:val="0"/>
        </w:rPr>
      </w:r>
    </w:p>
    <w:p>
      <w:pPr>
        <w:pStyle w:val="Heading2"/>
        <w:spacing w:line="240" w:lineRule="auto" w:before="56"/>
        <w:ind w:right="-16"/>
        <w:jc w:val="left"/>
        <w:rPr>
          <w:b w:val="0"/>
          <w:bCs w:val="0"/>
        </w:rPr>
      </w:pPr>
      <w:r>
        <w:rPr>
          <w:rFonts w:ascii="Calibri" w:hAnsi="Calibri" w:cs="Calibri" w:eastAsia="Calibri" w:hint="default"/>
        </w:rPr>
        <w:t>1</w:t>
      </w:r>
      <w:r>
        <w:rPr/>
        <w:t>、</w:t>
      </w:r>
      <w:r>
        <w:rPr>
          <w:spacing w:val="4"/>
        </w:rPr>
        <w:t> </w:t>
      </w:r>
      <w:r>
        <w:rPr/>
        <w:t>重要的非调整事项</w:t>
      </w:r>
      <w:r>
        <w:rPr>
          <w:b w:val="0"/>
          <w:bCs w:val="0"/>
        </w:rPr>
      </w:r>
    </w:p>
    <w:p>
      <w:pPr>
        <w:pStyle w:val="BodyText"/>
        <w:spacing w:line="240" w:lineRule="auto" w:before="32"/>
        <w:ind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959" w:space="3562"/>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429"/>
        <w:gridCol w:w="2165"/>
        <w:gridCol w:w="2264"/>
        <w:gridCol w:w="2192"/>
      </w:tblGrid>
      <w:tr>
        <w:trPr>
          <w:trHeight w:val="555" w:hRule="exact"/>
        </w:trPr>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内容</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对财务状况和经营成</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果的影响数</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无法估计影响数的</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原因</w:t>
            </w:r>
          </w:p>
        </w:tc>
      </w:tr>
      <w:tr>
        <w:trPr>
          <w:trHeight w:val="554" w:hRule="exact"/>
        </w:trPr>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股票和债券的发行</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正在筹划非公开发行</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股票</w:t>
            </w:r>
          </w:p>
        </w:tc>
        <w:tc>
          <w:tcPr>
            <w:tcW w:w="2264" w:type="dxa"/>
            <w:tcBorders>
              <w:top w:val="single" w:sz="4" w:space="0" w:color="000000"/>
              <w:left w:val="single" w:sz="4" w:space="0" w:color="000000"/>
              <w:bottom w:val="single" w:sz="4" w:space="0" w:color="000000"/>
              <w:right w:val="single" w:sz="4" w:space="0" w:color="000000"/>
            </w:tcBorders>
          </w:tcPr>
          <w:p>
            <w:pP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事项尚在筹划中无法</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估计其影响数</w:t>
            </w:r>
          </w:p>
        </w:tc>
      </w:tr>
      <w:tr>
        <w:trPr>
          <w:trHeight w:val="281" w:hRule="exact"/>
        </w:trPr>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重要的对外投资</w:t>
            </w:r>
          </w:p>
        </w:tc>
        <w:tc>
          <w:tcPr>
            <w:tcW w:w="2165" w:type="dxa"/>
            <w:tcBorders>
              <w:top w:val="single" w:sz="4" w:space="0" w:color="000000"/>
              <w:left w:val="single" w:sz="4" w:space="0" w:color="000000"/>
              <w:bottom w:val="single" w:sz="4" w:space="0" w:color="000000"/>
              <w:right w:val="single" w:sz="4" w:space="0" w:color="000000"/>
            </w:tcBorders>
          </w:tcPr>
          <w:p>
            <w:pPr/>
          </w:p>
        </w:tc>
        <w:tc>
          <w:tcPr>
            <w:tcW w:w="2264" w:type="dxa"/>
            <w:tcBorders>
              <w:top w:val="single" w:sz="4" w:space="0" w:color="000000"/>
              <w:left w:val="single" w:sz="4" w:space="0" w:color="000000"/>
              <w:bottom w:val="single" w:sz="4" w:space="0" w:color="000000"/>
              <w:right w:val="single" w:sz="4" w:space="0" w:color="000000"/>
            </w:tcBorders>
          </w:tcPr>
          <w:p>
            <w:pPr/>
          </w:p>
        </w:tc>
        <w:tc>
          <w:tcPr>
            <w:tcW w:w="219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重要的债务重组</w:t>
            </w:r>
          </w:p>
        </w:tc>
        <w:tc>
          <w:tcPr>
            <w:tcW w:w="2165" w:type="dxa"/>
            <w:tcBorders>
              <w:top w:val="single" w:sz="4" w:space="0" w:color="000000"/>
              <w:left w:val="single" w:sz="4" w:space="0" w:color="000000"/>
              <w:bottom w:val="single" w:sz="4" w:space="0" w:color="000000"/>
              <w:right w:val="single" w:sz="4" w:space="0" w:color="000000"/>
            </w:tcBorders>
          </w:tcPr>
          <w:p>
            <w:pPr/>
          </w:p>
        </w:tc>
        <w:tc>
          <w:tcPr>
            <w:tcW w:w="2264" w:type="dxa"/>
            <w:tcBorders>
              <w:top w:val="single" w:sz="4" w:space="0" w:color="000000"/>
              <w:left w:val="single" w:sz="4" w:space="0" w:color="000000"/>
              <w:bottom w:val="single" w:sz="4" w:space="0" w:color="000000"/>
              <w:right w:val="single" w:sz="4" w:space="0" w:color="000000"/>
            </w:tcBorders>
          </w:tcPr>
          <w:p>
            <w:pPr/>
          </w:p>
        </w:tc>
        <w:tc>
          <w:tcPr>
            <w:tcW w:w="219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自然灾害</w:t>
            </w:r>
          </w:p>
        </w:tc>
        <w:tc>
          <w:tcPr>
            <w:tcW w:w="2165" w:type="dxa"/>
            <w:tcBorders>
              <w:top w:val="single" w:sz="4" w:space="0" w:color="000000"/>
              <w:left w:val="single" w:sz="4" w:space="0" w:color="000000"/>
              <w:bottom w:val="single" w:sz="4" w:space="0" w:color="000000"/>
              <w:right w:val="single" w:sz="4" w:space="0" w:color="000000"/>
            </w:tcBorders>
          </w:tcPr>
          <w:p>
            <w:pPr/>
          </w:p>
        </w:tc>
        <w:tc>
          <w:tcPr>
            <w:tcW w:w="2264" w:type="dxa"/>
            <w:tcBorders>
              <w:top w:val="single" w:sz="4" w:space="0" w:color="000000"/>
              <w:left w:val="single" w:sz="4" w:space="0" w:color="000000"/>
              <w:bottom w:val="single" w:sz="4" w:space="0" w:color="000000"/>
              <w:right w:val="single" w:sz="4" w:space="0" w:color="000000"/>
            </w:tcBorders>
          </w:tcPr>
          <w:p>
            <w:pPr/>
          </w:p>
        </w:tc>
        <w:tc>
          <w:tcPr>
            <w:tcW w:w="219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外汇汇率重要变动</w:t>
            </w:r>
          </w:p>
        </w:tc>
        <w:tc>
          <w:tcPr>
            <w:tcW w:w="2165" w:type="dxa"/>
            <w:tcBorders>
              <w:top w:val="single" w:sz="4" w:space="0" w:color="000000"/>
              <w:left w:val="single" w:sz="4" w:space="0" w:color="000000"/>
              <w:bottom w:val="single" w:sz="4" w:space="0" w:color="000000"/>
              <w:right w:val="single" w:sz="4" w:space="0" w:color="000000"/>
            </w:tcBorders>
          </w:tcPr>
          <w:p>
            <w:pPr/>
          </w:p>
        </w:tc>
        <w:tc>
          <w:tcPr>
            <w:tcW w:w="2264" w:type="dxa"/>
            <w:tcBorders>
              <w:top w:val="single" w:sz="4" w:space="0" w:color="000000"/>
              <w:left w:val="single" w:sz="4" w:space="0" w:color="000000"/>
              <w:bottom w:val="single" w:sz="4" w:space="0" w:color="000000"/>
              <w:right w:val="single" w:sz="4" w:space="0" w:color="000000"/>
            </w:tcBorders>
          </w:tcPr>
          <w:p>
            <w:pPr/>
          </w:p>
        </w:tc>
        <w:tc>
          <w:tcPr>
            <w:tcW w:w="21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2"/>
        <w:spacing w:line="240" w:lineRule="auto" w:before="36"/>
        <w:ind w:right="-19"/>
        <w:jc w:val="left"/>
        <w:rPr>
          <w:b w:val="0"/>
          <w:bCs w:val="0"/>
        </w:rPr>
      </w:pPr>
      <w:r>
        <w:rPr>
          <w:rFonts w:ascii="Calibri" w:hAnsi="Calibri" w:cs="Calibri" w:eastAsia="Calibri" w:hint="default"/>
        </w:rPr>
        <w:t>2</w:t>
      </w:r>
      <w:r>
        <w:rPr/>
        <w:t>、</w:t>
      </w:r>
      <w:r>
        <w:rPr>
          <w:spacing w:val="3"/>
        </w:rPr>
        <w:t> </w:t>
      </w:r>
      <w:r>
        <w:rPr/>
        <w:t>利润分配情况</w:t>
      </w:r>
      <w:r>
        <w:rPr>
          <w:b w:val="0"/>
          <w:bCs w:val="0"/>
        </w:rPr>
      </w:r>
    </w:p>
    <w:p>
      <w:pPr>
        <w:pStyle w:val="BodyText"/>
        <w:spacing w:line="240" w:lineRule="auto" w:before="29"/>
        <w:ind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11" w:space="4611"/>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723"/>
        <w:gridCol w:w="5327"/>
      </w:tblGrid>
      <w:tr>
        <w:trPr>
          <w:trHeight w:val="284"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拟分配的利润或股利</w:t>
            </w:r>
          </w:p>
        </w:tc>
        <w:tc>
          <w:tcPr>
            <w:tcW w:w="532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sz w:val="21"/>
              </w:rPr>
              <w:t>106,212,851.10</w:t>
            </w:r>
          </w:p>
        </w:tc>
      </w:tr>
      <w:tr>
        <w:trPr>
          <w:trHeight w:val="28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经审议批准宣告发放的利润或股利</w:t>
            </w:r>
          </w:p>
        </w:tc>
        <w:tc>
          <w:tcPr>
            <w:tcW w:w="5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106,212,851.10</w:t>
            </w:r>
          </w:p>
        </w:tc>
      </w:tr>
    </w:tbl>
    <w:p>
      <w:pPr>
        <w:spacing w:line="240" w:lineRule="auto" w:before="12"/>
        <w:rPr>
          <w:rFonts w:ascii="宋体" w:hAnsi="宋体" w:cs="宋体" w:eastAsia="宋体" w:hint="default"/>
          <w:sz w:val="19"/>
          <w:szCs w:val="19"/>
        </w:rPr>
      </w:pPr>
    </w:p>
    <w:p>
      <w:pPr>
        <w:pStyle w:val="Heading2"/>
        <w:spacing w:line="240" w:lineRule="auto" w:before="36"/>
        <w:ind w:right="0"/>
        <w:jc w:val="both"/>
        <w:rPr>
          <w:b w:val="0"/>
          <w:bCs w:val="0"/>
        </w:rPr>
      </w:pPr>
      <w:r>
        <w:rPr>
          <w:rFonts w:ascii="Calibri" w:hAnsi="Calibri" w:cs="Calibri" w:eastAsia="Calibri" w:hint="default"/>
        </w:rPr>
        <w:t>3</w:t>
      </w:r>
      <w:r>
        <w:rPr/>
        <w:t>、</w:t>
      </w:r>
      <w:r>
        <w:rPr>
          <w:spacing w:val="2"/>
        </w:rPr>
        <w:t> </w:t>
      </w:r>
      <w:r>
        <w:rPr/>
        <w:t>销售退回</w:t>
      </w:r>
      <w:r>
        <w:rPr>
          <w:b w:val="0"/>
          <w:bCs w:val="0"/>
        </w:rPr>
      </w:r>
    </w:p>
    <w:p>
      <w:pPr>
        <w:pStyle w:val="BodyText"/>
        <w:spacing w:line="240" w:lineRule="auto" w:before="32"/>
        <w:ind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0"/>
        <w:jc w:val="both"/>
        <w:rPr>
          <w:b w:val="0"/>
          <w:bCs w:val="0"/>
        </w:rPr>
      </w:pPr>
      <w:r>
        <w:rPr>
          <w:rFonts w:ascii="Calibri" w:hAnsi="Calibri" w:cs="Calibri" w:eastAsia="Calibri" w:hint="default"/>
        </w:rPr>
        <w:t>4</w:t>
      </w:r>
      <w:r>
        <w:rPr/>
        <w:t>、</w:t>
      </w:r>
      <w:r>
        <w:rPr>
          <w:spacing w:val="-1"/>
        </w:rPr>
        <w:t> </w:t>
      </w:r>
      <w:r>
        <w:rPr/>
        <w:t>其他资产负债表日后事项说明</w:t>
      </w:r>
      <w:r>
        <w:rPr>
          <w:b w:val="0"/>
          <w:bCs w:val="0"/>
        </w:rPr>
      </w:r>
    </w:p>
    <w:p>
      <w:pPr>
        <w:pStyle w:val="BodyText"/>
        <w:spacing w:line="240" w:lineRule="auto" w:before="29"/>
        <w:ind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90" w:lineRule="auto"/>
        <w:ind w:right="6952"/>
        <w:jc w:val="both"/>
        <w:rPr>
          <w:b w:val="0"/>
          <w:bCs w:val="0"/>
        </w:rPr>
      </w:pPr>
      <w:r>
        <w:rPr/>
        <w:t>十六、</w:t>
      </w:r>
      <w:r>
        <w:rPr>
          <w:spacing w:val="103"/>
        </w:rPr>
        <w:t> </w:t>
      </w:r>
      <w:r>
        <w:rPr/>
        <w:t>其他重要事项</w:t>
      </w:r>
      <w:r>
        <w:rPr>
          <w:w w:val="100"/>
        </w:rPr>
        <w:t> </w:t>
      </w:r>
      <w:r>
        <w:rPr>
          <w:rFonts w:ascii="宋体" w:hAnsi="宋体" w:cs="宋体" w:eastAsia="宋体" w:hint="default"/>
        </w:rPr>
        <w:t>1</w:t>
      </w:r>
      <w:r>
        <w:rPr/>
        <w:t>、</w:t>
      </w:r>
      <w:r>
        <w:rPr>
          <w:spacing w:val="5"/>
        </w:rPr>
        <w:t> </w:t>
      </w:r>
      <w:r>
        <w:rPr/>
        <w:t>前期会计差错更正</w:t>
      </w:r>
      <w:r>
        <w:rPr>
          <w:w w:val="100"/>
        </w:rPr>
        <w:t> </w:t>
      </w:r>
      <w:r>
        <w:rPr>
          <w:rFonts w:ascii="宋体" w:hAnsi="宋体" w:cs="宋体" w:eastAsia="宋体" w:hint="default"/>
        </w:rPr>
        <w:t>(1).</w:t>
      </w:r>
      <w:r>
        <w:rPr>
          <w:rFonts w:ascii="宋体" w:hAnsi="宋体" w:cs="宋体" w:eastAsia="宋体" w:hint="default"/>
          <w:spacing w:val="74"/>
        </w:rPr>
        <w:t> </w:t>
      </w:r>
      <w:r>
        <w:rPr/>
        <w:t>追溯重述法</w:t>
      </w:r>
      <w:r>
        <w:rPr>
          <w:b w:val="0"/>
          <w:bCs w:val="0"/>
        </w:rPr>
      </w:r>
    </w:p>
    <w:p>
      <w:pPr>
        <w:spacing w:line="290" w:lineRule="auto" w:before="14"/>
        <w:ind w:left="218" w:right="739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pacing w:val="74"/>
          <w:sz w:val="21"/>
          <w:szCs w:val="21"/>
        </w:rPr>
        <w:t> </w:t>
      </w:r>
      <w:r>
        <w:rPr>
          <w:rFonts w:ascii="宋体" w:hAnsi="宋体" w:cs="宋体" w:eastAsia="宋体" w:hint="default"/>
          <w:b/>
          <w:bCs/>
          <w:sz w:val="21"/>
          <w:szCs w:val="21"/>
        </w:rPr>
        <w:t>未来适用法</w:t>
      </w:r>
      <w:r>
        <w:rPr>
          <w:rFonts w:ascii="宋体" w:hAnsi="宋体" w:cs="宋体" w:eastAsia="宋体" w:hint="default"/>
          <w:sz w:val="21"/>
          <w:szCs w:val="21"/>
        </w:rPr>
      </w:r>
    </w:p>
    <w:p>
      <w:pPr>
        <w:spacing w:line="290" w:lineRule="auto" w:before="14"/>
        <w:ind w:left="218" w:right="747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债务重组</w:t>
      </w:r>
      <w:r>
        <w:rPr>
          <w:rFonts w:ascii="宋体" w:hAnsi="宋体" w:cs="宋体" w:eastAsia="宋体" w:hint="default"/>
          <w:sz w:val="21"/>
          <w:szCs w:val="21"/>
        </w:rPr>
      </w:r>
    </w:p>
    <w:p>
      <w:pPr>
        <w:pStyle w:val="BodyText"/>
        <w:spacing w:line="240" w:lineRule="auto" w:before="14"/>
        <w:ind w:right="0"/>
        <w:jc w:val="both"/>
      </w:pPr>
      <w:r>
        <w:rPr/>
        <w:t>□适用</w:t>
      </w:r>
      <w:r>
        <w:rPr>
          <w:spacing w:val="-1"/>
        </w:rPr>
        <w:t> </w:t>
      </w:r>
      <w:r>
        <w:rPr/>
        <w:t>√不适用</w:t>
      </w:r>
    </w:p>
    <w:p>
      <w:pPr>
        <w:spacing w:line="240" w:lineRule="auto" w:before="0"/>
        <w:rPr>
          <w:rFonts w:ascii="宋体" w:hAnsi="宋体" w:cs="宋体" w:eastAsia="宋体" w:hint="default"/>
          <w:sz w:val="25"/>
          <w:szCs w:val="25"/>
        </w:rPr>
      </w:pPr>
    </w:p>
    <w:p>
      <w:pPr>
        <w:pStyle w:val="Heading2"/>
        <w:spacing w:line="240" w:lineRule="auto"/>
        <w:ind w:right="0"/>
        <w:jc w:val="both"/>
        <w:rPr>
          <w:b w:val="0"/>
          <w:bCs w:val="0"/>
        </w:rPr>
      </w:pPr>
      <w:r>
        <w:rPr>
          <w:rFonts w:ascii="宋体" w:hAnsi="宋体" w:cs="宋体" w:eastAsia="宋体" w:hint="default"/>
        </w:rPr>
        <w:t>3</w:t>
      </w:r>
      <w:r>
        <w:rPr/>
        <w:t>、</w:t>
      </w:r>
      <w:r>
        <w:rPr>
          <w:spacing w:val="3"/>
        </w:rPr>
        <w:t> </w:t>
      </w:r>
      <w:r>
        <w:rPr/>
        <w:t>资产置换</w:t>
      </w:r>
      <w:r>
        <w:rPr>
          <w:b w:val="0"/>
          <w:bCs w:val="0"/>
        </w:rPr>
      </w:r>
    </w:p>
    <w:p>
      <w:pPr>
        <w:pStyle w:val="Heading2"/>
        <w:spacing w:line="240" w:lineRule="auto" w:before="58"/>
        <w:ind w:right="0"/>
        <w:jc w:val="both"/>
        <w:rPr>
          <w:b w:val="0"/>
          <w:bCs w:val="0"/>
        </w:rPr>
      </w:pPr>
      <w:r>
        <w:rPr>
          <w:rFonts w:ascii="宋体" w:hAnsi="宋体" w:cs="宋体" w:eastAsia="宋体" w:hint="default"/>
        </w:rPr>
        <w:t>(1). </w:t>
      </w:r>
      <w:r>
        <w:rPr>
          <w:rFonts w:ascii="宋体" w:hAnsi="宋体" w:cs="宋体" w:eastAsia="宋体" w:hint="default"/>
          <w:spacing w:val="11"/>
        </w:rPr>
        <w:t> </w:t>
      </w:r>
      <w:r>
        <w:rPr/>
        <w:t>非货币性资产交换</w:t>
      </w:r>
      <w:r>
        <w:rPr>
          <w:b w:val="0"/>
          <w:bCs w:val="0"/>
        </w:rPr>
      </w:r>
    </w:p>
    <w:p>
      <w:pPr>
        <w:pStyle w:val="BodyText"/>
        <w:spacing w:line="240" w:lineRule="auto" w:before="133"/>
        <w:ind w:right="0"/>
        <w:jc w:val="both"/>
      </w:pPr>
      <w:r>
        <w:rPr/>
        <w:t>□适用</w:t>
      </w:r>
      <w:r>
        <w:rPr>
          <w:spacing w:val="-1"/>
        </w:rPr>
        <w:t> </w:t>
      </w:r>
      <w:r>
        <w:rPr/>
        <w:t>√不适用</w:t>
      </w:r>
    </w:p>
    <w:p>
      <w:pPr>
        <w:spacing w:after="0" w:line="240" w:lineRule="auto"/>
        <w:jc w:val="both"/>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Heading2"/>
        <w:tabs>
          <w:tab w:pos="861" w:val="left" w:leader="none"/>
        </w:tabs>
        <w:spacing w:line="240" w:lineRule="auto" w:before="36"/>
        <w:ind w:right="2497"/>
        <w:jc w:val="left"/>
        <w:rPr>
          <w:b w:val="0"/>
          <w:bCs w:val="0"/>
        </w:rPr>
      </w:pPr>
      <w:r>
        <w:rPr>
          <w:rFonts w:ascii="宋体" w:hAnsi="宋体" w:cs="宋体" w:eastAsia="宋体" w:hint="default"/>
          <w:w w:val="95"/>
        </w:rPr>
        <w:t>(2).</w:t>
        <w:tab/>
      </w:r>
      <w:r>
        <w:rPr/>
        <w:t>其他资产置换</w:t>
      </w:r>
      <w:r>
        <w:rPr>
          <w:b w:val="0"/>
          <w:bCs w:val="0"/>
        </w:rPr>
      </w:r>
    </w:p>
    <w:p>
      <w:pPr>
        <w:pStyle w:val="BodyText"/>
        <w:spacing w:line="240" w:lineRule="auto" w:before="58"/>
        <w:ind w:right="249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497"/>
        <w:jc w:val="left"/>
        <w:rPr>
          <w:b w:val="0"/>
          <w:bCs w:val="0"/>
        </w:rPr>
      </w:pPr>
      <w:r>
        <w:rPr>
          <w:rFonts w:ascii="宋体" w:hAnsi="宋体" w:cs="宋体" w:eastAsia="宋体" w:hint="default"/>
        </w:rPr>
        <w:t>4</w:t>
      </w:r>
      <w:r>
        <w:rPr/>
        <w:t>、</w:t>
      </w:r>
      <w:r>
        <w:rPr>
          <w:spacing w:val="3"/>
        </w:rPr>
        <w:t> </w:t>
      </w:r>
      <w:r>
        <w:rPr/>
        <w:t>年金计划</w:t>
      </w:r>
      <w:r>
        <w:rPr>
          <w:b w:val="0"/>
          <w:bCs w:val="0"/>
        </w:rPr>
      </w:r>
    </w:p>
    <w:p>
      <w:pPr>
        <w:pStyle w:val="BodyText"/>
        <w:spacing w:line="240" w:lineRule="auto" w:before="56"/>
        <w:ind w:right="249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497"/>
        <w:jc w:val="left"/>
        <w:rPr>
          <w:b w:val="0"/>
          <w:bCs w:val="0"/>
        </w:rPr>
      </w:pPr>
      <w:r>
        <w:rPr>
          <w:rFonts w:ascii="宋体" w:hAnsi="宋体" w:cs="宋体" w:eastAsia="宋体" w:hint="default"/>
        </w:rPr>
        <w:t>5</w:t>
      </w:r>
      <w:r>
        <w:rPr/>
        <w:t>、</w:t>
      </w:r>
      <w:r>
        <w:rPr>
          <w:spacing w:val="3"/>
        </w:rPr>
        <w:t> </w:t>
      </w:r>
      <w:r>
        <w:rPr/>
        <w:t>终止经营</w:t>
      </w:r>
      <w:r>
        <w:rPr>
          <w:b w:val="0"/>
          <w:bCs w:val="0"/>
        </w:rPr>
      </w:r>
    </w:p>
    <w:p>
      <w:pPr>
        <w:pStyle w:val="BodyText"/>
        <w:spacing w:line="240" w:lineRule="auto" w:before="58"/>
        <w:ind w:right="249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497"/>
        <w:jc w:val="left"/>
        <w:rPr>
          <w:b w:val="0"/>
          <w:bCs w:val="0"/>
        </w:rPr>
      </w:pPr>
      <w:r>
        <w:rPr>
          <w:rFonts w:ascii="宋体" w:hAnsi="宋体" w:cs="宋体" w:eastAsia="宋体" w:hint="default"/>
        </w:rPr>
        <w:t>6</w:t>
      </w:r>
      <w:r>
        <w:rPr/>
        <w:t>、</w:t>
      </w:r>
      <w:r>
        <w:rPr>
          <w:spacing w:val="3"/>
        </w:rPr>
        <w:t> </w:t>
      </w:r>
      <w:r>
        <w:rPr/>
        <w:t>分部信息</w:t>
      </w:r>
      <w:r>
        <w:rPr>
          <w:b w:val="0"/>
          <w:bCs w:val="0"/>
        </w:rPr>
      </w:r>
    </w:p>
    <w:p>
      <w:pPr>
        <w:pStyle w:val="Heading2"/>
        <w:tabs>
          <w:tab w:pos="861" w:val="left" w:leader="none"/>
        </w:tabs>
        <w:spacing w:line="240" w:lineRule="auto" w:before="56"/>
        <w:ind w:right="2497"/>
        <w:jc w:val="left"/>
        <w:rPr>
          <w:b w:val="0"/>
          <w:bCs w:val="0"/>
        </w:rPr>
      </w:pPr>
      <w:r>
        <w:rPr>
          <w:rFonts w:ascii="宋体" w:hAnsi="宋体" w:cs="宋体" w:eastAsia="宋体" w:hint="default"/>
          <w:w w:val="95"/>
        </w:rPr>
        <w:t>(1).</w:t>
        <w:tab/>
      </w:r>
      <w:r>
        <w:rPr/>
        <w:t>报告分部的确定依据与会计政策：</w:t>
      </w:r>
      <w:r>
        <w:rPr>
          <w:b w:val="0"/>
          <w:bCs w:val="0"/>
        </w:rPr>
      </w:r>
    </w:p>
    <w:p>
      <w:pPr>
        <w:pStyle w:val="BodyText"/>
        <w:spacing w:line="240" w:lineRule="auto" w:before="59"/>
        <w:ind w:right="2497"/>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1040"/>
        </w:sectPr>
      </w:pPr>
    </w:p>
    <w:p>
      <w:pPr>
        <w:pStyle w:val="Heading2"/>
        <w:tabs>
          <w:tab w:pos="861" w:val="left" w:leader="none"/>
        </w:tabs>
        <w:spacing w:line="240" w:lineRule="auto" w:before="36"/>
        <w:ind w:right="-17"/>
        <w:jc w:val="left"/>
        <w:rPr>
          <w:b w:val="0"/>
          <w:bCs w:val="0"/>
        </w:rPr>
      </w:pPr>
      <w:r>
        <w:rPr>
          <w:rFonts w:ascii="宋体" w:hAnsi="宋体" w:cs="宋体" w:eastAsia="宋体" w:hint="default"/>
          <w:w w:val="95"/>
        </w:rPr>
        <w:t>(2).</w:t>
        <w:tab/>
      </w:r>
      <w:r>
        <w:rPr/>
        <w:t>报告分部的财务信息</w:t>
      </w:r>
      <w:r>
        <w:rPr>
          <w:b w:val="0"/>
          <w:bCs w:val="0"/>
        </w:rPr>
      </w:r>
    </w:p>
    <w:p>
      <w:pPr>
        <w:pStyle w:val="BodyText"/>
        <w:spacing w:line="240" w:lineRule="auto" w:before="56"/>
        <w:ind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763" w:space="3759"/>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960"/>
        <w:gridCol w:w="1376"/>
        <w:gridCol w:w="1656"/>
        <w:gridCol w:w="1656"/>
        <w:gridCol w:w="1745"/>
        <w:gridCol w:w="1656"/>
      </w:tblGrid>
      <w:tr>
        <w:trPr>
          <w:trHeight w:val="28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4"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19" w:right="0"/>
              <w:jc w:val="left"/>
              <w:rPr>
                <w:rFonts w:ascii="宋体" w:hAnsi="宋体" w:cs="宋体" w:eastAsia="宋体" w:hint="default"/>
                <w:sz w:val="18"/>
                <w:szCs w:val="18"/>
              </w:rPr>
            </w:pPr>
            <w:r>
              <w:rPr>
                <w:rFonts w:ascii="宋体" w:hAnsi="宋体" w:cs="宋体" w:eastAsia="宋体" w:hint="default"/>
                <w:sz w:val="18"/>
                <w:szCs w:val="18"/>
              </w:rPr>
              <w:t>管理分部</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3" w:right="0"/>
              <w:jc w:val="left"/>
              <w:rPr>
                <w:rFonts w:ascii="宋体" w:hAnsi="宋体" w:cs="宋体" w:eastAsia="宋体" w:hint="default"/>
                <w:sz w:val="18"/>
                <w:szCs w:val="18"/>
              </w:rPr>
            </w:pPr>
            <w:r>
              <w:rPr>
                <w:rFonts w:ascii="宋体" w:hAnsi="宋体" w:cs="宋体" w:eastAsia="宋体" w:hint="default"/>
                <w:sz w:val="18"/>
                <w:szCs w:val="18"/>
              </w:rPr>
              <w:t>物流辅助服务</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水路运输</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分部间抵销</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475"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一、对外</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交易收入</w:t>
            </w:r>
          </w:p>
        </w:tc>
        <w:tc>
          <w:tcPr>
            <w:tcW w:w="137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pacing w:val="-1"/>
                <w:sz w:val="18"/>
              </w:rPr>
              <w:t>6,738,421,969.37</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pacing w:val="-1"/>
                <w:sz w:val="18"/>
              </w:rPr>
              <w:t>22,199,886.45</w:t>
            </w:r>
          </w:p>
        </w:tc>
        <w:tc>
          <w:tcPr>
            <w:tcW w:w="1745"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pacing w:val="-1"/>
                <w:sz w:val="18"/>
              </w:rPr>
              <w:t>6,760,621,855.82</w:t>
            </w:r>
          </w:p>
        </w:tc>
      </w:tr>
      <w:tr>
        <w:trPr>
          <w:trHeight w:val="478"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二、分部</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交易收入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4"/>
              <w:jc w:val="right"/>
              <w:rPr>
                <w:rFonts w:ascii="宋体" w:hAnsi="宋体" w:cs="宋体" w:eastAsia="宋体" w:hint="default"/>
                <w:sz w:val="18"/>
                <w:szCs w:val="18"/>
              </w:rPr>
            </w:pPr>
            <w:r>
              <w:rPr>
                <w:rFonts w:ascii="宋体"/>
                <w:spacing w:val="-1"/>
                <w:sz w:val="18"/>
              </w:rPr>
              <w:t>18,207,547.1</w:t>
            </w:r>
          </w:p>
          <w:p>
            <w:pPr>
              <w:pStyle w:val="TableParagraph"/>
              <w:spacing w:line="234" w:lineRule="exact"/>
              <w:ind w:right="104"/>
              <w:jc w:val="right"/>
              <w:rPr>
                <w:rFonts w:ascii="宋体" w:hAnsi="宋体" w:cs="宋体" w:eastAsia="宋体" w:hint="default"/>
                <w:sz w:val="18"/>
                <w:szCs w:val="18"/>
              </w:rPr>
            </w:pPr>
            <w:r>
              <w:rPr>
                <w:rFonts w:ascii="宋体"/>
                <w:sz w:val="18"/>
              </w:rPr>
              <w:t>6</w:t>
            </w: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1,111,242,719.71</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92" w:right="0"/>
              <w:jc w:val="center"/>
              <w:rPr>
                <w:rFonts w:ascii="宋体" w:hAnsi="宋体" w:cs="宋体" w:eastAsia="宋体" w:hint="default"/>
                <w:sz w:val="18"/>
                <w:szCs w:val="18"/>
              </w:rPr>
            </w:pPr>
            <w:r>
              <w:rPr>
                <w:rFonts w:ascii="宋体"/>
                <w:sz w:val="18"/>
              </w:rPr>
              <w:t>1,129,450,266.87</w:t>
            </w: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94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三、对联</w:t>
            </w:r>
          </w:p>
          <w:p>
            <w:pPr>
              <w:pStyle w:val="TableParagraph"/>
              <w:spacing w:line="232" w:lineRule="exact" w:before="24"/>
              <w:ind w:left="103" w:right="125"/>
              <w:jc w:val="both"/>
              <w:rPr>
                <w:rFonts w:ascii="宋体" w:hAnsi="宋体" w:cs="宋体" w:eastAsia="宋体" w:hint="default"/>
                <w:sz w:val="18"/>
                <w:szCs w:val="18"/>
              </w:rPr>
            </w:pPr>
            <w:r>
              <w:rPr>
                <w:rFonts w:ascii="宋体" w:hAnsi="宋体" w:cs="宋体" w:eastAsia="宋体" w:hint="default"/>
                <w:sz w:val="18"/>
                <w:szCs w:val="18"/>
              </w:rPr>
              <w:t>营和合营 企业的投 资收益</w:t>
            </w:r>
          </w:p>
        </w:tc>
        <w:tc>
          <w:tcPr>
            <w:tcW w:w="137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1,061,933.53</w:t>
            </w:r>
          </w:p>
        </w:tc>
        <w:tc>
          <w:tcPr>
            <w:tcW w:w="1656"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1,061,933.53</w:t>
            </w:r>
          </w:p>
        </w:tc>
      </w:tr>
      <w:tr>
        <w:trPr>
          <w:trHeight w:val="478"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四、资产</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减值损失</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-1,865.00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10,217,155.27</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487,387.39</w:t>
            </w:r>
          </w:p>
        </w:tc>
        <w:tc>
          <w:tcPr>
            <w:tcW w:w="1745"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10,702,677.66</w:t>
            </w:r>
          </w:p>
        </w:tc>
      </w:tr>
      <w:tr>
        <w:trPr>
          <w:trHeight w:val="478"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五、折旧</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和摊销</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50,163.81</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87,883,226.06</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122,645,736.34</w:t>
            </w:r>
          </w:p>
        </w:tc>
        <w:tc>
          <w:tcPr>
            <w:tcW w:w="1745"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210,579,126.21</w:t>
            </w:r>
          </w:p>
        </w:tc>
      </w:tr>
      <w:tr>
        <w:trPr>
          <w:trHeight w:val="475"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六、利润</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491,009.27</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516,592,983.47</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225,039,536.50</w:t>
            </w:r>
          </w:p>
        </w:tc>
        <w:tc>
          <w:tcPr>
            <w:tcW w:w="1745"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742,123,529.24</w:t>
            </w:r>
          </w:p>
        </w:tc>
      </w:tr>
      <w:tr>
        <w:trPr>
          <w:trHeight w:val="478"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七、所得</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税</w:t>
            </w:r>
          </w:p>
        </w:tc>
        <w:tc>
          <w:tcPr>
            <w:tcW w:w="137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131,296,249.63</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58,461,171.99</w:t>
            </w:r>
          </w:p>
        </w:tc>
        <w:tc>
          <w:tcPr>
            <w:tcW w:w="1745"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189,757,421.62</w:t>
            </w:r>
          </w:p>
        </w:tc>
      </w:tr>
      <w:tr>
        <w:trPr>
          <w:trHeight w:val="478"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八、净利</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润</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491,009.27</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385,296,733.84</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166,578,364.51</w:t>
            </w:r>
          </w:p>
        </w:tc>
        <w:tc>
          <w:tcPr>
            <w:tcW w:w="1745"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552,366,107.62</w:t>
            </w:r>
          </w:p>
        </w:tc>
      </w:tr>
      <w:tr>
        <w:trPr>
          <w:trHeight w:val="47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九、资产</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0" w:right="0"/>
              <w:jc w:val="left"/>
              <w:rPr>
                <w:rFonts w:ascii="宋体" w:hAnsi="宋体" w:cs="宋体" w:eastAsia="宋体" w:hint="default"/>
                <w:sz w:val="18"/>
                <w:szCs w:val="18"/>
              </w:rPr>
            </w:pPr>
            <w:r>
              <w:rPr>
                <w:rFonts w:ascii="宋体"/>
                <w:sz w:val="18"/>
              </w:rPr>
              <w:t>5,280,547,68</w:t>
            </w:r>
          </w:p>
          <w:p>
            <w:pPr>
              <w:pStyle w:val="TableParagraph"/>
              <w:spacing w:line="234" w:lineRule="exact"/>
              <w:ind w:left="900" w:right="0"/>
              <w:jc w:val="left"/>
              <w:rPr>
                <w:rFonts w:ascii="宋体" w:hAnsi="宋体" w:cs="宋体" w:eastAsia="宋体" w:hint="default"/>
                <w:sz w:val="18"/>
                <w:szCs w:val="18"/>
              </w:rPr>
            </w:pPr>
            <w:r>
              <w:rPr>
                <w:rFonts w:ascii="宋体"/>
                <w:sz w:val="18"/>
              </w:rPr>
              <w:t>8.79</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4,685,189,160.28</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4,701,259,793.59</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92" w:right="0"/>
              <w:jc w:val="center"/>
              <w:rPr>
                <w:rFonts w:ascii="宋体" w:hAnsi="宋体" w:cs="宋体" w:eastAsia="宋体" w:hint="default"/>
                <w:sz w:val="18"/>
                <w:szCs w:val="18"/>
              </w:rPr>
            </w:pPr>
            <w:r>
              <w:rPr>
                <w:rFonts w:ascii="宋体"/>
                <w:sz w:val="18"/>
              </w:rPr>
              <w:t>5,986,948,000.32</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8,680,048,642.34</w:t>
            </w:r>
          </w:p>
        </w:tc>
      </w:tr>
      <w:tr>
        <w:trPr>
          <w:trHeight w:val="478"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十、负债</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4"/>
              <w:jc w:val="right"/>
              <w:rPr>
                <w:rFonts w:ascii="宋体" w:hAnsi="宋体" w:cs="宋体" w:eastAsia="宋体" w:hint="default"/>
                <w:sz w:val="18"/>
                <w:szCs w:val="18"/>
              </w:rPr>
            </w:pPr>
            <w:r>
              <w:rPr>
                <w:rFonts w:ascii="宋体"/>
                <w:spacing w:val="-1"/>
                <w:sz w:val="18"/>
              </w:rPr>
              <w:t>824,180,037.</w:t>
            </w:r>
          </w:p>
          <w:p>
            <w:pPr>
              <w:pStyle w:val="TableParagraph"/>
              <w:spacing w:line="234" w:lineRule="exact"/>
              <w:ind w:right="101"/>
              <w:jc w:val="right"/>
              <w:rPr>
                <w:rFonts w:ascii="宋体" w:hAnsi="宋体" w:cs="宋体" w:eastAsia="宋体" w:hint="default"/>
                <w:sz w:val="18"/>
                <w:szCs w:val="18"/>
              </w:rPr>
            </w:pPr>
            <w:r>
              <w:rPr>
                <w:rFonts w:ascii="宋体"/>
                <w:sz w:val="18"/>
              </w:rPr>
              <w:t>56</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2,625,560,039.02</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3,778,034,665.25</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92" w:right="0"/>
              <w:jc w:val="center"/>
              <w:rPr>
                <w:rFonts w:ascii="宋体" w:hAnsi="宋体" w:cs="宋体" w:eastAsia="宋体" w:hint="default"/>
                <w:sz w:val="18"/>
                <w:szCs w:val="18"/>
              </w:rPr>
            </w:pPr>
            <w:r>
              <w:rPr>
                <w:rFonts w:ascii="宋体"/>
                <w:sz w:val="18"/>
              </w:rPr>
              <w:t>1,546,588,709.03</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5,681,186,032.80</w:t>
            </w:r>
          </w:p>
        </w:tc>
      </w:tr>
      <w:tr>
        <w:trPr>
          <w:trHeight w:val="478"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十一、补</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充信息</w:t>
            </w:r>
          </w:p>
        </w:tc>
        <w:tc>
          <w:tcPr>
            <w:tcW w:w="137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14"/>
                <w:sz w:val="18"/>
                <w:szCs w:val="18"/>
              </w:rPr>
              <w:t>1</w:t>
            </w:r>
            <w:r>
              <w:rPr>
                <w:rFonts w:ascii="宋体" w:hAnsi="宋体" w:cs="宋体" w:eastAsia="宋体" w:hint="default"/>
                <w:spacing w:val="-14"/>
                <w:sz w:val="18"/>
                <w:szCs w:val="18"/>
              </w:rPr>
              <w:t>、折旧和</w:t>
            </w:r>
          </w:p>
          <w:p>
            <w:pPr>
              <w:pStyle w:val="TableParagraph"/>
              <w:spacing w:line="237" w:lineRule="auto"/>
              <w:ind w:left="103" w:right="125"/>
              <w:jc w:val="both"/>
              <w:rPr>
                <w:rFonts w:ascii="宋体" w:hAnsi="宋体" w:cs="宋体" w:eastAsia="宋体" w:hint="default"/>
                <w:sz w:val="18"/>
                <w:szCs w:val="18"/>
              </w:rPr>
            </w:pPr>
            <w:r>
              <w:rPr>
                <w:rFonts w:ascii="宋体" w:hAnsi="宋体" w:cs="宋体" w:eastAsia="宋体" w:hint="default"/>
                <w:sz w:val="18"/>
                <w:szCs w:val="18"/>
              </w:rPr>
              <w:t>摊销以外 的非现金 费用</w:t>
            </w:r>
          </w:p>
        </w:tc>
        <w:tc>
          <w:tcPr>
            <w:tcW w:w="137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61,417,671.51</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115,810,335.32</w:t>
            </w:r>
          </w:p>
        </w:tc>
        <w:tc>
          <w:tcPr>
            <w:tcW w:w="1745"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177,228,006.83</w:t>
            </w:r>
          </w:p>
        </w:tc>
      </w:tr>
    </w:tbl>
    <w:p>
      <w:pPr>
        <w:spacing w:line="240" w:lineRule="auto" w:before="2"/>
        <w:rPr>
          <w:rFonts w:ascii="宋体" w:hAnsi="宋体" w:cs="宋体" w:eastAsia="宋体" w:hint="default"/>
          <w:sz w:val="20"/>
          <w:szCs w:val="20"/>
        </w:rPr>
      </w:pPr>
    </w:p>
    <w:p>
      <w:pPr>
        <w:pStyle w:val="Heading2"/>
        <w:tabs>
          <w:tab w:pos="861" w:val="left" w:leader="none"/>
        </w:tabs>
        <w:spacing w:line="240" w:lineRule="auto" w:before="36"/>
        <w:ind w:right="227"/>
        <w:jc w:val="left"/>
        <w:rPr>
          <w:b w:val="0"/>
          <w:bCs w:val="0"/>
        </w:rPr>
      </w:pPr>
      <w:r>
        <w:rPr>
          <w:rFonts w:ascii="宋体" w:hAnsi="宋体" w:cs="宋体" w:eastAsia="宋体" w:hint="default"/>
          <w:w w:val="95"/>
        </w:rPr>
        <w:t>(3).</w:t>
        <w:tab/>
      </w:r>
      <w:r>
        <w:rPr/>
        <w:t>公司无报告分部的，或者不能披露各报告分部的资产总额和负债总额的，应说明原因</w:t>
      </w:r>
      <w:r>
        <w:rPr>
          <w:b w:val="0"/>
          <w:bCs w:val="0"/>
        </w:rPr>
      </w:r>
    </w:p>
    <w:p>
      <w:pPr>
        <w:pStyle w:val="BodyText"/>
        <w:spacing w:line="240" w:lineRule="auto" w:before="56"/>
        <w:ind w:right="249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tabs>
          <w:tab w:pos="861" w:val="left" w:leader="none"/>
        </w:tabs>
        <w:spacing w:line="240" w:lineRule="auto"/>
        <w:ind w:right="2497"/>
        <w:jc w:val="left"/>
        <w:rPr>
          <w:b w:val="0"/>
          <w:bCs w:val="0"/>
        </w:rPr>
      </w:pPr>
      <w:r>
        <w:rPr>
          <w:rFonts w:ascii="宋体" w:hAnsi="宋体" w:cs="宋体" w:eastAsia="宋体" w:hint="default"/>
          <w:w w:val="95"/>
        </w:rPr>
        <w:t>(4).</w:t>
        <w:tab/>
      </w:r>
      <w:r>
        <w:rPr/>
        <w:t>其他说明：</w:t>
      </w:r>
      <w:r>
        <w:rPr>
          <w:b w:val="0"/>
          <w:bCs w:val="0"/>
        </w:rPr>
      </w:r>
    </w:p>
    <w:p>
      <w:pPr>
        <w:pStyle w:val="BodyText"/>
        <w:spacing w:line="240" w:lineRule="auto" w:before="58"/>
        <w:ind w:right="2497"/>
        <w:jc w:val="left"/>
      </w:pPr>
      <w:r>
        <w:rPr/>
        <w:t>□适用</w:t>
      </w:r>
      <w:r>
        <w:rPr>
          <w:spacing w:val="-1"/>
        </w:rPr>
        <w:t> </w:t>
      </w:r>
      <w:r>
        <w:rPr/>
        <w:t>√不适用</w:t>
      </w:r>
    </w:p>
    <w:p>
      <w:pPr>
        <w:spacing w:after="0" w:line="240" w:lineRule="auto"/>
        <w:jc w:val="left"/>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75"/>
        <w:ind w:left="138" w:right="2859"/>
        <w:jc w:val="left"/>
        <w:rPr>
          <w:b w:val="0"/>
          <w:bCs w:val="0"/>
        </w:rPr>
      </w:pPr>
      <w:r>
        <w:rPr>
          <w:rFonts w:ascii="宋体" w:hAnsi="宋体" w:cs="宋体" w:eastAsia="宋体" w:hint="default"/>
        </w:rPr>
        <w:t>7</w:t>
      </w:r>
      <w:r>
        <w:rPr/>
        <w:t>、</w:t>
      </w:r>
      <w:r>
        <w:rPr>
          <w:spacing w:val="3"/>
        </w:rPr>
        <w:t> </w:t>
      </w:r>
      <w:r>
        <w:rPr/>
        <w:t>其他对投资者决策有影响的重要交易和事项</w:t>
      </w:r>
      <w:r>
        <w:rPr>
          <w:b w:val="0"/>
          <w:bCs w:val="0"/>
        </w:rPr>
      </w:r>
    </w:p>
    <w:p>
      <w:pPr>
        <w:pStyle w:val="BodyText"/>
        <w:spacing w:line="240" w:lineRule="auto" w:before="133"/>
        <w:ind w:left="138" w:right="4983"/>
        <w:jc w:val="left"/>
      </w:pPr>
      <w:r>
        <w:rPr/>
        <w:t>□适用</w:t>
      </w:r>
      <w:r>
        <w:rPr>
          <w:spacing w:val="-1"/>
        </w:rPr>
        <w:t> </w:t>
      </w:r>
      <w:r>
        <w:rPr/>
        <w:t>√不适用</w:t>
      </w:r>
    </w:p>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5" w:top="1120" w:bottom="1380" w:left="1660" w:right="1120"/>
        </w:sectPr>
      </w:pPr>
    </w:p>
    <w:p>
      <w:pPr>
        <w:pStyle w:val="Heading2"/>
        <w:spacing w:line="240" w:lineRule="auto" w:before="36"/>
        <w:ind w:left="138" w:right="0"/>
        <w:jc w:val="left"/>
        <w:rPr>
          <w:b w:val="0"/>
          <w:bCs w:val="0"/>
        </w:rPr>
      </w:pPr>
      <w:r>
        <w:rPr>
          <w:rFonts w:ascii="宋体" w:hAnsi="宋体" w:cs="宋体" w:eastAsia="宋体" w:hint="default"/>
        </w:rPr>
        <w:t>8</w:t>
      </w:r>
      <w:r>
        <w:rPr/>
        <w:t>、</w:t>
      </w:r>
      <w:r>
        <w:rPr>
          <w:spacing w:val="2"/>
        </w:rPr>
        <w:t> </w:t>
      </w:r>
      <w:r>
        <w:rPr/>
        <w:t>其他</w:t>
      </w:r>
      <w:r>
        <w:rPr>
          <w:b w:val="0"/>
          <w:bCs w:val="0"/>
        </w:rPr>
      </w:r>
    </w:p>
    <w:p>
      <w:pPr>
        <w:pStyle w:val="BodyText"/>
        <w:spacing w:line="240" w:lineRule="auto" w:before="56"/>
        <w:ind w:left="138" w:right="0"/>
        <w:jc w:val="left"/>
      </w:pPr>
      <w:r>
        <w:rPr/>
        <w:t>□适用</w:t>
      </w:r>
      <w:r>
        <w:rPr>
          <w:spacing w:val="-1"/>
        </w:rPr>
        <w:t> </w:t>
      </w:r>
      <w:r>
        <w:rPr/>
        <w:t>√不适用</w:t>
      </w:r>
    </w:p>
    <w:p>
      <w:pPr>
        <w:pStyle w:val="Heading2"/>
        <w:tabs>
          <w:tab w:pos="977" w:val="left" w:leader="none"/>
        </w:tabs>
        <w:spacing w:line="290" w:lineRule="auto" w:before="58"/>
        <w:ind w:left="138" w:right="0"/>
        <w:jc w:val="left"/>
        <w:rPr>
          <w:b w:val="0"/>
          <w:bCs w:val="0"/>
        </w:rPr>
      </w:pPr>
      <w:r>
        <w:rPr/>
        <w:t>十七、</w:t>
        <w:tab/>
      </w:r>
      <w:r>
        <w:rPr>
          <w:spacing w:val="-1"/>
        </w:rPr>
        <w:t>母公司财务报表主要项目注释</w:t>
      </w:r>
      <w:r>
        <w:rPr>
          <w:spacing w:val="-94"/>
        </w:rPr>
        <w:t> </w:t>
      </w:r>
      <w:r>
        <w:rPr>
          <w:spacing w:val="-94"/>
        </w:rPr>
      </w:r>
      <w:r>
        <w:rPr>
          <w:rFonts w:ascii="宋体" w:hAnsi="宋体" w:cs="宋体" w:eastAsia="宋体" w:hint="default"/>
        </w:rPr>
        <w:t>1</w:t>
      </w:r>
      <w:r>
        <w:rPr/>
        <w:t>、</w:t>
      </w:r>
      <w:r>
        <w:rPr>
          <w:spacing w:val="3"/>
        </w:rPr>
        <w:t> </w:t>
      </w:r>
      <w:r>
        <w:rPr/>
        <w:t>应收账款</w:t>
      </w:r>
      <w:r>
        <w:rPr>
          <w:b w:val="0"/>
          <w:bCs w:val="0"/>
        </w:rPr>
      </w:r>
    </w:p>
    <w:p>
      <w:pPr>
        <w:pStyle w:val="Heading2"/>
        <w:tabs>
          <w:tab w:pos="977" w:val="left" w:leader="none"/>
        </w:tabs>
        <w:spacing w:line="240" w:lineRule="auto" w:before="14"/>
        <w:ind w:left="279" w:right="0"/>
        <w:jc w:val="left"/>
        <w:rPr>
          <w:b w:val="0"/>
          <w:bCs w:val="0"/>
        </w:rPr>
      </w:pPr>
      <w:r>
        <w:rPr>
          <w:rFonts w:ascii="宋体" w:hAnsi="宋体" w:cs="宋体" w:eastAsia="宋体" w:hint="default"/>
          <w:w w:val="95"/>
        </w:rPr>
        <w:t>(1).</w:t>
        <w:tab/>
      </w:r>
      <w:r>
        <w:rPr/>
        <w:t>应收账款分类披露：</w:t>
      </w:r>
      <w:r>
        <w:rPr>
          <w:b w:val="0"/>
          <w:bCs w:val="0"/>
        </w:rPr>
      </w:r>
    </w:p>
    <w:p>
      <w:pPr>
        <w:pStyle w:val="BodyText"/>
        <w:spacing w:line="240" w:lineRule="auto" w:before="56"/>
        <w:ind w:left="13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189" w:val="left" w:leader="none"/>
        </w:tabs>
        <w:spacing w:line="240" w:lineRule="auto" w:before="139"/>
        <w:ind w:left="138"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3719" w:space="2802"/>
            <w:col w:w="2609"/>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272"/>
        <w:gridCol w:w="1232"/>
        <w:gridCol w:w="629"/>
        <w:gridCol w:w="626"/>
        <w:gridCol w:w="648"/>
        <w:gridCol w:w="1232"/>
        <w:gridCol w:w="667"/>
        <w:gridCol w:w="646"/>
        <w:gridCol w:w="663"/>
        <w:gridCol w:w="660"/>
        <w:gridCol w:w="622"/>
      </w:tblGrid>
      <w:tr>
        <w:trPr>
          <w:trHeight w:val="283" w:hRule="exact"/>
        </w:trPr>
        <w:tc>
          <w:tcPr>
            <w:tcW w:w="127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419" w:right="0"/>
              <w:jc w:val="left"/>
              <w:rPr>
                <w:rFonts w:ascii="宋体" w:hAnsi="宋体" w:cs="宋体" w:eastAsia="宋体" w:hint="default"/>
                <w:sz w:val="21"/>
                <w:szCs w:val="21"/>
              </w:rPr>
            </w:pPr>
            <w:r>
              <w:rPr>
                <w:rFonts w:ascii="宋体" w:hAnsi="宋体" w:cs="宋体" w:eastAsia="宋体" w:hint="default"/>
                <w:sz w:val="21"/>
                <w:szCs w:val="21"/>
              </w:rPr>
              <w:t>种类</w:t>
            </w:r>
          </w:p>
        </w:tc>
        <w:tc>
          <w:tcPr>
            <w:tcW w:w="436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25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1272" w:type="dxa"/>
            <w:vMerge/>
            <w:tcBorders>
              <w:left w:val="single" w:sz="4" w:space="0" w:color="000000"/>
              <w:right w:val="single" w:sz="4" w:space="0" w:color="000000"/>
            </w:tcBorders>
          </w:tcPr>
          <w:p>
            <w:pPr/>
          </w:p>
        </w:tc>
        <w:tc>
          <w:tcPr>
            <w:tcW w:w="18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2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232"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72" w:lineRule="exact"/>
              <w:ind w:left="398" w:right="398"/>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c>
          <w:tcPr>
            <w:tcW w:w="13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622"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72" w:lineRule="exact"/>
              <w:ind w:left="96" w:right="91"/>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r>
      <w:tr>
        <w:trPr>
          <w:trHeight w:val="828" w:hRule="exact"/>
        </w:trPr>
        <w:tc>
          <w:tcPr>
            <w:tcW w:w="1272" w:type="dxa"/>
            <w:vMerge/>
            <w:tcBorders>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1" w:right="96"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9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40" w:lineRule="auto"/>
              <w:ind w:left="160" w:right="107"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232" w:type="dxa"/>
            <w:vMerge/>
            <w:tcBorders>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17"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8" w:right="107"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1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40" w:lineRule="auto"/>
              <w:ind w:left="165" w:right="113"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622" w:type="dxa"/>
            <w:vMerge/>
            <w:tcBorders>
              <w:left w:val="single" w:sz="4" w:space="0" w:color="000000"/>
              <w:bottom w:val="single" w:sz="4" w:space="0" w:color="000000"/>
              <w:right w:val="single" w:sz="4" w:space="0" w:color="000000"/>
            </w:tcBorders>
          </w:tcPr>
          <w:p>
            <w:pPr/>
          </w:p>
        </w:tc>
      </w:tr>
      <w:tr>
        <w:trPr>
          <w:trHeight w:val="1099"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sz w:val="21"/>
                <w:szCs w:val="21"/>
              </w:rPr>
              <w:t>单项金额重</w:t>
            </w:r>
          </w:p>
          <w:p>
            <w:pPr>
              <w:pStyle w:val="TableParagraph"/>
              <w:spacing w:line="237" w:lineRule="auto" w:before="2"/>
              <w:ind w:left="26" w:right="180"/>
              <w:jc w:val="both"/>
              <w:rPr>
                <w:rFonts w:ascii="宋体" w:hAnsi="宋体" w:cs="宋体" w:eastAsia="宋体" w:hint="default"/>
                <w:sz w:val="21"/>
                <w:szCs w:val="21"/>
              </w:rPr>
            </w:pPr>
            <w:r>
              <w:rPr>
                <w:rFonts w:ascii="宋体" w:hAnsi="宋体" w:cs="宋体" w:eastAsia="宋体" w:hint="default"/>
                <w:sz w:val="21"/>
                <w:szCs w:val="21"/>
              </w:rPr>
              <w:t>大并单独计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提坏账准备</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的应收账款</w:t>
            </w:r>
          </w:p>
        </w:tc>
        <w:tc>
          <w:tcPr>
            <w:tcW w:w="1232"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sz w:val="21"/>
                <w:szCs w:val="21"/>
              </w:rPr>
              <w:t>按信用风险</w:t>
            </w:r>
          </w:p>
          <w:p>
            <w:pPr>
              <w:pStyle w:val="TableParagraph"/>
              <w:spacing w:line="237" w:lineRule="auto" w:before="2"/>
              <w:ind w:left="26" w:right="180"/>
              <w:jc w:val="both"/>
              <w:rPr>
                <w:rFonts w:ascii="宋体" w:hAnsi="宋体" w:cs="宋体" w:eastAsia="宋体" w:hint="default"/>
                <w:sz w:val="21"/>
                <w:szCs w:val="21"/>
              </w:rPr>
            </w:pPr>
            <w:r>
              <w:rPr>
                <w:rFonts w:ascii="宋体" w:hAnsi="宋体" w:cs="宋体" w:eastAsia="宋体" w:hint="default"/>
                <w:sz w:val="21"/>
                <w:szCs w:val="21"/>
              </w:rPr>
              <w:t>特征组合计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提坏账准备</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的应收账款</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19,300,000.00</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7" w:right="0"/>
              <w:jc w:val="center"/>
              <w:rPr>
                <w:rFonts w:ascii="宋体" w:hAnsi="宋体" w:cs="宋体" w:eastAsia="宋体" w:hint="default"/>
                <w:sz w:val="18"/>
                <w:szCs w:val="18"/>
              </w:rPr>
            </w:pPr>
            <w:r>
              <w:rPr>
                <w:rFonts w:ascii="宋体"/>
                <w:sz w:val="18"/>
              </w:rPr>
              <w:t>100.00</w:t>
            </w:r>
          </w:p>
        </w:tc>
        <w:tc>
          <w:tcPr>
            <w:tcW w:w="626"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19,300,000.00</w:t>
            </w:r>
          </w:p>
        </w:tc>
        <w:tc>
          <w:tcPr>
            <w:tcW w:w="667"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sz w:val="21"/>
                <w:szCs w:val="21"/>
              </w:rPr>
              <w:t>单项金额不</w:t>
            </w:r>
          </w:p>
          <w:p>
            <w:pPr>
              <w:pStyle w:val="TableParagraph"/>
              <w:spacing w:line="237" w:lineRule="auto" w:before="2"/>
              <w:ind w:left="26" w:right="180"/>
              <w:jc w:val="both"/>
              <w:rPr>
                <w:rFonts w:ascii="宋体" w:hAnsi="宋体" w:cs="宋体" w:eastAsia="宋体" w:hint="default"/>
                <w:sz w:val="21"/>
                <w:szCs w:val="21"/>
              </w:rPr>
            </w:pPr>
            <w:r>
              <w:rPr>
                <w:rFonts w:ascii="宋体" w:hAnsi="宋体" w:cs="宋体" w:eastAsia="宋体" w:hint="default"/>
                <w:sz w:val="21"/>
                <w:szCs w:val="21"/>
              </w:rPr>
              <w:t>重大但单独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计提坏账准</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备的应收账</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款</w:t>
            </w:r>
          </w:p>
        </w:tc>
        <w:tc>
          <w:tcPr>
            <w:tcW w:w="1232"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9"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19,300,000.00</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w:t>
            </w:r>
          </w:p>
        </w:tc>
        <w:tc>
          <w:tcPr>
            <w:tcW w:w="626"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19,300,000.00</w:t>
            </w:r>
          </w:p>
        </w:tc>
        <w:tc>
          <w:tcPr>
            <w:tcW w:w="667"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663"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62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pStyle w:val="BodyText"/>
        <w:spacing w:line="240" w:lineRule="auto" w:before="36"/>
        <w:ind w:left="138" w:right="2859"/>
        <w:jc w:val="left"/>
      </w:pPr>
      <w:r>
        <w:rPr/>
        <w:t>期末单项金额重大并单项计提坏账准备的应收账款：</w:t>
      </w:r>
    </w:p>
    <w:p>
      <w:pPr>
        <w:pStyle w:val="BodyText"/>
        <w:spacing w:line="290" w:lineRule="auto" w:before="58"/>
        <w:ind w:left="138" w:right="2859"/>
        <w:jc w:val="left"/>
      </w:pPr>
      <w:r>
        <w:rPr/>
        <w:t>□适用</w:t>
      </w:r>
      <w:r>
        <w:rPr>
          <w:spacing w:val="-2"/>
        </w:rPr>
        <w:t> </w:t>
      </w:r>
      <w:r>
        <w:rPr/>
        <w:t>√不适用</w:t>
      </w:r>
      <w:r>
        <w:rPr>
          <w:w w:val="100"/>
        </w:rPr>
        <w:t> </w:t>
      </w:r>
      <w:r>
        <w:rPr>
          <w:spacing w:val="-2"/>
        </w:rPr>
        <w:t>组合中，按账龄分析法计提坏账准备的应收账款：</w:t>
      </w:r>
    </w:p>
    <w:p>
      <w:pPr>
        <w:pStyle w:val="BodyText"/>
        <w:spacing w:line="240" w:lineRule="auto" w:before="12"/>
        <w:ind w:left="138" w:right="4983"/>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BodyText"/>
        <w:spacing w:line="240" w:lineRule="auto"/>
        <w:ind w:left="138" w:right="2859"/>
        <w:jc w:val="left"/>
      </w:pPr>
      <w:r>
        <w:rPr/>
        <w:t>组合中，采用余额百分比法计提坏账准备的应收账款：</w:t>
      </w:r>
    </w:p>
    <w:p>
      <w:pPr>
        <w:pStyle w:val="BodyText"/>
        <w:spacing w:line="240" w:lineRule="auto" w:before="58"/>
        <w:ind w:left="138" w:right="4983"/>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BodyText"/>
        <w:spacing w:line="240" w:lineRule="auto"/>
        <w:ind w:left="138" w:right="2859"/>
        <w:jc w:val="left"/>
      </w:pPr>
      <w:r>
        <w:rPr/>
        <w:t>组合中，采用余额百分比法计提坏账准备的应收账款：</w:t>
      </w:r>
    </w:p>
    <w:p>
      <w:pPr>
        <w:pStyle w:val="BodyText"/>
        <w:spacing w:line="240" w:lineRule="auto" w:before="56"/>
        <w:ind w:left="138" w:right="4983"/>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BodyText"/>
        <w:spacing w:line="240" w:lineRule="auto"/>
        <w:ind w:left="138" w:right="2859"/>
        <w:jc w:val="left"/>
      </w:pPr>
      <w:r>
        <w:rPr/>
        <w:t>组合中，采用其他方法计提坏账准备的应收账款：</w:t>
      </w:r>
    </w:p>
    <w:p>
      <w:pPr>
        <w:pStyle w:val="BodyText"/>
        <w:spacing w:line="240" w:lineRule="auto" w:before="59"/>
        <w:ind w:left="138" w:right="4983"/>
        <w:jc w:val="left"/>
      </w:pPr>
      <w:r>
        <w:rPr/>
        <w:t>□适用</w:t>
      </w:r>
      <w:r>
        <w:rPr>
          <w:spacing w:val="-1"/>
        </w:rPr>
        <w:t> </w:t>
      </w:r>
      <w:r>
        <w:rPr/>
        <w:t>√不适用</w:t>
      </w:r>
    </w:p>
    <w:p>
      <w:pPr>
        <w:spacing w:after="0" w:line="240" w:lineRule="auto"/>
        <w:jc w:val="left"/>
        <w:sectPr>
          <w:type w:val="continuous"/>
          <w:pgSz w:w="11910" w:h="16840"/>
          <w:pgMar w:top="1120" w:bottom="1380" w:left="1660" w:right="1120"/>
        </w:sectPr>
      </w:pPr>
    </w:p>
    <w:p>
      <w:pPr>
        <w:spacing w:line="240" w:lineRule="auto" w:before="1"/>
        <w:rPr>
          <w:rFonts w:ascii="宋体" w:hAnsi="宋体" w:cs="宋体" w:eastAsia="宋体" w:hint="default"/>
          <w:sz w:val="25"/>
          <w:szCs w:val="25"/>
        </w:rPr>
      </w:pPr>
    </w:p>
    <w:p>
      <w:pPr>
        <w:pStyle w:val="Heading2"/>
        <w:tabs>
          <w:tab w:pos="977" w:val="left" w:leader="none"/>
        </w:tabs>
        <w:spacing w:line="240" w:lineRule="auto" w:before="36"/>
        <w:ind w:left="279" w:right="2859"/>
        <w:jc w:val="left"/>
        <w:rPr>
          <w:b w:val="0"/>
          <w:bCs w:val="0"/>
        </w:rPr>
      </w:pPr>
      <w:r>
        <w:rPr>
          <w:rFonts w:ascii="宋体" w:hAnsi="宋体" w:cs="宋体" w:eastAsia="宋体" w:hint="default"/>
          <w:w w:val="95"/>
        </w:rPr>
        <w:t>(2).</w:t>
        <w:tab/>
      </w:r>
      <w:r>
        <w:rPr/>
        <w:t>本期计提、收回或转回的坏账准备情况：</w:t>
      </w:r>
      <w:r>
        <w:rPr>
          <w:b w:val="0"/>
          <w:bCs w:val="0"/>
        </w:rPr>
      </w:r>
    </w:p>
    <w:p>
      <w:pPr>
        <w:pStyle w:val="BodyText"/>
        <w:spacing w:line="240" w:lineRule="auto" w:before="58"/>
        <w:ind w:left="138" w:right="2859"/>
        <w:jc w:val="left"/>
      </w:pPr>
      <w:r>
        <w:rPr/>
        <w:t>本期计提坏账准备金额</w:t>
      </w:r>
      <w:r>
        <w:rPr>
          <w:spacing w:val="-52"/>
        </w:rPr>
        <w:t> </w:t>
      </w:r>
      <w:r>
        <w:rPr>
          <w:rFonts w:ascii="宋体" w:hAnsi="宋体" w:cs="宋体" w:eastAsia="宋体" w:hint="default"/>
        </w:rPr>
        <w:t>0</w:t>
      </w:r>
      <w:r>
        <w:rPr>
          <w:rFonts w:ascii="宋体" w:hAnsi="宋体" w:cs="宋体" w:eastAsia="宋体" w:hint="default"/>
          <w:spacing w:val="-55"/>
        </w:rPr>
        <w:t> </w:t>
      </w:r>
      <w:r>
        <w:rPr/>
        <w:t>元；本期收回或转回坏账准备金额</w:t>
      </w:r>
      <w:r>
        <w:rPr>
          <w:spacing w:val="-53"/>
        </w:rPr>
        <w:t> </w:t>
      </w:r>
      <w:r>
        <w:rPr>
          <w:rFonts w:ascii="宋体" w:hAnsi="宋体" w:cs="宋体" w:eastAsia="宋体" w:hint="default"/>
        </w:rPr>
        <w:t>0</w:t>
      </w:r>
      <w:r>
        <w:rPr>
          <w:rFonts w:ascii="宋体" w:hAnsi="宋体" w:cs="宋体" w:eastAsia="宋体" w:hint="default"/>
          <w:spacing w:val="-55"/>
        </w:rPr>
        <w:t> </w:t>
      </w:r>
      <w:r>
        <w:rPr/>
        <w:t>元。</w:t>
      </w:r>
    </w:p>
    <w:p>
      <w:pPr>
        <w:spacing w:line="240" w:lineRule="auto" w:before="8"/>
        <w:rPr>
          <w:rFonts w:ascii="宋体" w:hAnsi="宋体" w:cs="宋体" w:eastAsia="宋体" w:hint="default"/>
          <w:sz w:val="20"/>
          <w:szCs w:val="20"/>
        </w:rPr>
      </w:pPr>
    </w:p>
    <w:p>
      <w:pPr>
        <w:pStyle w:val="BodyText"/>
        <w:spacing w:line="273" w:lineRule="exact"/>
        <w:ind w:left="138" w:right="2859"/>
        <w:jc w:val="left"/>
      </w:pPr>
      <w:r>
        <w:rPr/>
        <w:t>其中本期坏账准备收回或转回金额重要的：</w:t>
      </w:r>
    </w:p>
    <w:p>
      <w:pPr>
        <w:pStyle w:val="BodyText"/>
        <w:spacing w:line="273" w:lineRule="exact"/>
        <w:ind w:left="138" w:right="4983"/>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tabs>
          <w:tab w:pos="977" w:val="left" w:leader="none"/>
        </w:tabs>
        <w:spacing w:line="240" w:lineRule="auto"/>
        <w:ind w:left="279" w:right="4983"/>
        <w:jc w:val="left"/>
        <w:rPr>
          <w:b w:val="0"/>
          <w:bCs w:val="0"/>
        </w:rPr>
      </w:pPr>
      <w:r>
        <w:rPr>
          <w:rFonts w:ascii="宋体" w:hAnsi="宋体" w:cs="宋体" w:eastAsia="宋体" w:hint="default"/>
          <w:w w:val="95"/>
        </w:rPr>
        <w:t>(3).</w:t>
        <w:tab/>
      </w:r>
      <w:r>
        <w:rPr/>
        <w:t>本期实际核销的应收账款情况</w:t>
      </w:r>
      <w:r>
        <w:rPr>
          <w:b w:val="0"/>
          <w:bCs w:val="0"/>
        </w:rPr>
      </w:r>
    </w:p>
    <w:p>
      <w:pPr>
        <w:pStyle w:val="BodyText"/>
        <w:spacing w:line="272" w:lineRule="exact" w:before="86"/>
        <w:ind w:left="138" w:right="4983"/>
        <w:jc w:val="left"/>
      </w:pPr>
      <w:r>
        <w:rPr/>
        <w:t>□适用</w:t>
      </w:r>
      <w:r>
        <w:rPr>
          <w:spacing w:val="-2"/>
        </w:rPr>
        <w:t> </w:t>
      </w:r>
      <w:r>
        <w:rPr/>
        <w:t>√不适用</w:t>
      </w:r>
      <w:r>
        <w:rPr>
          <w:w w:val="100"/>
        </w:rPr>
        <w:t> </w:t>
      </w:r>
      <w:r>
        <w:rPr>
          <w:spacing w:val="-2"/>
        </w:rPr>
        <w:t>其中重要的应收账款核销情况</w:t>
      </w:r>
    </w:p>
    <w:p>
      <w:pPr>
        <w:pStyle w:val="BodyText"/>
        <w:spacing w:line="249" w:lineRule="exact"/>
        <w:ind w:left="138" w:right="4983"/>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tabs>
          <w:tab w:pos="977" w:val="left" w:leader="none"/>
        </w:tabs>
        <w:spacing w:line="240" w:lineRule="auto"/>
        <w:ind w:left="279" w:right="2859"/>
        <w:jc w:val="left"/>
        <w:rPr>
          <w:b w:val="0"/>
          <w:bCs w:val="0"/>
        </w:rPr>
      </w:pPr>
      <w:r>
        <w:rPr>
          <w:rFonts w:ascii="宋体" w:hAnsi="宋体" w:cs="宋体" w:eastAsia="宋体" w:hint="default"/>
          <w:w w:val="95"/>
        </w:rPr>
        <w:t>(4).</w:t>
        <w:tab/>
      </w:r>
      <w:r>
        <w:rPr/>
        <w:t>按欠款方归集的期末余额前五名的应收账款情况：</w:t>
      </w:r>
      <w:r>
        <w:rPr>
          <w:b w:val="0"/>
          <w:bCs w:val="0"/>
        </w:rPr>
      </w:r>
    </w:p>
    <w:p>
      <w:pPr>
        <w:pStyle w:val="BodyText"/>
        <w:spacing w:line="240" w:lineRule="auto" w:before="56"/>
        <w:ind w:left="138" w:right="4983"/>
        <w:jc w:val="left"/>
      </w:pPr>
      <w:r>
        <w:rPr/>
        <w:t>□适用</w:t>
      </w:r>
      <w:r>
        <w:rPr>
          <w:spacing w:val="-1"/>
        </w:rPr>
        <w:t> </w:t>
      </w:r>
      <w:r>
        <w:rPr/>
        <w:t>√不适用</w:t>
      </w:r>
    </w:p>
    <w:p>
      <w:pPr>
        <w:pStyle w:val="Heading2"/>
        <w:tabs>
          <w:tab w:pos="977" w:val="left" w:leader="none"/>
        </w:tabs>
        <w:spacing w:line="240" w:lineRule="auto" w:before="58"/>
        <w:ind w:left="279" w:right="2859"/>
        <w:jc w:val="left"/>
        <w:rPr>
          <w:b w:val="0"/>
          <w:bCs w:val="0"/>
        </w:rPr>
      </w:pPr>
      <w:r>
        <w:rPr>
          <w:rFonts w:ascii="宋体" w:hAnsi="宋体" w:cs="宋体" w:eastAsia="宋体" w:hint="default"/>
          <w:w w:val="95"/>
        </w:rPr>
        <w:t>(5).</w:t>
        <w:tab/>
      </w:r>
      <w:r>
        <w:rPr/>
        <w:t>因金融资产转移而终止确认的应收账款：</w:t>
      </w:r>
      <w:r>
        <w:rPr>
          <w:b w:val="0"/>
          <w:bCs w:val="0"/>
        </w:rPr>
      </w:r>
    </w:p>
    <w:p>
      <w:pPr>
        <w:pStyle w:val="BodyText"/>
        <w:spacing w:line="240" w:lineRule="auto" w:before="56"/>
        <w:ind w:left="138" w:right="4983"/>
        <w:jc w:val="left"/>
      </w:pPr>
      <w:r>
        <w:rPr/>
        <w:t>□适用</w:t>
      </w:r>
      <w:r>
        <w:rPr>
          <w:spacing w:val="-1"/>
        </w:rPr>
        <w:t> </w:t>
      </w:r>
      <w:r>
        <w:rPr/>
        <w:t>√不适用</w:t>
      </w:r>
    </w:p>
    <w:p>
      <w:pPr>
        <w:spacing w:line="240" w:lineRule="auto" w:before="11"/>
        <w:rPr>
          <w:rFonts w:ascii="宋体" w:hAnsi="宋体" w:cs="宋体" w:eastAsia="宋体" w:hint="default"/>
          <w:sz w:val="22"/>
          <w:szCs w:val="22"/>
        </w:rPr>
      </w:pPr>
    </w:p>
    <w:p>
      <w:pPr>
        <w:pStyle w:val="Heading2"/>
        <w:tabs>
          <w:tab w:pos="977" w:val="left" w:leader="none"/>
        </w:tabs>
        <w:spacing w:line="240" w:lineRule="auto"/>
        <w:ind w:left="279" w:right="2859"/>
        <w:jc w:val="left"/>
        <w:rPr>
          <w:b w:val="0"/>
          <w:bCs w:val="0"/>
        </w:rPr>
      </w:pPr>
      <w:r>
        <w:rPr>
          <w:rFonts w:ascii="宋体" w:hAnsi="宋体" w:cs="宋体" w:eastAsia="宋体" w:hint="default"/>
          <w:w w:val="95"/>
        </w:rPr>
        <w:t>(6).</w:t>
        <w:tab/>
      </w:r>
      <w:r>
        <w:rPr/>
        <w:t>转移应收账款且继续涉入形成的资产、负债金额：</w:t>
      </w:r>
      <w:r>
        <w:rPr>
          <w:b w:val="0"/>
          <w:bCs w:val="0"/>
        </w:rPr>
      </w:r>
    </w:p>
    <w:p>
      <w:pPr>
        <w:pStyle w:val="BodyText"/>
        <w:spacing w:line="240" w:lineRule="auto" w:before="58"/>
        <w:ind w:left="138" w:right="4983"/>
        <w:jc w:val="left"/>
      </w:pPr>
      <w:r>
        <w:rPr/>
        <w:t>□适用</w:t>
      </w:r>
      <w:r>
        <w:rPr>
          <w:spacing w:val="-1"/>
        </w:rPr>
        <w:t> </w:t>
      </w:r>
      <w:r>
        <w:rPr/>
        <w:t>√不适用</w:t>
      </w:r>
    </w:p>
    <w:p>
      <w:pPr>
        <w:spacing w:line="240" w:lineRule="auto" w:before="3"/>
        <w:rPr>
          <w:rFonts w:ascii="宋体" w:hAnsi="宋体" w:cs="宋体" w:eastAsia="宋体" w:hint="default"/>
          <w:sz w:val="18"/>
          <w:szCs w:val="18"/>
        </w:rPr>
      </w:pPr>
    </w:p>
    <w:p>
      <w:pPr>
        <w:pStyle w:val="BodyText"/>
        <w:spacing w:line="273" w:lineRule="exact"/>
        <w:ind w:left="138" w:right="4983"/>
        <w:jc w:val="left"/>
      </w:pPr>
      <w:r>
        <w:rPr/>
        <w:t>其他说明：</w:t>
      </w:r>
    </w:p>
    <w:p>
      <w:pPr>
        <w:pStyle w:val="BodyText"/>
        <w:spacing w:line="272" w:lineRule="exact"/>
        <w:ind w:left="138" w:right="4983"/>
        <w:jc w:val="left"/>
      </w:pPr>
      <w:r>
        <w:rPr/>
        <w:t>√适用</w:t>
      </w:r>
      <w:r>
        <w:rPr>
          <w:spacing w:val="-1"/>
        </w:rPr>
        <w:t> </w:t>
      </w:r>
      <w:r>
        <w:rPr/>
        <w:t>□不适用</w:t>
      </w:r>
    </w:p>
    <w:p>
      <w:pPr>
        <w:pStyle w:val="BodyText"/>
        <w:spacing w:line="290" w:lineRule="auto"/>
        <w:ind w:left="138" w:right="585"/>
        <w:jc w:val="left"/>
        <w:rPr>
          <w:rFonts w:ascii="宋体" w:hAnsi="宋体" w:cs="宋体" w:eastAsia="宋体" w:hint="default"/>
        </w:rPr>
      </w:pPr>
      <w:r>
        <w:rPr>
          <w:spacing w:val="-2"/>
        </w:rPr>
        <w:t>应收账款期末余额较期初增长</w:t>
      </w:r>
      <w:r>
        <w:rPr/>
        <w:t> </w:t>
      </w:r>
      <w:r>
        <w:rPr>
          <w:rFonts w:ascii="宋体" w:hAnsi="宋体" w:cs="宋体" w:eastAsia="宋体" w:hint="default"/>
          <w:spacing w:val="-2"/>
        </w:rPr>
        <w:t>100.00%</w:t>
      </w:r>
      <w:r>
        <w:rPr>
          <w:spacing w:val="-2"/>
        </w:rPr>
        <w:t>，主要系收取安通物流和安盛船务的服务管理费。</w:t>
      </w:r>
      <w:r>
        <w:rPr>
          <w:spacing w:val="-80"/>
        </w:rPr>
        <w:t> </w:t>
      </w:r>
      <w:r>
        <w:rPr>
          <w:spacing w:val="-80"/>
        </w:rPr>
      </w:r>
      <w:r>
        <w:rPr>
          <w:rFonts w:ascii="宋体" w:hAnsi="宋体" w:cs="宋体" w:eastAsia="宋体" w:hint="default"/>
          <w:b/>
          <w:bCs/>
        </w:rPr>
        <w:t>2</w:t>
      </w:r>
      <w:r>
        <w:rPr>
          <w:rFonts w:ascii="宋体" w:hAnsi="宋体" w:cs="宋体" w:eastAsia="宋体" w:hint="default"/>
          <w:b/>
          <w:bCs/>
        </w:rPr>
        <w:t>、</w:t>
      </w:r>
      <w:r>
        <w:rPr>
          <w:rFonts w:ascii="宋体" w:hAnsi="宋体" w:cs="宋体" w:eastAsia="宋体" w:hint="default"/>
          <w:b/>
          <w:bCs/>
          <w:spacing w:val="4"/>
        </w:rPr>
        <w:t> </w:t>
      </w:r>
      <w:r>
        <w:rPr>
          <w:rFonts w:ascii="宋体" w:hAnsi="宋体" w:cs="宋体" w:eastAsia="宋体" w:hint="default"/>
          <w:b/>
          <w:bCs/>
        </w:rPr>
        <w:t>其他应收款</w:t>
      </w:r>
      <w:r>
        <w:rPr>
          <w:rFonts w:ascii="宋体" w:hAnsi="宋体" w:cs="宋体" w:eastAsia="宋体" w:hint="default"/>
        </w:rPr>
      </w:r>
    </w:p>
    <w:p>
      <w:pPr>
        <w:pStyle w:val="Heading2"/>
        <w:spacing w:line="240" w:lineRule="auto" w:before="14"/>
        <w:ind w:left="138" w:right="4983"/>
        <w:jc w:val="left"/>
        <w:rPr>
          <w:b w:val="0"/>
          <w:bCs w:val="0"/>
        </w:rPr>
      </w:pPr>
      <w:r>
        <w:rPr>
          <w:rFonts w:ascii="宋体" w:hAnsi="宋体" w:cs="宋体" w:eastAsia="宋体" w:hint="default"/>
        </w:rPr>
        <w:t>(1).</w:t>
      </w:r>
      <w:r>
        <w:rPr>
          <w:rFonts w:ascii="宋体" w:hAnsi="宋体" w:cs="宋体" w:eastAsia="宋体" w:hint="default"/>
          <w:spacing w:val="-1"/>
        </w:rPr>
        <w:t> </w:t>
      </w:r>
      <w:r>
        <w:rPr/>
        <w:t>其他应收款分类披露：</w:t>
      </w:r>
      <w:r>
        <w:rPr>
          <w:b w:val="0"/>
          <w:bCs w:val="0"/>
        </w:rPr>
      </w:r>
    </w:p>
    <w:p>
      <w:pPr>
        <w:pStyle w:val="BodyText"/>
        <w:spacing w:line="240" w:lineRule="auto" w:before="56"/>
        <w:ind w:left="138" w:right="4983"/>
        <w:jc w:val="left"/>
      </w:pPr>
      <w:r>
        <w:rPr/>
        <w:t>√适用</w:t>
      </w:r>
      <w:r>
        <w:rPr>
          <w:spacing w:val="-1"/>
        </w:rPr>
        <w:t> </w:t>
      </w:r>
      <w:r>
        <w:rPr/>
        <w:t>□不适用</w:t>
      </w:r>
    </w:p>
    <w:p>
      <w:pPr>
        <w:pStyle w:val="BodyText"/>
        <w:tabs>
          <w:tab w:pos="1051" w:val="left" w:leader="none"/>
        </w:tabs>
        <w:spacing w:line="274" w:lineRule="exact"/>
        <w:ind w:left="0" w:right="15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025"/>
        <w:gridCol w:w="1133"/>
        <w:gridCol w:w="569"/>
        <w:gridCol w:w="708"/>
        <w:gridCol w:w="708"/>
        <w:gridCol w:w="992"/>
        <w:gridCol w:w="994"/>
        <w:gridCol w:w="425"/>
        <w:gridCol w:w="850"/>
        <w:gridCol w:w="569"/>
        <w:gridCol w:w="924"/>
      </w:tblGrid>
      <w:tr>
        <w:trPr>
          <w:trHeight w:val="293" w:hRule="exact"/>
        </w:trPr>
        <w:tc>
          <w:tcPr>
            <w:tcW w:w="102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297" w:right="0"/>
              <w:jc w:val="left"/>
              <w:rPr>
                <w:rFonts w:ascii="宋体" w:hAnsi="宋体" w:cs="宋体" w:eastAsia="宋体" w:hint="default"/>
                <w:sz w:val="21"/>
                <w:szCs w:val="21"/>
              </w:rPr>
            </w:pPr>
            <w:r>
              <w:rPr>
                <w:rFonts w:ascii="宋体" w:hAnsi="宋体" w:cs="宋体" w:eastAsia="宋体" w:hint="default"/>
                <w:sz w:val="21"/>
                <w:szCs w:val="21"/>
              </w:rPr>
              <w:t>类别</w:t>
            </w:r>
          </w:p>
        </w:tc>
        <w:tc>
          <w:tcPr>
            <w:tcW w:w="411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76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025" w:type="dxa"/>
            <w:vMerge/>
            <w:tcBorders>
              <w:left w:val="single" w:sz="4" w:space="0" w:color="000000"/>
              <w:right w:val="single" w:sz="4" w:space="0" w:color="000000"/>
            </w:tcBorders>
          </w:tcPr>
          <w:p>
            <w:pP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72" w:lineRule="exact"/>
              <w:ind w:left="280" w:right="276"/>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924"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72" w:lineRule="exact"/>
              <w:ind w:left="244" w:right="245"/>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r>
      <w:tr>
        <w:trPr>
          <w:trHeight w:val="826" w:hRule="exact"/>
        </w:trPr>
        <w:tc>
          <w:tcPr>
            <w:tcW w:w="1025" w:type="dxa"/>
            <w:vMerge/>
            <w:tcBorders>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5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19" w:right="67"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36"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83" w:right="31" w:hanging="53"/>
              <w:jc w:val="left"/>
              <w:rPr>
                <w:rFonts w:ascii="宋体" w:hAnsi="宋体" w:cs="宋体" w:eastAsia="宋体" w:hint="default"/>
                <w:sz w:val="21"/>
                <w:szCs w:val="21"/>
              </w:rPr>
            </w:pPr>
            <w:r>
              <w:rPr>
                <w:rFonts w:ascii="宋体" w:hAnsi="宋体" w:cs="宋体" w:eastAsia="宋体" w:hint="default"/>
                <w:sz w:val="21"/>
                <w:szCs w:val="21"/>
              </w:rPr>
              <w:t>计提比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992" w:type="dxa"/>
            <w:vMerge/>
            <w:tcBorders>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8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比</w:t>
            </w:r>
          </w:p>
          <w:p>
            <w:pPr>
              <w:pStyle w:val="TableParagraph"/>
              <w:spacing w:line="240" w:lineRule="auto"/>
              <w:ind w:left="50" w:right="47" w:firstLine="5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67"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40" w:lineRule="auto"/>
              <w:ind w:left="120" w:right="67"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924" w:type="dxa"/>
            <w:vMerge/>
            <w:tcBorders>
              <w:left w:val="single" w:sz="4" w:space="0" w:color="000000"/>
              <w:bottom w:val="single" w:sz="4" w:space="0" w:color="000000"/>
              <w:right w:val="single" w:sz="4" w:space="0" w:color="000000"/>
            </w:tcBorders>
          </w:tcPr>
          <w:p>
            <w:pPr/>
          </w:p>
        </w:tc>
      </w:tr>
      <w:tr>
        <w:trPr>
          <w:trHeight w:val="1645"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both"/>
              <w:rPr>
                <w:rFonts w:ascii="宋体" w:hAnsi="宋体" w:cs="宋体" w:eastAsia="宋体" w:hint="default"/>
                <w:sz w:val="21"/>
                <w:szCs w:val="21"/>
              </w:rPr>
            </w:pPr>
            <w:r>
              <w:rPr>
                <w:rFonts w:ascii="宋体" w:hAnsi="宋体" w:cs="宋体" w:eastAsia="宋体" w:hint="default"/>
                <w:sz w:val="21"/>
                <w:szCs w:val="21"/>
              </w:rPr>
              <w:t>单项金额</w:t>
            </w:r>
          </w:p>
          <w:p>
            <w:pPr>
              <w:pStyle w:val="TableParagraph"/>
              <w:spacing w:line="237" w:lineRule="auto"/>
              <w:ind w:left="26" w:right="144"/>
              <w:jc w:val="both"/>
              <w:rPr>
                <w:rFonts w:ascii="宋体" w:hAnsi="宋体" w:cs="宋体" w:eastAsia="宋体" w:hint="default"/>
                <w:sz w:val="21"/>
                <w:szCs w:val="21"/>
              </w:rPr>
            </w:pPr>
            <w:r>
              <w:rPr>
                <w:rFonts w:ascii="宋体" w:hAnsi="宋体" w:cs="宋体" w:eastAsia="宋体" w:hint="default"/>
                <w:sz w:val="21"/>
                <w:szCs w:val="21"/>
              </w:rPr>
              <w:t>重大并单</w:t>
            </w:r>
            <w:r>
              <w:rPr>
                <w:rFonts w:ascii="宋体" w:hAnsi="宋体" w:cs="宋体" w:eastAsia="宋体" w:hint="default"/>
                <w:w w:val="100"/>
                <w:sz w:val="21"/>
                <w:szCs w:val="21"/>
              </w:rPr>
              <w:t> </w:t>
            </w:r>
            <w:r>
              <w:rPr>
                <w:rFonts w:ascii="宋体" w:hAnsi="宋体" w:cs="宋体" w:eastAsia="宋体" w:hint="default"/>
                <w:sz w:val="21"/>
                <w:szCs w:val="21"/>
              </w:rPr>
              <w:t>独计提坏</w:t>
            </w:r>
            <w:r>
              <w:rPr>
                <w:rFonts w:ascii="宋体" w:hAnsi="宋体" w:cs="宋体" w:eastAsia="宋体" w:hint="default"/>
                <w:w w:val="100"/>
                <w:sz w:val="21"/>
                <w:szCs w:val="21"/>
              </w:rPr>
              <w:t> </w:t>
            </w:r>
            <w:r>
              <w:rPr>
                <w:rFonts w:ascii="宋体" w:hAnsi="宋体" w:cs="宋体" w:eastAsia="宋体" w:hint="default"/>
                <w:sz w:val="21"/>
                <w:szCs w:val="21"/>
              </w:rPr>
              <w:t>账准备的</w:t>
            </w:r>
            <w:r>
              <w:rPr>
                <w:rFonts w:ascii="宋体" w:hAnsi="宋体" w:cs="宋体" w:eastAsia="宋体" w:hint="default"/>
                <w:w w:val="100"/>
                <w:sz w:val="21"/>
                <w:szCs w:val="21"/>
              </w:rPr>
              <w:t> </w:t>
            </w:r>
            <w:r>
              <w:rPr>
                <w:rFonts w:ascii="宋体" w:hAnsi="宋体" w:cs="宋体" w:eastAsia="宋体" w:hint="default"/>
                <w:sz w:val="21"/>
                <w:szCs w:val="21"/>
              </w:rPr>
              <w:t>其他应收</w:t>
            </w:r>
            <w:r>
              <w:rPr>
                <w:rFonts w:ascii="宋体" w:hAnsi="宋体" w:cs="宋体" w:eastAsia="宋体" w:hint="default"/>
                <w:w w:val="100"/>
                <w:sz w:val="21"/>
                <w:szCs w:val="21"/>
              </w:rPr>
              <w:t> </w:t>
            </w:r>
            <w:r>
              <w:rPr>
                <w:rFonts w:ascii="宋体" w:hAnsi="宋体" w:cs="宋体" w:eastAsia="宋体" w:hint="default"/>
                <w:sz w:val="21"/>
                <w:szCs w:val="21"/>
              </w:rPr>
              <w:t>款</w:t>
            </w: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r>
      <w:tr>
        <w:trPr>
          <w:trHeight w:val="1646"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both"/>
              <w:rPr>
                <w:rFonts w:ascii="宋体" w:hAnsi="宋体" w:cs="宋体" w:eastAsia="宋体" w:hint="default"/>
                <w:sz w:val="21"/>
                <w:szCs w:val="21"/>
              </w:rPr>
            </w:pPr>
            <w:r>
              <w:rPr>
                <w:rFonts w:ascii="宋体" w:hAnsi="宋体" w:cs="宋体" w:eastAsia="宋体" w:hint="default"/>
                <w:sz w:val="21"/>
                <w:szCs w:val="21"/>
              </w:rPr>
              <w:t>按信用风</w:t>
            </w:r>
          </w:p>
          <w:p>
            <w:pPr>
              <w:pStyle w:val="TableParagraph"/>
              <w:spacing w:line="237" w:lineRule="auto"/>
              <w:ind w:left="26" w:right="144"/>
              <w:jc w:val="both"/>
              <w:rPr>
                <w:rFonts w:ascii="宋体" w:hAnsi="宋体" w:cs="宋体" w:eastAsia="宋体" w:hint="default"/>
                <w:sz w:val="21"/>
                <w:szCs w:val="21"/>
              </w:rPr>
            </w:pPr>
            <w:r>
              <w:rPr>
                <w:rFonts w:ascii="宋体" w:hAnsi="宋体" w:cs="宋体" w:eastAsia="宋体" w:hint="default"/>
                <w:sz w:val="21"/>
                <w:szCs w:val="21"/>
              </w:rPr>
              <w:t>险特征组</w:t>
            </w:r>
            <w:r>
              <w:rPr>
                <w:rFonts w:ascii="宋体" w:hAnsi="宋体" w:cs="宋体" w:eastAsia="宋体" w:hint="default"/>
                <w:w w:val="100"/>
                <w:sz w:val="21"/>
                <w:szCs w:val="21"/>
              </w:rPr>
              <w:t> </w:t>
            </w:r>
            <w:r>
              <w:rPr>
                <w:rFonts w:ascii="宋体" w:hAnsi="宋体" w:cs="宋体" w:eastAsia="宋体" w:hint="default"/>
                <w:sz w:val="21"/>
                <w:szCs w:val="21"/>
              </w:rPr>
              <w:t>合计提坏</w:t>
            </w:r>
            <w:r>
              <w:rPr>
                <w:rFonts w:ascii="宋体" w:hAnsi="宋体" w:cs="宋体" w:eastAsia="宋体" w:hint="default"/>
                <w:w w:val="100"/>
                <w:sz w:val="21"/>
                <w:szCs w:val="21"/>
              </w:rPr>
              <w:t> </w:t>
            </w:r>
            <w:r>
              <w:rPr>
                <w:rFonts w:ascii="宋体" w:hAnsi="宋体" w:cs="宋体" w:eastAsia="宋体" w:hint="default"/>
                <w:sz w:val="21"/>
                <w:szCs w:val="21"/>
              </w:rPr>
              <w:t>账准备的</w:t>
            </w:r>
            <w:r>
              <w:rPr>
                <w:rFonts w:ascii="宋体" w:hAnsi="宋体" w:cs="宋体" w:eastAsia="宋体" w:hint="default"/>
                <w:w w:val="100"/>
                <w:sz w:val="21"/>
                <w:szCs w:val="21"/>
              </w:rPr>
              <w:t> </w:t>
            </w:r>
            <w:r>
              <w:rPr>
                <w:rFonts w:ascii="宋体" w:hAnsi="宋体" w:cs="宋体" w:eastAsia="宋体" w:hint="default"/>
                <w:sz w:val="21"/>
                <w:szCs w:val="21"/>
              </w:rPr>
              <w:t>其他应收</w:t>
            </w:r>
            <w:r>
              <w:rPr>
                <w:rFonts w:ascii="宋体" w:hAnsi="宋体" w:cs="宋体" w:eastAsia="宋体" w:hint="default"/>
                <w:w w:val="100"/>
                <w:sz w:val="21"/>
                <w:szCs w:val="21"/>
              </w:rPr>
              <w:t> </w:t>
            </w:r>
            <w:r>
              <w:rPr>
                <w:rFonts w:ascii="宋体" w:hAnsi="宋体" w:cs="宋体" w:eastAsia="宋体" w:hint="default"/>
                <w:sz w:val="21"/>
                <w:szCs w:val="21"/>
              </w:rPr>
              <w:t>款</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4"/>
              <w:jc w:val="right"/>
              <w:rPr>
                <w:rFonts w:ascii="宋体" w:hAnsi="宋体" w:cs="宋体" w:eastAsia="宋体" w:hint="default"/>
                <w:sz w:val="18"/>
                <w:szCs w:val="18"/>
              </w:rPr>
            </w:pPr>
            <w:r>
              <w:rPr>
                <w:rFonts w:ascii="宋体"/>
                <w:spacing w:val="-1"/>
                <w:sz w:val="18"/>
              </w:rPr>
              <w:t>635,923,156</w:t>
            </w:r>
          </w:p>
          <w:p>
            <w:pPr>
              <w:pStyle w:val="TableParagraph"/>
              <w:spacing w:line="234" w:lineRule="exact"/>
              <w:ind w:right="22"/>
              <w:jc w:val="right"/>
              <w:rPr>
                <w:rFonts w:ascii="宋体" w:hAnsi="宋体" w:cs="宋体" w:eastAsia="宋体" w:hint="default"/>
                <w:sz w:val="18"/>
                <w:szCs w:val="18"/>
              </w:rPr>
            </w:pPr>
            <w:r>
              <w:rPr>
                <w:rFonts w:ascii="宋体"/>
                <w:sz w:val="18"/>
              </w:rPr>
              <w:t>.93</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6"/>
              <w:jc w:val="right"/>
              <w:rPr>
                <w:rFonts w:ascii="宋体" w:hAnsi="宋体" w:cs="宋体" w:eastAsia="宋体" w:hint="default"/>
                <w:sz w:val="18"/>
                <w:szCs w:val="18"/>
              </w:rPr>
            </w:pPr>
            <w:r>
              <w:rPr>
                <w:rFonts w:ascii="宋体"/>
                <w:sz w:val="18"/>
              </w:rPr>
              <w:t>100.0</w:t>
            </w:r>
          </w:p>
          <w:p>
            <w:pPr>
              <w:pStyle w:val="TableParagraph"/>
              <w:spacing w:line="234" w:lineRule="exact"/>
              <w:ind w:right="29"/>
              <w:jc w:val="right"/>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6"/>
              <w:jc w:val="right"/>
              <w:rPr>
                <w:rFonts w:ascii="宋体" w:hAnsi="宋体" w:cs="宋体" w:eastAsia="宋体" w:hint="default"/>
                <w:sz w:val="18"/>
                <w:szCs w:val="18"/>
              </w:rPr>
            </w:pPr>
            <w:r>
              <w:rPr>
                <w:rFonts w:ascii="宋体"/>
                <w:sz w:val="18"/>
              </w:rPr>
              <w:t>1,325.0</w:t>
            </w:r>
          </w:p>
          <w:p>
            <w:pPr>
              <w:pStyle w:val="TableParagraph"/>
              <w:spacing w:line="234" w:lineRule="exact"/>
              <w:ind w:right="29"/>
              <w:jc w:val="right"/>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11" w:right="0"/>
              <w:jc w:val="left"/>
              <w:rPr>
                <w:rFonts w:ascii="宋体" w:hAnsi="宋体" w:cs="宋体" w:eastAsia="宋体" w:hint="default"/>
                <w:sz w:val="18"/>
                <w:szCs w:val="18"/>
              </w:rPr>
            </w:pPr>
            <w:r>
              <w:rPr>
                <w:rFonts w:ascii="宋体"/>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57" w:right="0"/>
              <w:jc w:val="left"/>
              <w:rPr>
                <w:rFonts w:ascii="宋体" w:hAnsi="宋体" w:cs="宋体" w:eastAsia="宋体" w:hint="default"/>
                <w:sz w:val="18"/>
                <w:szCs w:val="18"/>
              </w:rPr>
            </w:pPr>
            <w:r>
              <w:rPr>
                <w:rFonts w:ascii="宋体"/>
                <w:sz w:val="18"/>
              </w:rPr>
              <w:t>635,921,83</w:t>
            </w:r>
          </w:p>
          <w:p>
            <w:pPr>
              <w:pStyle w:val="TableParagraph"/>
              <w:spacing w:line="234" w:lineRule="exact"/>
              <w:ind w:left="598" w:right="0"/>
              <w:jc w:val="left"/>
              <w:rPr>
                <w:rFonts w:ascii="宋体" w:hAnsi="宋体" w:cs="宋体" w:eastAsia="宋体" w:hint="default"/>
                <w:sz w:val="18"/>
                <w:szCs w:val="18"/>
              </w:rPr>
            </w:pPr>
            <w:r>
              <w:rPr>
                <w:rFonts w:ascii="宋体"/>
                <w:sz w:val="18"/>
              </w:rPr>
              <w:t>1.93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4"/>
              <w:jc w:val="right"/>
              <w:rPr>
                <w:rFonts w:ascii="宋体" w:hAnsi="宋体" w:cs="宋体" w:eastAsia="宋体" w:hint="default"/>
                <w:sz w:val="18"/>
                <w:szCs w:val="18"/>
              </w:rPr>
            </w:pPr>
            <w:r>
              <w:rPr>
                <w:rFonts w:ascii="宋体"/>
                <w:spacing w:val="-1"/>
                <w:sz w:val="18"/>
              </w:rPr>
              <w:t>30,186,023</w:t>
            </w:r>
          </w:p>
          <w:p>
            <w:pPr>
              <w:pStyle w:val="TableParagraph"/>
              <w:spacing w:line="234" w:lineRule="exact"/>
              <w:ind w:right="23"/>
              <w:jc w:val="right"/>
              <w:rPr>
                <w:rFonts w:ascii="宋体" w:hAnsi="宋体" w:cs="宋体" w:eastAsia="宋体" w:hint="default"/>
                <w:sz w:val="18"/>
                <w:szCs w:val="18"/>
              </w:rPr>
            </w:pPr>
            <w:r>
              <w:rPr>
                <w:rFonts w:ascii="宋体"/>
                <w:sz w:val="18"/>
              </w:rPr>
              <w:t>.07</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3" w:right="0"/>
              <w:jc w:val="center"/>
              <w:rPr>
                <w:rFonts w:ascii="宋体" w:hAnsi="宋体" w:cs="宋体" w:eastAsia="宋体" w:hint="default"/>
                <w:sz w:val="18"/>
                <w:szCs w:val="18"/>
              </w:rPr>
            </w:pPr>
            <w:r>
              <w:rPr>
                <w:rFonts w:ascii="宋体"/>
                <w:sz w:val="18"/>
              </w:rPr>
              <w:t>100.</w:t>
            </w:r>
          </w:p>
          <w:p>
            <w:pPr>
              <w:pStyle w:val="TableParagraph"/>
              <w:spacing w:line="234" w:lineRule="exact"/>
              <w:ind w:left="184" w:right="0"/>
              <w:jc w:val="center"/>
              <w:rPr>
                <w:rFonts w:ascii="宋体" w:hAnsi="宋体" w:cs="宋体" w:eastAsia="宋体" w:hint="default"/>
                <w:sz w:val="18"/>
                <w:szCs w:val="18"/>
              </w:rPr>
            </w:pPr>
            <w:r>
              <w:rPr>
                <w:rFonts w:ascii="宋体"/>
                <w:sz w:val="18"/>
              </w:rPr>
              <w:t>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67" w:right="0"/>
              <w:jc w:val="center"/>
              <w:rPr>
                <w:rFonts w:ascii="宋体" w:hAnsi="宋体" w:cs="宋体" w:eastAsia="宋体" w:hint="default"/>
                <w:sz w:val="18"/>
                <w:szCs w:val="18"/>
              </w:rPr>
            </w:pPr>
            <w:r>
              <w:rPr>
                <w:rFonts w:ascii="宋体"/>
                <w:sz w:val="18"/>
              </w:rPr>
              <w:t>3,190.00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70" w:right="0"/>
              <w:jc w:val="left"/>
              <w:rPr>
                <w:rFonts w:ascii="宋体" w:hAnsi="宋体" w:cs="宋体" w:eastAsia="宋体" w:hint="default"/>
                <w:sz w:val="18"/>
                <w:szCs w:val="18"/>
              </w:rPr>
            </w:pPr>
            <w:r>
              <w:rPr>
                <w:rFonts w:ascii="宋体"/>
                <w:sz w:val="18"/>
              </w:rPr>
              <w:t>0.01</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76" w:right="0"/>
              <w:jc w:val="left"/>
              <w:rPr>
                <w:rFonts w:ascii="宋体" w:hAnsi="宋体" w:cs="宋体" w:eastAsia="宋体" w:hint="default"/>
                <w:sz w:val="18"/>
                <w:szCs w:val="18"/>
              </w:rPr>
            </w:pPr>
            <w:r>
              <w:rPr>
                <w:rFonts w:ascii="宋体"/>
                <w:sz w:val="18"/>
              </w:rPr>
              <w:t>30,182,83</w:t>
            </w:r>
          </w:p>
          <w:p>
            <w:pPr>
              <w:pStyle w:val="TableParagraph"/>
              <w:spacing w:line="234" w:lineRule="exact"/>
              <w:ind w:left="528" w:right="0"/>
              <w:jc w:val="left"/>
              <w:rPr>
                <w:rFonts w:ascii="宋体" w:hAnsi="宋体" w:cs="宋体" w:eastAsia="宋体" w:hint="default"/>
                <w:sz w:val="18"/>
                <w:szCs w:val="18"/>
              </w:rPr>
            </w:pPr>
            <w:r>
              <w:rPr>
                <w:rFonts w:ascii="宋体"/>
                <w:sz w:val="18"/>
              </w:rPr>
              <w:t>3.07</w:t>
            </w:r>
          </w:p>
        </w:tc>
      </w:tr>
    </w:tbl>
    <w:p>
      <w:pPr>
        <w:spacing w:after="0" w:line="234" w:lineRule="exact"/>
        <w:jc w:val="left"/>
        <w:rPr>
          <w:rFonts w:ascii="宋体" w:hAnsi="宋体" w:cs="宋体" w:eastAsia="宋体" w:hint="default"/>
          <w:sz w:val="18"/>
          <w:szCs w:val="18"/>
        </w:rPr>
        <w:sectPr>
          <w:pgSz w:w="11910" w:h="16840"/>
          <w:pgMar w:header="882" w:footer="1195" w:top="1120" w:bottom="1380" w:left="166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1025"/>
        <w:gridCol w:w="1133"/>
        <w:gridCol w:w="569"/>
        <w:gridCol w:w="708"/>
        <w:gridCol w:w="708"/>
        <w:gridCol w:w="992"/>
        <w:gridCol w:w="994"/>
        <w:gridCol w:w="425"/>
        <w:gridCol w:w="850"/>
        <w:gridCol w:w="569"/>
        <w:gridCol w:w="924"/>
      </w:tblGrid>
      <w:tr>
        <w:trPr>
          <w:trHeight w:val="1644"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both"/>
              <w:rPr>
                <w:rFonts w:ascii="宋体" w:hAnsi="宋体" w:cs="宋体" w:eastAsia="宋体" w:hint="default"/>
                <w:sz w:val="21"/>
                <w:szCs w:val="21"/>
              </w:rPr>
            </w:pPr>
            <w:r>
              <w:rPr>
                <w:rFonts w:ascii="宋体" w:hAnsi="宋体" w:cs="宋体" w:eastAsia="宋体" w:hint="default"/>
                <w:sz w:val="21"/>
                <w:szCs w:val="21"/>
              </w:rPr>
              <w:t>单项金额</w:t>
            </w:r>
          </w:p>
          <w:p>
            <w:pPr>
              <w:pStyle w:val="TableParagraph"/>
              <w:spacing w:line="237" w:lineRule="auto"/>
              <w:ind w:left="26" w:right="144"/>
              <w:jc w:val="both"/>
              <w:rPr>
                <w:rFonts w:ascii="宋体" w:hAnsi="宋体" w:cs="宋体" w:eastAsia="宋体" w:hint="default"/>
                <w:sz w:val="21"/>
                <w:szCs w:val="21"/>
              </w:rPr>
            </w:pPr>
            <w:r>
              <w:rPr>
                <w:rFonts w:ascii="宋体" w:hAnsi="宋体" w:cs="宋体" w:eastAsia="宋体" w:hint="default"/>
                <w:sz w:val="21"/>
                <w:szCs w:val="21"/>
              </w:rPr>
              <w:t>不重大但</w:t>
            </w:r>
            <w:r>
              <w:rPr>
                <w:rFonts w:ascii="宋体" w:hAnsi="宋体" w:cs="宋体" w:eastAsia="宋体" w:hint="default"/>
                <w:w w:val="100"/>
                <w:sz w:val="21"/>
                <w:szCs w:val="21"/>
              </w:rPr>
              <w:t> </w:t>
            </w:r>
            <w:r>
              <w:rPr>
                <w:rFonts w:ascii="宋体" w:hAnsi="宋体" w:cs="宋体" w:eastAsia="宋体" w:hint="default"/>
                <w:sz w:val="21"/>
                <w:szCs w:val="21"/>
              </w:rPr>
              <w:t>单独计提</w:t>
            </w:r>
            <w:r>
              <w:rPr>
                <w:rFonts w:ascii="宋体" w:hAnsi="宋体" w:cs="宋体" w:eastAsia="宋体" w:hint="default"/>
                <w:w w:val="100"/>
                <w:sz w:val="21"/>
                <w:szCs w:val="21"/>
              </w:rPr>
              <w:t> </w:t>
            </w: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的其他应</w:t>
            </w:r>
            <w:r>
              <w:rPr>
                <w:rFonts w:ascii="宋体" w:hAnsi="宋体" w:cs="宋体" w:eastAsia="宋体" w:hint="default"/>
                <w:w w:val="100"/>
                <w:sz w:val="21"/>
                <w:szCs w:val="21"/>
              </w:rPr>
              <w:t> </w:t>
            </w:r>
            <w:r>
              <w:rPr>
                <w:rFonts w:ascii="宋体" w:hAnsi="宋体" w:cs="宋体" w:eastAsia="宋体" w:hint="default"/>
                <w:sz w:val="21"/>
                <w:szCs w:val="21"/>
              </w:rPr>
              <w:t>收款</w:t>
            </w: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9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4"/>
              <w:jc w:val="right"/>
              <w:rPr>
                <w:rFonts w:ascii="宋体" w:hAnsi="宋体" w:cs="宋体" w:eastAsia="宋体" w:hint="default"/>
                <w:sz w:val="18"/>
                <w:szCs w:val="18"/>
              </w:rPr>
            </w:pPr>
            <w:r>
              <w:rPr>
                <w:rFonts w:ascii="宋体"/>
                <w:spacing w:val="-1"/>
                <w:sz w:val="18"/>
              </w:rPr>
              <w:t>635,923,156</w:t>
            </w:r>
          </w:p>
          <w:p>
            <w:pPr>
              <w:pStyle w:val="TableParagraph"/>
              <w:spacing w:line="234" w:lineRule="exact"/>
              <w:ind w:right="22"/>
              <w:jc w:val="right"/>
              <w:rPr>
                <w:rFonts w:ascii="宋体" w:hAnsi="宋体" w:cs="宋体" w:eastAsia="宋体" w:hint="default"/>
                <w:sz w:val="18"/>
                <w:szCs w:val="18"/>
              </w:rPr>
            </w:pPr>
            <w:r>
              <w:rPr>
                <w:rFonts w:ascii="宋体"/>
                <w:sz w:val="18"/>
              </w:rPr>
              <w:t>.93</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6"/>
              <w:jc w:val="right"/>
              <w:rPr>
                <w:rFonts w:ascii="宋体" w:hAnsi="宋体" w:cs="宋体" w:eastAsia="宋体" w:hint="default"/>
                <w:sz w:val="18"/>
                <w:szCs w:val="18"/>
              </w:rPr>
            </w:pPr>
            <w:r>
              <w:rPr>
                <w:rFonts w:ascii="宋体"/>
                <w:sz w:val="18"/>
              </w:rPr>
              <w:t>1,325.0</w:t>
            </w:r>
          </w:p>
          <w:p>
            <w:pPr>
              <w:pStyle w:val="TableParagraph"/>
              <w:spacing w:line="234" w:lineRule="exact"/>
              <w:ind w:right="29"/>
              <w:jc w:val="right"/>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57" w:right="0"/>
              <w:jc w:val="left"/>
              <w:rPr>
                <w:rFonts w:ascii="宋体" w:hAnsi="宋体" w:cs="宋体" w:eastAsia="宋体" w:hint="default"/>
                <w:sz w:val="18"/>
                <w:szCs w:val="18"/>
              </w:rPr>
            </w:pPr>
            <w:r>
              <w:rPr>
                <w:rFonts w:ascii="宋体"/>
                <w:sz w:val="18"/>
              </w:rPr>
              <w:t>635,921,83</w:t>
            </w:r>
          </w:p>
          <w:p>
            <w:pPr>
              <w:pStyle w:val="TableParagraph"/>
              <w:spacing w:line="234" w:lineRule="exact"/>
              <w:ind w:left="598" w:right="0"/>
              <w:jc w:val="left"/>
              <w:rPr>
                <w:rFonts w:ascii="宋体" w:hAnsi="宋体" w:cs="宋体" w:eastAsia="宋体" w:hint="default"/>
                <w:sz w:val="18"/>
                <w:szCs w:val="18"/>
              </w:rPr>
            </w:pPr>
            <w:r>
              <w:rPr>
                <w:rFonts w:ascii="宋体"/>
                <w:sz w:val="18"/>
              </w:rPr>
              <w:t>1.93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4"/>
              <w:jc w:val="right"/>
              <w:rPr>
                <w:rFonts w:ascii="宋体" w:hAnsi="宋体" w:cs="宋体" w:eastAsia="宋体" w:hint="default"/>
                <w:sz w:val="18"/>
                <w:szCs w:val="18"/>
              </w:rPr>
            </w:pPr>
            <w:r>
              <w:rPr>
                <w:rFonts w:ascii="宋体"/>
                <w:spacing w:val="-1"/>
                <w:sz w:val="18"/>
              </w:rPr>
              <w:t>30,186,023</w:t>
            </w:r>
          </w:p>
          <w:p>
            <w:pPr>
              <w:pStyle w:val="TableParagraph"/>
              <w:spacing w:line="234" w:lineRule="exact"/>
              <w:ind w:right="23"/>
              <w:jc w:val="right"/>
              <w:rPr>
                <w:rFonts w:ascii="宋体" w:hAnsi="宋体" w:cs="宋体" w:eastAsia="宋体" w:hint="default"/>
                <w:sz w:val="18"/>
                <w:szCs w:val="18"/>
              </w:rPr>
            </w:pPr>
            <w:r>
              <w:rPr>
                <w:rFonts w:ascii="宋体"/>
                <w:sz w:val="18"/>
              </w:rPr>
              <w:t>.07</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93" w:right="0"/>
              <w:jc w:val="left"/>
              <w:rPr>
                <w:rFonts w:ascii="宋体" w:hAnsi="宋体" w:cs="宋体" w:eastAsia="宋体" w:hint="default"/>
                <w:sz w:val="18"/>
                <w:szCs w:val="18"/>
              </w:rPr>
            </w:pPr>
            <w:r>
              <w:rPr>
                <w:rFonts w:ascii="宋体"/>
                <w:sz w:val="18"/>
              </w:rPr>
              <w:t>3,190.00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76" w:right="0"/>
              <w:jc w:val="left"/>
              <w:rPr>
                <w:rFonts w:ascii="宋体" w:hAnsi="宋体" w:cs="宋体" w:eastAsia="宋体" w:hint="default"/>
                <w:sz w:val="18"/>
                <w:szCs w:val="18"/>
              </w:rPr>
            </w:pPr>
            <w:r>
              <w:rPr>
                <w:rFonts w:ascii="宋体"/>
                <w:sz w:val="18"/>
              </w:rPr>
              <w:t>30,182,83</w:t>
            </w:r>
          </w:p>
          <w:p>
            <w:pPr>
              <w:pStyle w:val="TableParagraph"/>
              <w:spacing w:line="234" w:lineRule="exact"/>
              <w:ind w:left="528" w:right="0"/>
              <w:jc w:val="left"/>
              <w:rPr>
                <w:rFonts w:ascii="宋体" w:hAnsi="宋体" w:cs="宋体" w:eastAsia="宋体" w:hint="default"/>
                <w:sz w:val="18"/>
                <w:szCs w:val="18"/>
              </w:rPr>
            </w:pPr>
            <w:r>
              <w:rPr>
                <w:rFonts w:ascii="宋体"/>
                <w:sz w:val="18"/>
              </w:rPr>
              <w:t>3.07</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80" w:right="1040"/>
        </w:sectPr>
      </w:pPr>
    </w:p>
    <w:p>
      <w:pPr>
        <w:pStyle w:val="BodyText"/>
        <w:spacing w:line="240" w:lineRule="auto" w:before="36"/>
        <w:ind w:right="0"/>
        <w:jc w:val="left"/>
      </w:pPr>
      <w:r>
        <w:rPr>
          <w:spacing w:val="-2"/>
        </w:rPr>
        <w:t>期末单项金额重大并单项计提坏账准备的其他应收款：</w:t>
      </w:r>
    </w:p>
    <w:p>
      <w:pPr>
        <w:pStyle w:val="BodyText"/>
        <w:spacing w:line="290" w:lineRule="auto" w:before="56"/>
        <w:ind w:right="0"/>
        <w:jc w:val="left"/>
      </w:pPr>
      <w:r>
        <w:rPr/>
        <w:t>□适用</w:t>
      </w:r>
      <w:r>
        <w:rPr>
          <w:spacing w:val="-2"/>
        </w:rPr>
        <w:t> </w:t>
      </w:r>
      <w:r>
        <w:rPr/>
        <w:t>√不适用</w:t>
      </w:r>
      <w:r>
        <w:rPr>
          <w:w w:val="100"/>
        </w:rPr>
        <w:t> </w:t>
      </w:r>
      <w:r>
        <w:rPr>
          <w:spacing w:val="-2"/>
        </w:rPr>
        <w:t>组合中，按账龄分析法计提坏账准备的其他应收款：</w:t>
      </w:r>
    </w:p>
    <w:p>
      <w:pPr>
        <w:pStyle w:val="BodyText"/>
        <w:spacing w:line="240" w:lineRule="auto" w:before="13"/>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264" w:space="1257"/>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574"/>
        <w:gridCol w:w="1822"/>
        <w:gridCol w:w="1822"/>
        <w:gridCol w:w="1831"/>
      </w:tblGrid>
      <w:tr>
        <w:trPr>
          <w:trHeight w:val="283" w:hRule="exact"/>
        </w:trPr>
        <w:tc>
          <w:tcPr>
            <w:tcW w:w="3574" w:type="dxa"/>
            <w:vMerge w:val="restart"/>
            <w:tcBorders>
              <w:top w:val="single" w:sz="4" w:space="0" w:color="000000"/>
              <w:left w:val="single" w:sz="4" w:space="0" w:color="000000"/>
              <w:right w:val="single" w:sz="4" w:space="0" w:color="000000"/>
            </w:tcBorders>
          </w:tcPr>
          <w:p>
            <w:pPr>
              <w:pStyle w:val="TableParagraph"/>
              <w:spacing w:line="240" w:lineRule="auto" w:before="107"/>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54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3574" w:type="dxa"/>
            <w:vMerge/>
            <w:tcBorders>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7"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1"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26,500.00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1,325.00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26,500.00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1,325.00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5.00</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26,500.00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1,325.00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w:t>
            </w:r>
          </w:p>
        </w:tc>
      </w:tr>
    </w:tbl>
    <w:p>
      <w:pPr>
        <w:spacing w:line="240" w:lineRule="auto" w:before="5"/>
        <w:rPr>
          <w:rFonts w:ascii="宋体" w:hAnsi="宋体" w:cs="宋体" w:eastAsia="宋体" w:hint="default"/>
          <w:sz w:val="15"/>
          <w:szCs w:val="15"/>
        </w:rPr>
      </w:pPr>
    </w:p>
    <w:p>
      <w:pPr>
        <w:pStyle w:val="BodyText"/>
        <w:spacing w:line="240" w:lineRule="auto" w:before="36"/>
        <w:ind w:right="6323"/>
        <w:jc w:val="left"/>
      </w:pPr>
      <w:r>
        <w:rPr/>
        <w:t>确定该组合依据的说明：</w:t>
      </w:r>
      <w:r>
        <w:rPr>
          <w:w w:val="100"/>
        </w:rPr>
        <w:t> </w:t>
      </w:r>
      <w:r>
        <w:rPr>
          <w:spacing w:val="-2"/>
        </w:rPr>
        <w:t>以账龄作为信用风险特征。</w:t>
      </w:r>
    </w:p>
    <w:p>
      <w:pPr>
        <w:spacing w:line="240" w:lineRule="auto" w:before="3"/>
        <w:rPr>
          <w:rFonts w:ascii="宋体" w:hAnsi="宋体" w:cs="宋体" w:eastAsia="宋体" w:hint="default"/>
          <w:sz w:val="25"/>
          <w:szCs w:val="25"/>
        </w:rPr>
      </w:pPr>
    </w:p>
    <w:p>
      <w:pPr>
        <w:pStyle w:val="BodyText"/>
        <w:spacing w:line="240" w:lineRule="auto"/>
        <w:ind w:right="2497"/>
        <w:jc w:val="left"/>
      </w:pPr>
      <w:r>
        <w:rPr/>
        <w:t>组合中，采用余额百分比法计提坏账准备的其他应收款：</w:t>
      </w:r>
    </w:p>
    <w:p>
      <w:pPr>
        <w:pStyle w:val="BodyText"/>
        <w:spacing w:line="290" w:lineRule="auto" w:before="56"/>
        <w:ind w:right="3600"/>
        <w:jc w:val="left"/>
      </w:pPr>
      <w:r>
        <w:rPr/>
        <w:t>□适用</w:t>
      </w:r>
      <w:r>
        <w:rPr>
          <w:spacing w:val="-2"/>
        </w:rPr>
        <w:t> </w:t>
      </w:r>
      <w:r>
        <w:rPr/>
        <w:t>√不适用</w:t>
      </w:r>
      <w:r>
        <w:rPr>
          <w:w w:val="100"/>
        </w:rPr>
        <w:t> </w:t>
      </w:r>
      <w:r>
        <w:rPr>
          <w:spacing w:val="-2"/>
        </w:rPr>
        <w:t>组合中，采用其他方法计提坏账准备的其他应收款：</w:t>
      </w:r>
    </w:p>
    <w:p>
      <w:pPr>
        <w:pStyle w:val="BodyText"/>
        <w:spacing w:line="240" w:lineRule="auto" w:before="12"/>
        <w:ind w:right="249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497"/>
        <w:jc w:val="left"/>
        <w:rPr>
          <w:b w:val="0"/>
          <w:bCs w:val="0"/>
        </w:rPr>
      </w:pPr>
      <w:r>
        <w:rPr>
          <w:rFonts w:ascii="宋体" w:hAnsi="宋体" w:cs="宋体" w:eastAsia="宋体" w:hint="default"/>
        </w:rPr>
        <w:t>(2).</w:t>
      </w:r>
      <w:r>
        <w:rPr>
          <w:rFonts w:ascii="宋体" w:hAnsi="宋体" w:cs="宋体" w:eastAsia="宋体" w:hint="default"/>
          <w:spacing w:val="-2"/>
        </w:rPr>
        <w:t> </w:t>
      </w:r>
      <w:r>
        <w:rPr/>
        <w:t>本期计提、收回或转回的坏账准备情况：</w:t>
      </w:r>
      <w:r>
        <w:rPr>
          <w:b w:val="0"/>
          <w:bCs w:val="0"/>
        </w:rPr>
      </w:r>
    </w:p>
    <w:p>
      <w:pPr>
        <w:pStyle w:val="BodyText"/>
        <w:spacing w:line="240" w:lineRule="auto" w:before="52"/>
        <w:ind w:right="2031"/>
        <w:jc w:val="left"/>
      </w:pPr>
      <w:r>
        <w:rPr/>
        <w:t>本期计提坏账准备金额</w:t>
      </w:r>
      <w:r>
        <w:rPr>
          <w:rFonts w:ascii="宋体" w:hAnsi="宋体" w:cs="宋体" w:eastAsia="宋体" w:hint="default"/>
          <w:sz w:val="24"/>
          <w:szCs w:val="24"/>
        </w:rPr>
        <w:t>-1,865.00</w:t>
      </w:r>
      <w:r>
        <w:rPr>
          <w:rFonts w:ascii="宋体" w:hAnsi="宋体" w:cs="宋体" w:eastAsia="宋体" w:hint="default"/>
          <w:spacing w:val="-60"/>
          <w:sz w:val="24"/>
          <w:szCs w:val="24"/>
        </w:rPr>
        <w:t> </w:t>
      </w:r>
      <w:r>
        <w:rPr/>
        <w:t>元；本期收回或转回坏账准备金额</w:t>
      </w:r>
      <w:r>
        <w:rPr>
          <w:spacing w:val="-53"/>
        </w:rPr>
        <w:t> </w:t>
      </w:r>
      <w:r>
        <w:rPr>
          <w:rFonts w:ascii="宋体" w:hAnsi="宋体" w:cs="宋体" w:eastAsia="宋体" w:hint="default"/>
        </w:rPr>
        <w:t>0</w:t>
      </w:r>
      <w:r>
        <w:rPr>
          <w:rFonts w:ascii="宋体" w:hAnsi="宋体" w:cs="宋体" w:eastAsia="宋体" w:hint="default"/>
          <w:spacing w:val="-55"/>
        </w:rPr>
        <w:t> </w:t>
      </w:r>
      <w:r>
        <w:rPr/>
        <w:t>元。</w:t>
      </w:r>
      <w:r>
        <w:rPr>
          <w:w w:val="100"/>
        </w:rPr>
        <w:t> </w:t>
      </w:r>
      <w:r>
        <w:rPr/>
        <w:t>其中本期坏账准备转回或收回金额重要的：</w:t>
      </w:r>
    </w:p>
    <w:p>
      <w:pPr>
        <w:pStyle w:val="BodyText"/>
        <w:spacing w:line="274" w:lineRule="exact"/>
        <w:ind w:right="249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497"/>
        <w:jc w:val="left"/>
        <w:rPr>
          <w:b w:val="0"/>
          <w:bCs w:val="0"/>
        </w:rPr>
      </w:pPr>
      <w:r>
        <w:rPr>
          <w:rFonts w:ascii="宋体" w:hAnsi="宋体" w:cs="宋体" w:eastAsia="宋体" w:hint="default"/>
        </w:rPr>
        <w:t>(3).</w:t>
      </w:r>
      <w:r>
        <w:rPr>
          <w:rFonts w:ascii="宋体" w:hAnsi="宋体" w:cs="宋体" w:eastAsia="宋体" w:hint="default"/>
          <w:spacing w:val="-3"/>
        </w:rPr>
        <w:t> </w:t>
      </w:r>
      <w:r>
        <w:rPr/>
        <w:t>本期实际核销的其他应收款情况</w:t>
      </w:r>
      <w:r>
        <w:rPr>
          <w:b w:val="0"/>
          <w:bCs w:val="0"/>
        </w:rPr>
      </w:r>
    </w:p>
    <w:p>
      <w:pPr>
        <w:pStyle w:val="BodyText"/>
        <w:spacing w:line="240" w:lineRule="auto" w:before="56"/>
        <w:ind w:right="2497"/>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2"/>
        <w:spacing w:line="240" w:lineRule="auto" w:before="36"/>
        <w:ind w:right="-16"/>
        <w:jc w:val="left"/>
        <w:rPr>
          <w:b w:val="0"/>
          <w:bCs w:val="0"/>
        </w:rPr>
      </w:pPr>
      <w:r>
        <w:rPr>
          <w:rFonts w:ascii="宋体" w:hAnsi="宋体" w:cs="宋体" w:eastAsia="宋体" w:hint="default"/>
        </w:rPr>
        <w:t>(4).</w:t>
      </w:r>
      <w:r>
        <w:rPr>
          <w:rFonts w:ascii="宋体" w:hAnsi="宋体" w:cs="宋体" w:eastAsia="宋体" w:hint="default"/>
          <w:spacing w:val="-3"/>
        </w:rPr>
        <w:t> </w:t>
      </w:r>
      <w:r>
        <w:rPr/>
        <w:t>其他应收款按款项性质分类情况</w:t>
      </w:r>
      <w:r>
        <w:rPr>
          <w:b w:val="0"/>
          <w:bCs w:val="0"/>
        </w:rPr>
      </w:r>
    </w:p>
    <w:p>
      <w:pPr>
        <w:pStyle w:val="BodyText"/>
        <w:spacing w:line="240" w:lineRule="auto" w:before="58"/>
        <w:ind w:right="-16"/>
        <w:jc w:val="left"/>
      </w:pPr>
      <w:r>
        <w:rPr/>
        <w:t>□适用</w:t>
      </w:r>
      <w:r>
        <w:rPr>
          <w:spacing w:val="-1"/>
        </w:rPr>
        <w:t> </w:t>
      </w:r>
      <w:r>
        <w:rPr/>
        <w:t>√不适用</w:t>
      </w:r>
    </w:p>
    <w:p>
      <w:pPr>
        <w:pStyle w:val="Heading2"/>
        <w:spacing w:line="240" w:lineRule="auto" w:before="56"/>
        <w:ind w:right="-16"/>
        <w:jc w:val="left"/>
        <w:rPr>
          <w:b w:val="0"/>
          <w:bCs w:val="0"/>
        </w:rPr>
      </w:pPr>
      <w:r>
        <w:rPr>
          <w:rFonts w:ascii="宋体" w:hAnsi="宋体" w:cs="宋体" w:eastAsia="宋体" w:hint="default"/>
        </w:rPr>
        <w:t>(5).</w:t>
      </w:r>
      <w:r>
        <w:rPr>
          <w:rFonts w:ascii="宋体" w:hAnsi="宋体" w:cs="宋体" w:eastAsia="宋体" w:hint="default"/>
          <w:spacing w:val="-6"/>
        </w:rPr>
        <w:t> </w:t>
      </w:r>
      <w:r>
        <w:rPr/>
        <w:t>按欠款方归集的期末余额前五名的其他应收款情况：</w:t>
      </w:r>
      <w:r>
        <w:rPr>
          <w:b w:val="0"/>
          <w:bCs w:val="0"/>
        </w:rPr>
      </w:r>
    </w:p>
    <w:p>
      <w:pPr>
        <w:pStyle w:val="BodyText"/>
        <w:spacing w:line="240" w:lineRule="auto" w:before="58"/>
        <w:ind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595" w:space="927"/>
            <w:col w:w="2768"/>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016"/>
        <w:gridCol w:w="992"/>
        <w:gridCol w:w="1418"/>
        <w:gridCol w:w="1092"/>
        <w:gridCol w:w="1733"/>
        <w:gridCol w:w="1644"/>
      </w:tblGrid>
      <w:tr>
        <w:trPr>
          <w:trHeight w:val="826"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48" w:right="103" w:hanging="315"/>
              <w:jc w:val="left"/>
              <w:rPr>
                <w:rFonts w:ascii="宋体" w:hAnsi="宋体" w:cs="宋体" w:eastAsia="宋体" w:hint="default"/>
                <w:sz w:val="21"/>
                <w:szCs w:val="21"/>
              </w:rPr>
            </w:pPr>
            <w:r>
              <w:rPr>
                <w:rFonts w:ascii="宋体" w:hAnsi="宋体" w:cs="宋体" w:eastAsia="宋体" w:hint="default"/>
                <w:sz w:val="21"/>
                <w:szCs w:val="21"/>
              </w:rPr>
              <w:t>款项的性</w:t>
            </w:r>
            <w:r>
              <w:rPr>
                <w:rFonts w:ascii="宋体" w:hAnsi="宋体" w:cs="宋体" w:eastAsia="宋体" w:hint="default"/>
                <w:w w:val="100"/>
                <w:sz w:val="21"/>
                <w:szCs w:val="21"/>
              </w:rPr>
              <w:t> </w:t>
            </w:r>
            <w:r>
              <w:rPr>
                <w:rFonts w:ascii="宋体" w:hAnsi="宋体" w:cs="宋体" w:eastAsia="宋体" w:hint="default"/>
                <w:sz w:val="21"/>
                <w:szCs w:val="21"/>
              </w:rPr>
              <w:t>质</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69"/>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62"/>
              <w:jc w:val="right"/>
              <w:rPr>
                <w:rFonts w:ascii="宋体" w:hAnsi="宋体" w:cs="宋体" w:eastAsia="宋体" w:hint="default"/>
                <w:sz w:val="21"/>
                <w:szCs w:val="21"/>
              </w:rPr>
            </w:pPr>
            <w:r>
              <w:rPr>
                <w:rFonts w:ascii="宋体" w:hAnsi="宋体" w:cs="宋体" w:eastAsia="宋体" w:hint="default"/>
                <w:sz w:val="21"/>
                <w:szCs w:val="21"/>
              </w:rPr>
              <w:t>账龄</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4" w:right="0"/>
              <w:jc w:val="left"/>
              <w:rPr>
                <w:rFonts w:ascii="宋体" w:hAnsi="宋体" w:cs="宋体" w:eastAsia="宋体" w:hint="default"/>
                <w:sz w:val="21"/>
                <w:szCs w:val="21"/>
              </w:rPr>
            </w:pPr>
            <w:r>
              <w:rPr>
                <w:rFonts w:ascii="宋体" w:hAnsi="宋体" w:cs="宋体" w:eastAsia="宋体" w:hint="default"/>
                <w:sz w:val="21"/>
                <w:szCs w:val="21"/>
              </w:rPr>
              <w:t>占其他应收款期</w:t>
            </w:r>
          </w:p>
          <w:p>
            <w:pPr>
              <w:pStyle w:val="TableParagraph"/>
              <w:spacing w:line="240" w:lineRule="auto"/>
              <w:ind w:left="492" w:right="123" w:hanging="368"/>
              <w:jc w:val="left"/>
              <w:rPr>
                <w:rFonts w:ascii="宋体" w:hAnsi="宋体" w:cs="宋体" w:eastAsia="宋体" w:hint="default"/>
                <w:sz w:val="21"/>
                <w:szCs w:val="21"/>
              </w:rPr>
            </w:pPr>
            <w:r>
              <w:rPr>
                <w:rFonts w:ascii="宋体" w:hAnsi="宋体" w:cs="宋体" w:eastAsia="宋体" w:hint="default"/>
                <w:sz w:val="21"/>
                <w:szCs w:val="21"/>
              </w:rPr>
              <w:t>末余额合计数的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比例</w:t>
            </w:r>
            <w:r>
              <w:rPr>
                <w:rFonts w:ascii="宋体" w:hAnsi="宋体" w:cs="宋体" w:eastAsia="宋体" w:hint="default"/>
                <w:sz w:val="21"/>
                <w:szCs w:val="21"/>
              </w:rPr>
              <w:t>(%)</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96" w:right="393"/>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p>
        </w:tc>
      </w:tr>
      <w:tr>
        <w:trPr>
          <w:trHeight w:val="284"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51"/>
              <w:jc w:val="center"/>
              <w:rPr>
                <w:rFonts w:ascii="宋体" w:hAnsi="宋体" w:cs="宋体" w:eastAsia="宋体" w:hint="default"/>
                <w:sz w:val="18"/>
                <w:szCs w:val="18"/>
              </w:rPr>
            </w:pPr>
            <w:r>
              <w:rPr>
                <w:rFonts w:ascii="宋体" w:hAnsi="宋体" w:cs="宋体" w:eastAsia="宋体" w:hint="default"/>
                <w:sz w:val="18"/>
                <w:szCs w:val="18"/>
              </w:rPr>
              <w:t>泉州安通物流有限公司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z w:val="18"/>
                <w:szCs w:val="18"/>
              </w:rPr>
              <w:t>资金往来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47"/>
              <w:jc w:val="center"/>
              <w:rPr>
                <w:rFonts w:ascii="宋体" w:hAnsi="宋体" w:cs="宋体" w:eastAsia="宋体" w:hint="default"/>
                <w:sz w:val="18"/>
                <w:szCs w:val="18"/>
              </w:rPr>
            </w:pPr>
            <w:r>
              <w:rPr>
                <w:rFonts w:ascii="宋体"/>
                <w:sz w:val="18"/>
              </w:rPr>
              <w:t>294,089,575.65</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377"/>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年以内</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6"/>
              <w:jc w:val="right"/>
              <w:rPr>
                <w:rFonts w:ascii="宋体" w:hAnsi="宋体" w:cs="宋体" w:eastAsia="宋体" w:hint="default"/>
                <w:sz w:val="18"/>
                <w:szCs w:val="18"/>
              </w:rPr>
            </w:pPr>
            <w:r>
              <w:rPr>
                <w:rFonts w:ascii="宋体"/>
                <w:sz w:val="18"/>
              </w:rPr>
              <w:t>46.25</w:t>
            </w:r>
          </w:p>
        </w:tc>
        <w:tc>
          <w:tcPr>
            <w:tcW w:w="164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51"/>
              <w:jc w:val="center"/>
              <w:rPr>
                <w:rFonts w:ascii="宋体" w:hAnsi="宋体" w:cs="宋体" w:eastAsia="宋体" w:hint="default"/>
                <w:sz w:val="18"/>
                <w:szCs w:val="18"/>
              </w:rPr>
            </w:pPr>
            <w:r>
              <w:rPr>
                <w:rFonts w:ascii="宋体" w:hAnsi="宋体" w:cs="宋体" w:eastAsia="宋体" w:hint="default"/>
                <w:sz w:val="18"/>
                <w:szCs w:val="18"/>
              </w:rPr>
              <w:t>泉州安盛船务有限公司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资金往来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7"/>
              <w:jc w:val="center"/>
              <w:rPr>
                <w:rFonts w:ascii="宋体" w:hAnsi="宋体" w:cs="宋体" w:eastAsia="宋体" w:hint="default"/>
                <w:sz w:val="18"/>
                <w:szCs w:val="18"/>
              </w:rPr>
            </w:pPr>
            <w:r>
              <w:rPr>
                <w:rFonts w:ascii="宋体"/>
                <w:sz w:val="18"/>
              </w:rPr>
              <w:t>325,327,031.28</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77"/>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年以内</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6"/>
              <w:jc w:val="right"/>
              <w:rPr>
                <w:rFonts w:ascii="宋体" w:hAnsi="宋体" w:cs="宋体" w:eastAsia="宋体" w:hint="default"/>
                <w:sz w:val="18"/>
                <w:szCs w:val="18"/>
              </w:rPr>
            </w:pPr>
            <w:r>
              <w:rPr>
                <w:rFonts w:ascii="宋体"/>
                <w:sz w:val="18"/>
              </w:rPr>
              <w:t>51.16</w:t>
            </w:r>
          </w:p>
        </w:tc>
        <w:tc>
          <w:tcPr>
            <w:tcW w:w="164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2016"/>
        <w:gridCol w:w="992"/>
        <w:gridCol w:w="1418"/>
        <w:gridCol w:w="1092"/>
        <w:gridCol w:w="1733"/>
        <w:gridCol w:w="1644"/>
      </w:tblGrid>
      <w:tr>
        <w:trPr>
          <w:trHeight w:val="478"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6" w:right="0"/>
              <w:jc w:val="left"/>
              <w:rPr>
                <w:rFonts w:ascii="宋体" w:hAnsi="宋体" w:cs="宋体" w:eastAsia="宋体" w:hint="default"/>
                <w:sz w:val="18"/>
                <w:szCs w:val="18"/>
              </w:rPr>
            </w:pPr>
            <w:r>
              <w:rPr>
                <w:rFonts w:ascii="宋体" w:hAnsi="宋体" w:cs="宋体" w:eastAsia="宋体" w:hint="default"/>
                <w:sz w:val="18"/>
                <w:szCs w:val="18"/>
              </w:rPr>
              <w:t>安通（唐山海港）多式</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联运物流有限公司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资金往来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6"/>
              <w:jc w:val="right"/>
              <w:rPr>
                <w:rFonts w:ascii="宋体" w:hAnsi="宋体" w:cs="宋体" w:eastAsia="宋体" w:hint="default"/>
                <w:sz w:val="18"/>
                <w:szCs w:val="18"/>
              </w:rPr>
            </w:pPr>
            <w:r>
              <w:rPr>
                <w:rFonts w:ascii="宋体"/>
                <w:spacing w:val="-1"/>
                <w:sz w:val="18"/>
              </w:rPr>
              <w:t>16,310,050.00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年以内</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6"/>
              <w:jc w:val="right"/>
              <w:rPr>
                <w:rFonts w:ascii="宋体" w:hAnsi="宋体" w:cs="宋体" w:eastAsia="宋体" w:hint="default"/>
                <w:sz w:val="18"/>
                <w:szCs w:val="18"/>
              </w:rPr>
            </w:pPr>
            <w:r>
              <w:rPr>
                <w:rFonts w:ascii="宋体"/>
                <w:sz w:val="18"/>
              </w:rPr>
              <w:t>2.56</w:t>
            </w:r>
          </w:p>
        </w:tc>
        <w:tc>
          <w:tcPr>
            <w:tcW w:w="164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安通（泉州）多式联运</w:t>
            </w: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基地有限公司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资金往来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170,000.00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年以内</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6"/>
              <w:jc w:val="right"/>
              <w:rPr>
                <w:rFonts w:ascii="宋体" w:hAnsi="宋体" w:cs="宋体" w:eastAsia="宋体" w:hint="default"/>
                <w:sz w:val="18"/>
                <w:szCs w:val="18"/>
              </w:rPr>
            </w:pPr>
            <w:r>
              <w:rPr>
                <w:rFonts w:ascii="宋体"/>
                <w:sz w:val="18"/>
              </w:rPr>
              <w:t>0.03</w:t>
            </w:r>
          </w:p>
        </w:tc>
        <w:tc>
          <w:tcPr>
            <w:tcW w:w="1644"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宋雪</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5"/>
              <w:jc w:val="right"/>
              <w:rPr>
                <w:rFonts w:ascii="宋体" w:hAnsi="宋体" w:cs="宋体" w:eastAsia="宋体" w:hint="default"/>
                <w:sz w:val="18"/>
                <w:szCs w:val="18"/>
              </w:rPr>
            </w:pPr>
            <w:r>
              <w:rPr>
                <w:rFonts w:ascii="宋体"/>
                <w:spacing w:val="-1"/>
                <w:sz w:val="18"/>
              </w:rPr>
              <w:t>15,000.00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年以内</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6"/>
              <w:jc w:val="right"/>
              <w:rPr>
                <w:rFonts w:ascii="宋体" w:hAnsi="宋体" w:cs="宋体" w:eastAsia="宋体" w:hint="default"/>
                <w:sz w:val="18"/>
                <w:szCs w:val="18"/>
              </w:rPr>
            </w:pPr>
            <w:r>
              <w:rPr>
                <w:rFonts w:ascii="宋体"/>
                <w:sz w:val="18"/>
              </w:rPr>
              <w:t>0.00</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750.00</w:t>
            </w:r>
          </w:p>
        </w:tc>
      </w:tr>
      <w:tr>
        <w:trPr>
          <w:trHeight w:val="283"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center"/>
              <w:rPr>
                <w:rFonts w:ascii="宋体" w:hAnsi="宋体" w:cs="宋体" w:eastAsia="宋体" w:hint="default"/>
                <w:sz w:val="21"/>
                <w:szCs w:val="21"/>
              </w:rPr>
            </w:pPr>
            <w:r>
              <w:rPr>
                <w:rFonts w:ascii="宋体" w:hAnsi="宋体" w:cs="宋体" w:eastAsia="宋体" w:hint="default"/>
                <w:sz w:val="21"/>
                <w:szCs w:val="21"/>
              </w:rPr>
              <w:t>合计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1"/>
              <w:jc w:val="center"/>
              <w:rPr>
                <w:rFonts w:ascii="宋体" w:hAnsi="宋体" w:cs="宋体" w:eastAsia="宋体" w:hint="default"/>
                <w:sz w:val="21"/>
                <w:szCs w:val="21"/>
              </w:rPr>
            </w:pPr>
            <w:r>
              <w:rPr>
                <w:rFonts w:ascii="宋体"/>
                <w:w w:val="100"/>
                <w:sz w:val="21"/>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635,911,656.93</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73"/>
              <w:jc w:val="center"/>
              <w:rPr>
                <w:rFonts w:ascii="宋体" w:hAnsi="宋体" w:cs="宋体" w:eastAsia="宋体" w:hint="default"/>
                <w:sz w:val="18"/>
                <w:szCs w:val="18"/>
              </w:rPr>
            </w:pPr>
            <w:r>
              <w:rPr>
                <w:rFonts w:ascii="宋体"/>
                <w:sz w:val="18"/>
              </w:rPr>
              <w:t>/</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6"/>
              <w:jc w:val="right"/>
              <w:rPr>
                <w:rFonts w:ascii="宋体" w:hAnsi="宋体" w:cs="宋体" w:eastAsia="宋体" w:hint="default"/>
                <w:sz w:val="18"/>
                <w:szCs w:val="18"/>
              </w:rPr>
            </w:pPr>
            <w:r>
              <w:rPr>
                <w:rFonts w:ascii="宋体"/>
                <w:sz w:val="18"/>
              </w:rPr>
              <w:t>100</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750.00</w:t>
            </w:r>
          </w:p>
        </w:tc>
      </w:tr>
    </w:tbl>
    <w:p>
      <w:pPr>
        <w:spacing w:line="240" w:lineRule="auto" w:before="2"/>
        <w:rPr>
          <w:rFonts w:ascii="宋体" w:hAnsi="宋体" w:cs="宋体" w:eastAsia="宋体" w:hint="default"/>
          <w:sz w:val="20"/>
          <w:szCs w:val="20"/>
        </w:rPr>
      </w:pPr>
    </w:p>
    <w:p>
      <w:pPr>
        <w:pStyle w:val="Heading2"/>
        <w:spacing w:line="240" w:lineRule="auto" w:before="36"/>
        <w:ind w:right="2497"/>
        <w:jc w:val="left"/>
        <w:rPr>
          <w:b w:val="0"/>
          <w:bCs w:val="0"/>
        </w:rPr>
      </w:pPr>
      <w:r>
        <w:rPr>
          <w:rFonts w:ascii="宋体" w:hAnsi="宋体" w:cs="宋体" w:eastAsia="宋体" w:hint="default"/>
        </w:rPr>
        <w:t>(6).</w:t>
      </w:r>
      <w:r>
        <w:rPr>
          <w:rFonts w:ascii="宋体" w:hAnsi="宋体" w:cs="宋体" w:eastAsia="宋体" w:hint="default"/>
          <w:spacing w:val="-1"/>
        </w:rPr>
        <w:t> </w:t>
      </w:r>
      <w:r>
        <w:rPr/>
        <w:t>涉及政府补助的应收款项</w:t>
      </w:r>
      <w:r>
        <w:rPr>
          <w:b w:val="0"/>
          <w:bCs w:val="0"/>
        </w:rPr>
      </w:r>
    </w:p>
    <w:p>
      <w:pPr>
        <w:pStyle w:val="BodyText"/>
        <w:spacing w:line="240" w:lineRule="auto" w:before="56"/>
        <w:ind w:right="2497"/>
        <w:jc w:val="left"/>
      </w:pPr>
      <w:r>
        <w:rPr/>
        <w:t>□适用</w:t>
      </w:r>
      <w:r>
        <w:rPr>
          <w:spacing w:val="-1"/>
        </w:rPr>
        <w:t> </w:t>
      </w:r>
      <w:r>
        <w:rPr/>
        <w:t>√不适用</w:t>
      </w:r>
    </w:p>
    <w:p>
      <w:pPr>
        <w:pStyle w:val="Heading2"/>
        <w:spacing w:line="240" w:lineRule="auto" w:before="56"/>
        <w:ind w:right="2497"/>
        <w:jc w:val="left"/>
        <w:rPr>
          <w:b w:val="0"/>
          <w:bCs w:val="0"/>
        </w:rPr>
      </w:pPr>
      <w:r>
        <w:rPr>
          <w:rFonts w:ascii="宋体" w:hAnsi="宋体" w:cs="宋体" w:eastAsia="宋体" w:hint="default"/>
        </w:rPr>
        <w:t>(7).</w:t>
      </w:r>
      <w:r>
        <w:rPr>
          <w:rFonts w:ascii="宋体" w:hAnsi="宋体" w:cs="宋体" w:eastAsia="宋体" w:hint="default"/>
          <w:spacing w:val="-1"/>
        </w:rPr>
        <w:t> </w:t>
      </w:r>
      <w:r>
        <w:rPr/>
        <w:t>因金融资产转移而终止确认的其他应收款：</w:t>
      </w:r>
      <w:r>
        <w:rPr>
          <w:b w:val="0"/>
          <w:bCs w:val="0"/>
        </w:rPr>
      </w:r>
    </w:p>
    <w:p>
      <w:pPr>
        <w:pStyle w:val="BodyText"/>
        <w:spacing w:line="240" w:lineRule="auto" w:before="58"/>
        <w:ind w:right="2497"/>
        <w:jc w:val="left"/>
      </w:pPr>
      <w:r>
        <w:rPr/>
        <w:t>□适用</w:t>
      </w:r>
      <w:r>
        <w:rPr>
          <w:spacing w:val="-1"/>
        </w:rPr>
        <w:t> </w:t>
      </w:r>
      <w:r>
        <w:rPr/>
        <w:t>√不适用</w:t>
      </w:r>
    </w:p>
    <w:p>
      <w:pPr>
        <w:pStyle w:val="Heading2"/>
        <w:spacing w:line="240" w:lineRule="auto" w:before="57"/>
        <w:ind w:right="2497"/>
        <w:jc w:val="left"/>
        <w:rPr>
          <w:b w:val="0"/>
          <w:bCs w:val="0"/>
        </w:rPr>
      </w:pPr>
      <w:r>
        <w:rPr>
          <w:rFonts w:ascii="宋体" w:hAnsi="宋体" w:cs="宋体" w:eastAsia="宋体" w:hint="default"/>
        </w:rPr>
        <w:t>(8).</w:t>
      </w:r>
      <w:r>
        <w:rPr>
          <w:rFonts w:ascii="宋体" w:hAnsi="宋体" w:cs="宋体" w:eastAsia="宋体" w:hint="default"/>
          <w:spacing w:val="-6"/>
        </w:rPr>
        <w:t> </w:t>
      </w:r>
      <w:r>
        <w:rPr/>
        <w:t>转移其他应收款且继续涉入形成的资产、负债金额：</w:t>
      </w:r>
      <w:r>
        <w:rPr>
          <w:b w:val="0"/>
          <w:bCs w:val="0"/>
        </w:rPr>
      </w:r>
    </w:p>
    <w:p>
      <w:pPr>
        <w:pStyle w:val="BodyText"/>
        <w:spacing w:line="240" w:lineRule="auto" w:before="58"/>
        <w:ind w:right="2497"/>
        <w:jc w:val="left"/>
      </w:pPr>
      <w:r>
        <w:rPr/>
        <w:t>□适用</w:t>
      </w:r>
      <w:r>
        <w:rPr>
          <w:spacing w:val="-1"/>
        </w:rPr>
        <w:t> </w:t>
      </w:r>
      <w:r>
        <w:rPr/>
        <w:t>√不适用</w:t>
      </w:r>
    </w:p>
    <w:p>
      <w:pPr>
        <w:spacing w:line="240" w:lineRule="auto" w:before="11"/>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882" w:footer="1195" w:top="1120" w:bottom="1380" w:left="1580" w:right="1040"/>
        </w:sectPr>
      </w:pPr>
    </w:p>
    <w:p>
      <w:pPr>
        <w:pStyle w:val="BodyText"/>
        <w:spacing w:line="273" w:lineRule="exact" w:before="36"/>
        <w:ind w:right="-20"/>
        <w:jc w:val="left"/>
      </w:pPr>
      <w:r>
        <w:rPr/>
        <w:t>其他说明：</w:t>
      </w:r>
    </w:p>
    <w:p>
      <w:pPr>
        <w:spacing w:line="290" w:lineRule="auto" w:before="0"/>
        <w:ind w:left="218" w:right="-2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长期股权投资</w:t>
      </w:r>
      <w:r>
        <w:rPr>
          <w:rFonts w:ascii="宋体" w:hAnsi="宋体" w:cs="宋体" w:eastAsia="宋体" w:hint="default"/>
          <w:sz w:val="21"/>
          <w:szCs w:val="21"/>
        </w:rPr>
      </w:r>
    </w:p>
    <w:p>
      <w:pPr>
        <w:pStyle w:val="BodyText"/>
        <w:spacing w:line="240" w:lineRule="auto" w:before="12"/>
        <w:ind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11" w:space="4611"/>
            <w:col w:w="27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747"/>
        <w:gridCol w:w="1501"/>
        <w:gridCol w:w="564"/>
        <w:gridCol w:w="1503"/>
        <w:gridCol w:w="1502"/>
        <w:gridCol w:w="579"/>
        <w:gridCol w:w="1500"/>
      </w:tblGrid>
      <w:tr>
        <w:trPr>
          <w:trHeight w:val="283" w:hRule="exact"/>
        </w:trPr>
        <w:tc>
          <w:tcPr>
            <w:tcW w:w="174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56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58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4" w:hRule="exact"/>
        </w:trPr>
        <w:tc>
          <w:tcPr>
            <w:tcW w:w="1747" w:type="dxa"/>
            <w:vMerge/>
            <w:tcBorders>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2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7"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4" w:lineRule="exact"/>
              <w:ind w:left="67"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26"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5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4"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4" w:lineRule="exact"/>
              <w:ind w:left="74"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4" w:hRule="exact"/>
        </w:trPr>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对子公司投资</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宋体" w:hAnsi="宋体" w:cs="宋体" w:eastAsia="宋体" w:hint="default"/>
                <w:sz w:val="18"/>
                <w:szCs w:val="18"/>
              </w:rPr>
            </w:pPr>
            <w:r>
              <w:rPr>
                <w:rFonts w:ascii="宋体"/>
                <w:spacing w:val="-1"/>
                <w:sz w:val="18"/>
              </w:rPr>
              <w:t>4,440,359,291.29</w:t>
            </w:r>
          </w:p>
        </w:tc>
        <w:tc>
          <w:tcPr>
            <w:tcW w:w="564"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4,440,359,291.29</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4,293,647,291.29</w:t>
            </w:r>
          </w:p>
        </w:tc>
        <w:tc>
          <w:tcPr>
            <w:tcW w:w="579"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4,293,647,291.29</w:t>
            </w:r>
          </w:p>
        </w:tc>
      </w:tr>
      <w:tr>
        <w:trPr>
          <w:trHeight w:val="554" w:hRule="exact"/>
        </w:trPr>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对联营、合营企业</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投资</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16,061,933.53</w:t>
            </w:r>
          </w:p>
        </w:tc>
        <w:tc>
          <w:tcPr>
            <w:tcW w:w="564"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16,061,933.53</w:t>
            </w:r>
          </w:p>
        </w:tc>
        <w:tc>
          <w:tcPr>
            <w:tcW w:w="1502"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宋体" w:hAnsi="宋体" w:cs="宋体" w:eastAsia="宋体" w:hint="default"/>
                <w:sz w:val="18"/>
                <w:szCs w:val="18"/>
              </w:rPr>
            </w:pPr>
            <w:r>
              <w:rPr>
                <w:rFonts w:ascii="宋体"/>
                <w:spacing w:val="-1"/>
                <w:sz w:val="18"/>
              </w:rPr>
              <w:t>4,456,421,224.82</w:t>
            </w:r>
          </w:p>
        </w:tc>
        <w:tc>
          <w:tcPr>
            <w:tcW w:w="564"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4,456,421,224.82</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4,293,647,291.29</w:t>
            </w:r>
          </w:p>
        </w:tc>
        <w:tc>
          <w:tcPr>
            <w:tcW w:w="579"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4,293,647,291.29</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040"/>
        </w:sectPr>
      </w:pPr>
    </w:p>
    <w:p>
      <w:pPr>
        <w:pStyle w:val="Heading2"/>
        <w:spacing w:line="240" w:lineRule="auto" w:before="36"/>
        <w:ind w:right="-20"/>
        <w:jc w:val="left"/>
        <w:rPr>
          <w:b w:val="0"/>
          <w:bCs w:val="0"/>
        </w:rPr>
      </w:pPr>
      <w:r>
        <w:rPr>
          <w:rFonts w:ascii="宋体" w:hAnsi="宋体" w:cs="宋体" w:eastAsia="宋体" w:hint="default"/>
        </w:rPr>
        <w:t>(1)</w:t>
      </w:r>
      <w:r>
        <w:rPr>
          <w:rFonts w:ascii="宋体" w:hAnsi="宋体" w:cs="宋体" w:eastAsia="宋体" w:hint="default"/>
          <w:spacing w:val="3"/>
        </w:rPr>
        <w:t> </w:t>
      </w:r>
      <w:r>
        <w:rPr/>
        <w:t>对子公司投资</w:t>
      </w:r>
      <w:r>
        <w:rPr>
          <w:b w:val="0"/>
          <w:bCs w:val="0"/>
        </w:rPr>
      </w:r>
    </w:p>
    <w:p>
      <w:pPr>
        <w:pStyle w:val="BodyText"/>
        <w:spacing w:line="240" w:lineRule="auto" w:before="58"/>
        <w:ind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11" w:space="4611"/>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519"/>
        <w:gridCol w:w="1657"/>
        <w:gridCol w:w="1476"/>
        <w:gridCol w:w="915"/>
        <w:gridCol w:w="1657"/>
        <w:gridCol w:w="914"/>
        <w:gridCol w:w="912"/>
      </w:tblGrid>
      <w:tr>
        <w:trPr>
          <w:trHeight w:val="828" w:hRule="exact"/>
        </w:trPr>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被投资单位</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0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45" w:right="132" w:hanging="209"/>
              <w:jc w:val="left"/>
              <w:rPr>
                <w:rFonts w:ascii="宋体" w:hAnsi="宋体" w:cs="宋体" w:eastAsia="宋体" w:hint="default"/>
                <w:sz w:val="21"/>
                <w:szCs w:val="21"/>
              </w:rPr>
            </w:pPr>
            <w:r>
              <w:rPr>
                <w:rFonts w:ascii="宋体" w:hAnsi="宋体" w:cs="宋体" w:eastAsia="宋体" w:hint="default"/>
                <w:sz w:val="21"/>
                <w:szCs w:val="21"/>
              </w:rPr>
              <w:t>本期减</w:t>
            </w:r>
            <w:r>
              <w:rPr>
                <w:rFonts w:ascii="宋体" w:hAnsi="宋体" w:cs="宋体" w:eastAsia="宋体" w:hint="default"/>
                <w:spacing w:val="-102"/>
                <w:sz w:val="21"/>
                <w:szCs w:val="21"/>
              </w:rPr>
              <w:t> </w:t>
            </w:r>
            <w:r>
              <w:rPr>
                <w:rFonts w:ascii="宋体" w:hAnsi="宋体" w:cs="宋体" w:eastAsia="宋体" w:hint="default"/>
                <w:sz w:val="21"/>
                <w:szCs w:val="21"/>
              </w:rPr>
              <w:t>少</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0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4" w:right="0"/>
              <w:jc w:val="left"/>
              <w:rPr>
                <w:rFonts w:ascii="宋体" w:hAnsi="宋体" w:cs="宋体" w:eastAsia="宋体" w:hint="default"/>
                <w:sz w:val="21"/>
                <w:szCs w:val="21"/>
              </w:rPr>
            </w:pPr>
            <w:r>
              <w:rPr>
                <w:rFonts w:ascii="宋体" w:hAnsi="宋体" w:cs="宋体" w:eastAsia="宋体" w:hint="default"/>
                <w:sz w:val="21"/>
                <w:szCs w:val="21"/>
              </w:rPr>
              <w:t>本期计</w:t>
            </w:r>
          </w:p>
          <w:p>
            <w:pPr>
              <w:pStyle w:val="TableParagraph"/>
              <w:spacing w:line="240" w:lineRule="auto"/>
              <w:ind w:left="240" w:right="134" w:hanging="106"/>
              <w:jc w:val="left"/>
              <w:rPr>
                <w:rFonts w:ascii="宋体" w:hAnsi="宋体" w:cs="宋体" w:eastAsia="宋体" w:hint="default"/>
                <w:sz w:val="21"/>
                <w:szCs w:val="21"/>
              </w:rPr>
            </w:pPr>
            <w:r>
              <w:rPr>
                <w:rFonts w:ascii="宋体" w:hAnsi="宋体" w:cs="宋体" w:eastAsia="宋体" w:hint="default"/>
                <w:sz w:val="21"/>
                <w:szCs w:val="21"/>
              </w:rPr>
              <w:t>提减值</w:t>
            </w:r>
            <w:r>
              <w:rPr>
                <w:rFonts w:ascii="宋体" w:hAnsi="宋体" w:cs="宋体" w:eastAsia="宋体" w:hint="default"/>
                <w:spacing w:val="-102"/>
                <w:sz w:val="21"/>
                <w:szCs w:val="21"/>
              </w:rPr>
              <w:t> </w:t>
            </w:r>
            <w:r>
              <w:rPr>
                <w:rFonts w:ascii="宋体" w:hAnsi="宋体" w:cs="宋体" w:eastAsia="宋体" w:hint="default"/>
                <w:sz w:val="21"/>
                <w:szCs w:val="21"/>
              </w:rPr>
              <w:t>准备</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4" w:right="0"/>
              <w:jc w:val="left"/>
              <w:rPr>
                <w:rFonts w:ascii="宋体" w:hAnsi="宋体" w:cs="宋体" w:eastAsia="宋体" w:hint="default"/>
                <w:sz w:val="21"/>
                <w:szCs w:val="21"/>
              </w:rPr>
            </w:pPr>
            <w:r>
              <w:rPr>
                <w:rFonts w:ascii="宋体" w:hAnsi="宋体" w:cs="宋体" w:eastAsia="宋体" w:hint="default"/>
                <w:sz w:val="21"/>
                <w:szCs w:val="21"/>
              </w:rPr>
              <w:t>减值准</w:t>
            </w:r>
          </w:p>
          <w:p>
            <w:pPr>
              <w:pStyle w:val="TableParagraph"/>
              <w:spacing w:line="240" w:lineRule="auto"/>
              <w:ind w:left="240" w:right="132" w:hanging="106"/>
              <w:jc w:val="left"/>
              <w:rPr>
                <w:rFonts w:ascii="宋体" w:hAnsi="宋体" w:cs="宋体" w:eastAsia="宋体" w:hint="default"/>
                <w:sz w:val="21"/>
                <w:szCs w:val="21"/>
              </w:rPr>
            </w:pPr>
            <w:r>
              <w:rPr>
                <w:rFonts w:ascii="宋体" w:hAnsi="宋体" w:cs="宋体" w:eastAsia="宋体" w:hint="default"/>
                <w:sz w:val="21"/>
                <w:szCs w:val="21"/>
              </w:rPr>
              <w:t>备期末</w:t>
            </w:r>
            <w:r>
              <w:rPr>
                <w:rFonts w:ascii="宋体" w:hAnsi="宋体" w:cs="宋体" w:eastAsia="宋体" w:hint="default"/>
                <w:spacing w:val="-102"/>
                <w:sz w:val="21"/>
                <w:szCs w:val="21"/>
              </w:rPr>
              <w:t> </w:t>
            </w:r>
            <w:r>
              <w:rPr>
                <w:rFonts w:ascii="宋体" w:hAnsi="宋体" w:cs="宋体" w:eastAsia="宋体" w:hint="default"/>
                <w:sz w:val="21"/>
                <w:szCs w:val="21"/>
              </w:rPr>
              <w:t>余额</w:t>
            </w:r>
          </w:p>
        </w:tc>
      </w:tr>
      <w:tr>
        <w:trPr>
          <w:trHeight w:val="478" w:hRule="exact"/>
        </w:trPr>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泉州安通物流有</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3,493,647,291.29</w:t>
            </w:r>
          </w:p>
        </w:tc>
        <w:tc>
          <w:tcPr>
            <w:tcW w:w="1476" w:type="dxa"/>
            <w:tcBorders>
              <w:top w:val="single" w:sz="4" w:space="0" w:color="000000"/>
              <w:left w:val="single" w:sz="4" w:space="0" w:color="000000"/>
              <w:bottom w:val="single" w:sz="4" w:space="0" w:color="000000"/>
              <w:right w:val="single" w:sz="4" w:space="0" w:color="000000"/>
            </w:tcBorders>
          </w:tcPr>
          <w:p>
            <w:pPr/>
          </w:p>
        </w:tc>
        <w:tc>
          <w:tcPr>
            <w:tcW w:w="915"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3,493,647,291.29</w:t>
            </w:r>
          </w:p>
        </w:tc>
        <w:tc>
          <w:tcPr>
            <w:tcW w:w="914"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泉州安盛船务有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800,000,000.00</w:t>
            </w:r>
          </w:p>
        </w:tc>
        <w:tc>
          <w:tcPr>
            <w:tcW w:w="1476" w:type="dxa"/>
            <w:tcBorders>
              <w:top w:val="single" w:sz="4" w:space="0" w:color="000000"/>
              <w:left w:val="single" w:sz="4" w:space="0" w:color="000000"/>
              <w:bottom w:val="single" w:sz="4" w:space="0" w:color="000000"/>
              <w:right w:val="single" w:sz="4" w:space="0" w:color="000000"/>
            </w:tcBorders>
          </w:tcPr>
          <w:p>
            <w:pPr/>
          </w:p>
        </w:tc>
        <w:tc>
          <w:tcPr>
            <w:tcW w:w="915"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800,000,000.00</w:t>
            </w:r>
          </w:p>
        </w:tc>
        <w:tc>
          <w:tcPr>
            <w:tcW w:w="914"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安通（唐山海港）</w:t>
            </w:r>
          </w:p>
          <w:p>
            <w:pPr>
              <w:pStyle w:val="TableParagraph"/>
              <w:spacing w:line="232" w:lineRule="exact" w:before="23"/>
              <w:ind w:left="103" w:right="144"/>
              <w:jc w:val="left"/>
              <w:rPr>
                <w:rFonts w:ascii="宋体" w:hAnsi="宋体" w:cs="宋体" w:eastAsia="宋体" w:hint="default"/>
                <w:sz w:val="18"/>
                <w:szCs w:val="18"/>
              </w:rPr>
            </w:pPr>
            <w:r>
              <w:rPr>
                <w:rFonts w:ascii="宋体" w:hAnsi="宋体" w:cs="宋体" w:eastAsia="宋体" w:hint="default"/>
                <w:sz w:val="18"/>
                <w:szCs w:val="18"/>
              </w:rPr>
              <w:t>多式联运物流有 限公司</w:t>
            </w:r>
          </w:p>
        </w:tc>
        <w:tc>
          <w:tcPr>
            <w:tcW w:w="165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8" w:right="0"/>
              <w:jc w:val="center"/>
              <w:rPr>
                <w:rFonts w:ascii="宋体" w:hAnsi="宋体" w:cs="宋体" w:eastAsia="宋体" w:hint="default"/>
                <w:sz w:val="18"/>
                <w:szCs w:val="18"/>
              </w:rPr>
            </w:pPr>
            <w:r>
              <w:rPr>
                <w:rFonts w:ascii="宋体"/>
                <w:sz w:val="18"/>
              </w:rPr>
              <w:t>81,340,000.00</w:t>
            </w:r>
          </w:p>
        </w:tc>
        <w:tc>
          <w:tcPr>
            <w:tcW w:w="915"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81,340,000.00</w:t>
            </w:r>
          </w:p>
        </w:tc>
        <w:tc>
          <w:tcPr>
            <w:tcW w:w="914"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安通（泉州）多</w:t>
            </w:r>
          </w:p>
          <w:p>
            <w:pPr>
              <w:pStyle w:val="TableParagraph"/>
              <w:spacing w:line="232" w:lineRule="exact" w:before="23"/>
              <w:ind w:left="103" w:right="144"/>
              <w:jc w:val="left"/>
              <w:rPr>
                <w:rFonts w:ascii="宋体" w:hAnsi="宋体" w:cs="宋体" w:eastAsia="宋体" w:hint="default"/>
                <w:sz w:val="18"/>
                <w:szCs w:val="18"/>
              </w:rPr>
            </w:pPr>
            <w:r>
              <w:rPr>
                <w:rFonts w:ascii="宋体" w:hAnsi="宋体" w:cs="宋体" w:eastAsia="宋体" w:hint="default"/>
                <w:sz w:val="18"/>
                <w:szCs w:val="18"/>
              </w:rPr>
              <w:t>式联运基地有限 公司</w:t>
            </w:r>
          </w:p>
        </w:tc>
        <w:tc>
          <w:tcPr>
            <w:tcW w:w="165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8" w:right="0"/>
              <w:jc w:val="center"/>
              <w:rPr>
                <w:rFonts w:ascii="宋体" w:hAnsi="宋体" w:cs="宋体" w:eastAsia="宋体" w:hint="default"/>
                <w:sz w:val="18"/>
                <w:szCs w:val="18"/>
              </w:rPr>
            </w:pPr>
            <w:r>
              <w:rPr>
                <w:rFonts w:ascii="宋体"/>
                <w:sz w:val="18"/>
              </w:rPr>
              <w:t>65,372,000.00</w:t>
            </w:r>
          </w:p>
        </w:tc>
        <w:tc>
          <w:tcPr>
            <w:tcW w:w="915"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65,372,000.00</w:t>
            </w:r>
          </w:p>
        </w:tc>
        <w:tc>
          <w:tcPr>
            <w:tcW w:w="914"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4,293,647,291.29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sz w:val="18"/>
              </w:rPr>
              <w:t>146,712,000.00</w:t>
            </w:r>
          </w:p>
        </w:tc>
        <w:tc>
          <w:tcPr>
            <w:tcW w:w="915"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4,440,359,291.29</w:t>
            </w:r>
          </w:p>
        </w:tc>
        <w:tc>
          <w:tcPr>
            <w:tcW w:w="914"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2"/>
        <w:spacing w:line="240" w:lineRule="auto" w:before="36"/>
        <w:ind w:right="-19"/>
        <w:jc w:val="left"/>
        <w:rPr>
          <w:b w:val="0"/>
          <w:bCs w:val="0"/>
        </w:rPr>
      </w:pPr>
      <w:r>
        <w:rPr>
          <w:rFonts w:ascii="宋体" w:hAnsi="宋体" w:cs="宋体" w:eastAsia="宋体" w:hint="default"/>
        </w:rPr>
        <w:t>(2)</w:t>
      </w:r>
      <w:r>
        <w:rPr>
          <w:rFonts w:ascii="宋体" w:hAnsi="宋体" w:cs="宋体" w:eastAsia="宋体" w:hint="default"/>
          <w:spacing w:val="2"/>
        </w:rPr>
        <w:t> </w:t>
      </w:r>
      <w:r>
        <w:rPr/>
        <w:t>对联营、合营企业投资</w:t>
      </w:r>
      <w:r>
        <w:rPr>
          <w:b w:val="0"/>
          <w:bCs w:val="0"/>
        </w:rPr>
      </w:r>
    </w:p>
    <w:p>
      <w:pPr>
        <w:pStyle w:val="BodyText"/>
        <w:spacing w:line="240" w:lineRule="auto" w:before="56"/>
        <w:ind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753" w:space="3769"/>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102"/>
        <w:gridCol w:w="480"/>
        <w:gridCol w:w="5951"/>
        <w:gridCol w:w="768"/>
        <w:gridCol w:w="739"/>
      </w:tblGrid>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5" w:right="0"/>
              <w:jc w:val="left"/>
              <w:rPr>
                <w:rFonts w:ascii="宋体" w:hAnsi="宋体" w:cs="宋体" w:eastAsia="宋体" w:hint="default"/>
                <w:sz w:val="21"/>
                <w:szCs w:val="21"/>
              </w:rPr>
            </w:pPr>
            <w:r>
              <w:rPr>
                <w:rFonts w:ascii="宋体" w:hAnsi="宋体" w:cs="宋体" w:eastAsia="宋体" w:hint="default"/>
                <w:sz w:val="21"/>
                <w:szCs w:val="21"/>
              </w:rPr>
              <w:t>投资</w:t>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7" w:right="0"/>
              <w:jc w:val="left"/>
              <w:rPr>
                <w:rFonts w:ascii="宋体" w:hAnsi="宋体" w:cs="宋体" w:eastAsia="宋体" w:hint="default"/>
                <w:sz w:val="21"/>
                <w:szCs w:val="21"/>
              </w:rPr>
            </w:pPr>
            <w:r>
              <w:rPr>
                <w:rFonts w:ascii="宋体" w:hAnsi="宋体" w:cs="宋体" w:eastAsia="宋体" w:hint="default"/>
                <w:w w:val="100"/>
                <w:sz w:val="21"/>
                <w:szCs w:val="21"/>
              </w:rPr>
              <w:t>期</w:t>
            </w:r>
          </w:p>
        </w:tc>
        <w:tc>
          <w:tcPr>
            <w:tcW w:w="5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本期增减变动</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7" w:right="0"/>
              <w:jc w:val="left"/>
              <w:rPr>
                <w:rFonts w:ascii="宋体" w:hAnsi="宋体" w:cs="宋体" w:eastAsia="宋体" w:hint="default"/>
                <w:sz w:val="21"/>
                <w:szCs w:val="21"/>
              </w:rPr>
            </w:pPr>
            <w:r>
              <w:rPr>
                <w:rFonts w:ascii="宋体" w:hAnsi="宋体" w:cs="宋体" w:eastAsia="宋体" w:hint="default"/>
                <w:sz w:val="21"/>
                <w:szCs w:val="21"/>
              </w:rPr>
              <w:t>期末</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3" w:right="0"/>
              <w:jc w:val="left"/>
              <w:rPr>
                <w:rFonts w:ascii="宋体" w:hAnsi="宋体" w:cs="宋体" w:eastAsia="宋体" w:hint="default"/>
                <w:sz w:val="21"/>
                <w:szCs w:val="21"/>
              </w:rPr>
            </w:pPr>
            <w:r>
              <w:rPr>
                <w:rFonts w:ascii="宋体" w:hAnsi="宋体" w:cs="宋体" w:eastAsia="宋体" w:hint="default"/>
                <w:sz w:val="21"/>
                <w:szCs w:val="21"/>
              </w:rPr>
              <w:t>减值</w:t>
            </w:r>
          </w:p>
        </w:tc>
      </w:tr>
    </w:tbl>
    <w:p>
      <w:pPr>
        <w:spacing w:after="0" w:line="241"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102"/>
        <w:gridCol w:w="480"/>
        <w:gridCol w:w="759"/>
        <w:gridCol w:w="672"/>
        <w:gridCol w:w="787"/>
        <w:gridCol w:w="706"/>
        <w:gridCol w:w="711"/>
        <w:gridCol w:w="785"/>
        <w:gridCol w:w="775"/>
        <w:gridCol w:w="757"/>
        <w:gridCol w:w="768"/>
        <w:gridCol w:w="739"/>
      </w:tblGrid>
      <w:tr>
        <w:trPr>
          <w:trHeight w:val="164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31"/>
              <w:jc w:val="right"/>
              <w:rPr>
                <w:rFonts w:ascii="宋体" w:hAnsi="宋体" w:cs="宋体" w:eastAsia="宋体" w:hint="default"/>
                <w:sz w:val="21"/>
                <w:szCs w:val="21"/>
              </w:rPr>
            </w:pPr>
            <w:r>
              <w:rPr>
                <w:rFonts w:ascii="宋体" w:hAnsi="宋体" w:cs="宋体" w:eastAsia="宋体" w:hint="default"/>
                <w:sz w:val="21"/>
                <w:szCs w:val="21"/>
              </w:rPr>
              <w:t>单位</w:t>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27" w:right="0"/>
              <w:jc w:val="left"/>
              <w:rPr>
                <w:rFonts w:ascii="宋体" w:hAnsi="宋体" w:cs="宋体" w:eastAsia="宋体" w:hint="default"/>
                <w:sz w:val="21"/>
                <w:szCs w:val="21"/>
              </w:rPr>
            </w:pPr>
            <w:r>
              <w:rPr>
                <w:rFonts w:ascii="宋体" w:hAnsi="宋体" w:cs="宋体" w:eastAsia="宋体" w:hint="default"/>
                <w:w w:val="100"/>
                <w:sz w:val="21"/>
                <w:szCs w:val="21"/>
              </w:rPr>
              <w:t>初</w:t>
            </w:r>
          </w:p>
          <w:p>
            <w:pPr>
              <w:pStyle w:val="TableParagraph"/>
              <w:spacing w:line="240" w:lineRule="auto"/>
              <w:ind w:left="127" w:right="131"/>
              <w:jc w:val="left"/>
              <w:rPr>
                <w:rFonts w:ascii="宋体" w:hAnsi="宋体" w:cs="宋体" w:eastAsia="宋体" w:hint="default"/>
                <w:sz w:val="21"/>
                <w:szCs w:val="21"/>
              </w:rPr>
            </w:pPr>
            <w:r>
              <w:rPr>
                <w:rFonts w:ascii="宋体" w:hAnsi="宋体" w:cs="宋体" w:eastAsia="宋体" w:hint="default"/>
                <w:sz w:val="21"/>
                <w:szCs w:val="21"/>
              </w:rPr>
              <w:t>余</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72" w:lineRule="exact"/>
              <w:ind w:left="163" w:right="161"/>
              <w:jc w:val="left"/>
              <w:rPr>
                <w:rFonts w:ascii="宋体" w:hAnsi="宋体" w:cs="宋体" w:eastAsia="宋体" w:hint="default"/>
                <w:sz w:val="21"/>
                <w:szCs w:val="21"/>
              </w:rPr>
            </w:pPr>
            <w:r>
              <w:rPr>
                <w:rFonts w:ascii="宋体" w:hAnsi="宋体" w:cs="宋体" w:eastAsia="宋体" w:hint="default"/>
                <w:sz w:val="21"/>
                <w:szCs w:val="21"/>
              </w:rPr>
              <w:t>追加</w:t>
            </w:r>
            <w:r>
              <w:rPr>
                <w:rFonts w:ascii="宋体" w:hAnsi="宋体" w:cs="宋体" w:eastAsia="宋体" w:hint="default"/>
                <w:spacing w:val="-103"/>
                <w:sz w:val="21"/>
                <w:szCs w:val="21"/>
              </w:rPr>
              <w:t> </w:t>
            </w:r>
            <w:r>
              <w:rPr>
                <w:rFonts w:ascii="宋体" w:hAnsi="宋体" w:cs="宋体" w:eastAsia="宋体" w:hint="default"/>
                <w:sz w:val="21"/>
                <w:szCs w:val="21"/>
              </w:rPr>
              <w:t>投资</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72" w:lineRule="exact"/>
              <w:ind w:left="119" w:right="119"/>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103"/>
                <w:sz w:val="21"/>
                <w:szCs w:val="21"/>
              </w:rPr>
              <w:t> </w:t>
            </w:r>
            <w:r>
              <w:rPr>
                <w:rFonts w:ascii="宋体" w:hAnsi="宋体" w:cs="宋体" w:eastAsia="宋体" w:hint="default"/>
                <w:sz w:val="21"/>
                <w:szCs w:val="21"/>
              </w:rPr>
              <w:t>投资</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77" w:right="0"/>
              <w:jc w:val="both"/>
              <w:rPr>
                <w:rFonts w:ascii="宋体" w:hAnsi="宋体" w:cs="宋体" w:eastAsia="宋体" w:hint="default"/>
                <w:sz w:val="21"/>
                <w:szCs w:val="21"/>
              </w:rPr>
            </w:pPr>
            <w:r>
              <w:rPr>
                <w:rFonts w:ascii="宋体" w:hAnsi="宋体" w:cs="宋体" w:eastAsia="宋体" w:hint="default"/>
                <w:sz w:val="21"/>
                <w:szCs w:val="21"/>
              </w:rPr>
              <w:t>权益</w:t>
            </w:r>
          </w:p>
          <w:p>
            <w:pPr>
              <w:pStyle w:val="TableParagraph"/>
              <w:spacing w:line="237" w:lineRule="auto"/>
              <w:ind w:left="177" w:right="175"/>
              <w:jc w:val="both"/>
              <w:rPr>
                <w:rFonts w:ascii="宋体" w:hAnsi="宋体" w:cs="宋体" w:eastAsia="宋体" w:hint="default"/>
                <w:sz w:val="21"/>
                <w:szCs w:val="21"/>
              </w:rPr>
            </w:pPr>
            <w:r>
              <w:rPr>
                <w:rFonts w:ascii="宋体" w:hAnsi="宋体" w:cs="宋体" w:eastAsia="宋体" w:hint="default"/>
                <w:sz w:val="21"/>
                <w:szCs w:val="21"/>
              </w:rPr>
              <w:t>法下</w:t>
            </w:r>
            <w:r>
              <w:rPr>
                <w:rFonts w:ascii="宋体" w:hAnsi="宋体" w:cs="宋体" w:eastAsia="宋体" w:hint="default"/>
                <w:spacing w:val="-103"/>
                <w:sz w:val="21"/>
                <w:szCs w:val="21"/>
              </w:rPr>
              <w:t> </w:t>
            </w:r>
            <w:r>
              <w:rPr>
                <w:rFonts w:ascii="宋体" w:hAnsi="宋体" w:cs="宋体" w:eastAsia="宋体" w:hint="default"/>
                <w:sz w:val="21"/>
                <w:szCs w:val="21"/>
              </w:rPr>
              <w:t>确认</w:t>
            </w:r>
            <w:r>
              <w:rPr>
                <w:rFonts w:ascii="宋体" w:hAnsi="宋体" w:cs="宋体" w:eastAsia="宋体" w:hint="default"/>
                <w:spacing w:val="-103"/>
                <w:sz w:val="21"/>
                <w:szCs w:val="21"/>
              </w:rPr>
              <w:t> </w:t>
            </w:r>
            <w:r>
              <w:rPr>
                <w:rFonts w:ascii="宋体" w:hAnsi="宋体" w:cs="宋体" w:eastAsia="宋体" w:hint="default"/>
                <w:sz w:val="21"/>
                <w:szCs w:val="21"/>
              </w:rPr>
              <w:t>的投</w:t>
            </w:r>
            <w:r>
              <w:rPr>
                <w:rFonts w:ascii="宋体" w:hAnsi="宋体" w:cs="宋体" w:eastAsia="宋体" w:hint="default"/>
                <w:spacing w:val="-103"/>
                <w:sz w:val="21"/>
                <w:szCs w:val="21"/>
              </w:rPr>
              <w:t> </w:t>
            </w:r>
            <w:r>
              <w:rPr>
                <w:rFonts w:ascii="宋体" w:hAnsi="宋体" w:cs="宋体" w:eastAsia="宋体" w:hint="default"/>
                <w:sz w:val="21"/>
                <w:szCs w:val="21"/>
              </w:rPr>
              <w:t>资损</w:t>
            </w:r>
            <w:r>
              <w:rPr>
                <w:rFonts w:ascii="宋体" w:hAnsi="宋体" w:cs="宋体" w:eastAsia="宋体" w:hint="default"/>
                <w:spacing w:val="-103"/>
                <w:sz w:val="21"/>
                <w:szCs w:val="21"/>
              </w:rPr>
              <w:t> </w:t>
            </w:r>
            <w:r>
              <w:rPr>
                <w:rFonts w:ascii="宋体" w:hAnsi="宋体" w:cs="宋体" w:eastAsia="宋体" w:hint="default"/>
                <w:sz w:val="21"/>
                <w:szCs w:val="21"/>
              </w:rPr>
              <w:t>益</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37" w:lineRule="auto"/>
              <w:ind w:left="136" w:right="134"/>
              <w:jc w:val="both"/>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综合</w:t>
            </w:r>
            <w:r>
              <w:rPr>
                <w:rFonts w:ascii="宋体" w:hAnsi="宋体" w:cs="宋体" w:eastAsia="宋体" w:hint="default"/>
                <w:spacing w:val="-103"/>
                <w:sz w:val="21"/>
                <w:szCs w:val="21"/>
              </w:rPr>
              <w:t> </w:t>
            </w:r>
            <w:r>
              <w:rPr>
                <w:rFonts w:ascii="宋体" w:hAnsi="宋体" w:cs="宋体" w:eastAsia="宋体" w:hint="default"/>
                <w:sz w:val="21"/>
                <w:szCs w:val="21"/>
              </w:rPr>
              <w:t>收益</w:t>
            </w:r>
            <w:r>
              <w:rPr>
                <w:rFonts w:ascii="宋体" w:hAnsi="宋体" w:cs="宋体" w:eastAsia="宋体" w:hint="default"/>
                <w:spacing w:val="-103"/>
                <w:sz w:val="21"/>
                <w:szCs w:val="21"/>
              </w:rPr>
              <w:t> </w:t>
            </w:r>
            <w:r>
              <w:rPr>
                <w:rFonts w:ascii="宋体" w:hAnsi="宋体" w:cs="宋体" w:eastAsia="宋体" w:hint="default"/>
                <w:sz w:val="21"/>
                <w:szCs w:val="21"/>
              </w:rPr>
              <w:t>调整</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8"/>
                <w:szCs w:val="28"/>
              </w:rPr>
            </w:pPr>
          </w:p>
          <w:p>
            <w:pPr>
              <w:pStyle w:val="TableParagraph"/>
              <w:spacing w:line="237" w:lineRule="auto"/>
              <w:ind w:left="139" w:right="137"/>
              <w:jc w:val="both"/>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权益</w:t>
            </w:r>
            <w:r>
              <w:rPr>
                <w:rFonts w:ascii="宋体" w:hAnsi="宋体" w:cs="宋体" w:eastAsia="宋体" w:hint="default"/>
                <w:spacing w:val="-103"/>
                <w:sz w:val="21"/>
                <w:szCs w:val="21"/>
              </w:rPr>
              <w:t> </w:t>
            </w:r>
            <w:r>
              <w:rPr>
                <w:rFonts w:ascii="宋体" w:hAnsi="宋体" w:cs="宋体" w:eastAsia="宋体" w:hint="default"/>
                <w:sz w:val="21"/>
                <w:szCs w:val="21"/>
              </w:rPr>
              <w:t>变动</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77" w:right="0"/>
              <w:jc w:val="both"/>
              <w:rPr>
                <w:rFonts w:ascii="宋体" w:hAnsi="宋体" w:cs="宋体" w:eastAsia="宋体" w:hint="default"/>
                <w:sz w:val="21"/>
                <w:szCs w:val="21"/>
              </w:rPr>
            </w:pPr>
            <w:r>
              <w:rPr>
                <w:rFonts w:ascii="宋体" w:hAnsi="宋体" w:cs="宋体" w:eastAsia="宋体" w:hint="default"/>
                <w:sz w:val="21"/>
                <w:szCs w:val="21"/>
              </w:rPr>
              <w:t>宣告</w:t>
            </w:r>
          </w:p>
          <w:p>
            <w:pPr>
              <w:pStyle w:val="TableParagraph"/>
              <w:spacing w:line="237" w:lineRule="auto"/>
              <w:ind w:left="177" w:right="173"/>
              <w:jc w:val="both"/>
              <w:rPr>
                <w:rFonts w:ascii="宋体" w:hAnsi="宋体" w:cs="宋体" w:eastAsia="宋体" w:hint="default"/>
                <w:sz w:val="21"/>
                <w:szCs w:val="21"/>
              </w:rPr>
            </w:pPr>
            <w:r>
              <w:rPr>
                <w:rFonts w:ascii="宋体" w:hAnsi="宋体" w:cs="宋体" w:eastAsia="宋体" w:hint="default"/>
                <w:sz w:val="21"/>
                <w:szCs w:val="21"/>
              </w:rPr>
              <w:t>发放</w:t>
            </w:r>
            <w:r>
              <w:rPr>
                <w:rFonts w:ascii="宋体" w:hAnsi="宋体" w:cs="宋体" w:eastAsia="宋体" w:hint="default"/>
                <w:spacing w:val="-103"/>
                <w:sz w:val="21"/>
                <w:szCs w:val="21"/>
              </w:rPr>
              <w:t> </w:t>
            </w:r>
            <w:r>
              <w:rPr>
                <w:rFonts w:ascii="宋体" w:hAnsi="宋体" w:cs="宋体" w:eastAsia="宋体" w:hint="default"/>
                <w:sz w:val="21"/>
                <w:szCs w:val="21"/>
              </w:rPr>
              <w:t>现金</w:t>
            </w:r>
            <w:r>
              <w:rPr>
                <w:rFonts w:ascii="宋体" w:hAnsi="宋体" w:cs="宋体" w:eastAsia="宋体" w:hint="default"/>
                <w:spacing w:val="-103"/>
                <w:sz w:val="21"/>
                <w:szCs w:val="21"/>
              </w:rPr>
              <w:t> </w:t>
            </w:r>
            <w:r>
              <w:rPr>
                <w:rFonts w:ascii="宋体" w:hAnsi="宋体" w:cs="宋体" w:eastAsia="宋体" w:hint="default"/>
                <w:sz w:val="21"/>
                <w:szCs w:val="21"/>
              </w:rPr>
              <w:t>股利</w:t>
            </w:r>
            <w:r>
              <w:rPr>
                <w:rFonts w:ascii="宋体" w:hAnsi="宋体" w:cs="宋体" w:eastAsia="宋体" w:hint="default"/>
                <w:spacing w:val="-103"/>
                <w:sz w:val="21"/>
                <w:szCs w:val="21"/>
              </w:rPr>
              <w:t> </w:t>
            </w:r>
            <w:r>
              <w:rPr>
                <w:rFonts w:ascii="宋体" w:hAnsi="宋体" w:cs="宋体" w:eastAsia="宋体" w:hint="default"/>
                <w:sz w:val="21"/>
                <w:szCs w:val="21"/>
              </w:rPr>
              <w:t>或利</w:t>
            </w:r>
            <w:r>
              <w:rPr>
                <w:rFonts w:ascii="宋体" w:hAnsi="宋体" w:cs="宋体" w:eastAsia="宋体" w:hint="default"/>
                <w:spacing w:val="-103"/>
                <w:sz w:val="21"/>
                <w:szCs w:val="21"/>
              </w:rPr>
              <w:t> </w:t>
            </w:r>
            <w:r>
              <w:rPr>
                <w:rFonts w:ascii="宋体" w:hAnsi="宋体" w:cs="宋体" w:eastAsia="宋体" w:hint="default"/>
                <w:sz w:val="21"/>
                <w:szCs w:val="21"/>
              </w:rPr>
              <w:t>润</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8"/>
                <w:szCs w:val="28"/>
              </w:rPr>
            </w:pPr>
          </w:p>
          <w:p>
            <w:pPr>
              <w:pStyle w:val="TableParagraph"/>
              <w:spacing w:line="237" w:lineRule="auto"/>
              <w:ind w:left="170" w:right="170"/>
              <w:jc w:val="both"/>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pacing w:val="-103"/>
                <w:sz w:val="21"/>
                <w:szCs w:val="21"/>
              </w:rPr>
              <w:t> </w:t>
            </w: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16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67"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53" w:right="0"/>
              <w:jc w:val="left"/>
              <w:rPr>
                <w:rFonts w:ascii="宋体" w:hAnsi="宋体" w:cs="宋体" w:eastAsia="宋体" w:hint="default"/>
                <w:sz w:val="21"/>
                <w:szCs w:val="21"/>
              </w:rPr>
            </w:pPr>
            <w:r>
              <w:rPr>
                <w:rFonts w:ascii="宋体" w:hAnsi="宋体" w:cs="宋体" w:eastAsia="宋体" w:hint="default"/>
                <w:sz w:val="21"/>
                <w:szCs w:val="21"/>
              </w:rPr>
              <w:t>准备</w:t>
            </w:r>
          </w:p>
          <w:p>
            <w:pPr>
              <w:pStyle w:val="TableParagraph"/>
              <w:spacing w:line="240" w:lineRule="auto"/>
              <w:ind w:left="153" w:right="151"/>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r>
      <w:tr>
        <w:trPr>
          <w:trHeight w:val="283" w:hRule="exact"/>
        </w:trPr>
        <w:tc>
          <w:tcPr>
            <w:tcW w:w="904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一、合营企业</w:t>
            </w: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480"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904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二、联营企业</w:t>
            </w:r>
          </w:p>
        </w:tc>
      </w:tr>
      <w:tr>
        <w:trPr>
          <w:trHeight w:val="828"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北京安铁</w:t>
            </w:r>
          </w:p>
          <w:p>
            <w:pPr>
              <w:pStyle w:val="TableParagraph"/>
              <w:spacing w:line="272" w:lineRule="exact" w:before="26"/>
              <w:ind w:left="103" w:right="144"/>
              <w:jc w:val="left"/>
              <w:rPr>
                <w:rFonts w:ascii="宋体" w:hAnsi="宋体" w:cs="宋体" w:eastAsia="宋体" w:hint="default"/>
                <w:sz w:val="21"/>
                <w:szCs w:val="21"/>
              </w:rPr>
            </w:pPr>
            <w:r>
              <w:rPr>
                <w:rFonts w:ascii="宋体" w:hAnsi="宋体" w:cs="宋体" w:eastAsia="宋体" w:hint="default"/>
                <w:sz w:val="21"/>
                <w:szCs w:val="21"/>
              </w:rPr>
              <w:t>供应链有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480"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15,000</w:t>
            </w:r>
          </w:p>
          <w:p>
            <w:pPr>
              <w:pStyle w:val="TableParagraph"/>
              <w:spacing w:line="233" w:lineRule="exact"/>
              <w:ind w:right="101"/>
              <w:jc w:val="right"/>
              <w:rPr>
                <w:rFonts w:ascii="宋体" w:hAnsi="宋体" w:cs="宋体" w:eastAsia="宋体" w:hint="default"/>
                <w:sz w:val="18"/>
                <w:szCs w:val="18"/>
              </w:rPr>
            </w:pPr>
            <w:r>
              <w:rPr>
                <w:rFonts w:ascii="宋体"/>
                <w:spacing w:val="-1"/>
                <w:sz w:val="18"/>
              </w:rPr>
              <w:t>,000.0</w:t>
            </w:r>
          </w:p>
          <w:p>
            <w:pPr>
              <w:pStyle w:val="TableParagraph"/>
              <w:spacing w:line="234" w:lineRule="exact"/>
              <w:ind w:right="102"/>
              <w:jc w:val="right"/>
              <w:rPr>
                <w:rFonts w:ascii="宋体" w:hAnsi="宋体" w:cs="宋体" w:eastAsia="宋体" w:hint="default"/>
                <w:sz w:val="18"/>
                <w:szCs w:val="18"/>
              </w:rPr>
            </w:pPr>
            <w:r>
              <w:rPr>
                <w:rFonts w:ascii="宋体"/>
                <w:sz w:val="18"/>
              </w:rPr>
              <w:t>0</w:t>
            </w: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34" w:right="0"/>
              <w:jc w:val="left"/>
              <w:rPr>
                <w:rFonts w:ascii="宋体" w:hAnsi="宋体" w:cs="宋体" w:eastAsia="宋体" w:hint="default"/>
                <w:sz w:val="18"/>
                <w:szCs w:val="18"/>
              </w:rPr>
            </w:pPr>
            <w:r>
              <w:rPr>
                <w:rFonts w:ascii="宋体"/>
                <w:sz w:val="18"/>
              </w:rPr>
              <w:t>1,061,</w:t>
            </w:r>
          </w:p>
          <w:p>
            <w:pPr>
              <w:pStyle w:val="TableParagraph"/>
              <w:spacing w:line="234" w:lineRule="exact"/>
              <w:ind w:left="134" w:right="0"/>
              <w:jc w:val="left"/>
              <w:rPr>
                <w:rFonts w:ascii="宋体" w:hAnsi="宋体" w:cs="宋体" w:eastAsia="宋体" w:hint="default"/>
                <w:sz w:val="18"/>
                <w:szCs w:val="18"/>
              </w:rPr>
            </w:pPr>
            <w:r>
              <w:rPr>
                <w:rFonts w:ascii="宋体"/>
                <w:sz w:val="18"/>
              </w:rPr>
              <w:t>933.53</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pacing w:val="-1"/>
                <w:sz w:val="18"/>
              </w:rPr>
              <w:t>16,061</w:t>
            </w:r>
          </w:p>
          <w:p>
            <w:pPr>
              <w:pStyle w:val="TableParagraph"/>
              <w:spacing w:line="233" w:lineRule="exact"/>
              <w:ind w:right="100"/>
              <w:jc w:val="right"/>
              <w:rPr>
                <w:rFonts w:ascii="宋体" w:hAnsi="宋体" w:cs="宋体" w:eastAsia="宋体" w:hint="default"/>
                <w:sz w:val="18"/>
                <w:szCs w:val="18"/>
              </w:rPr>
            </w:pPr>
            <w:r>
              <w:rPr>
                <w:rFonts w:ascii="宋体"/>
                <w:spacing w:val="-1"/>
                <w:sz w:val="18"/>
              </w:rPr>
              <w:t>,933.5</w:t>
            </w:r>
          </w:p>
          <w:p>
            <w:pPr>
              <w:pStyle w:val="TableParagraph"/>
              <w:spacing w:line="234" w:lineRule="exact"/>
              <w:ind w:right="102"/>
              <w:jc w:val="right"/>
              <w:rPr>
                <w:rFonts w:ascii="宋体" w:hAnsi="宋体" w:cs="宋体" w:eastAsia="宋体" w:hint="default"/>
                <w:sz w:val="18"/>
                <w:szCs w:val="18"/>
              </w:rPr>
            </w:pPr>
            <w:r>
              <w:rPr>
                <w:rFonts w:ascii="宋体"/>
                <w:sz w:val="18"/>
              </w:rPr>
              <w:t>3</w:t>
            </w: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480"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15,000</w:t>
            </w:r>
          </w:p>
          <w:p>
            <w:pPr>
              <w:pStyle w:val="TableParagraph"/>
              <w:spacing w:line="234" w:lineRule="exact"/>
              <w:ind w:right="101"/>
              <w:jc w:val="right"/>
              <w:rPr>
                <w:rFonts w:ascii="宋体" w:hAnsi="宋体" w:cs="宋体" w:eastAsia="宋体" w:hint="default"/>
                <w:sz w:val="18"/>
                <w:szCs w:val="18"/>
              </w:rPr>
            </w:pPr>
            <w:r>
              <w:rPr>
                <w:rFonts w:ascii="宋体"/>
                <w:spacing w:val="-1"/>
                <w:sz w:val="18"/>
              </w:rPr>
              <w:t>,000.0</w:t>
            </w: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4" w:right="0"/>
              <w:jc w:val="left"/>
              <w:rPr>
                <w:rFonts w:ascii="宋体" w:hAnsi="宋体" w:cs="宋体" w:eastAsia="宋体" w:hint="default"/>
                <w:sz w:val="18"/>
                <w:szCs w:val="18"/>
              </w:rPr>
            </w:pPr>
            <w:r>
              <w:rPr>
                <w:rFonts w:ascii="宋体"/>
                <w:sz w:val="18"/>
              </w:rPr>
              <w:t>1,061,</w:t>
            </w:r>
          </w:p>
          <w:p>
            <w:pPr>
              <w:pStyle w:val="TableParagraph"/>
              <w:spacing w:line="234" w:lineRule="exact"/>
              <w:ind w:left="134" w:right="0"/>
              <w:jc w:val="left"/>
              <w:rPr>
                <w:rFonts w:ascii="宋体" w:hAnsi="宋体" w:cs="宋体" w:eastAsia="宋体" w:hint="default"/>
                <w:sz w:val="18"/>
                <w:szCs w:val="18"/>
              </w:rPr>
            </w:pPr>
            <w:r>
              <w:rPr>
                <w:rFonts w:ascii="宋体"/>
                <w:sz w:val="18"/>
              </w:rPr>
              <w:t>933.53</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16,061</w:t>
            </w:r>
          </w:p>
          <w:p>
            <w:pPr>
              <w:pStyle w:val="TableParagraph"/>
              <w:spacing w:line="234" w:lineRule="exact"/>
              <w:ind w:left="100" w:right="0"/>
              <w:jc w:val="left"/>
              <w:rPr>
                <w:rFonts w:ascii="宋体" w:hAnsi="宋体" w:cs="宋体" w:eastAsia="宋体" w:hint="default"/>
                <w:sz w:val="18"/>
                <w:szCs w:val="18"/>
              </w:rPr>
            </w:pPr>
            <w:r>
              <w:rPr>
                <w:rFonts w:ascii="宋体"/>
                <w:sz w:val="18"/>
              </w:rPr>
              <w:t>,933.5</w:t>
            </w:r>
          </w:p>
          <w:p>
            <w:pPr>
              <w:pStyle w:val="TableParagraph"/>
              <w:spacing w:line="240" w:lineRule="auto"/>
              <w:ind w:left="100" w:right="0"/>
              <w:jc w:val="left"/>
              <w:rPr>
                <w:rFonts w:ascii="宋体" w:hAnsi="宋体" w:cs="宋体" w:eastAsia="宋体" w:hint="default"/>
                <w:sz w:val="18"/>
                <w:szCs w:val="18"/>
              </w:rPr>
            </w:pPr>
            <w:r>
              <w:rPr>
                <w:rFonts w:ascii="宋体"/>
                <w:sz w:val="18"/>
              </w:rPr>
              <w:t>3</w:t>
            </w: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331"/>
              <w:jc w:val="right"/>
              <w:rPr>
                <w:rFonts w:ascii="宋体" w:hAnsi="宋体" w:cs="宋体" w:eastAsia="宋体" w:hint="default"/>
                <w:sz w:val="21"/>
                <w:szCs w:val="21"/>
              </w:rPr>
            </w:pPr>
            <w:r>
              <w:rPr>
                <w:rFonts w:ascii="宋体" w:hAnsi="宋体" w:cs="宋体" w:eastAsia="宋体" w:hint="default"/>
                <w:sz w:val="21"/>
                <w:szCs w:val="21"/>
              </w:rPr>
              <w:t>合计</w:t>
            </w:r>
          </w:p>
        </w:tc>
        <w:tc>
          <w:tcPr>
            <w:tcW w:w="480"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1"/>
              <w:jc w:val="right"/>
              <w:rPr>
                <w:rFonts w:ascii="宋体" w:hAnsi="宋体" w:cs="宋体" w:eastAsia="宋体" w:hint="default"/>
                <w:sz w:val="18"/>
                <w:szCs w:val="18"/>
              </w:rPr>
            </w:pPr>
            <w:r>
              <w:rPr>
                <w:rFonts w:ascii="宋体"/>
                <w:spacing w:val="-1"/>
                <w:sz w:val="18"/>
              </w:rPr>
              <w:t>15,000</w:t>
            </w:r>
          </w:p>
          <w:p>
            <w:pPr>
              <w:pStyle w:val="TableParagraph"/>
              <w:spacing w:line="234" w:lineRule="exact"/>
              <w:ind w:right="101"/>
              <w:jc w:val="right"/>
              <w:rPr>
                <w:rFonts w:ascii="宋体" w:hAnsi="宋体" w:cs="宋体" w:eastAsia="宋体" w:hint="default"/>
                <w:sz w:val="18"/>
                <w:szCs w:val="18"/>
              </w:rPr>
            </w:pPr>
            <w:r>
              <w:rPr>
                <w:rFonts w:ascii="宋体"/>
                <w:spacing w:val="-1"/>
                <w:sz w:val="18"/>
              </w:rPr>
              <w:t>,000.0</w:t>
            </w: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34" w:right="0"/>
              <w:jc w:val="left"/>
              <w:rPr>
                <w:rFonts w:ascii="宋体" w:hAnsi="宋体" w:cs="宋体" w:eastAsia="宋体" w:hint="default"/>
                <w:sz w:val="18"/>
                <w:szCs w:val="18"/>
              </w:rPr>
            </w:pPr>
            <w:r>
              <w:rPr>
                <w:rFonts w:ascii="宋体"/>
                <w:sz w:val="18"/>
              </w:rPr>
              <w:t>1,061,</w:t>
            </w:r>
          </w:p>
          <w:p>
            <w:pPr>
              <w:pStyle w:val="TableParagraph"/>
              <w:spacing w:line="234" w:lineRule="exact"/>
              <w:ind w:left="134" w:right="0"/>
              <w:jc w:val="left"/>
              <w:rPr>
                <w:rFonts w:ascii="宋体" w:hAnsi="宋体" w:cs="宋体" w:eastAsia="宋体" w:hint="default"/>
                <w:sz w:val="18"/>
                <w:szCs w:val="18"/>
              </w:rPr>
            </w:pPr>
            <w:r>
              <w:rPr>
                <w:rFonts w:ascii="宋体"/>
                <w:sz w:val="18"/>
              </w:rPr>
              <w:t>933.53</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sz w:val="18"/>
              </w:rPr>
              <w:t>16,061</w:t>
            </w:r>
          </w:p>
          <w:p>
            <w:pPr>
              <w:pStyle w:val="TableParagraph"/>
              <w:spacing w:line="234" w:lineRule="exact"/>
              <w:ind w:left="100" w:right="0"/>
              <w:jc w:val="left"/>
              <w:rPr>
                <w:rFonts w:ascii="宋体" w:hAnsi="宋体" w:cs="宋体" w:eastAsia="宋体" w:hint="default"/>
                <w:sz w:val="18"/>
                <w:szCs w:val="18"/>
              </w:rPr>
            </w:pPr>
            <w:r>
              <w:rPr>
                <w:rFonts w:ascii="宋体"/>
                <w:sz w:val="18"/>
              </w:rPr>
              <w:t>,933.5</w:t>
            </w:r>
          </w:p>
          <w:p>
            <w:pPr>
              <w:pStyle w:val="TableParagraph"/>
              <w:spacing w:line="240" w:lineRule="auto"/>
              <w:ind w:left="100" w:right="0"/>
              <w:jc w:val="left"/>
              <w:rPr>
                <w:rFonts w:ascii="宋体" w:hAnsi="宋体" w:cs="宋体" w:eastAsia="宋体" w:hint="default"/>
                <w:sz w:val="18"/>
                <w:szCs w:val="18"/>
              </w:rPr>
            </w:pPr>
            <w:r>
              <w:rPr>
                <w:rFonts w:ascii="宋体"/>
                <w:sz w:val="18"/>
              </w:rPr>
              <w:t>3</w:t>
            </w:r>
          </w:p>
        </w:tc>
        <w:tc>
          <w:tcPr>
            <w:tcW w:w="73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5"/>
          <w:szCs w:val="15"/>
        </w:rPr>
      </w:pPr>
    </w:p>
    <w:p>
      <w:pPr>
        <w:pStyle w:val="BodyText"/>
        <w:spacing w:line="272" w:lineRule="exact" w:before="64"/>
        <w:ind w:right="7998"/>
        <w:jc w:val="left"/>
      </w:pPr>
      <w:r>
        <w:rPr/>
        <w:t>其他说明：</w:t>
      </w:r>
      <w:r>
        <w:rPr>
          <w:spacing w:val="-103"/>
        </w:rPr>
        <w:t> </w:t>
      </w:r>
      <w:r>
        <w:rPr>
          <w:spacing w:val="-103"/>
        </w:rPr>
      </w:r>
      <w:r>
        <w:rPr/>
        <w:t>不适用</w:t>
      </w:r>
    </w:p>
    <w:p>
      <w:pPr>
        <w:spacing w:line="240" w:lineRule="auto" w:before="7"/>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80" w:right="1040"/>
        </w:sectPr>
      </w:pPr>
    </w:p>
    <w:p>
      <w:pPr>
        <w:pStyle w:val="Heading2"/>
        <w:spacing w:line="240" w:lineRule="auto" w:before="36"/>
        <w:ind w:right="-19"/>
        <w:jc w:val="left"/>
        <w:rPr>
          <w:b w:val="0"/>
          <w:bCs w:val="0"/>
        </w:rPr>
      </w:pPr>
      <w:r>
        <w:rPr>
          <w:rFonts w:ascii="宋体" w:hAnsi="宋体" w:cs="宋体" w:eastAsia="宋体" w:hint="default"/>
        </w:rPr>
        <w:t>4</w:t>
      </w:r>
      <w:r>
        <w:rPr/>
        <w:t>、</w:t>
      </w:r>
      <w:r>
        <w:rPr>
          <w:spacing w:val="2"/>
        </w:rPr>
        <w:t> </w:t>
      </w:r>
      <w:r>
        <w:rPr/>
        <w:t>营业收入和营业成本：</w:t>
      </w:r>
      <w:r>
        <w:rPr>
          <w:b w:val="0"/>
          <w:bCs w:val="0"/>
        </w:rPr>
      </w:r>
    </w:p>
    <w:p>
      <w:pPr>
        <w:pStyle w:val="BodyText"/>
        <w:spacing w:line="240" w:lineRule="auto" w:before="56"/>
        <w:ind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753" w:space="3769"/>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13"/>
        <w:gridCol w:w="1637"/>
        <w:gridCol w:w="1637"/>
        <w:gridCol w:w="1486"/>
        <w:gridCol w:w="1476"/>
      </w:tblGrid>
      <w:tr>
        <w:trPr>
          <w:trHeight w:val="283" w:hRule="exact"/>
        </w:trPr>
        <w:tc>
          <w:tcPr>
            <w:tcW w:w="2813"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29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5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2813" w:type="dxa"/>
            <w:vMerge/>
            <w:tcBorders>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收入</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1" w:hRule="exact"/>
        </w:trPr>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18,207,547.16</w:t>
            </w:r>
          </w:p>
        </w:tc>
        <w:tc>
          <w:tcPr>
            <w:tcW w:w="163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 w:right="0"/>
              <w:jc w:val="center"/>
              <w:rPr>
                <w:rFonts w:ascii="宋体" w:hAnsi="宋体" w:cs="宋体" w:eastAsia="宋体" w:hint="default"/>
                <w:sz w:val="18"/>
                <w:szCs w:val="18"/>
              </w:rPr>
            </w:pPr>
            <w:r>
              <w:rPr>
                <w:rFonts w:ascii="宋体"/>
                <w:sz w:val="18"/>
              </w:rPr>
              <w:t>153,578,626.07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168,458,068.73</w:t>
            </w:r>
          </w:p>
        </w:tc>
      </w:tr>
      <w:tr>
        <w:trPr>
          <w:trHeight w:val="283" w:hRule="exact"/>
        </w:trPr>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18,207,547.16</w:t>
            </w:r>
          </w:p>
        </w:tc>
        <w:tc>
          <w:tcPr>
            <w:tcW w:w="163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 w:right="0"/>
              <w:jc w:val="center"/>
              <w:rPr>
                <w:rFonts w:ascii="宋体" w:hAnsi="宋体" w:cs="宋体" w:eastAsia="宋体" w:hint="default"/>
                <w:sz w:val="18"/>
                <w:szCs w:val="18"/>
              </w:rPr>
            </w:pPr>
            <w:r>
              <w:rPr>
                <w:rFonts w:ascii="宋体"/>
                <w:sz w:val="18"/>
              </w:rPr>
              <w:t>153,578,626.07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168,458,068.73</w:t>
            </w:r>
          </w:p>
        </w:tc>
      </w:tr>
    </w:tbl>
    <w:p>
      <w:pPr>
        <w:spacing w:after="0" w:line="205" w:lineRule="exact"/>
        <w:jc w:val="center"/>
        <w:rPr>
          <w:rFonts w:ascii="宋体" w:hAnsi="宋体" w:cs="宋体" w:eastAsia="宋体" w:hint="default"/>
          <w:sz w:val="18"/>
          <w:szCs w:val="18"/>
        </w:rPr>
        <w:sectPr>
          <w:type w:val="continuous"/>
          <w:pgSz w:w="11910" w:h="16840"/>
          <w:pgMar w:top="1120" w:bottom="1380" w:left="1580" w:right="1040"/>
        </w:sectPr>
      </w:pPr>
    </w:p>
    <w:p>
      <w:pPr>
        <w:pStyle w:val="BodyText"/>
        <w:spacing w:line="290" w:lineRule="auto" w:before="26"/>
        <w:ind w:right="511"/>
        <w:jc w:val="left"/>
      </w:pPr>
      <w:r>
        <w:rPr>
          <w:spacing w:val="-1"/>
        </w:rPr>
        <w:t>其他说明：</w:t>
      </w:r>
      <w:r>
        <w:rPr>
          <w:spacing w:val="-97"/>
        </w:rPr>
        <w:t> </w:t>
      </w:r>
      <w:r>
        <w:rPr>
          <w:spacing w:val="-97"/>
        </w:rPr>
      </w:r>
      <w:r>
        <w:rPr/>
        <w:t>不适用</w:t>
      </w:r>
    </w:p>
    <w:p>
      <w:pPr>
        <w:pStyle w:val="Heading2"/>
        <w:spacing w:line="240" w:lineRule="auto" w:before="14"/>
        <w:ind w:right="-18"/>
        <w:jc w:val="left"/>
        <w:rPr>
          <w:b w:val="0"/>
          <w:bCs w:val="0"/>
        </w:rPr>
      </w:pPr>
      <w:r>
        <w:rPr>
          <w:rFonts w:ascii="宋体" w:hAnsi="宋体" w:cs="宋体" w:eastAsia="宋体" w:hint="default"/>
        </w:rPr>
        <w:t>5</w:t>
      </w:r>
      <w:r>
        <w:rPr/>
        <w:t>、</w:t>
      </w:r>
      <w:r>
        <w:rPr>
          <w:spacing w:val="3"/>
        </w:rPr>
        <w:t> </w:t>
      </w:r>
      <w:r>
        <w:rPr/>
        <w:t>投资收益</w:t>
      </w:r>
      <w:r>
        <w:rPr>
          <w:b w:val="0"/>
          <w:bCs w:val="0"/>
        </w:rPr>
      </w:r>
    </w:p>
    <w:p>
      <w:pPr>
        <w:pStyle w:val="BodyText"/>
        <w:spacing w:line="240" w:lineRule="auto" w:before="56"/>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pStyle w:val="BodyText"/>
        <w:tabs>
          <w:tab w:pos="1269"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52"/>
        <w:gridCol w:w="2496"/>
        <w:gridCol w:w="2501"/>
      </w:tblGrid>
      <w:tr>
        <w:trPr>
          <w:trHeight w:val="284"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1,061,933.53</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金融资产在持有期间的投资收益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处置以公允价值计量且其变动计入当期损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益的金融资产取得的投资收益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丧失控制权后，剩余股权按公允价值重新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计量产生的利得</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1,061,933.53</w:t>
            </w:r>
          </w:p>
        </w:tc>
        <w:tc>
          <w:tcPr>
            <w:tcW w:w="250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75"/>
        <w:ind w:right="2497"/>
        <w:jc w:val="left"/>
        <w:rPr>
          <w:b w:val="0"/>
          <w:bCs w:val="0"/>
        </w:rPr>
      </w:pPr>
      <w:r>
        <w:rPr>
          <w:rFonts w:ascii="宋体" w:hAnsi="宋体" w:cs="宋体" w:eastAsia="宋体" w:hint="default"/>
        </w:rPr>
        <w:t>6</w:t>
      </w:r>
      <w:r>
        <w:rPr/>
        <w:t>、</w:t>
      </w:r>
      <w:r>
        <w:rPr>
          <w:spacing w:val="2"/>
        </w:rPr>
        <w:t> </w:t>
      </w:r>
      <w:r>
        <w:rPr/>
        <w:t>其他</w:t>
      </w:r>
      <w:r>
        <w:rPr>
          <w:b w:val="0"/>
          <w:bCs w:val="0"/>
        </w:rPr>
      </w:r>
    </w:p>
    <w:p>
      <w:pPr>
        <w:pStyle w:val="BodyText"/>
        <w:spacing w:line="240" w:lineRule="auto" w:before="56"/>
        <w:ind w:right="2497"/>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1040"/>
        </w:sectPr>
      </w:pPr>
    </w:p>
    <w:p>
      <w:pPr>
        <w:pStyle w:val="Heading2"/>
        <w:tabs>
          <w:tab w:pos="1057" w:val="left" w:leader="none"/>
        </w:tabs>
        <w:spacing w:line="240" w:lineRule="auto" w:before="36"/>
        <w:ind w:right="-19"/>
        <w:jc w:val="left"/>
        <w:rPr>
          <w:b w:val="0"/>
          <w:bCs w:val="0"/>
        </w:rPr>
      </w:pPr>
      <w:r>
        <w:rPr/>
        <w:t>十八、</w:t>
        <w:tab/>
        <w:t>补充资料</w:t>
      </w:r>
      <w:r>
        <w:rPr>
          <w:b w:val="0"/>
          <w:bCs w:val="0"/>
        </w:rPr>
      </w:r>
    </w:p>
    <w:p>
      <w:pPr>
        <w:pStyle w:val="Heading2"/>
        <w:spacing w:line="240" w:lineRule="auto" w:before="58"/>
        <w:ind w:right="-19"/>
        <w:jc w:val="left"/>
        <w:rPr>
          <w:b w:val="0"/>
          <w:bCs w:val="0"/>
        </w:rPr>
      </w:pPr>
      <w:r>
        <w:rPr>
          <w:rFonts w:ascii="宋体" w:hAnsi="宋体" w:cs="宋体" w:eastAsia="宋体" w:hint="default"/>
        </w:rPr>
        <w:t>1</w:t>
      </w:r>
      <w:r>
        <w:rPr/>
        <w:t>、 当期非经常性损益明细表</w:t>
      </w:r>
      <w:r>
        <w:rPr>
          <w:b w:val="0"/>
          <w:bCs w:val="0"/>
        </w:rPr>
      </w:r>
    </w:p>
    <w:p>
      <w:pPr>
        <w:pStyle w:val="BodyText"/>
        <w:spacing w:line="240" w:lineRule="auto" w:before="56"/>
        <w:ind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962" w:space="3560"/>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59"/>
        <w:gridCol w:w="2489"/>
        <w:gridCol w:w="2501"/>
      </w:tblGrid>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-39,383,950.57</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越权审批或无正式批准文件的税收返还、</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减免</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计入当期损益的政府补助（与企业业务密</w:t>
            </w:r>
          </w:p>
          <w:p>
            <w:pPr>
              <w:pStyle w:val="TableParagraph"/>
              <w:spacing w:line="240" w:lineRule="auto"/>
              <w:ind w:left="103" w:right="158"/>
              <w:jc w:val="left"/>
              <w:rPr>
                <w:rFonts w:ascii="宋体" w:hAnsi="宋体" w:cs="宋体" w:eastAsia="宋体" w:hint="default"/>
                <w:sz w:val="21"/>
                <w:szCs w:val="21"/>
              </w:rPr>
            </w:pPr>
            <w:r>
              <w:rPr>
                <w:rFonts w:ascii="宋体" w:hAnsi="宋体" w:cs="宋体" w:eastAsia="宋体" w:hint="default"/>
                <w:spacing w:val="-2"/>
                <w:sz w:val="21"/>
                <w:szCs w:val="21"/>
              </w:rPr>
              <w:t>切相关，按照国家统一标准定额或定量享</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受的政府补助除外）</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124,450,716.20</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占用费</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企业取得子公司、联营企业及合营企业的</w:t>
            </w:r>
          </w:p>
          <w:p>
            <w:pPr>
              <w:pStyle w:val="TableParagraph"/>
              <w:spacing w:line="272" w:lineRule="exact" w:before="26"/>
              <w:ind w:left="103" w:right="158"/>
              <w:jc w:val="left"/>
              <w:rPr>
                <w:rFonts w:ascii="宋体" w:hAnsi="宋体" w:cs="宋体" w:eastAsia="宋体" w:hint="default"/>
                <w:sz w:val="21"/>
                <w:szCs w:val="21"/>
              </w:rPr>
            </w:pPr>
            <w:r>
              <w:rPr>
                <w:rFonts w:ascii="宋体" w:hAnsi="宋体" w:cs="宋体" w:eastAsia="宋体" w:hint="default"/>
                <w:spacing w:val="-2"/>
                <w:sz w:val="21"/>
                <w:szCs w:val="21"/>
              </w:rPr>
              <w:t>投资成本小于取得投资时应享有被投资单</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位可辨认净资产公允价值产生的收益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因不可抗力因素，如遭受自然灾害而计提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的各项资产减值准备</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企业重组费用，如安置职工的支出、整合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费用等</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交易价格显失公允的交易产生的超过公允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价值部分的损益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同一控制下企业合并产生的子公司期初至</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合并日的当期净损益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除同公司正常经营业务相关的有效套期保</w:t>
            </w:r>
          </w:p>
          <w:p>
            <w:pPr>
              <w:pStyle w:val="TableParagraph"/>
              <w:spacing w:line="237" w:lineRule="auto" w:before="1"/>
              <w:ind w:left="103" w:right="158"/>
              <w:jc w:val="both"/>
              <w:rPr>
                <w:rFonts w:ascii="宋体" w:hAnsi="宋体" w:cs="宋体" w:eastAsia="宋体" w:hint="default"/>
                <w:sz w:val="21"/>
                <w:szCs w:val="21"/>
              </w:rPr>
            </w:pPr>
            <w:r>
              <w:rPr>
                <w:rFonts w:ascii="宋体" w:hAnsi="宋体" w:cs="宋体" w:eastAsia="宋体" w:hint="default"/>
                <w:spacing w:val="-2"/>
                <w:sz w:val="21"/>
                <w:szCs w:val="21"/>
              </w:rPr>
              <w:t>值业务外，持有交易性金融资产、交易性</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金融负债产生的公允价值变动损益，以及</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处置交易性金融资产、交易性金融负债和</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可供出售金融资产取得的投资收益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回</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采用公允价值模式进行后续计量的投资性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房地产公允价值变动产生的损益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根据税收、会计等法律、法规的要求对当</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期损益进行一次性调整对当期损益的影响</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177,524.87</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764,270.83</w:t>
            </w:r>
          </w:p>
        </w:tc>
        <w:tc>
          <w:tcPr>
            <w:tcW w:w="250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059"/>
        <w:gridCol w:w="2489"/>
        <w:gridCol w:w="2501"/>
      </w:tblGrid>
      <w:tr>
        <w:trPr>
          <w:trHeight w:val="28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-21,502,140.33</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64,506,421.00</w:t>
            </w:r>
          </w:p>
        </w:tc>
        <w:tc>
          <w:tcPr>
            <w:tcW w:w="250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5"/>
          <w:szCs w:val="15"/>
        </w:rPr>
      </w:pPr>
    </w:p>
    <w:p>
      <w:pPr>
        <w:pStyle w:val="BodyText"/>
        <w:spacing w:line="273" w:lineRule="exact" w:before="36"/>
        <w:ind w:right="0"/>
        <w:jc w:val="left"/>
      </w:pPr>
      <w:r>
        <w:rPr/>
        <w:t>对公司根据《公开发行证券的公司信息披露解释性公告第</w:t>
      </w:r>
      <w:r>
        <w:rPr>
          <w:spacing w:val="-55"/>
        </w:rPr>
        <w:t> </w:t>
      </w:r>
      <w:r>
        <w:rPr>
          <w:rFonts w:ascii="宋体" w:hAnsi="宋体" w:cs="宋体" w:eastAsia="宋体" w:hint="default"/>
        </w:rPr>
        <w:t>1</w:t>
      </w:r>
      <w:r>
        <w:rPr>
          <w:rFonts w:ascii="宋体" w:hAnsi="宋体" w:cs="宋体" w:eastAsia="宋体" w:hint="default"/>
          <w:spacing w:val="-55"/>
        </w:rPr>
        <w:t> </w:t>
      </w:r>
      <w:r>
        <w:rPr/>
        <w:t>号——非经常性损益》定义界定的非</w:t>
      </w:r>
    </w:p>
    <w:p>
      <w:pPr>
        <w:pStyle w:val="BodyText"/>
        <w:spacing w:line="240" w:lineRule="auto"/>
        <w:ind w:right="233"/>
        <w:jc w:val="left"/>
      </w:pPr>
      <w:r>
        <w:rPr/>
        <w:t>经常性损益项目，以及把《公开发行证券的公司信息披露解释性公告第</w:t>
      </w:r>
      <w:r>
        <w:rPr>
          <w:spacing w:val="-55"/>
        </w:rPr>
        <w:t> </w:t>
      </w:r>
      <w:r>
        <w:rPr>
          <w:rFonts w:ascii="宋体" w:hAnsi="宋体" w:cs="宋体" w:eastAsia="宋体" w:hint="default"/>
        </w:rPr>
        <w:t>1</w:t>
      </w:r>
      <w:r>
        <w:rPr>
          <w:rFonts w:ascii="宋体" w:hAnsi="宋体" w:cs="宋体" w:eastAsia="宋体" w:hint="default"/>
          <w:spacing w:val="-55"/>
        </w:rPr>
        <w:t> </w:t>
      </w:r>
      <w:r>
        <w:rPr/>
        <w:t>号——非经常性损益》</w:t>
      </w:r>
      <w:r>
        <w:rPr>
          <w:w w:val="100"/>
        </w:rPr>
        <w:t> </w:t>
      </w:r>
      <w:r>
        <w:rPr/>
        <w:t>中列举的非经常性损益项目界定为经常性损益的项目，应说明原因。</w:t>
      </w:r>
    </w:p>
    <w:p>
      <w:pPr>
        <w:pStyle w:val="BodyText"/>
        <w:spacing w:line="271" w:lineRule="exact"/>
        <w:ind w:right="2497"/>
        <w:jc w:val="left"/>
      </w:pPr>
      <w:r>
        <w:rPr/>
        <w:t>□适用</w:t>
      </w:r>
      <w:r>
        <w:rPr>
          <w:spacing w:val="-1"/>
        </w:rPr>
        <w:t> </w:t>
      </w:r>
      <w:r>
        <w:rPr/>
        <w:t>√不适用</w:t>
      </w:r>
    </w:p>
    <w:p>
      <w:pPr>
        <w:pStyle w:val="Heading2"/>
        <w:spacing w:line="240" w:lineRule="auto" w:before="58"/>
        <w:ind w:right="2497"/>
        <w:jc w:val="left"/>
        <w:rPr>
          <w:b w:val="0"/>
          <w:bCs w:val="0"/>
        </w:rPr>
      </w:pPr>
      <w:r>
        <w:rPr>
          <w:rFonts w:ascii="宋体" w:hAnsi="宋体" w:cs="宋体" w:eastAsia="宋体" w:hint="default"/>
        </w:rPr>
        <w:t>2</w:t>
      </w:r>
      <w:r>
        <w:rPr/>
        <w:t>、 净资产收益率及每股收益</w:t>
      </w:r>
      <w:r>
        <w:rPr>
          <w:b w:val="0"/>
          <w:bCs w:val="0"/>
        </w:rPr>
      </w:r>
    </w:p>
    <w:p>
      <w:pPr>
        <w:pStyle w:val="BodyText"/>
        <w:spacing w:line="240" w:lineRule="auto" w:before="56"/>
        <w:ind w:right="2497"/>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14"/>
        <w:gridCol w:w="1841"/>
        <w:gridCol w:w="2146"/>
        <w:gridCol w:w="2149"/>
      </w:tblGrid>
      <w:tr>
        <w:trPr>
          <w:trHeight w:val="281" w:hRule="exact"/>
        </w:trPr>
        <w:tc>
          <w:tcPr>
            <w:tcW w:w="2914" w:type="dxa"/>
            <w:vMerge w:val="restart"/>
            <w:tcBorders>
              <w:top w:val="single" w:sz="4" w:space="0" w:color="000000"/>
              <w:left w:val="single" w:sz="4" w:space="0" w:color="000000"/>
              <w:right w:val="single" w:sz="4" w:space="0" w:color="000000"/>
            </w:tcBorders>
          </w:tcPr>
          <w:p>
            <w:pPr>
              <w:pStyle w:val="TableParagraph"/>
              <w:spacing w:line="240" w:lineRule="auto" w:before="150"/>
              <w:ind w:left="926"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1841" w:type="dxa"/>
            <w:vMerge w:val="restart"/>
            <w:tcBorders>
              <w:top w:val="single" w:sz="4" w:space="0" w:color="000000"/>
              <w:left w:val="single" w:sz="4" w:space="0" w:color="000000"/>
              <w:right w:val="single" w:sz="4" w:space="0" w:color="000000"/>
            </w:tcBorders>
          </w:tcPr>
          <w:p>
            <w:pPr>
              <w:pStyle w:val="TableParagraph"/>
              <w:spacing w:line="240" w:lineRule="auto" w:before="14"/>
              <w:ind w:left="338" w:right="175" w:hanging="159"/>
              <w:jc w:val="left"/>
              <w:rPr>
                <w:rFonts w:ascii="宋体" w:hAnsi="宋体" w:cs="宋体" w:eastAsia="宋体" w:hint="default"/>
                <w:sz w:val="21"/>
                <w:szCs w:val="21"/>
              </w:rPr>
            </w:pPr>
            <w:r>
              <w:rPr>
                <w:rFonts w:ascii="宋体" w:hAnsi="宋体" w:cs="宋体" w:eastAsia="宋体" w:hint="default"/>
                <w:sz w:val="21"/>
                <w:szCs w:val="21"/>
              </w:rPr>
              <w:t>加权平均净资产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收益率（</w:t>
            </w:r>
            <w:r>
              <w:rPr>
                <w:rFonts w:ascii="宋体" w:hAnsi="宋体" w:cs="宋体" w:eastAsia="宋体" w:hint="default"/>
                <w:sz w:val="21"/>
                <w:szCs w:val="21"/>
              </w:rPr>
              <w:t>%</w:t>
            </w:r>
            <w:r>
              <w:rPr>
                <w:rFonts w:ascii="宋体" w:hAnsi="宋体" w:cs="宋体" w:eastAsia="宋体" w:hint="default"/>
                <w:sz w:val="21"/>
                <w:szCs w:val="21"/>
              </w:rPr>
              <w:t>）</w:t>
            </w:r>
          </w:p>
        </w:tc>
        <w:tc>
          <w:tcPr>
            <w:tcW w:w="42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373" w:hRule="exact"/>
        </w:trPr>
        <w:tc>
          <w:tcPr>
            <w:tcW w:w="2914" w:type="dxa"/>
            <w:vMerge/>
            <w:tcBorders>
              <w:left w:val="single" w:sz="4" w:space="0" w:color="000000"/>
              <w:bottom w:val="single" w:sz="4" w:space="0" w:color="000000"/>
              <w:right w:val="single" w:sz="4" w:space="0" w:color="000000"/>
            </w:tcBorders>
          </w:tcPr>
          <w:p>
            <w:pPr/>
          </w:p>
        </w:tc>
        <w:tc>
          <w:tcPr>
            <w:tcW w:w="1841" w:type="dxa"/>
            <w:vMerge/>
            <w:tcBorders>
              <w:left w:val="single" w:sz="4" w:space="0" w:color="000000"/>
              <w:bottom w:val="single" w:sz="4" w:space="0" w:color="000000"/>
              <w:right w:val="single" w:sz="4" w:space="0" w:color="000000"/>
            </w:tcBorders>
          </w:tcPr>
          <w:p>
            <w:pP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436"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439"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554"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20.29</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0.52</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0.52</w:t>
            </w:r>
          </w:p>
        </w:tc>
      </w:tr>
      <w:tr>
        <w:trPr>
          <w:trHeight w:val="554"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公司普通股股东的净利润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17.92</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0.46</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0.46</w:t>
            </w:r>
          </w:p>
        </w:tc>
      </w:tr>
    </w:tbl>
    <w:p>
      <w:pPr>
        <w:spacing w:line="240" w:lineRule="auto" w:before="2"/>
        <w:rPr>
          <w:rFonts w:ascii="宋体" w:hAnsi="宋体" w:cs="宋体" w:eastAsia="宋体" w:hint="default"/>
          <w:sz w:val="20"/>
          <w:szCs w:val="20"/>
        </w:rPr>
      </w:pPr>
    </w:p>
    <w:p>
      <w:pPr>
        <w:pStyle w:val="Heading2"/>
        <w:spacing w:line="240" w:lineRule="auto" w:before="36"/>
        <w:ind w:right="2497"/>
        <w:jc w:val="left"/>
        <w:rPr>
          <w:b w:val="0"/>
          <w:bCs w:val="0"/>
        </w:rPr>
      </w:pPr>
      <w:r>
        <w:rPr>
          <w:rFonts w:ascii="宋体" w:hAnsi="宋体" w:cs="宋体" w:eastAsia="宋体" w:hint="default"/>
        </w:rPr>
        <w:t>3</w:t>
      </w:r>
      <w:r>
        <w:rPr/>
        <w:t>、</w:t>
      </w:r>
      <w:r>
        <w:rPr>
          <w:spacing w:val="-2"/>
        </w:rPr>
        <w:t> </w:t>
      </w:r>
      <w:r>
        <w:rPr/>
        <w:t>境内外会计准则下会计数据差异</w:t>
      </w:r>
      <w:r>
        <w:rPr>
          <w:b w:val="0"/>
          <w:bCs w:val="0"/>
        </w:rPr>
      </w:r>
    </w:p>
    <w:p>
      <w:pPr>
        <w:pStyle w:val="BodyText"/>
        <w:spacing w:line="240" w:lineRule="auto" w:before="56"/>
        <w:ind w:right="249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497"/>
        <w:jc w:val="left"/>
        <w:rPr>
          <w:b w:val="0"/>
          <w:bCs w:val="0"/>
        </w:rPr>
      </w:pPr>
      <w:r>
        <w:rPr>
          <w:rFonts w:ascii="宋体" w:hAnsi="宋体" w:cs="宋体" w:eastAsia="宋体" w:hint="default"/>
        </w:rPr>
        <w:t>4</w:t>
      </w:r>
      <w:r>
        <w:rPr/>
        <w:t>、</w:t>
      </w:r>
      <w:r>
        <w:rPr>
          <w:spacing w:val="-1"/>
        </w:rPr>
        <w:t> </w:t>
      </w:r>
      <w:r>
        <w:rPr/>
        <w:t>其他</w:t>
      </w:r>
      <w:r>
        <w:rPr>
          <w:b w:val="0"/>
          <w:bCs w:val="0"/>
        </w:rPr>
      </w:r>
    </w:p>
    <w:p>
      <w:pPr>
        <w:pStyle w:val="BodyText"/>
        <w:spacing w:line="240" w:lineRule="auto" w:before="56"/>
        <w:ind w:right="2497"/>
        <w:jc w:val="left"/>
      </w:pPr>
      <w:r>
        <w:rPr/>
        <w:t>□适用</w:t>
      </w:r>
      <w:r>
        <w:rPr>
          <w:spacing w:val="-1"/>
        </w:rPr>
        <w:t> </w:t>
      </w:r>
      <w:r>
        <w:rPr/>
        <w:t>√不适用</w:t>
      </w:r>
    </w:p>
    <w:p>
      <w:pPr>
        <w:spacing w:line="240" w:lineRule="auto" w:before="2"/>
        <w:rPr>
          <w:rFonts w:ascii="宋体" w:hAnsi="宋体" w:cs="宋体" w:eastAsia="宋体" w:hint="default"/>
          <w:sz w:val="24"/>
          <w:szCs w:val="24"/>
        </w:rPr>
      </w:pPr>
    </w:p>
    <w:p>
      <w:pPr>
        <w:pStyle w:val="Heading1"/>
        <w:spacing w:line="240" w:lineRule="auto"/>
        <w:ind w:right="14"/>
        <w:jc w:val="center"/>
        <w:rPr>
          <w:rFonts w:ascii="宋体" w:hAnsi="宋体" w:cs="宋体" w:eastAsia="宋体" w:hint="default"/>
          <w:b w:val="0"/>
          <w:bCs w:val="0"/>
        </w:rPr>
      </w:pPr>
      <w:bookmarkStart w:name="_TOC_250000" w:id="12"/>
      <w:r>
        <w:rPr>
          <w:rFonts w:ascii="宋体" w:hAnsi="宋体" w:cs="宋体" w:eastAsia="宋体" w:hint="default"/>
        </w:rPr>
        <w:t>第十二节</w:t>
      </w:r>
      <w:r>
        <w:rPr>
          <w:rFonts w:ascii="宋体" w:hAnsi="宋体" w:cs="宋体" w:eastAsia="宋体" w:hint="default"/>
          <w:spacing w:val="-6"/>
        </w:rPr>
        <w:t> </w:t>
      </w:r>
      <w:r>
        <w:rPr>
          <w:rFonts w:ascii="宋体" w:hAnsi="宋体" w:cs="宋体" w:eastAsia="宋体" w:hint="default"/>
        </w:rPr>
        <w:t>备查文件目录</w:t>
      </w:r>
      <w:bookmarkEnd w:id="12"/>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9"/>
          <w:szCs w:val="29"/>
        </w:rPr>
      </w:pPr>
    </w:p>
    <w:tbl>
      <w:tblPr>
        <w:tblW w:w="0" w:type="auto"/>
        <w:jc w:val="left"/>
        <w:tblInd w:w="182" w:type="dxa"/>
        <w:tblLayout w:type="fixed"/>
        <w:tblCellMar>
          <w:top w:w="0" w:type="dxa"/>
          <w:left w:w="0" w:type="dxa"/>
          <w:bottom w:w="0" w:type="dxa"/>
          <w:right w:w="0" w:type="dxa"/>
        </w:tblCellMar>
        <w:tblLook w:val="01E0"/>
      </w:tblPr>
      <w:tblGrid>
        <w:gridCol w:w="2295"/>
        <w:gridCol w:w="6601"/>
      </w:tblGrid>
      <w:tr>
        <w:trPr>
          <w:trHeight w:val="554"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载有法定代表人、主管会计工作负责人及会计机构负责人签名并盖章的</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会计报表</w:t>
            </w:r>
          </w:p>
        </w:tc>
      </w:tr>
      <w:tr>
        <w:trPr>
          <w:trHeight w:val="283"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载有会计师事务所盖章、注册会计师签名并盖章的审计报告原件</w:t>
            </w:r>
          </w:p>
        </w:tc>
      </w:tr>
      <w:tr>
        <w:trPr>
          <w:trHeight w:val="554"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报告期内在中国证监会指定报纸上公开披露过的所有公司文件的正本及</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公告的原稿</w:t>
            </w:r>
          </w:p>
        </w:tc>
      </w:tr>
    </w:tbl>
    <w:p>
      <w:pPr>
        <w:pStyle w:val="BodyText"/>
        <w:spacing w:line="314" w:lineRule="auto" w:before="42"/>
        <w:ind w:left="5319" w:right="228" w:firstLine="2256"/>
        <w:jc w:val="left"/>
      </w:pPr>
      <w:r>
        <w:rPr>
          <w:spacing w:val="-1"/>
        </w:rPr>
        <w:t>董事长：郭东圣</w:t>
      </w:r>
      <w:r>
        <w:rPr>
          <w:w w:val="100"/>
        </w:rPr>
        <w:t> </w:t>
      </w:r>
      <w:r>
        <w:rPr/>
        <w:t>董事会批准报送日期：</w:t>
      </w:r>
      <w:r>
        <w:rPr>
          <w:rFonts w:ascii="宋体" w:hAnsi="宋体" w:cs="宋体" w:eastAsia="宋体" w:hint="default"/>
        </w:rPr>
        <w:t>2018</w:t>
      </w:r>
      <w:r>
        <w:rPr>
          <w:rFonts w:ascii="宋体" w:hAnsi="宋体" w:cs="宋体" w:eastAsia="宋体" w:hint="default"/>
          <w:spacing w:val="-54"/>
        </w:rPr>
        <w:t> </w:t>
      </w:r>
      <w:r>
        <w:rPr/>
        <w:t>年</w:t>
      </w:r>
      <w:r>
        <w:rPr>
          <w:spacing w:val="-54"/>
        </w:rPr>
        <w:t> </w:t>
      </w:r>
      <w:r>
        <w:rPr>
          <w:rFonts w:ascii="宋体" w:hAnsi="宋体" w:cs="宋体" w:eastAsia="宋体" w:hint="default"/>
        </w:rPr>
        <w:t>3</w:t>
      </w:r>
      <w:r>
        <w:rPr>
          <w:rFonts w:ascii="宋体" w:hAnsi="宋体" w:cs="宋体" w:eastAsia="宋体" w:hint="default"/>
          <w:spacing w:val="-56"/>
        </w:rPr>
        <w:t> </w:t>
      </w:r>
      <w:r>
        <w:rPr/>
        <w:t>月</w:t>
      </w:r>
      <w:r>
        <w:rPr>
          <w:spacing w:val="-54"/>
        </w:rPr>
        <w:t> </w:t>
      </w:r>
      <w:r>
        <w:rPr>
          <w:rFonts w:ascii="宋体" w:hAnsi="宋体" w:cs="宋体" w:eastAsia="宋体" w:hint="default"/>
        </w:rPr>
        <w:t>11</w:t>
      </w:r>
      <w:r>
        <w:rPr>
          <w:rFonts w:ascii="宋体" w:hAnsi="宋体" w:cs="宋体" w:eastAsia="宋体" w:hint="default"/>
          <w:spacing w:val="-54"/>
        </w:rPr>
        <w:t> </w:t>
      </w:r>
      <w:r>
        <w:rPr/>
        <w:t>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81"/>
        <w:ind w:left="218" w:right="2497" w:firstLine="0"/>
        <w:jc w:val="left"/>
        <w:rPr>
          <w:rFonts w:ascii="宋体" w:hAnsi="宋体" w:cs="宋体" w:eastAsia="宋体" w:hint="default"/>
          <w:sz w:val="24"/>
          <w:szCs w:val="24"/>
        </w:rPr>
      </w:pPr>
      <w:r>
        <w:rPr>
          <w:rFonts w:ascii="宋体" w:hAnsi="宋体" w:cs="宋体" w:eastAsia="宋体" w:hint="default"/>
          <w:b/>
          <w:bCs/>
          <w:sz w:val="24"/>
          <w:szCs w:val="24"/>
        </w:rPr>
        <w:t>修订信息</w:t>
      </w:r>
      <w:r>
        <w:rPr>
          <w:rFonts w:ascii="宋体" w:hAnsi="宋体" w:cs="宋体" w:eastAsia="宋体" w:hint="default"/>
          <w:sz w:val="24"/>
          <w:szCs w:val="24"/>
        </w:rPr>
      </w:r>
    </w:p>
    <w:p>
      <w:pPr>
        <w:pStyle w:val="BodyText"/>
        <w:spacing w:line="240" w:lineRule="auto" w:before="4"/>
        <w:ind w:right="2497"/>
        <w:jc w:val="left"/>
      </w:pPr>
      <w:r>
        <w:rPr/>
        <w:t>□适用</w:t>
      </w:r>
      <w:r>
        <w:rPr>
          <w:spacing w:val="-1"/>
        </w:rPr>
        <w:t> </w:t>
      </w:r>
      <w:r>
        <w:rPr/>
        <w:t>√不适用</w:t>
      </w:r>
    </w:p>
    <w:sectPr>
      <w:footerReference w:type="default" r:id="rId57"/>
      <w:pgSz w:w="11910" w:h="16840"/>
      <w:pgMar w:footer="1195" w:header="882" w:top="1120" w:bottom="1380" w:left="158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S UI Gothic">
    <w:altName w:val="MS UI Gothic"/>
    <w:charset w:val="0"/>
    <w:family w:val="swiss"/>
    <w:pitch w:val="variable"/>
  </w:font>
  <w:font w:name="宋体">
    <w:altName w:val="宋体"/>
    <w:charset w:val="86"/>
    <w:family w:val="auto"/>
    <w:pitch w:val="variable"/>
  </w:font>
  <w:font w:name="黑体">
    <w:altName w:val="黑体"/>
    <w:charset w:val="86"/>
    <w:family w:val="modern"/>
    <w:pitch w:val="fixed"/>
  </w:font>
  <w:font w:name="Cambria">
    <w:altName w:val="Cambria"/>
    <w:charset w:val="0"/>
    <w:family w:val="roman"/>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769989pt;margin-top:771.169983pt;width:28.8pt;height:11pt;mso-position-horizontal-relative:page;mso-position-vertical-relative:page;z-index:-7749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w:t>
                </w:r>
                <w:r>
                  <w:rPr/>
                  <w:fldChar w:fldCharType="end"/>
                </w:r>
                <w:r>
                  <w:rPr>
                    <w:rFonts w:ascii="Calibri"/>
                    <w:b/>
                    <w:sz w:val="18"/>
                  </w:rPr>
                  <w:t> </w:t>
                </w:r>
                <w:r>
                  <w:rPr>
                    <w:rFonts w:ascii="Calibri"/>
                    <w:sz w:val="18"/>
                  </w:rPr>
                  <w:t>/</w:t>
                </w:r>
                <w:r>
                  <w:rPr>
                    <w:rFonts w:ascii="Calibri"/>
                    <w:spacing w:val="-3"/>
                    <w:sz w:val="18"/>
                  </w:rPr>
                  <w:t> </w:t>
                </w:r>
                <w:r>
                  <w:rPr>
                    <w:rFonts w:ascii="Calibri"/>
                    <w:b/>
                    <w:sz w:val="18"/>
                  </w:rPr>
                  <w:t>170</w:t>
                </w:r>
                <w:r>
                  <w:rPr>
                    <w:rFonts w:ascii="Calibri"/>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77464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40 </w:t>
                </w:r>
                <w:r>
                  <w:rPr>
                    <w:rFonts w:ascii="Calibri"/>
                    <w:sz w:val="18"/>
                  </w:rPr>
                  <w:t>/</w:t>
                </w:r>
                <w:r>
                  <w:rPr>
                    <w:rFonts w:ascii="Calibri"/>
                    <w:spacing w:val="-4"/>
                    <w:sz w:val="18"/>
                  </w:rPr>
                  <w:t> </w:t>
                </w:r>
                <w:r>
                  <w:rPr>
                    <w:rFonts w:ascii="Calibri"/>
                    <w:b/>
                    <w:sz w:val="18"/>
                  </w:rPr>
                  <w:t>170</w:t>
                </w:r>
                <w:r>
                  <w:rPr>
                    <w:rFonts w:ascii="Calibri"/>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7746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41</w:t>
                </w:r>
                <w:r>
                  <w:rPr/>
                  <w:fldChar w:fldCharType="end"/>
                </w:r>
                <w:r>
                  <w:rPr>
                    <w:rFonts w:ascii="Calibri"/>
                    <w:b/>
                    <w:sz w:val="18"/>
                  </w:rPr>
                  <w:t> </w:t>
                </w:r>
                <w:r>
                  <w:rPr>
                    <w:rFonts w:ascii="Calibri"/>
                    <w:sz w:val="18"/>
                  </w:rPr>
                  <w:t>/</w:t>
                </w:r>
                <w:r>
                  <w:rPr>
                    <w:rFonts w:ascii="Calibri"/>
                    <w:spacing w:val="-3"/>
                    <w:sz w:val="18"/>
                  </w:rPr>
                  <w:t> </w:t>
                </w:r>
                <w:r>
                  <w:rPr>
                    <w:rFonts w:ascii="Calibri"/>
                    <w:b/>
                    <w:sz w:val="18"/>
                  </w:rPr>
                  <w:t>170</w:t>
                </w:r>
                <w:r>
                  <w:rPr>
                    <w:rFonts w:ascii="Calibri"/>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77459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50 </w:t>
                </w:r>
                <w:r>
                  <w:rPr>
                    <w:rFonts w:ascii="Calibri"/>
                    <w:sz w:val="18"/>
                  </w:rPr>
                  <w:t>/</w:t>
                </w:r>
                <w:r>
                  <w:rPr>
                    <w:rFonts w:ascii="Calibri"/>
                    <w:spacing w:val="-4"/>
                    <w:sz w:val="18"/>
                  </w:rPr>
                  <w:t> </w:t>
                </w:r>
                <w:r>
                  <w:rPr>
                    <w:rFonts w:ascii="Calibri"/>
                    <w:b/>
                    <w:sz w:val="18"/>
                  </w:rPr>
                  <w:t>170</w:t>
                </w:r>
                <w:r>
                  <w:rPr>
                    <w:rFonts w:ascii="Calibri"/>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50012pt;margin-top:771.169983pt;width:33.4pt;height:11pt;mso-position-horizontal-relative:page;mso-position-vertical-relative:page;z-index:-7745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51</w:t>
                </w:r>
                <w:r>
                  <w:rPr/>
                  <w:fldChar w:fldCharType="end"/>
                </w:r>
                <w:r>
                  <w:rPr>
                    <w:rFonts w:ascii="Calibri"/>
                    <w:b/>
                    <w:sz w:val="18"/>
                  </w:rPr>
                  <w:t> </w:t>
                </w:r>
                <w:r>
                  <w:rPr>
                    <w:rFonts w:ascii="Calibri"/>
                    <w:sz w:val="18"/>
                  </w:rPr>
                  <w:t>/</w:t>
                </w:r>
                <w:r>
                  <w:rPr>
                    <w:rFonts w:ascii="Calibri"/>
                    <w:spacing w:val="-3"/>
                    <w:sz w:val="18"/>
                  </w:rPr>
                  <w:t> </w:t>
                </w:r>
                <w:r>
                  <w:rPr>
                    <w:rFonts w:ascii="Calibri"/>
                    <w:b/>
                    <w:sz w:val="18"/>
                  </w:rPr>
                  <w:t>170</w:t>
                </w:r>
                <w:r>
                  <w:rPr>
                    <w:rFonts w:ascii="Calibri"/>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7744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55</w:t>
                </w:r>
                <w:r>
                  <w:rPr/>
                  <w:fldChar w:fldCharType="end"/>
                </w:r>
                <w:r>
                  <w:rPr>
                    <w:rFonts w:ascii="Calibri"/>
                    <w:b/>
                    <w:sz w:val="18"/>
                  </w:rPr>
                  <w:t> </w:t>
                </w:r>
                <w:r>
                  <w:rPr>
                    <w:rFonts w:ascii="Calibri"/>
                    <w:sz w:val="18"/>
                  </w:rPr>
                  <w:t>/</w:t>
                </w:r>
                <w:r>
                  <w:rPr>
                    <w:rFonts w:ascii="Calibri"/>
                    <w:spacing w:val="-3"/>
                    <w:sz w:val="18"/>
                  </w:rPr>
                  <w:t> </w:t>
                </w:r>
                <w:r>
                  <w:rPr>
                    <w:rFonts w:ascii="Calibri"/>
                    <w:b/>
                    <w:sz w:val="18"/>
                  </w:rPr>
                  <w:t>170</w:t>
                </w:r>
                <w:r>
                  <w:rPr>
                    <w:rFonts w:ascii="Calibri"/>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7744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56</w:t>
                </w:r>
                <w:r>
                  <w:rPr/>
                  <w:fldChar w:fldCharType="end"/>
                </w:r>
                <w:r>
                  <w:rPr>
                    <w:rFonts w:ascii="Calibri"/>
                    <w:b/>
                    <w:sz w:val="18"/>
                  </w:rPr>
                  <w:t> </w:t>
                </w:r>
                <w:r>
                  <w:rPr>
                    <w:rFonts w:ascii="Calibri"/>
                    <w:sz w:val="18"/>
                  </w:rPr>
                  <w:t>/</w:t>
                </w:r>
                <w:r>
                  <w:rPr>
                    <w:rFonts w:ascii="Calibri"/>
                    <w:spacing w:val="-3"/>
                    <w:sz w:val="18"/>
                  </w:rPr>
                  <w:t> </w:t>
                </w:r>
                <w:r>
                  <w:rPr>
                    <w:rFonts w:ascii="Calibri"/>
                    <w:b/>
                    <w:sz w:val="18"/>
                  </w:rPr>
                  <w:t>170</w:t>
                </w:r>
                <w:r>
                  <w:rPr>
                    <w:rFonts w:ascii="Calibri"/>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77440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60 </w:t>
                </w:r>
                <w:r>
                  <w:rPr>
                    <w:rFonts w:ascii="Calibri"/>
                    <w:sz w:val="18"/>
                  </w:rPr>
                  <w:t>/</w:t>
                </w:r>
                <w:r>
                  <w:rPr>
                    <w:rFonts w:ascii="Calibri"/>
                    <w:spacing w:val="-4"/>
                    <w:sz w:val="18"/>
                  </w:rPr>
                  <w:t> </w:t>
                </w:r>
                <w:r>
                  <w:rPr>
                    <w:rFonts w:ascii="Calibri"/>
                    <w:b/>
                    <w:sz w:val="18"/>
                  </w:rPr>
                  <w:t>170</w:t>
                </w:r>
                <w:r>
                  <w:rPr>
                    <w:rFonts w:ascii="Calibri"/>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7743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61</w:t>
                </w:r>
                <w:r>
                  <w:rPr/>
                  <w:fldChar w:fldCharType="end"/>
                </w:r>
                <w:r>
                  <w:rPr>
                    <w:rFonts w:ascii="Calibri"/>
                    <w:b/>
                    <w:sz w:val="18"/>
                  </w:rPr>
                  <w:t> </w:t>
                </w:r>
                <w:r>
                  <w:rPr>
                    <w:rFonts w:ascii="Calibri"/>
                    <w:sz w:val="18"/>
                  </w:rPr>
                  <w:t>/</w:t>
                </w:r>
                <w:r>
                  <w:rPr>
                    <w:rFonts w:ascii="Calibri"/>
                    <w:spacing w:val="-3"/>
                    <w:sz w:val="18"/>
                  </w:rPr>
                  <w:t> </w:t>
                </w:r>
                <w:r>
                  <w:rPr>
                    <w:rFonts w:ascii="Calibri"/>
                    <w:b/>
                    <w:sz w:val="18"/>
                  </w:rPr>
                  <w:t>170</w:t>
                </w:r>
                <w:r>
                  <w:rPr>
                    <w:rFonts w:ascii="Calibri"/>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77435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70 </w:t>
                </w:r>
                <w:r>
                  <w:rPr>
                    <w:rFonts w:ascii="Calibri"/>
                    <w:sz w:val="18"/>
                  </w:rPr>
                  <w:t>/</w:t>
                </w:r>
                <w:r>
                  <w:rPr>
                    <w:rFonts w:ascii="Calibri"/>
                    <w:spacing w:val="-4"/>
                    <w:sz w:val="18"/>
                  </w:rPr>
                  <w:t> </w:t>
                </w:r>
                <w:r>
                  <w:rPr>
                    <w:rFonts w:ascii="Calibri"/>
                    <w:b/>
                    <w:sz w:val="18"/>
                  </w:rPr>
                  <w:t>170</w:t>
                </w:r>
                <w:r>
                  <w:rPr>
                    <w:rFonts w:ascii="Calibri"/>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7743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71</w:t>
                </w:r>
                <w:r>
                  <w:rPr/>
                  <w:fldChar w:fldCharType="end"/>
                </w:r>
                <w:r>
                  <w:rPr>
                    <w:rFonts w:ascii="Calibri"/>
                    <w:b/>
                    <w:sz w:val="18"/>
                  </w:rPr>
                  <w:t> </w:t>
                </w:r>
                <w:r>
                  <w:rPr>
                    <w:rFonts w:ascii="Calibri"/>
                    <w:sz w:val="18"/>
                  </w:rPr>
                  <w:t>/</w:t>
                </w:r>
                <w:r>
                  <w:rPr>
                    <w:rFonts w:ascii="Calibri"/>
                    <w:spacing w:val="-3"/>
                    <w:sz w:val="18"/>
                  </w:rPr>
                  <w:t> </w:t>
                </w:r>
                <w:r>
                  <w:rPr>
                    <w:rFonts w:ascii="Calibri"/>
                    <w:b/>
                    <w:sz w:val="18"/>
                  </w:rPr>
                  <w:t>170</w:t>
                </w:r>
                <w:r>
                  <w:rPr>
                    <w:rFonts w:ascii="Calibri"/>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77492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 </w:t>
                </w:r>
                <w:r>
                  <w:rPr>
                    <w:rFonts w:ascii="Calibri"/>
                    <w:sz w:val="18"/>
                  </w:rPr>
                  <w:t>/</w:t>
                </w:r>
                <w:r>
                  <w:rPr>
                    <w:rFonts w:ascii="Calibri"/>
                    <w:spacing w:val="-4"/>
                    <w:sz w:val="18"/>
                  </w:rPr>
                  <w:t> </w:t>
                </w:r>
                <w:r>
                  <w:rPr>
                    <w:rFonts w:ascii="Calibri"/>
                    <w:b/>
                    <w:sz w:val="18"/>
                  </w:rPr>
                  <w:t>170</w:t>
                </w:r>
                <w:r>
                  <w:rPr>
                    <w:rFonts w:ascii="Calibri"/>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7742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74</w:t>
                </w:r>
                <w:r>
                  <w:rPr/>
                  <w:fldChar w:fldCharType="end"/>
                </w:r>
                <w:r>
                  <w:rPr>
                    <w:rFonts w:ascii="Calibri"/>
                    <w:b/>
                    <w:sz w:val="18"/>
                  </w:rPr>
                  <w:t> </w:t>
                </w:r>
                <w:r>
                  <w:rPr>
                    <w:rFonts w:ascii="Calibri"/>
                    <w:sz w:val="18"/>
                  </w:rPr>
                  <w:t>/</w:t>
                </w:r>
                <w:r>
                  <w:rPr>
                    <w:rFonts w:ascii="Calibri"/>
                    <w:spacing w:val="-3"/>
                    <w:sz w:val="18"/>
                  </w:rPr>
                  <w:t> </w:t>
                </w:r>
                <w:r>
                  <w:rPr>
                    <w:rFonts w:ascii="Calibri"/>
                    <w:b/>
                    <w:sz w:val="18"/>
                  </w:rPr>
                  <w:t>170</w:t>
                </w:r>
                <w:r>
                  <w:rPr>
                    <w:rFonts w:ascii="Calibri"/>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7741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80</w:t>
                </w:r>
                <w:r>
                  <w:rPr/>
                  <w:fldChar w:fldCharType="end"/>
                </w:r>
                <w:r>
                  <w:rPr>
                    <w:rFonts w:ascii="Calibri"/>
                    <w:b/>
                    <w:sz w:val="18"/>
                  </w:rPr>
                  <w:t> </w:t>
                </w:r>
                <w:r>
                  <w:rPr>
                    <w:rFonts w:ascii="Calibri"/>
                    <w:sz w:val="18"/>
                  </w:rPr>
                  <w:t>/</w:t>
                </w:r>
                <w:r>
                  <w:rPr>
                    <w:rFonts w:ascii="Calibri"/>
                    <w:spacing w:val="-3"/>
                    <w:sz w:val="18"/>
                  </w:rPr>
                  <w:t> </w:t>
                </w:r>
                <w:r>
                  <w:rPr>
                    <w:rFonts w:ascii="Calibri"/>
                    <w:b/>
                    <w:sz w:val="18"/>
                  </w:rPr>
                  <w:t>170</w:t>
                </w:r>
                <w:r>
                  <w:rPr>
                    <w:rFonts w:ascii="Calibri"/>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77416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90 </w:t>
                </w:r>
                <w:r>
                  <w:rPr>
                    <w:rFonts w:ascii="Calibri"/>
                    <w:sz w:val="18"/>
                  </w:rPr>
                  <w:t>/</w:t>
                </w:r>
                <w:r>
                  <w:rPr>
                    <w:rFonts w:ascii="Calibri"/>
                    <w:spacing w:val="-4"/>
                    <w:sz w:val="18"/>
                  </w:rPr>
                  <w:t> </w:t>
                </w:r>
                <w:r>
                  <w:rPr>
                    <w:rFonts w:ascii="Calibri"/>
                    <w:b/>
                    <w:sz w:val="18"/>
                  </w:rPr>
                  <w:t>170</w:t>
                </w:r>
                <w:r>
                  <w:rPr>
                    <w:rFonts w:ascii="Calibri"/>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7741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91</w:t>
                </w:r>
                <w:r>
                  <w:rPr/>
                  <w:fldChar w:fldCharType="end"/>
                </w:r>
                <w:r>
                  <w:rPr>
                    <w:rFonts w:ascii="Calibri"/>
                    <w:b/>
                    <w:sz w:val="18"/>
                  </w:rPr>
                  <w:t> </w:t>
                </w:r>
                <w:r>
                  <w:rPr>
                    <w:rFonts w:ascii="Calibri"/>
                    <w:sz w:val="18"/>
                  </w:rPr>
                  <w:t>/</w:t>
                </w:r>
                <w:r>
                  <w:rPr>
                    <w:rFonts w:ascii="Calibri"/>
                    <w:spacing w:val="-3"/>
                    <w:sz w:val="18"/>
                  </w:rPr>
                  <w:t> </w:t>
                </w:r>
                <w:r>
                  <w:rPr>
                    <w:rFonts w:ascii="Calibri"/>
                    <w:b/>
                    <w:sz w:val="18"/>
                  </w:rPr>
                  <w:t>170</w:t>
                </w:r>
                <w:r>
                  <w:rPr>
                    <w:rFonts w:ascii="Calibri"/>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7741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96</w:t>
                </w:r>
                <w:r>
                  <w:rPr/>
                  <w:fldChar w:fldCharType="end"/>
                </w:r>
                <w:r>
                  <w:rPr>
                    <w:rFonts w:ascii="Calibri"/>
                    <w:b/>
                    <w:sz w:val="18"/>
                  </w:rPr>
                  <w:t> </w:t>
                </w:r>
                <w:r>
                  <w:rPr>
                    <w:rFonts w:ascii="Calibri"/>
                    <w:sz w:val="18"/>
                  </w:rPr>
                  <w:t>/</w:t>
                </w:r>
                <w:r>
                  <w:rPr>
                    <w:rFonts w:ascii="Calibri"/>
                    <w:spacing w:val="-3"/>
                    <w:sz w:val="18"/>
                  </w:rPr>
                  <w:t> </w:t>
                </w:r>
                <w:r>
                  <w:rPr>
                    <w:rFonts w:ascii="Calibri"/>
                    <w:b/>
                    <w:sz w:val="18"/>
                  </w:rPr>
                  <w:t>170</w:t>
                </w:r>
                <w:r>
                  <w:rPr>
                    <w:rFonts w:ascii="Calibri"/>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77408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100 </w:t>
                </w:r>
                <w:r>
                  <w:rPr>
                    <w:rFonts w:ascii="Calibri"/>
                    <w:sz w:val="18"/>
                  </w:rPr>
                  <w:t>/</w:t>
                </w:r>
                <w:r>
                  <w:rPr>
                    <w:rFonts w:ascii="Calibri"/>
                    <w:spacing w:val="-5"/>
                    <w:sz w:val="18"/>
                  </w:rPr>
                  <w:t> </w:t>
                </w:r>
                <w:r>
                  <w:rPr>
                    <w:rFonts w:ascii="Calibri"/>
                    <w:b/>
                    <w:sz w:val="18"/>
                  </w:rPr>
                  <w:t>170</w:t>
                </w:r>
                <w:r>
                  <w:rPr>
                    <w:rFonts w:ascii="Calibri"/>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7740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101</w:t>
                </w:r>
                <w:r>
                  <w:rPr/>
                  <w:fldChar w:fldCharType="end"/>
                </w:r>
                <w:r>
                  <w:rPr>
                    <w:rFonts w:ascii="Calibri"/>
                    <w:b/>
                    <w:sz w:val="18"/>
                  </w:rPr>
                  <w:t> </w:t>
                </w:r>
                <w:r>
                  <w:rPr>
                    <w:rFonts w:ascii="Calibri"/>
                    <w:sz w:val="18"/>
                  </w:rPr>
                  <w:t>/</w:t>
                </w:r>
                <w:r>
                  <w:rPr>
                    <w:rFonts w:ascii="Calibri"/>
                    <w:spacing w:val="-3"/>
                    <w:sz w:val="18"/>
                  </w:rPr>
                  <w:t> </w:t>
                </w:r>
                <w:r>
                  <w:rPr>
                    <w:rFonts w:ascii="Calibri"/>
                    <w:b/>
                    <w:sz w:val="18"/>
                  </w:rPr>
                  <w:t>170</w:t>
                </w:r>
                <w:r>
                  <w:rPr>
                    <w:rFonts w:ascii="Calibri"/>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77404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110 </w:t>
                </w:r>
                <w:r>
                  <w:rPr>
                    <w:rFonts w:ascii="Calibri"/>
                    <w:sz w:val="18"/>
                  </w:rPr>
                  <w:t>/</w:t>
                </w:r>
                <w:r>
                  <w:rPr>
                    <w:rFonts w:ascii="Calibri"/>
                    <w:spacing w:val="-5"/>
                    <w:sz w:val="18"/>
                  </w:rPr>
                  <w:t> </w:t>
                </w:r>
                <w:r>
                  <w:rPr>
                    <w:rFonts w:ascii="Calibri"/>
                    <w:b/>
                    <w:sz w:val="18"/>
                  </w:rPr>
                  <w:t>170</w:t>
                </w:r>
                <w:r>
                  <w:rPr>
                    <w:rFonts w:ascii="Calibri"/>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7740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111</w:t>
                </w:r>
                <w:r>
                  <w:rPr/>
                  <w:fldChar w:fldCharType="end"/>
                </w:r>
                <w:r>
                  <w:rPr>
                    <w:rFonts w:ascii="Calibri"/>
                    <w:b/>
                    <w:sz w:val="18"/>
                  </w:rPr>
                  <w:t> </w:t>
                </w:r>
                <w:r>
                  <w:rPr>
                    <w:rFonts w:ascii="Calibri"/>
                    <w:sz w:val="18"/>
                  </w:rPr>
                  <w:t>/</w:t>
                </w:r>
                <w:r>
                  <w:rPr>
                    <w:rFonts w:ascii="Calibri"/>
                    <w:spacing w:val="-3"/>
                    <w:sz w:val="18"/>
                  </w:rPr>
                  <w:t> </w:t>
                </w:r>
                <w:r>
                  <w:rPr>
                    <w:rFonts w:ascii="Calibri"/>
                    <w:b/>
                    <w:sz w:val="18"/>
                  </w:rPr>
                  <w:t>170</w:t>
                </w:r>
                <w:r>
                  <w:rPr>
                    <w:rFonts w:ascii="Calibri"/>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77399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120 </w:t>
                </w:r>
                <w:r>
                  <w:rPr>
                    <w:rFonts w:ascii="Calibri"/>
                    <w:sz w:val="18"/>
                  </w:rPr>
                  <w:t>/</w:t>
                </w:r>
                <w:r>
                  <w:rPr>
                    <w:rFonts w:ascii="Calibri"/>
                    <w:spacing w:val="-5"/>
                    <w:sz w:val="18"/>
                  </w:rPr>
                  <w:t> </w:t>
                </w:r>
                <w:r>
                  <w:rPr>
                    <w:rFonts w:ascii="Calibri"/>
                    <w:b/>
                    <w:sz w:val="18"/>
                  </w:rPr>
                  <w:t>170</w:t>
                </w:r>
                <w:r>
                  <w:rPr>
                    <w:rFonts w:ascii="Calibri"/>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7749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w:t>
                </w:r>
                <w:r>
                  <w:rPr/>
                  <w:fldChar w:fldCharType="end"/>
                </w:r>
                <w:r>
                  <w:rPr>
                    <w:rFonts w:ascii="Calibri"/>
                    <w:b/>
                    <w:sz w:val="18"/>
                  </w:rPr>
                  <w:t> </w:t>
                </w:r>
                <w:r>
                  <w:rPr>
                    <w:rFonts w:ascii="Calibri"/>
                    <w:sz w:val="18"/>
                  </w:rPr>
                  <w:t>/</w:t>
                </w:r>
                <w:r>
                  <w:rPr>
                    <w:rFonts w:ascii="Calibri"/>
                    <w:spacing w:val="-3"/>
                    <w:sz w:val="18"/>
                  </w:rPr>
                  <w:t> </w:t>
                </w:r>
                <w:r>
                  <w:rPr>
                    <w:rFonts w:ascii="Calibri"/>
                    <w:b/>
                    <w:sz w:val="18"/>
                  </w:rPr>
                  <w:t>170</w:t>
                </w:r>
                <w:r>
                  <w:rPr>
                    <w:rFonts w:ascii="Calibri"/>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7739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121</w:t>
                </w:r>
                <w:r>
                  <w:rPr/>
                  <w:fldChar w:fldCharType="end"/>
                </w:r>
                <w:r>
                  <w:rPr>
                    <w:rFonts w:ascii="Calibri"/>
                    <w:b/>
                    <w:sz w:val="18"/>
                  </w:rPr>
                  <w:t> </w:t>
                </w:r>
                <w:r>
                  <w:rPr>
                    <w:rFonts w:ascii="Calibri"/>
                    <w:sz w:val="18"/>
                  </w:rPr>
                  <w:t>/</w:t>
                </w:r>
                <w:r>
                  <w:rPr>
                    <w:rFonts w:ascii="Calibri"/>
                    <w:spacing w:val="-3"/>
                    <w:sz w:val="18"/>
                  </w:rPr>
                  <w:t> </w:t>
                </w:r>
                <w:r>
                  <w:rPr>
                    <w:rFonts w:ascii="Calibri"/>
                    <w:b/>
                    <w:sz w:val="18"/>
                  </w:rPr>
                  <w:t>170</w:t>
                </w:r>
                <w:r>
                  <w:rPr>
                    <w:rFonts w:ascii="Calibri"/>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77394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130 </w:t>
                </w:r>
                <w:r>
                  <w:rPr>
                    <w:rFonts w:ascii="Calibri"/>
                    <w:sz w:val="18"/>
                  </w:rPr>
                  <w:t>/</w:t>
                </w:r>
                <w:r>
                  <w:rPr>
                    <w:rFonts w:ascii="Calibri"/>
                    <w:spacing w:val="-5"/>
                    <w:sz w:val="18"/>
                  </w:rPr>
                  <w:t> </w:t>
                </w:r>
                <w:r>
                  <w:rPr>
                    <w:rFonts w:ascii="Calibri"/>
                    <w:b/>
                    <w:sz w:val="18"/>
                  </w:rPr>
                  <w:t>170</w:t>
                </w:r>
                <w:r>
                  <w:rPr>
                    <w:rFonts w:ascii="Calibri"/>
                    <w:sz w:val="18"/>
                  </w:rPr>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7739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131</w:t>
                </w:r>
                <w:r>
                  <w:rPr/>
                  <w:fldChar w:fldCharType="end"/>
                </w:r>
                <w:r>
                  <w:rPr>
                    <w:rFonts w:ascii="Calibri"/>
                    <w:b/>
                    <w:sz w:val="18"/>
                  </w:rPr>
                  <w:t> </w:t>
                </w:r>
                <w:r>
                  <w:rPr>
                    <w:rFonts w:ascii="Calibri"/>
                    <w:sz w:val="18"/>
                  </w:rPr>
                  <w:t>/</w:t>
                </w:r>
                <w:r>
                  <w:rPr>
                    <w:rFonts w:ascii="Calibri"/>
                    <w:spacing w:val="-3"/>
                    <w:sz w:val="18"/>
                  </w:rPr>
                  <w:t> </w:t>
                </w:r>
                <w:r>
                  <w:rPr>
                    <w:rFonts w:ascii="Calibri"/>
                    <w:b/>
                    <w:sz w:val="18"/>
                  </w:rPr>
                  <w:t>170</w:t>
                </w:r>
                <w:r>
                  <w:rPr>
                    <w:rFonts w:ascii="Calibri"/>
                    <w:sz w:val="18"/>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7738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135</w:t>
                </w:r>
                <w:r>
                  <w:rPr/>
                  <w:fldChar w:fldCharType="end"/>
                </w:r>
                <w:r>
                  <w:rPr>
                    <w:rFonts w:ascii="Calibri"/>
                    <w:b/>
                    <w:sz w:val="18"/>
                  </w:rPr>
                  <w:t> </w:t>
                </w:r>
                <w:r>
                  <w:rPr>
                    <w:rFonts w:ascii="Calibri"/>
                    <w:sz w:val="18"/>
                  </w:rPr>
                  <w:t>/</w:t>
                </w:r>
                <w:r>
                  <w:rPr>
                    <w:rFonts w:ascii="Calibri"/>
                    <w:spacing w:val="-3"/>
                    <w:sz w:val="18"/>
                  </w:rPr>
                  <w:t> </w:t>
                </w:r>
                <w:r>
                  <w:rPr>
                    <w:rFonts w:ascii="Calibri"/>
                    <w:b/>
                    <w:sz w:val="18"/>
                  </w:rPr>
                  <w:t>170</w:t>
                </w:r>
                <w:r>
                  <w:rPr>
                    <w:rFonts w:ascii="Calibri"/>
                    <w:sz w:val="18"/>
                  </w:rPr>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77387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140 </w:t>
                </w:r>
                <w:r>
                  <w:rPr>
                    <w:rFonts w:ascii="Calibri"/>
                    <w:sz w:val="18"/>
                  </w:rPr>
                  <w:t>/</w:t>
                </w:r>
                <w:r>
                  <w:rPr>
                    <w:rFonts w:ascii="Calibri"/>
                    <w:spacing w:val="-5"/>
                    <w:sz w:val="18"/>
                  </w:rPr>
                  <w:t> </w:t>
                </w:r>
                <w:r>
                  <w:rPr>
                    <w:rFonts w:ascii="Calibri"/>
                    <w:b/>
                    <w:sz w:val="18"/>
                  </w:rPr>
                  <w:t>170</w:t>
                </w:r>
                <w:r>
                  <w:rPr>
                    <w:rFonts w:ascii="Calibri"/>
                    <w:sz w:val="18"/>
                  </w:rPr>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7738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141</w:t>
                </w:r>
                <w:r>
                  <w:rPr/>
                  <w:fldChar w:fldCharType="end"/>
                </w:r>
                <w:r>
                  <w:rPr>
                    <w:rFonts w:ascii="Calibri"/>
                    <w:b/>
                    <w:sz w:val="18"/>
                  </w:rPr>
                  <w:t> </w:t>
                </w:r>
                <w:r>
                  <w:rPr>
                    <w:rFonts w:ascii="Calibri"/>
                    <w:sz w:val="18"/>
                  </w:rPr>
                  <w:t>/</w:t>
                </w:r>
                <w:r>
                  <w:rPr>
                    <w:rFonts w:ascii="Calibri"/>
                    <w:spacing w:val="-3"/>
                    <w:sz w:val="18"/>
                  </w:rPr>
                  <w:t> </w:t>
                </w:r>
                <w:r>
                  <w:rPr>
                    <w:rFonts w:ascii="Calibri"/>
                    <w:b/>
                    <w:sz w:val="18"/>
                  </w:rPr>
                  <w:t>170</w:t>
                </w:r>
                <w:r>
                  <w:rPr>
                    <w:rFonts w:ascii="Calibri"/>
                    <w:sz w:val="18"/>
                  </w:rPr>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7737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150</w:t>
                </w:r>
                <w:r>
                  <w:rPr/>
                  <w:fldChar w:fldCharType="end"/>
                </w:r>
                <w:r>
                  <w:rPr>
                    <w:rFonts w:ascii="Calibri"/>
                    <w:b/>
                    <w:sz w:val="18"/>
                  </w:rPr>
                  <w:t> </w:t>
                </w:r>
                <w:r>
                  <w:rPr>
                    <w:rFonts w:ascii="Calibri"/>
                    <w:sz w:val="18"/>
                  </w:rPr>
                  <w:t>/</w:t>
                </w:r>
                <w:r>
                  <w:rPr>
                    <w:rFonts w:ascii="Calibri"/>
                    <w:spacing w:val="-3"/>
                    <w:sz w:val="18"/>
                  </w:rPr>
                  <w:t> </w:t>
                </w:r>
                <w:r>
                  <w:rPr>
                    <w:rFonts w:ascii="Calibri"/>
                    <w:b/>
                    <w:sz w:val="18"/>
                  </w:rPr>
                  <w:t>170</w:t>
                </w:r>
                <w:r>
                  <w:rPr>
                    <w:rFonts w:ascii="Calibri"/>
                    <w:sz w:val="18"/>
                  </w:rPr>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77375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160 </w:t>
                </w:r>
                <w:r>
                  <w:rPr>
                    <w:rFonts w:ascii="Calibri"/>
                    <w:sz w:val="18"/>
                  </w:rPr>
                  <w:t>/</w:t>
                </w:r>
                <w:r>
                  <w:rPr>
                    <w:rFonts w:ascii="Calibri"/>
                    <w:spacing w:val="-5"/>
                    <w:sz w:val="18"/>
                  </w:rPr>
                  <w:t> </w:t>
                </w:r>
                <w:r>
                  <w:rPr>
                    <w:rFonts w:ascii="Calibri"/>
                    <w:b/>
                    <w:sz w:val="18"/>
                  </w:rPr>
                  <w:t>170</w:t>
                </w:r>
                <w:r>
                  <w:rPr>
                    <w:rFonts w:ascii="Calibri"/>
                    <w:sz w:val="18"/>
                  </w:rPr>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7737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161</w:t>
                </w:r>
                <w:r>
                  <w:rPr/>
                  <w:fldChar w:fldCharType="end"/>
                </w:r>
                <w:r>
                  <w:rPr>
                    <w:rFonts w:ascii="Calibri"/>
                    <w:b/>
                    <w:sz w:val="18"/>
                  </w:rPr>
                  <w:t> </w:t>
                </w:r>
                <w:r>
                  <w:rPr>
                    <w:rFonts w:ascii="Calibri"/>
                    <w:sz w:val="18"/>
                  </w:rPr>
                  <w:t>/</w:t>
                </w:r>
                <w:r>
                  <w:rPr>
                    <w:rFonts w:ascii="Calibri"/>
                    <w:spacing w:val="-3"/>
                    <w:sz w:val="18"/>
                  </w:rPr>
                  <w:t> </w:t>
                </w:r>
                <w:r>
                  <w:rPr>
                    <w:rFonts w:ascii="Calibri"/>
                    <w:b/>
                    <w:sz w:val="18"/>
                  </w:rPr>
                  <w:t>170</w:t>
                </w:r>
                <w:r>
                  <w:rPr>
                    <w:rFonts w:ascii="Calibri"/>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77488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 </w:t>
                </w:r>
                <w:r>
                  <w:rPr>
                    <w:rFonts w:ascii="Calibri"/>
                    <w:sz w:val="18"/>
                  </w:rPr>
                  <w:t>/</w:t>
                </w:r>
                <w:r>
                  <w:rPr>
                    <w:rFonts w:ascii="Calibri"/>
                    <w:spacing w:val="-4"/>
                    <w:sz w:val="18"/>
                  </w:rPr>
                  <w:t> </w:t>
                </w:r>
                <w:r>
                  <w:rPr>
                    <w:rFonts w:ascii="Calibri"/>
                    <w:b/>
                    <w:sz w:val="18"/>
                  </w:rPr>
                  <w:t>170</w:t>
                </w:r>
                <w:r>
                  <w:rPr>
                    <w:rFonts w:ascii="Calibri"/>
                    <w:sz w:val="18"/>
                  </w:rPr>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77370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170 </w:t>
                </w:r>
                <w:r>
                  <w:rPr>
                    <w:rFonts w:ascii="Calibri"/>
                    <w:sz w:val="18"/>
                  </w:rPr>
                  <w:t>/</w:t>
                </w:r>
                <w:r>
                  <w:rPr>
                    <w:rFonts w:ascii="Calibri"/>
                    <w:spacing w:val="-5"/>
                    <w:sz w:val="18"/>
                  </w:rPr>
                  <w:t> </w:t>
                </w:r>
                <w:r>
                  <w:rPr>
                    <w:rFonts w:ascii="Calibri"/>
                    <w:b/>
                    <w:sz w:val="18"/>
                  </w:rPr>
                  <w:t>170</w:t>
                </w:r>
                <w:r>
                  <w:rPr>
                    <w:rFonts w:ascii="Calibri"/>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7748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w:t>
                </w:r>
                <w:r>
                  <w:rPr/>
                  <w:fldChar w:fldCharType="end"/>
                </w:r>
                <w:r>
                  <w:rPr>
                    <w:rFonts w:ascii="Calibri"/>
                    <w:b/>
                    <w:sz w:val="18"/>
                  </w:rPr>
                  <w:t> </w:t>
                </w:r>
                <w:r>
                  <w:rPr>
                    <w:rFonts w:ascii="Calibri"/>
                    <w:sz w:val="18"/>
                  </w:rPr>
                  <w:t>/</w:t>
                </w:r>
                <w:r>
                  <w:rPr>
                    <w:rFonts w:ascii="Calibri"/>
                    <w:spacing w:val="-3"/>
                    <w:sz w:val="18"/>
                  </w:rPr>
                  <w:t> </w:t>
                </w:r>
                <w:r>
                  <w:rPr>
                    <w:rFonts w:ascii="Calibri"/>
                    <w:b/>
                    <w:sz w:val="18"/>
                  </w:rPr>
                  <w:t>170</w:t>
                </w:r>
                <w:r>
                  <w:rPr>
                    <w:rFonts w:ascii="Calibri"/>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24.546021pt;width:33.4pt;height:11pt;mso-position-horizontal-relative:page;mso-position-vertical-relative:page;z-index:-7747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27</w:t>
                </w:r>
                <w:r>
                  <w:rPr/>
                  <w:fldChar w:fldCharType="end"/>
                </w:r>
                <w:r>
                  <w:rPr>
                    <w:rFonts w:ascii="Calibri"/>
                    <w:b/>
                    <w:sz w:val="18"/>
                  </w:rPr>
                  <w:t> </w:t>
                </w:r>
                <w:r>
                  <w:rPr>
                    <w:rFonts w:ascii="Calibri"/>
                    <w:sz w:val="18"/>
                  </w:rPr>
                  <w:t>/</w:t>
                </w:r>
                <w:r>
                  <w:rPr>
                    <w:rFonts w:ascii="Calibri"/>
                    <w:spacing w:val="-3"/>
                    <w:sz w:val="18"/>
                  </w:rPr>
                  <w:t> </w:t>
                </w:r>
                <w:r>
                  <w:rPr>
                    <w:rFonts w:ascii="Calibri"/>
                    <w:b/>
                    <w:sz w:val="18"/>
                  </w:rPr>
                  <w:t>170</w:t>
                </w:r>
                <w:r>
                  <w:rPr>
                    <w:rFonts w:ascii="Calibri"/>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2.609985pt;margin-top:524.546021pt;width:32.4pt;height:11pt;mso-position-horizontal-relative:page;mso-position-vertical-relative:page;z-index:-77476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30 </w:t>
                </w:r>
                <w:r>
                  <w:rPr>
                    <w:rFonts w:ascii="Calibri"/>
                    <w:sz w:val="18"/>
                  </w:rPr>
                  <w:t>/</w:t>
                </w:r>
                <w:r>
                  <w:rPr>
                    <w:rFonts w:ascii="Calibri"/>
                    <w:spacing w:val="-4"/>
                    <w:sz w:val="18"/>
                  </w:rPr>
                  <w:t> </w:t>
                </w:r>
                <w:r>
                  <w:rPr>
                    <w:rFonts w:ascii="Calibri"/>
                    <w:b/>
                    <w:sz w:val="18"/>
                  </w:rPr>
                  <w:t>170</w:t>
                </w:r>
                <w:r>
                  <w:rPr>
                    <w:rFonts w:ascii="Calibri"/>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24.546021pt;width:33.4pt;height:11pt;mso-position-horizontal-relative:page;mso-position-vertical-relative:page;z-index:-7747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31</w:t>
                </w:r>
                <w:r>
                  <w:rPr/>
                  <w:fldChar w:fldCharType="end"/>
                </w:r>
                <w:r>
                  <w:rPr>
                    <w:rFonts w:ascii="Calibri"/>
                    <w:b/>
                    <w:sz w:val="18"/>
                  </w:rPr>
                  <w:t> </w:t>
                </w:r>
                <w:r>
                  <w:rPr>
                    <w:rFonts w:ascii="Calibri"/>
                    <w:sz w:val="18"/>
                  </w:rPr>
                  <w:t>/</w:t>
                </w:r>
                <w:r>
                  <w:rPr>
                    <w:rFonts w:ascii="Calibri"/>
                    <w:spacing w:val="-3"/>
                    <w:sz w:val="18"/>
                  </w:rPr>
                  <w:t> </w:t>
                </w:r>
                <w:r>
                  <w:rPr>
                    <w:rFonts w:ascii="Calibri"/>
                    <w:b/>
                    <w:sz w:val="18"/>
                  </w:rPr>
                  <w:t>170</w:t>
                </w:r>
                <w:r>
                  <w:rPr>
                    <w:rFonts w:ascii="Calibri"/>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7746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36</w:t>
                </w:r>
                <w:r>
                  <w:rPr/>
                  <w:fldChar w:fldCharType="end"/>
                </w:r>
                <w:r>
                  <w:rPr>
                    <w:rFonts w:ascii="Calibri"/>
                    <w:b/>
                    <w:sz w:val="18"/>
                  </w:rPr>
                  <w:t> </w:t>
                </w:r>
                <w:r>
                  <w:rPr>
                    <w:rFonts w:ascii="Calibri"/>
                    <w:sz w:val="18"/>
                  </w:rPr>
                  <w:t>/</w:t>
                </w:r>
                <w:r>
                  <w:rPr>
                    <w:rFonts w:ascii="Calibri"/>
                    <w:spacing w:val="-3"/>
                    <w:sz w:val="18"/>
                  </w:rPr>
                  <w:t> </w:t>
                </w:r>
                <w:r>
                  <w:rPr>
                    <w:rFonts w:ascii="Calibri"/>
                    <w:b/>
                    <w:sz w:val="18"/>
                  </w:rPr>
                  <w:t>170</w:t>
                </w:r>
                <w:r>
                  <w:rPr>
                    <w:rFonts w:ascii="Calibri"/>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775000"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76.489990pt;margin-top:42.985607pt;width:67.55pt;height:12pt;mso-position-horizontal-relative:page;mso-position-vertical-relative:page;z-index:-77497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920006pt;width:695.65pt;height:.1pt;mso-position-horizontal-relative:page;mso-position-vertical-relative:page;z-index:-774832" coordorigin="1411,1118" coordsize="13913,2">
          <v:shape style="position:absolute;left:1411;top:1118;width:13913;height:2" coordorigin="1411,1118" coordsize="13913,0" path="m1411,1118l15324,1118e" filled="false" stroked="true" strokeweight=".72pt" strokecolor="#000000">
            <v:path arrowok="t"/>
          </v:shape>
          <w10:wrap type="none"/>
        </v:group>
      </w:pict>
    </w:r>
    <w:r>
      <w:rPr/>
      <w:pict>
        <v:shape style="position:absolute;margin-left:384.609985pt;margin-top:43.105633pt;width:67.55pt;height:12pt;mso-position-horizontal-relative:page;mso-position-vertical-relative:page;z-index:-77480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774712"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 style="position:absolute;margin-left:276.489990pt;margin-top:42.985607pt;width:67.55pt;height:12pt;mso-position-horizontal-relative:page;mso-position-vertical-relative:page;z-index:-77468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400002pt;margin-top:55.919983pt;width:443.65pt;height:.1pt;mso-position-horizontal-relative:page;mso-position-vertical-relative:page;z-index:-774568" coordorigin="1248,1118" coordsize="8873,2">
          <v:shape style="position:absolute;left:1248;top:1118;width:8873;height:2" coordorigin="1248,1118" coordsize="8873,0" path="m1248,1118l10120,1118e" filled="false" stroked="true" strokeweight=".72pt" strokecolor="#000000">
            <v:path arrowok="t"/>
          </v:shape>
          <w10:wrap type="none"/>
        </v:group>
      </w:pict>
    </w:r>
    <w:r>
      <w:rPr/>
      <w:pict>
        <v:shape style="position:absolute;margin-left:250.449997pt;margin-top:43.105606pt;width:67.55pt;height:12pt;mso-position-horizontal-relative:page;mso-position-vertical-relative:page;z-index:-77454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559982pt;width:443.6pt;height:.1pt;mso-position-horizontal-relative:page;mso-position-vertical-relative:page;z-index:-774496" coordorigin="1769,1111" coordsize="8872,2">
          <v:shape style="position:absolute;left:1769;top:1111;width:8872;height:2" coordorigin="1769,1111" coordsize="8872,0" path="m1769,1111l10641,1111e" filled="false" stroked="true" strokeweight=".72pt" strokecolor="#000000">
            <v:path arrowok="t"/>
          </v:shape>
          <w10:wrap type="none"/>
        </v:group>
      </w:pict>
    </w:r>
    <w:r>
      <w:rPr/>
      <w:pict>
        <v:shape style="position:absolute;margin-left:276.489990pt;margin-top:42.865608pt;width:67.55pt;height:12pt;mso-position-horizontal-relative:page;mso-position-vertical-relative:page;z-index:-77447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920006pt;width:695.65pt;height:.1pt;mso-position-horizontal-relative:page;mso-position-vertical-relative:page;z-index:-774304" coordorigin="1495,1118" coordsize="13913,2">
          <v:shape style="position:absolute;left:1495;top:1118;width:13913;height:2" coordorigin="1495,1118" coordsize="13913,0" path="m1495,1118l15408,1118e" filled="false" stroked="true" strokeweight=".72pt" strokecolor="#000000">
            <v:path arrowok="t"/>
          </v:shape>
          <w10:wrap type="none"/>
        </v:group>
      </w:pict>
    </w:r>
    <w:r>
      <w:rPr/>
      <w:pict>
        <v:shape style="position:absolute;margin-left:388.809998pt;margin-top:43.105633pt;width:67.55pt;height:12pt;mso-position-horizontal-relative:page;mso-position-vertical-relative:page;z-index:-77428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774232"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6.489990pt;margin-top:43.105606pt;width:67.55pt;height:12pt;mso-position-horizontal-relative:page;mso-position-vertical-relative:page;z-index:-77420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773824"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6.489990pt;margin-top:43.105606pt;width:67.55pt;height:12pt;mso-position-horizontal-relative:page;mso-position-vertical-relative:page;z-index:-77380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17"/>
      <w:ind w:left="138"/>
    </w:pPr>
    <w:rPr>
      <w:rFonts w:ascii="宋体" w:hAnsi="宋体" w:eastAsia="宋体"/>
      <w:b/>
      <w:bCs/>
      <w:sz w:val="21"/>
      <w:szCs w:val="21"/>
    </w:rPr>
  </w:style>
  <w:style w:styleId="BodyText" w:type="paragraph">
    <w:name w:val="Body Text"/>
    <w:basedOn w:val="Normal"/>
    <w:uiPriority w:val="1"/>
    <w:qFormat/>
    <w:pPr>
      <w:ind w:left="218"/>
    </w:pPr>
    <w:rPr>
      <w:rFonts w:ascii="宋体" w:hAnsi="宋体" w:eastAsia="宋体"/>
      <w:sz w:val="21"/>
      <w:szCs w:val="21"/>
    </w:rPr>
  </w:style>
  <w:style w:styleId="Heading1" w:type="paragraph">
    <w:name w:val="Heading 1"/>
    <w:basedOn w:val="Normal"/>
    <w:uiPriority w:val="1"/>
    <w:qFormat/>
    <w:pPr>
      <w:outlineLvl w:val="1"/>
    </w:pPr>
    <w:rPr>
      <w:rFonts w:ascii="黑体" w:hAnsi="黑体" w:eastAsia="黑体"/>
      <w:b/>
      <w:bCs/>
      <w:sz w:val="28"/>
      <w:szCs w:val="28"/>
    </w:rPr>
  </w:style>
  <w:style w:styleId="Heading2" w:type="paragraph">
    <w:name w:val="Heading 2"/>
    <w:basedOn w:val="Normal"/>
    <w:uiPriority w:val="1"/>
    <w:qFormat/>
    <w:pPr>
      <w:ind w:left="218"/>
      <w:outlineLvl w:val="2"/>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hyperlink" Target="mailto:antong@renjian.cn" TargetMode="External"/><Relationship Id="rId9" Type="http://schemas.openxmlformats.org/officeDocument/2006/relationships/hyperlink" Target="http://www.sse.com.cn/" TargetMode="Externa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header" Target="header2.xml"/><Relationship Id="rId15" Type="http://schemas.openxmlformats.org/officeDocument/2006/relationships/footer" Target="footer6.xml"/><Relationship Id="rId16" Type="http://schemas.openxmlformats.org/officeDocument/2006/relationships/footer" Target="footer7.xml"/><Relationship Id="rId17" Type="http://schemas.openxmlformats.org/officeDocument/2006/relationships/footer" Target="footer8.xml"/><Relationship Id="rId18" Type="http://schemas.openxmlformats.org/officeDocument/2006/relationships/header" Target="header3.xml"/><Relationship Id="rId19" Type="http://schemas.openxmlformats.org/officeDocument/2006/relationships/footer" Target="footer9.xml"/><Relationship Id="rId20" Type="http://schemas.openxmlformats.org/officeDocument/2006/relationships/footer" Target="footer10.xml"/><Relationship Id="rId21" Type="http://schemas.openxmlformats.org/officeDocument/2006/relationships/footer" Target="footer11.xml"/><Relationship Id="rId22" Type="http://schemas.openxmlformats.org/officeDocument/2006/relationships/image" Target="media/image2.jpeg"/><Relationship Id="rId23" Type="http://schemas.openxmlformats.org/officeDocument/2006/relationships/footer" Target="footer12.xml"/><Relationship Id="rId24" Type="http://schemas.openxmlformats.org/officeDocument/2006/relationships/header" Target="header4.xml"/><Relationship Id="rId25" Type="http://schemas.openxmlformats.org/officeDocument/2006/relationships/footer" Target="footer13.xml"/><Relationship Id="rId26" Type="http://schemas.openxmlformats.org/officeDocument/2006/relationships/header" Target="header5.xml"/><Relationship Id="rId27" Type="http://schemas.openxmlformats.org/officeDocument/2006/relationships/footer" Target="footer14.xml"/><Relationship Id="rId28" Type="http://schemas.openxmlformats.org/officeDocument/2006/relationships/footer" Target="footer15.xml"/><Relationship Id="rId29" Type="http://schemas.openxmlformats.org/officeDocument/2006/relationships/footer" Target="footer16.xml"/><Relationship Id="rId30" Type="http://schemas.openxmlformats.org/officeDocument/2006/relationships/footer" Target="footer17.xml"/><Relationship Id="rId31" Type="http://schemas.openxmlformats.org/officeDocument/2006/relationships/footer" Target="footer18.xml"/><Relationship Id="rId32" Type="http://schemas.openxmlformats.org/officeDocument/2006/relationships/footer" Target="footer19.xml"/><Relationship Id="rId33" Type="http://schemas.openxmlformats.org/officeDocument/2006/relationships/header" Target="header6.xml"/><Relationship Id="rId34" Type="http://schemas.openxmlformats.org/officeDocument/2006/relationships/footer" Target="footer20.xml"/><Relationship Id="rId35" Type="http://schemas.openxmlformats.org/officeDocument/2006/relationships/header" Target="header7.xml"/><Relationship Id="rId36" Type="http://schemas.openxmlformats.org/officeDocument/2006/relationships/footer" Target="footer21.xml"/><Relationship Id="rId37" Type="http://schemas.openxmlformats.org/officeDocument/2006/relationships/footer" Target="footer22.xml"/><Relationship Id="rId38" Type="http://schemas.openxmlformats.org/officeDocument/2006/relationships/footer" Target="footer23.xml"/><Relationship Id="rId39" Type="http://schemas.openxmlformats.org/officeDocument/2006/relationships/footer" Target="footer24.xml"/><Relationship Id="rId40" Type="http://schemas.openxmlformats.org/officeDocument/2006/relationships/footer" Target="footer25.xml"/><Relationship Id="rId41" Type="http://schemas.openxmlformats.org/officeDocument/2006/relationships/footer" Target="footer26.xml"/><Relationship Id="rId42" Type="http://schemas.openxmlformats.org/officeDocument/2006/relationships/footer" Target="footer27.xml"/><Relationship Id="rId43" Type="http://schemas.openxmlformats.org/officeDocument/2006/relationships/footer" Target="footer28.xml"/><Relationship Id="rId44" Type="http://schemas.openxmlformats.org/officeDocument/2006/relationships/footer" Target="footer29.xml"/><Relationship Id="rId45" Type="http://schemas.openxmlformats.org/officeDocument/2006/relationships/footer" Target="footer30.xml"/><Relationship Id="rId46" Type="http://schemas.openxmlformats.org/officeDocument/2006/relationships/footer" Target="footer31.xml"/><Relationship Id="rId47" Type="http://schemas.openxmlformats.org/officeDocument/2006/relationships/footer" Target="footer32.xml"/><Relationship Id="rId48" Type="http://schemas.openxmlformats.org/officeDocument/2006/relationships/footer" Target="footer33.xml"/><Relationship Id="rId49" Type="http://schemas.openxmlformats.org/officeDocument/2006/relationships/footer" Target="footer34.xml"/><Relationship Id="rId50" Type="http://schemas.openxmlformats.org/officeDocument/2006/relationships/footer" Target="footer35.xml"/><Relationship Id="rId51" Type="http://schemas.openxmlformats.org/officeDocument/2006/relationships/header" Target="header8.xml"/><Relationship Id="rId52" Type="http://schemas.openxmlformats.org/officeDocument/2006/relationships/footer" Target="footer36.xml"/><Relationship Id="rId53" Type="http://schemas.openxmlformats.org/officeDocument/2006/relationships/header" Target="header9.xml"/><Relationship Id="rId54" Type="http://schemas.openxmlformats.org/officeDocument/2006/relationships/footer" Target="footer37.xml"/><Relationship Id="rId55" Type="http://schemas.openxmlformats.org/officeDocument/2006/relationships/footer" Target="footer38.xml"/><Relationship Id="rId56" Type="http://schemas.openxmlformats.org/officeDocument/2006/relationships/footer" Target="footer39.xml"/><Relationship Id="rId57" Type="http://schemas.openxmlformats.org/officeDocument/2006/relationships/footer" Target="footer4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2020-05-03T02:07:31Z</dcterms:created>
  <dcterms:modified xsi:type="dcterms:W3CDTF">2020-05-03T02:07:31Z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2018-05-24T00:00:00Z</vt:filetime>
  </property>
  <property fmtid="{D5CDD505-2E9C-101B-9397-08002B2CF9AE}" pid="3" name="Creator">
    <vt:lpwstr>Microsoft® Office Word 2007</vt:lpwstr>
  </property>
  <property fmtid="{D5CDD505-2E9C-101B-9397-08002B2CF9AE}" pid="4" name="LastSaved">
    <vt:filetime>2020-05-02T00:00:00Z</vt:filetime>
  </property>
</Properties>
</file>