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5.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5.xml" ContentType="application/vnd.openxmlformats-officedocument.wordprocessingml.footer+xml"/>
  <Override PartName="/word/header8.xml" ContentType="application/vnd.openxmlformats-officedocument.wordprocessingml.header+xml"/>
  <Override PartName="/word/footer26.xml" ContentType="application/vnd.openxmlformats-officedocument.wordprocessingml.footer+xml"/>
  <Override PartName="/word/header9.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0.xml" ContentType="application/vnd.openxmlformats-officedocument.wordprocessingml.header+xml"/>
  <Override PartName="/word/footer3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240" w:val="left" w:leader="none"/>
        </w:tabs>
        <w:spacing w:line="240" w:lineRule="auto" w:before="36"/>
        <w:ind w:left="405" w:right="0"/>
        <w:jc w:val="center"/>
      </w:pPr>
      <w:r>
        <w:rPr>
          <w:spacing w:val="-4"/>
        </w:rPr>
        <w:t>公司代码：</w:t>
      </w:r>
      <w:r>
        <w:rPr>
          <w:rFonts w:ascii="宋体" w:hAnsi="宋体" w:cs="宋体" w:eastAsia="宋体" w:hint="default"/>
          <w:spacing w:val="-4"/>
        </w:rPr>
        <w:t>600190/900952</w:t>
        <w:tab/>
      </w:r>
      <w:r>
        <w:rPr>
          <w:spacing w:val="-5"/>
        </w:rPr>
        <w:t>公司简称：锦州港</w:t>
      </w:r>
      <w:r>
        <w:rPr>
          <w:rFonts w:ascii="宋体" w:hAnsi="宋体" w:cs="宋体" w:eastAsia="宋体" w:hint="default"/>
          <w:spacing w:val="-5"/>
        </w:rPr>
        <w:t>/</w:t>
      </w:r>
      <w:r>
        <w:rPr>
          <w:spacing w:val="-5"/>
        </w:rPr>
        <w:t>锦港Ｂ股</w:t>
      </w:r>
    </w:p>
    <w:p>
      <w:pPr>
        <w:spacing w:line="240" w:lineRule="auto" w:before="0"/>
        <w:rPr>
          <w:rFonts w:ascii="宋体" w:hAnsi="宋体" w:cs="宋体" w:eastAsia="宋体" w:hint="default"/>
          <w:sz w:val="20"/>
          <w:szCs w:val="20"/>
        </w:rPr>
      </w:pPr>
    </w:p>
    <w:p>
      <w:pPr>
        <w:spacing w:line="572" w:lineRule="exact" w:before="146"/>
        <w:ind w:left="3413" w:right="2372" w:hanging="615"/>
        <w:jc w:val="left"/>
        <w:rPr>
          <w:rFonts w:ascii="黑体" w:hAnsi="黑体" w:cs="黑体" w:eastAsia="黑体" w:hint="default"/>
          <w:sz w:val="44"/>
          <w:szCs w:val="44"/>
        </w:rPr>
      </w:pPr>
      <w:r>
        <w:rPr>
          <w:rFonts w:ascii="黑体" w:hAnsi="黑体" w:cs="黑体" w:eastAsia="黑体" w:hint="default"/>
          <w:b/>
          <w:bCs/>
          <w:color w:val="FF0000"/>
          <w:sz w:val="44"/>
          <w:szCs w:val="44"/>
        </w:rPr>
        <w:t>锦州港股份有限公司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2015</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47"/>
        <w:ind w:left="541"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2"/>
        <w:spacing w:line="357" w:lineRule="auto" w:before="0"/>
        <w:ind w:left="52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pStyle w:val="Heading2"/>
        <w:spacing w:line="240" w:lineRule="auto" w:before="30"/>
        <w:ind w:left="158" w:right="2372"/>
        <w:jc w:val="left"/>
        <w:rPr>
          <w:b w:val="0"/>
          <w:bCs w:val="0"/>
        </w:rPr>
      </w:pPr>
      <w:r>
        <w:rPr/>
        <w:t>二、</w:t>
      </w:r>
      <w:r>
        <w:rPr>
          <w:spacing w:val="-77"/>
        </w:rPr>
        <w:t> </w:t>
      </w:r>
      <w:r>
        <w:rPr/>
        <w:t>未出席董事情况</w:t>
      </w:r>
      <w:r>
        <w:rPr>
          <w:b w:val="0"/>
          <w:bCs w:val="0"/>
        </w:rPr>
      </w:r>
    </w:p>
    <w:p>
      <w:pPr>
        <w:spacing w:line="240" w:lineRule="auto" w:before="10"/>
        <w:rPr>
          <w:rFonts w:ascii="宋体" w:hAnsi="宋体" w:cs="宋体" w:eastAsia="宋体" w:hint="default"/>
          <w:b/>
          <w:bCs/>
          <w:sz w:val="12"/>
          <w:szCs w:val="12"/>
        </w:rPr>
      </w:pPr>
    </w:p>
    <w:tbl>
      <w:tblPr>
        <w:tblW w:w="0" w:type="auto"/>
        <w:jc w:val="left"/>
        <w:tblInd w:w="112" w:type="dxa"/>
        <w:tblLayout w:type="fixed"/>
        <w:tblCellMar>
          <w:top w:w="0" w:type="dxa"/>
          <w:left w:w="0" w:type="dxa"/>
          <w:bottom w:w="0" w:type="dxa"/>
          <w:right w:w="0" w:type="dxa"/>
        </w:tblCellMar>
        <w:tblLook w:val="01E0"/>
      </w:tblPr>
      <w:tblGrid>
        <w:gridCol w:w="1987"/>
        <w:gridCol w:w="2197"/>
        <w:gridCol w:w="2309"/>
        <w:gridCol w:w="2403"/>
      </w:tblGrid>
      <w:tr>
        <w:trPr>
          <w:trHeight w:val="374" w:hRule="exact"/>
        </w:trPr>
        <w:tc>
          <w:tcPr>
            <w:tcW w:w="198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
              <w:ind w:right="5"/>
              <w:jc w:val="center"/>
              <w:rPr>
                <w:rFonts w:ascii="宋体" w:hAnsi="宋体" w:cs="宋体" w:eastAsia="宋体" w:hint="default"/>
                <w:sz w:val="21"/>
                <w:szCs w:val="21"/>
              </w:rPr>
            </w:pPr>
            <w:r>
              <w:rPr>
                <w:rFonts w:ascii="宋体" w:hAnsi="宋体" w:cs="宋体" w:eastAsia="宋体" w:hint="default"/>
                <w:sz w:val="21"/>
                <w:szCs w:val="21"/>
              </w:rPr>
              <w:t>未出席董事职务</w:t>
            </w:r>
          </w:p>
        </w:tc>
        <w:tc>
          <w:tcPr>
            <w:tcW w:w="21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left="3" w:right="0"/>
              <w:jc w:val="center"/>
              <w:rPr>
                <w:rFonts w:ascii="宋体" w:hAnsi="宋体" w:cs="宋体" w:eastAsia="宋体" w:hint="default"/>
                <w:sz w:val="21"/>
                <w:szCs w:val="21"/>
              </w:rPr>
            </w:pPr>
            <w:r>
              <w:rPr>
                <w:rFonts w:ascii="宋体" w:hAnsi="宋体" w:cs="宋体" w:eastAsia="宋体" w:hint="default"/>
                <w:sz w:val="21"/>
                <w:szCs w:val="21"/>
              </w:rPr>
              <w:t>未出席董事姓名</w:t>
            </w:r>
          </w:p>
        </w:tc>
        <w:tc>
          <w:tcPr>
            <w:tcW w:w="23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未出席董事的原因说明</w:t>
            </w:r>
          </w:p>
        </w:tc>
        <w:tc>
          <w:tcPr>
            <w:tcW w:w="240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
              <w:ind w:left="4" w:right="0"/>
              <w:jc w:val="center"/>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314" w:hRule="exact"/>
        </w:trPr>
        <w:tc>
          <w:tcPr>
            <w:tcW w:w="1987" w:type="dxa"/>
            <w:tcBorders>
              <w:top w:val="single" w:sz="6" w:space="0" w:color="000000"/>
              <w:left w:val="single" w:sz="12" w:space="0" w:color="000000"/>
              <w:bottom w:val="single" w:sz="12"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197"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迟宝璋</w:t>
            </w:r>
          </w:p>
        </w:tc>
        <w:tc>
          <w:tcPr>
            <w:tcW w:w="2309"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外事活动</w:t>
            </w:r>
          </w:p>
        </w:tc>
        <w:tc>
          <w:tcPr>
            <w:tcW w:w="2403" w:type="dxa"/>
            <w:tcBorders>
              <w:top w:val="single" w:sz="6" w:space="0" w:color="000000"/>
              <w:left w:val="single" w:sz="6" w:space="0" w:color="000000"/>
              <w:bottom w:val="single" w:sz="12" w:space="0" w:color="000000"/>
              <w:right w:val="single" w:sz="12"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王君选</w:t>
            </w:r>
          </w:p>
        </w:tc>
      </w:tr>
    </w:tbl>
    <w:p>
      <w:pPr>
        <w:pStyle w:val="Heading2"/>
        <w:spacing w:line="240" w:lineRule="auto" w:before="88"/>
        <w:ind w:left="158" w:right="0"/>
        <w:jc w:val="left"/>
        <w:rPr>
          <w:b w:val="0"/>
          <w:bCs w:val="0"/>
        </w:rPr>
      </w:pPr>
      <w:r>
        <w:rPr/>
        <w:t>三、</w:t>
      </w:r>
      <w:r>
        <w:rPr>
          <w:spacing w:val="-14"/>
        </w:rPr>
        <w:t> </w:t>
      </w:r>
      <w:r>
        <w:rPr/>
        <w:t>致同会计师事务所（特殊普通合伙）为本公司出具了标准无保留意见的审计报告。</w:t>
      </w:r>
      <w:r>
        <w:rPr>
          <w:b w:val="0"/>
          <w:bCs w:val="0"/>
        </w:rPr>
      </w:r>
    </w:p>
    <w:p>
      <w:pPr>
        <w:pStyle w:val="Heading2"/>
        <w:spacing w:line="272" w:lineRule="exact" w:before="146"/>
        <w:ind w:left="158" w:right="168"/>
        <w:jc w:val="both"/>
        <w:rPr>
          <w:b w:val="0"/>
          <w:bCs w:val="0"/>
        </w:rPr>
      </w:pPr>
      <w:r>
        <w:rPr>
          <w:spacing w:val="-1"/>
        </w:rPr>
        <w:t>四、公司负责人徐健、主管会计工作负责人王兴山及会计机构负责人（会计主管人员）陈晓建声</w:t>
      </w:r>
      <w:r>
        <w:rPr>
          <w:spacing w:val="-86"/>
        </w:rPr>
        <w:t> </w:t>
      </w:r>
      <w:r>
        <w:rPr>
          <w:spacing w:val="-86"/>
        </w:rPr>
      </w:r>
      <w:r>
        <w:rPr/>
        <w:t>明：保证年度报告中财务报告的真实、准确、完整。</w:t>
      </w:r>
      <w:r>
        <w:rPr>
          <w:b w:val="0"/>
          <w:bCs w:val="0"/>
        </w:rPr>
      </w:r>
    </w:p>
    <w:p>
      <w:pPr>
        <w:pStyle w:val="Heading2"/>
        <w:spacing w:line="240" w:lineRule="auto" w:before="94"/>
        <w:ind w:left="158" w:right="2372"/>
        <w:jc w:val="left"/>
        <w:rPr>
          <w:b w:val="0"/>
          <w:bCs w:val="0"/>
        </w:rPr>
      </w:pPr>
      <w:r>
        <w:rPr/>
        <w:t>五、</w:t>
      </w:r>
      <w:r>
        <w:rPr>
          <w:spacing w:val="-41"/>
        </w:rPr>
        <w:t> </w:t>
      </w:r>
      <w:r>
        <w:rPr/>
        <w:t>经董事会审议的报告期利润分配预案或公积金转增股本预案</w:t>
      </w:r>
      <w:r>
        <w:rPr>
          <w:b w:val="0"/>
          <w:bCs w:val="0"/>
        </w:rPr>
      </w:r>
    </w:p>
    <w:p>
      <w:pPr>
        <w:pStyle w:val="BodyText"/>
        <w:spacing w:line="274" w:lineRule="exact" w:before="116"/>
        <w:ind w:left="578" w:right="0"/>
        <w:jc w:val="left"/>
      </w:pPr>
      <w:r>
        <w:rPr>
          <w:spacing w:val="10"/>
        </w:rPr>
        <w:t>经本公司第八届董事会第二十八次会议审议通过，以截至 </w:t>
      </w:r>
      <w:r>
        <w:rPr>
          <w:rFonts w:ascii="宋体" w:hAnsi="宋体" w:cs="宋体" w:eastAsia="宋体" w:hint="default"/>
        </w:rPr>
        <w:t>2015 </w:t>
      </w:r>
      <w:r>
        <w:rPr/>
        <w:t>年 </w:t>
      </w:r>
      <w:r>
        <w:rPr>
          <w:rFonts w:ascii="宋体" w:hAnsi="宋体" w:cs="宋体" w:eastAsia="宋体" w:hint="default"/>
        </w:rPr>
        <w:t>12 </w:t>
      </w:r>
      <w:r>
        <w:rPr/>
        <w:t>月 </w:t>
      </w:r>
      <w:r>
        <w:rPr>
          <w:rFonts w:ascii="宋体" w:hAnsi="宋体" w:cs="宋体" w:eastAsia="宋体" w:hint="default"/>
        </w:rPr>
        <w:t>31 </w:t>
      </w:r>
      <w:r>
        <w:rPr>
          <w:rFonts w:ascii="宋体" w:hAnsi="宋体" w:cs="宋体" w:eastAsia="宋体" w:hint="default"/>
          <w:spacing w:val="37"/>
        </w:rPr>
        <w:t> </w:t>
      </w:r>
      <w:r>
        <w:rPr>
          <w:spacing w:val="11"/>
        </w:rPr>
        <w:t>日总股本</w:t>
      </w:r>
      <w:r>
        <w:rPr/>
      </w:r>
    </w:p>
    <w:p>
      <w:pPr>
        <w:pStyle w:val="BodyText"/>
        <w:spacing w:line="237" w:lineRule="auto" w:before="2"/>
        <w:ind w:left="158" w:right="168"/>
        <w:jc w:val="both"/>
      </w:pPr>
      <w:r>
        <w:rPr>
          <w:rFonts w:ascii="宋体" w:hAnsi="宋体" w:cs="宋体" w:eastAsia="宋体" w:hint="default"/>
        </w:rPr>
        <w:t>2,002,291,500</w:t>
      </w:r>
      <w:r>
        <w:rPr>
          <w:rFonts w:ascii="宋体" w:hAnsi="宋体" w:cs="宋体" w:eastAsia="宋体" w:hint="default"/>
          <w:spacing w:val="17"/>
        </w:rPr>
        <w:t> </w:t>
      </w:r>
      <w:r>
        <w:rPr>
          <w:spacing w:val="-4"/>
        </w:rPr>
        <w:t>股为基数，拟向全体股东每</w:t>
      </w:r>
      <w:r>
        <w:rPr>
          <w:spacing w:val="21"/>
        </w:rPr>
        <w:t> </w:t>
      </w:r>
      <w:r>
        <w:rPr>
          <w:rFonts w:ascii="宋体" w:hAnsi="宋体" w:cs="宋体" w:eastAsia="宋体" w:hint="default"/>
        </w:rPr>
        <w:t>10</w:t>
      </w:r>
      <w:r>
        <w:rPr>
          <w:rFonts w:ascii="宋体" w:hAnsi="宋体" w:cs="宋体" w:eastAsia="宋体" w:hint="default"/>
          <w:spacing w:val="18"/>
        </w:rPr>
        <w:t> </w:t>
      </w:r>
      <w:r>
        <w:rPr>
          <w:spacing w:val="-5"/>
        </w:rPr>
        <w:t>股派发现金股利人民币</w:t>
      </w:r>
      <w:r>
        <w:rPr>
          <w:rFonts w:ascii="宋体" w:hAnsi="宋体" w:cs="宋体" w:eastAsia="宋体" w:hint="default"/>
          <w:spacing w:val="-5"/>
        </w:rPr>
        <w:t>0.2</w:t>
      </w:r>
      <w:r>
        <w:rPr>
          <w:spacing w:val="-5"/>
        </w:rPr>
        <w:t>元（含税），共分配现</w:t>
      </w:r>
      <w:r>
        <w:rPr>
          <w:spacing w:val="-101"/>
        </w:rPr>
        <w:t> </w:t>
      </w:r>
      <w:r>
        <w:rPr>
          <w:spacing w:val="-101"/>
        </w:rPr>
      </w:r>
      <w:r>
        <w:rPr>
          <w:spacing w:val="-4"/>
        </w:rPr>
        <w:t>金股利人民币</w:t>
      </w:r>
      <w:r>
        <w:rPr>
          <w:rFonts w:ascii="宋体" w:hAnsi="宋体" w:cs="宋体" w:eastAsia="宋体" w:hint="default"/>
          <w:spacing w:val="-4"/>
        </w:rPr>
        <w:t>40,045,830.00</w:t>
      </w:r>
      <w:r>
        <w:rPr>
          <w:spacing w:val="-4"/>
        </w:rPr>
        <w:t>元。本年度不进行资本公积转增股本。此次分配后剩余可分配利润转</w:t>
      </w:r>
      <w:r>
        <w:rPr>
          <w:spacing w:val="-14"/>
        </w:rPr>
        <w:t> </w:t>
      </w:r>
      <w:r>
        <w:rPr>
          <w:spacing w:val="-14"/>
        </w:rPr>
      </w:r>
      <w:r>
        <w:rPr/>
        <w:t>入下一年度，用于公司生产经营及以后年度分配。</w:t>
      </w:r>
    </w:p>
    <w:p>
      <w:pPr>
        <w:spacing w:line="394" w:lineRule="exact" w:before="46"/>
        <w:ind w:left="578" w:right="0" w:hanging="42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25"/>
          <w:sz w:val="21"/>
          <w:szCs w:val="21"/>
        </w:rPr>
        <w:t> </w:t>
      </w:r>
      <w:r>
        <w:rPr>
          <w:rFonts w:ascii="宋体" w:hAnsi="宋体" w:cs="宋体" w:eastAsia="宋体" w:hint="default"/>
          <w:b/>
          <w:bCs/>
          <w:sz w:val="21"/>
          <w:szCs w:val="21"/>
        </w:rPr>
        <w:t>前瞻性陈述的风险声明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本报告所涉及的各项公司对未来企业战略、业务发展、经营计划、财务状况等前瞻性描述，</w:t>
      </w:r>
    </w:p>
    <w:p>
      <w:pPr>
        <w:pStyle w:val="BodyText"/>
        <w:spacing w:line="221" w:lineRule="exact"/>
        <w:ind w:left="158" w:right="0"/>
        <w:jc w:val="left"/>
      </w:pPr>
      <w:r>
        <w:rPr/>
        <w:t>是基于当前公司能够掌握的信息和数据对未来所作出的估计或预测，不构成公司对投资者的实质</w:t>
      </w:r>
    </w:p>
    <w:p>
      <w:pPr>
        <w:pStyle w:val="BodyText"/>
        <w:spacing w:line="274" w:lineRule="exact"/>
        <w:ind w:left="158" w:right="2372"/>
        <w:jc w:val="left"/>
      </w:pPr>
      <w:r>
        <w:rPr/>
        <w:t>性承诺，敬请投资者注意投资风险。</w:t>
      </w:r>
    </w:p>
    <w:p>
      <w:pPr>
        <w:pStyle w:val="Heading2"/>
        <w:spacing w:line="343" w:lineRule="auto" w:before="116"/>
        <w:ind w:left="578" w:right="3507" w:hanging="420"/>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pStyle w:val="Heading2"/>
        <w:tabs>
          <w:tab w:pos="801" w:val="left" w:leader="none"/>
        </w:tabs>
        <w:spacing w:line="340" w:lineRule="auto" w:before="26"/>
        <w:ind w:left="578" w:right="3723" w:hanging="420"/>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Heading2"/>
        <w:tabs>
          <w:tab w:pos="801" w:val="left" w:leader="none"/>
        </w:tabs>
        <w:spacing w:line="240" w:lineRule="auto" w:before="30"/>
        <w:ind w:left="158" w:right="2372"/>
        <w:jc w:val="left"/>
        <w:rPr>
          <w:b w:val="0"/>
          <w:bCs w:val="0"/>
        </w:rPr>
      </w:pPr>
      <w:r>
        <w:rPr/>
        <w:t>九、</w:t>
        <w:tab/>
        <w:t>重大风险提示</w:t>
      </w:r>
      <w:r>
        <w:rPr>
          <w:b w:val="0"/>
          <w:bCs w:val="0"/>
        </w:rPr>
      </w:r>
    </w:p>
    <w:p>
      <w:pPr>
        <w:pStyle w:val="BodyText"/>
        <w:spacing w:line="240" w:lineRule="auto" w:before="116"/>
        <w:ind w:left="158" w:right="0" w:firstLine="419"/>
        <w:jc w:val="left"/>
      </w:pPr>
      <w:r>
        <w:rPr>
          <w:spacing w:val="-2"/>
        </w:rPr>
        <w:t>公司已在本报告中详细描述存在的风险因素，敬请查阅第四节“管理层讨论与分析”中公司</w:t>
      </w:r>
      <w:r>
        <w:rPr>
          <w:w w:val="100"/>
        </w:rPr>
        <w:t> </w:t>
      </w:r>
      <w:r>
        <w:rPr/>
        <w:t>关于公司未来发展的讨论与分析可能面对的风险部分。</w:t>
      </w:r>
    </w:p>
    <w:p>
      <w:pPr>
        <w:spacing w:after="0" w:line="240" w:lineRule="auto"/>
        <w:jc w:val="left"/>
        <w:sectPr>
          <w:headerReference w:type="default" r:id="rId5"/>
          <w:footerReference w:type="default" r:id="rId6"/>
          <w:type w:val="continuous"/>
          <w:pgSz w:w="11910" w:h="16840"/>
          <w:pgMar w:header="880" w:footer="1195" w:top="1120" w:bottom="1380" w:left="1640" w:right="1100"/>
          <w:pgNumType w:start="1"/>
        </w:sectPr>
      </w:pPr>
    </w:p>
    <w:p>
      <w:pPr>
        <w:spacing w:line="240" w:lineRule="auto" w:before="0"/>
        <w:rPr>
          <w:rFonts w:ascii="宋体" w:hAnsi="宋体" w:cs="宋体" w:eastAsia="宋体" w:hint="default"/>
          <w:sz w:val="26"/>
          <w:szCs w:val="26"/>
        </w:rPr>
      </w:pPr>
    </w:p>
    <w:p>
      <w:pPr>
        <w:spacing w:before="14"/>
        <w:ind w:left="3342" w:right="2778"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3</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10">
            <w:r>
              <w:rPr/>
              <w:t>第二节</w:t>
              <w:tab/>
              <w:t>公司简介和主要财务指标</w:t>
            </w:r>
            <w:r>
              <w:rPr>
                <w:rFonts w:ascii="Times New Roman" w:hAnsi="Times New Roman" w:cs="Times New Roman" w:eastAsia="Times New Roman" w:hint="default"/>
              </w:rPr>
              <w:tab/>
              <w:t>4</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9">
            <w:r>
              <w:rPr/>
              <w:t>第三节</w:t>
              <w:tab/>
              <w:t>公司业务概要</w:t>
            </w:r>
            <w:r>
              <w:rPr>
                <w:rFonts w:ascii="Times New Roman" w:hAnsi="Times New Roman" w:cs="Times New Roman" w:eastAsia="Times New Roman" w:hint="default"/>
              </w:rPr>
              <w:tab/>
              <w:t>7</w:t>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rPr>
          </w:pPr>
          <w:hyperlink w:history="true" w:anchor="_TOC_250008">
            <w:r>
              <w:rPr/>
              <w:t>第四节</w:t>
              <w:tab/>
              <w:t>管理层讨论与分析</w:t>
            </w:r>
            <w:r>
              <w:rPr>
                <w:rFonts w:ascii="Times New Roman" w:hAnsi="Times New Roman" w:cs="Times New Roman" w:eastAsia="Times New Roman" w:hint="default"/>
              </w:rPr>
              <w:tab/>
              <w:t>9</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7">
            <w:r>
              <w:rPr/>
              <w:t>第五节</w:t>
              <w:tab/>
              <w:t>重要事项</w:t>
            </w:r>
            <w:r>
              <w:rPr>
                <w:rFonts w:ascii="Times New Roman" w:hAnsi="Times New Roman" w:cs="Times New Roman" w:eastAsia="Times New Roman" w:hint="default"/>
              </w:rPr>
              <w:tab/>
              <w:t>15</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6">
            <w:r>
              <w:rPr/>
              <w:t>第六节</w:t>
              <w:tab/>
              <w:t>普通股股份变动及股东情况</w:t>
            </w:r>
            <w:r>
              <w:rPr>
                <w:rFonts w:ascii="Times New Roman" w:hAnsi="Times New Roman" w:cs="Times New Roman" w:eastAsia="Times New Roman" w:hint="default"/>
              </w:rPr>
              <w:tab/>
              <w:t>21</w:t>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rPr>
          </w:pPr>
          <w:hyperlink w:history="true" w:anchor="_TOC_250005">
            <w:r>
              <w:rPr/>
              <w:t>第七节</w:t>
              <w:tab/>
              <w:t>优先股相关情况</w:t>
            </w:r>
            <w:r>
              <w:rPr>
                <w:rFonts w:ascii="Times New Roman" w:hAnsi="Times New Roman" w:cs="Times New Roman" w:eastAsia="Times New Roman" w:hint="default"/>
              </w:rPr>
              <w:tab/>
              <w:t>24</w:t>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rPr>
          </w:pPr>
          <w:hyperlink w:history="true" w:anchor="_TOC_250004">
            <w:r>
              <w:rPr/>
              <w:t>第八节</w:t>
              <w:tab/>
              <w:t>董事、监事、高级管理人员和员工情况</w:t>
            </w:r>
            <w:r>
              <w:rPr>
                <w:rFonts w:ascii="Times New Roman" w:hAnsi="Times New Roman" w:cs="Times New Roman" w:eastAsia="Times New Roman" w:hint="default"/>
              </w:rPr>
              <w:tab/>
              <w:t>25</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3">
            <w:r>
              <w:rPr/>
              <w:t>第九节</w:t>
              <w:tab/>
              <w:t>公司治理</w:t>
            </w:r>
            <w:r>
              <w:rPr>
                <w:rFonts w:ascii="Times New Roman" w:hAnsi="Times New Roman" w:cs="Times New Roman" w:eastAsia="Times New Roman" w:hint="default"/>
              </w:rPr>
              <w:tab/>
              <w:t>33</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2">
            <w:r>
              <w:rPr/>
              <w:t>第十节</w:t>
              <w:tab/>
              <w:t>公司债券相关情况</w:t>
            </w:r>
            <w:r>
              <w:rPr>
                <w:rFonts w:ascii="Times New Roman" w:hAnsi="Times New Roman" w:cs="Times New Roman" w:eastAsia="Times New Roman" w:hint="default"/>
              </w:rPr>
              <w:tab/>
              <w:t>36</w:t>
            </w:r>
          </w:hyperlink>
        </w:p>
        <w:p>
          <w:pPr>
            <w:pStyle w:val="TOC1"/>
            <w:tabs>
              <w:tab w:pos="8961" w:val="right" w:leader="dot"/>
            </w:tabs>
            <w:spacing w:line="240" w:lineRule="auto"/>
            <w:ind w:right="0"/>
            <w:jc w:val="left"/>
            <w:rPr>
              <w:rFonts w:ascii="Times New Roman" w:hAnsi="Times New Roman" w:cs="Times New Roman" w:eastAsia="Times New Roman" w:hint="default"/>
            </w:rPr>
          </w:pPr>
          <w:hyperlink w:history="true" w:anchor="_TOC_250001">
            <w:r>
              <w:rPr/>
              <w:t>第十一节</w:t>
            </w:r>
            <w:r>
              <w:rPr>
                <w:spacing w:val="-2"/>
              </w:rPr>
              <w:t> </w:t>
            </w:r>
            <w:r>
              <w:rPr/>
              <w:t>财务报告</w:t>
            </w:r>
            <w:r>
              <w:rPr>
                <w:rFonts w:ascii="Times New Roman" w:hAnsi="Times New Roman" w:cs="Times New Roman" w:eastAsia="Times New Roman" w:hint="default"/>
              </w:rPr>
              <w:tab/>
              <w:t>37</w:t>
            </w:r>
          </w:hyperlink>
        </w:p>
        <w:p>
          <w:pPr>
            <w:pStyle w:val="TOC1"/>
            <w:tabs>
              <w:tab w:pos="8964" w:val="right" w:leader="dot"/>
            </w:tabs>
            <w:spacing w:line="240" w:lineRule="auto" w:before="106"/>
            <w:ind w:right="0"/>
            <w:jc w:val="left"/>
            <w:rPr>
              <w:rFonts w:ascii="Times New Roman" w:hAnsi="Times New Roman" w:cs="Times New Roman" w:eastAsia="Times New Roman" w:hint="default"/>
            </w:rPr>
          </w:pPr>
          <w:hyperlink w:history="true" w:anchor="_TOC_250000">
            <w:r>
              <w:rPr/>
              <w:t>第十二节</w:t>
            </w:r>
            <w:r>
              <w:rPr>
                <w:spacing w:val="-2"/>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spacing w:val="-3"/>
              </w:rPr>
              <w:t>114</w:t>
            </w:r>
          </w:hyperlink>
        </w:p>
        <w:p>
          <w:pPr/>
          <w:r>
            <w:fldChar w:fldCharType="end"/>
          </w:r>
        </w:p>
      </w:sdtContent>
    </w:sdt>
    <w:p>
      <w:pPr>
        <w:spacing w:after="0"/>
        <w:sectPr>
          <w:pgSz w:w="11910" w:h="16840"/>
          <w:pgMar w:header="880" w:footer="1195" w:top="1120" w:bottom="1380" w:left="1660" w:right="1140"/>
        </w:sectPr>
      </w:pPr>
    </w:p>
    <w:p>
      <w:pPr>
        <w:spacing w:line="240" w:lineRule="auto" w:before="10"/>
        <w:rPr>
          <w:rFonts w:ascii="Times New Roman" w:hAnsi="Times New Roman" w:cs="Times New Roman" w:eastAsia="Times New Roman" w:hint="default"/>
          <w:sz w:val="35"/>
          <w:szCs w:val="35"/>
        </w:rPr>
      </w:pPr>
    </w:p>
    <w:p>
      <w:pPr>
        <w:pStyle w:val="Heading1"/>
        <w:tabs>
          <w:tab w:pos="2081" w:val="left" w:leader="none"/>
        </w:tabs>
        <w:spacing w:line="240" w:lineRule="auto" w:before="0"/>
        <w:ind w:left="967" w:right="0"/>
        <w:jc w:val="center"/>
        <w:rPr>
          <w:b w:val="0"/>
          <w:bCs w:val="0"/>
        </w:rPr>
      </w:pPr>
      <w:bookmarkStart w:name="_TOC_250011" w:id="1"/>
      <w:r>
        <w:rPr>
          <w:w w:val="95"/>
        </w:rPr>
        <w:t>第一节</w:t>
        <w:tab/>
      </w:r>
      <w:r>
        <w:rPr/>
        <w:t>释义</w:t>
      </w:r>
      <w:bookmarkEnd w:id="1"/>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left="238" w:right="0"/>
        <w:jc w:val="left"/>
        <w:rPr>
          <w:b w:val="0"/>
          <w:bCs w:val="0"/>
        </w:rPr>
      </w:pPr>
      <w:r>
        <w:rPr/>
        <w:t>一、</w:t>
      </w:r>
      <w:r>
        <w:rPr>
          <w:spacing w:val="60"/>
        </w:rPr>
        <w:t> </w:t>
      </w:r>
      <w:r>
        <w:rPr/>
        <w:t>释义</w:t>
      </w:r>
      <w:r>
        <w:rPr>
          <w:b w:val="0"/>
          <w:bCs w:val="0"/>
        </w:rPr>
      </w:r>
    </w:p>
    <w:p>
      <w:pPr>
        <w:pStyle w:val="BodyText"/>
        <w:spacing w:line="240" w:lineRule="auto" w:before="58"/>
        <w:ind w:left="658" w:right="0"/>
        <w:jc w:val="left"/>
      </w:pPr>
      <w:r>
        <w:rPr/>
        <w:t>在本报告书中，除非文义另有所指，下列词语具有如下含义：</w:t>
      </w: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017"/>
        <w:gridCol w:w="2336"/>
        <w:gridCol w:w="3697"/>
      </w:tblGrid>
      <w:tr>
        <w:trPr>
          <w:trHeight w:val="295" w:hRule="exact"/>
        </w:trPr>
        <w:tc>
          <w:tcPr>
            <w:tcW w:w="9050" w:type="dxa"/>
            <w:gridSpan w:val="3"/>
            <w:tcBorders>
              <w:top w:val="single" w:sz="12" w:space="0" w:color="000000"/>
              <w:left w:val="single" w:sz="12" w:space="0" w:color="000000"/>
              <w:bottom w:val="single" w:sz="6" w:space="0" w:color="000000"/>
              <w:right w:val="single" w:sz="12" w:space="0" w:color="000000"/>
            </w:tcBorders>
          </w:tcPr>
          <w:p>
            <w:pPr>
              <w:pStyle w:val="TableParagraph"/>
              <w:spacing w:line="243" w:lineRule="exact"/>
              <w:ind w:left="51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8"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中国证监会、证监会</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697"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8"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69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6"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公司、本公司、锦州港</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69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锦州港股份有限公司</w:t>
            </w:r>
          </w:p>
        </w:tc>
      </w:tr>
      <w:tr>
        <w:trPr>
          <w:trHeight w:val="288"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本集团</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697"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锦州港股份有限公司及子公司</w:t>
            </w:r>
          </w:p>
        </w:tc>
      </w:tr>
      <w:tr>
        <w:trPr>
          <w:trHeight w:val="288"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本年度、报告期</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69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日至</w:t>
            </w:r>
            <w:r>
              <w:rPr>
                <w:rFonts w:ascii="宋体" w:hAnsi="宋体" w:cs="宋体" w:eastAsia="宋体" w:hint="default"/>
                <w:spacing w:val="-56"/>
                <w:sz w:val="21"/>
                <w:szCs w:val="21"/>
              </w:rPr>
              <w:t> </w:t>
            </w:r>
            <w:r>
              <w:rPr>
                <w:rFonts w:ascii="宋体" w:hAnsi="宋体" w:cs="宋体" w:eastAsia="宋体" w:hint="default"/>
                <w:sz w:val="21"/>
                <w:szCs w:val="21"/>
              </w:rPr>
              <w:t>2015</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w:t>
            </w:r>
          </w:p>
        </w:tc>
      </w:tr>
      <w:tr>
        <w:trPr>
          <w:trHeight w:val="288"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69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锦州港股份有限公司章程</w:t>
            </w:r>
          </w:p>
        </w:tc>
      </w:tr>
      <w:tr>
        <w:trPr>
          <w:trHeight w:val="286"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大连港、大连港集团</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69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大连港集团有限公司</w:t>
            </w:r>
          </w:p>
        </w:tc>
      </w:tr>
      <w:tr>
        <w:trPr>
          <w:trHeight w:val="288"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东方集团</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697"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东方集团股份有限公司</w:t>
            </w:r>
          </w:p>
        </w:tc>
      </w:tr>
      <w:tr>
        <w:trPr>
          <w:trHeight w:val="288"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西藏海涵</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69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西藏海涵交通发展有限公司</w:t>
            </w:r>
          </w:p>
        </w:tc>
      </w:tr>
      <w:tr>
        <w:trPr>
          <w:trHeight w:val="288"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西藏天圣</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69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西藏天圣交通发展投资有限公司</w:t>
            </w:r>
          </w:p>
        </w:tc>
      </w:tr>
      <w:tr>
        <w:trPr>
          <w:trHeight w:val="286"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中石油</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69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中国石油天然气集团公司</w:t>
            </w:r>
          </w:p>
        </w:tc>
      </w:tr>
      <w:tr>
        <w:trPr>
          <w:trHeight w:val="288"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锦港国经</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697"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锦州港国有资产经营管理有限公司</w:t>
            </w:r>
          </w:p>
        </w:tc>
      </w:tr>
      <w:tr>
        <w:trPr>
          <w:trHeight w:val="288"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锦港国贸、国贸公司</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69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锦港国际贸易发展有限公司</w:t>
            </w:r>
          </w:p>
        </w:tc>
      </w:tr>
      <w:tr>
        <w:trPr>
          <w:trHeight w:val="293" w:hRule="exact"/>
        </w:trPr>
        <w:tc>
          <w:tcPr>
            <w:tcW w:w="3017"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会计师</w:t>
            </w:r>
          </w:p>
        </w:tc>
        <w:tc>
          <w:tcPr>
            <w:tcW w:w="233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697"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bl>
    <w:p>
      <w:pPr>
        <w:spacing w:after="0" w:line="241" w:lineRule="exact"/>
        <w:jc w:val="left"/>
        <w:rPr>
          <w:rFonts w:ascii="宋体" w:hAnsi="宋体" w:cs="宋体" w:eastAsia="宋体" w:hint="default"/>
          <w:sz w:val="21"/>
          <w:szCs w:val="21"/>
        </w:rPr>
        <w:sectPr>
          <w:pgSz w:w="11910" w:h="16840"/>
          <w:pgMar w:header="880" w:footer="1195" w:top="1120" w:bottom="1380" w:left="1560" w:right="1020"/>
        </w:sectPr>
      </w:pPr>
    </w:p>
    <w:p>
      <w:pPr>
        <w:spacing w:line="240" w:lineRule="auto" w:before="11"/>
        <w:rPr>
          <w:rFonts w:ascii="宋体" w:hAnsi="宋体" w:cs="宋体" w:eastAsia="宋体" w:hint="default"/>
          <w:sz w:val="25"/>
          <w:szCs w:val="25"/>
        </w:rPr>
      </w:pPr>
    </w:p>
    <w:p>
      <w:pPr>
        <w:pStyle w:val="Heading1"/>
        <w:tabs>
          <w:tab w:pos="4157" w:val="left" w:leader="none"/>
        </w:tabs>
        <w:spacing w:line="240" w:lineRule="auto"/>
        <w:ind w:left="3044" w:right="0"/>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2"/>
        <w:spacing w:line="240" w:lineRule="auto"/>
        <w:ind w:left="238" w:right="0"/>
        <w:jc w:val="left"/>
        <w:rPr>
          <w:b w:val="0"/>
          <w:bCs w:val="0"/>
        </w:rPr>
      </w:pPr>
      <w:r>
        <w:rPr/>
        <w:t>一、</w:t>
      </w:r>
      <w:r>
        <w:rPr>
          <w:spacing w:val="40"/>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92" w:type="dxa"/>
        <w:tblLayout w:type="fixed"/>
        <w:tblCellMar>
          <w:top w:w="0" w:type="dxa"/>
          <w:left w:w="0" w:type="dxa"/>
          <w:bottom w:w="0" w:type="dxa"/>
          <w:right w:w="0" w:type="dxa"/>
        </w:tblCellMar>
        <w:tblLook w:val="01E0"/>
      </w:tblPr>
      <w:tblGrid>
        <w:gridCol w:w="3860"/>
        <w:gridCol w:w="5036"/>
      </w:tblGrid>
      <w:tr>
        <w:trPr>
          <w:trHeight w:val="314" w:hRule="exact"/>
        </w:trPr>
        <w:tc>
          <w:tcPr>
            <w:tcW w:w="3860"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1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锦州港股份有限公司</w:t>
            </w:r>
          </w:p>
        </w:tc>
      </w:tr>
      <w:tr>
        <w:trPr>
          <w:trHeight w:val="310" w:hRule="exact"/>
        </w:trPr>
        <w:tc>
          <w:tcPr>
            <w:tcW w:w="386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锦州港</w:t>
            </w:r>
          </w:p>
        </w:tc>
      </w:tr>
      <w:tr>
        <w:trPr>
          <w:trHeight w:val="307" w:hRule="exact"/>
        </w:trPr>
        <w:tc>
          <w:tcPr>
            <w:tcW w:w="386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sz w:val="21"/>
              </w:rPr>
              <w:t>JINZHOU PORT</w:t>
            </w:r>
            <w:r>
              <w:rPr>
                <w:rFonts w:ascii="宋体"/>
                <w:spacing w:val="-2"/>
                <w:sz w:val="21"/>
              </w:rPr>
              <w:t> </w:t>
            </w:r>
            <w:r>
              <w:rPr>
                <w:rFonts w:ascii="宋体"/>
                <w:sz w:val="21"/>
              </w:rPr>
              <w:t>CO.,LTD</w:t>
            </w:r>
          </w:p>
        </w:tc>
      </w:tr>
      <w:tr>
        <w:trPr>
          <w:trHeight w:val="307" w:hRule="exact"/>
        </w:trPr>
        <w:tc>
          <w:tcPr>
            <w:tcW w:w="386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sz w:val="21"/>
              </w:rPr>
              <w:t>JZP</w:t>
            </w:r>
          </w:p>
        </w:tc>
      </w:tr>
      <w:tr>
        <w:trPr>
          <w:trHeight w:val="314" w:hRule="exact"/>
        </w:trPr>
        <w:tc>
          <w:tcPr>
            <w:tcW w:w="3860" w:type="dxa"/>
            <w:tcBorders>
              <w:top w:val="single" w:sz="6" w:space="0" w:color="000000"/>
              <w:left w:val="single" w:sz="12" w:space="0" w:color="000000"/>
              <w:bottom w:val="single" w:sz="12" w:space="0" w:color="000000"/>
              <w:right w:val="single" w:sz="6" w:space="0" w:color="000000"/>
            </w:tcBorders>
          </w:tcPr>
          <w:p>
            <w:pPr>
              <w:pStyle w:val="TableParagraph"/>
              <w:spacing w:line="243" w:lineRule="exact"/>
              <w:ind w:left="1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6" w:space="0" w:color="000000"/>
              <w:left w:val="single" w:sz="6" w:space="0" w:color="000000"/>
              <w:bottom w:val="single" w:sz="12" w:space="0" w:color="000000"/>
              <w:right w:val="single" w:sz="12"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徐健</w:t>
            </w:r>
          </w:p>
        </w:tc>
      </w:tr>
    </w:tbl>
    <w:p>
      <w:pPr>
        <w:pStyle w:val="Heading2"/>
        <w:spacing w:line="240" w:lineRule="auto" w:before="28"/>
        <w:ind w:left="238" w:right="0"/>
        <w:jc w:val="left"/>
        <w:rPr>
          <w:b w:val="0"/>
          <w:bCs w:val="0"/>
        </w:rPr>
      </w:pPr>
      <w:r>
        <w:rPr/>
        <w:t>二、</w:t>
      </w:r>
      <w:r>
        <w:rPr>
          <w:spacing w:val="41"/>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92" w:type="dxa"/>
        <w:tblLayout w:type="fixed"/>
        <w:tblCellMar>
          <w:top w:w="0" w:type="dxa"/>
          <w:left w:w="0" w:type="dxa"/>
          <w:bottom w:w="0" w:type="dxa"/>
          <w:right w:w="0" w:type="dxa"/>
        </w:tblCellMar>
        <w:tblLook w:val="01E0"/>
      </w:tblPr>
      <w:tblGrid>
        <w:gridCol w:w="1450"/>
        <w:gridCol w:w="3685"/>
        <w:gridCol w:w="3761"/>
      </w:tblGrid>
      <w:tr>
        <w:trPr>
          <w:trHeight w:val="295" w:hRule="exact"/>
        </w:trPr>
        <w:tc>
          <w:tcPr>
            <w:tcW w:w="1450" w:type="dxa"/>
            <w:tcBorders>
              <w:top w:val="single" w:sz="12" w:space="0" w:color="000000"/>
              <w:left w:val="single" w:sz="12" w:space="0" w:color="000000"/>
              <w:bottom w:val="single" w:sz="6" w:space="0" w:color="000000"/>
              <w:right w:val="single" w:sz="6" w:space="0" w:color="000000"/>
            </w:tcBorders>
          </w:tcPr>
          <w:p>
            <w:pPr/>
          </w:p>
        </w:tc>
        <w:tc>
          <w:tcPr>
            <w:tcW w:w="3685"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761"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1243"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6" w:hRule="exact"/>
        </w:trPr>
        <w:tc>
          <w:tcPr>
            <w:tcW w:w="145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李桂萍</w:t>
            </w:r>
          </w:p>
        </w:tc>
        <w:tc>
          <w:tcPr>
            <w:tcW w:w="376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吴然</w:t>
            </w:r>
          </w:p>
        </w:tc>
      </w:tr>
      <w:tr>
        <w:trPr>
          <w:trHeight w:val="288" w:hRule="exact"/>
        </w:trPr>
        <w:tc>
          <w:tcPr>
            <w:tcW w:w="145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锦州经济技术开发区锦港大街一段</w:t>
            </w:r>
            <w:r>
              <w:rPr>
                <w:rFonts w:ascii="宋体" w:hAnsi="宋体" w:cs="宋体" w:eastAsia="宋体" w:hint="default"/>
                <w:sz w:val="21"/>
                <w:szCs w:val="21"/>
              </w:rPr>
              <w:t>1</w:t>
            </w:r>
            <w:r>
              <w:rPr>
                <w:rFonts w:ascii="宋体" w:hAnsi="宋体" w:cs="宋体" w:eastAsia="宋体" w:hint="default"/>
                <w:sz w:val="21"/>
                <w:szCs w:val="21"/>
              </w:rPr>
              <w:t>号</w:t>
            </w:r>
          </w:p>
        </w:tc>
        <w:tc>
          <w:tcPr>
            <w:tcW w:w="3761"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锦州经济技术开发区锦港大街一段</w:t>
            </w:r>
            <w:r>
              <w:rPr>
                <w:rFonts w:ascii="宋体" w:hAnsi="宋体" w:cs="宋体" w:eastAsia="宋体" w:hint="default"/>
                <w:sz w:val="21"/>
                <w:szCs w:val="21"/>
              </w:rPr>
              <w:t>1</w:t>
            </w:r>
            <w:r>
              <w:rPr>
                <w:rFonts w:ascii="宋体" w:hAnsi="宋体" w:cs="宋体" w:eastAsia="宋体" w:hint="default"/>
                <w:sz w:val="21"/>
                <w:szCs w:val="21"/>
              </w:rPr>
              <w:t>号</w:t>
            </w:r>
          </w:p>
        </w:tc>
      </w:tr>
      <w:tr>
        <w:trPr>
          <w:trHeight w:val="288" w:hRule="exact"/>
        </w:trPr>
        <w:tc>
          <w:tcPr>
            <w:tcW w:w="145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sz w:val="21"/>
              </w:rPr>
              <w:t>0416-3586462</w:t>
            </w:r>
          </w:p>
        </w:tc>
        <w:tc>
          <w:tcPr>
            <w:tcW w:w="376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0416-3586234</w:t>
            </w:r>
          </w:p>
        </w:tc>
      </w:tr>
      <w:tr>
        <w:trPr>
          <w:trHeight w:val="288" w:hRule="exact"/>
        </w:trPr>
        <w:tc>
          <w:tcPr>
            <w:tcW w:w="145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sz w:val="21"/>
              </w:rPr>
              <w:t>0416-3582431</w:t>
            </w:r>
          </w:p>
        </w:tc>
        <w:tc>
          <w:tcPr>
            <w:tcW w:w="376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0416-3582431</w:t>
            </w:r>
          </w:p>
        </w:tc>
      </w:tr>
      <w:tr>
        <w:trPr>
          <w:trHeight w:val="293" w:hRule="exact"/>
        </w:trPr>
        <w:tc>
          <w:tcPr>
            <w:tcW w:w="1450"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1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68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hyperlink r:id="rId7">
              <w:r>
                <w:rPr>
                  <w:rFonts w:ascii="宋体"/>
                  <w:sz w:val="21"/>
                </w:rPr>
                <w:t>MSC@JINZHOUPORT.COM</w:t>
              </w:r>
            </w:hyperlink>
          </w:p>
        </w:tc>
        <w:tc>
          <w:tcPr>
            <w:tcW w:w="3761"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23" w:right="0"/>
              <w:jc w:val="left"/>
              <w:rPr>
                <w:rFonts w:ascii="宋体" w:hAnsi="宋体" w:cs="宋体" w:eastAsia="宋体" w:hint="default"/>
                <w:sz w:val="21"/>
                <w:szCs w:val="21"/>
              </w:rPr>
            </w:pPr>
            <w:hyperlink r:id="rId7">
              <w:r>
                <w:rPr>
                  <w:rFonts w:ascii="宋体"/>
                  <w:sz w:val="21"/>
                </w:rPr>
                <w:t>MSC@JINZHOUPORT.COM</w:t>
              </w:r>
            </w:hyperlink>
          </w:p>
        </w:tc>
      </w:tr>
    </w:tbl>
    <w:p>
      <w:pPr>
        <w:pStyle w:val="Heading2"/>
        <w:spacing w:line="240" w:lineRule="auto" w:before="28"/>
        <w:ind w:left="238" w:right="0"/>
        <w:jc w:val="left"/>
        <w:rPr>
          <w:b w:val="0"/>
          <w:bCs w:val="0"/>
        </w:rPr>
      </w:pPr>
      <w:r>
        <w:rPr/>
        <w:t>三、</w:t>
      </w:r>
      <w:r>
        <w:rPr>
          <w:spacing w:val="-29"/>
        </w:rPr>
        <w:t> </w:t>
      </w:r>
      <w:r>
        <w:rPr/>
        <w:t>基本情况简介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92" w:type="dxa"/>
        <w:tblLayout w:type="fixed"/>
        <w:tblCellMar>
          <w:top w:w="0" w:type="dxa"/>
          <w:left w:w="0" w:type="dxa"/>
          <w:bottom w:w="0" w:type="dxa"/>
          <w:right w:w="0" w:type="dxa"/>
        </w:tblCellMar>
        <w:tblLook w:val="01E0"/>
      </w:tblPr>
      <w:tblGrid>
        <w:gridCol w:w="3860"/>
        <w:gridCol w:w="5036"/>
      </w:tblGrid>
      <w:tr>
        <w:trPr>
          <w:trHeight w:val="317" w:hRule="exact"/>
        </w:trPr>
        <w:tc>
          <w:tcPr>
            <w:tcW w:w="3860" w:type="dxa"/>
            <w:tcBorders>
              <w:top w:val="single" w:sz="12" w:space="0" w:color="000000"/>
              <w:left w:val="single" w:sz="12" w:space="0" w:color="000000"/>
              <w:bottom w:val="single" w:sz="6" w:space="0" w:color="000000"/>
              <w:right w:val="single" w:sz="6" w:space="0" w:color="000000"/>
            </w:tcBorders>
          </w:tcPr>
          <w:p>
            <w:pPr>
              <w:pStyle w:val="TableParagraph"/>
              <w:spacing w:line="243" w:lineRule="exact"/>
              <w:ind w:left="1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12" w:space="0" w:color="000000"/>
              <w:left w:val="single" w:sz="6" w:space="0" w:color="000000"/>
              <w:bottom w:val="single" w:sz="6" w:space="0" w:color="000000"/>
              <w:right w:val="single" w:sz="12"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锦州经济技术开发区锦港大街一段</w:t>
            </w:r>
            <w:r>
              <w:rPr>
                <w:rFonts w:ascii="宋体" w:hAnsi="宋体" w:cs="宋体" w:eastAsia="宋体" w:hint="default"/>
                <w:sz w:val="21"/>
                <w:szCs w:val="21"/>
              </w:rPr>
              <w:t>1</w:t>
            </w:r>
            <w:r>
              <w:rPr>
                <w:rFonts w:ascii="宋体" w:hAnsi="宋体" w:cs="宋体" w:eastAsia="宋体" w:hint="default"/>
                <w:sz w:val="21"/>
                <w:szCs w:val="21"/>
              </w:rPr>
              <w:t>号</w:t>
            </w:r>
          </w:p>
        </w:tc>
      </w:tr>
      <w:tr>
        <w:trPr>
          <w:trHeight w:val="307" w:hRule="exact"/>
        </w:trPr>
        <w:tc>
          <w:tcPr>
            <w:tcW w:w="386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sz w:val="21"/>
              </w:rPr>
              <w:t>121007</w:t>
            </w:r>
          </w:p>
        </w:tc>
      </w:tr>
      <w:tr>
        <w:trPr>
          <w:trHeight w:val="310" w:hRule="exact"/>
        </w:trPr>
        <w:tc>
          <w:tcPr>
            <w:tcW w:w="386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锦州经济技术开发区锦港大街一段</w:t>
            </w:r>
            <w:r>
              <w:rPr>
                <w:rFonts w:ascii="宋体" w:hAnsi="宋体" w:cs="宋体" w:eastAsia="宋体" w:hint="default"/>
                <w:sz w:val="21"/>
                <w:szCs w:val="21"/>
              </w:rPr>
              <w:t>1</w:t>
            </w:r>
            <w:r>
              <w:rPr>
                <w:rFonts w:ascii="宋体" w:hAnsi="宋体" w:cs="宋体" w:eastAsia="宋体" w:hint="default"/>
                <w:sz w:val="21"/>
                <w:szCs w:val="21"/>
              </w:rPr>
              <w:t>号</w:t>
            </w:r>
          </w:p>
        </w:tc>
      </w:tr>
      <w:tr>
        <w:trPr>
          <w:trHeight w:val="307" w:hRule="exact"/>
        </w:trPr>
        <w:tc>
          <w:tcPr>
            <w:tcW w:w="386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sz w:val="21"/>
              </w:rPr>
              <w:t>121007</w:t>
            </w:r>
          </w:p>
        </w:tc>
      </w:tr>
      <w:tr>
        <w:trPr>
          <w:trHeight w:val="308" w:hRule="exact"/>
        </w:trPr>
        <w:tc>
          <w:tcPr>
            <w:tcW w:w="386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21" w:right="0"/>
              <w:jc w:val="left"/>
              <w:rPr>
                <w:rFonts w:ascii="宋体" w:hAnsi="宋体" w:cs="宋体" w:eastAsia="宋体" w:hint="default"/>
                <w:sz w:val="21"/>
                <w:szCs w:val="21"/>
              </w:rPr>
            </w:pPr>
            <w:hyperlink r:id="rId8">
              <w:r>
                <w:rPr>
                  <w:rFonts w:ascii="宋体"/>
                  <w:sz w:val="21"/>
                </w:rPr>
                <w:t>HTTP://WWW.JINZHOUPORT.COM</w:t>
              </w:r>
            </w:hyperlink>
          </w:p>
        </w:tc>
      </w:tr>
      <w:tr>
        <w:trPr>
          <w:trHeight w:val="314" w:hRule="exact"/>
        </w:trPr>
        <w:tc>
          <w:tcPr>
            <w:tcW w:w="3860"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1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21" w:right="0"/>
              <w:jc w:val="left"/>
              <w:rPr>
                <w:rFonts w:ascii="宋体" w:hAnsi="宋体" w:cs="宋体" w:eastAsia="宋体" w:hint="default"/>
                <w:sz w:val="21"/>
                <w:szCs w:val="21"/>
              </w:rPr>
            </w:pPr>
            <w:hyperlink r:id="rId9">
              <w:r>
                <w:rPr>
                  <w:rFonts w:ascii="宋体"/>
                  <w:sz w:val="21"/>
                </w:rPr>
                <w:t>JZP@jinzhouport.com</w:t>
              </w:r>
            </w:hyperlink>
          </w:p>
        </w:tc>
      </w:tr>
    </w:tbl>
    <w:p>
      <w:pPr>
        <w:pStyle w:val="Heading2"/>
        <w:spacing w:line="240" w:lineRule="auto" w:before="28"/>
        <w:ind w:left="238" w:right="0"/>
        <w:jc w:val="left"/>
        <w:rPr>
          <w:b w:val="0"/>
          <w:bCs w:val="0"/>
        </w:rPr>
      </w:pPr>
      <w:r>
        <w:rPr/>
        <w:t>四、</w:t>
      </w:r>
      <w:r>
        <w:rPr>
          <w:spacing w:val="-28"/>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92" w:type="dxa"/>
        <w:tblLayout w:type="fixed"/>
        <w:tblCellMar>
          <w:top w:w="0" w:type="dxa"/>
          <w:left w:w="0" w:type="dxa"/>
          <w:bottom w:w="0" w:type="dxa"/>
          <w:right w:w="0" w:type="dxa"/>
        </w:tblCellMar>
        <w:tblLook w:val="01E0"/>
      </w:tblPr>
      <w:tblGrid>
        <w:gridCol w:w="4143"/>
        <w:gridCol w:w="4753"/>
      </w:tblGrid>
      <w:tr>
        <w:trPr>
          <w:trHeight w:val="314" w:hRule="exact"/>
        </w:trPr>
        <w:tc>
          <w:tcPr>
            <w:tcW w:w="4143"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1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中国证券报、上海证券报、香港《大公报》</w:t>
            </w:r>
          </w:p>
        </w:tc>
      </w:tr>
      <w:tr>
        <w:trPr>
          <w:trHeight w:val="307" w:hRule="exact"/>
        </w:trPr>
        <w:tc>
          <w:tcPr>
            <w:tcW w:w="414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21" w:right="0"/>
              <w:jc w:val="left"/>
              <w:rPr>
                <w:rFonts w:ascii="宋体" w:hAnsi="宋体" w:cs="宋体" w:eastAsia="宋体" w:hint="default"/>
                <w:sz w:val="21"/>
                <w:szCs w:val="21"/>
              </w:rPr>
            </w:pPr>
            <w:hyperlink r:id="rId10">
              <w:r>
                <w:rPr>
                  <w:rFonts w:ascii="宋体"/>
                  <w:sz w:val="21"/>
                </w:rPr>
                <w:t>www.sse.com.cn</w:t>
              </w:r>
            </w:hyperlink>
          </w:p>
        </w:tc>
      </w:tr>
      <w:tr>
        <w:trPr>
          <w:trHeight w:val="314" w:hRule="exact"/>
        </w:trPr>
        <w:tc>
          <w:tcPr>
            <w:tcW w:w="4143" w:type="dxa"/>
            <w:tcBorders>
              <w:top w:val="single" w:sz="6" w:space="0" w:color="000000"/>
              <w:left w:val="single" w:sz="12" w:space="0" w:color="000000"/>
              <w:bottom w:val="single" w:sz="12" w:space="0" w:color="000000"/>
              <w:right w:val="single" w:sz="6" w:space="0" w:color="000000"/>
            </w:tcBorders>
          </w:tcPr>
          <w:p>
            <w:pPr>
              <w:pStyle w:val="TableParagraph"/>
              <w:spacing w:line="243" w:lineRule="exact"/>
              <w:ind w:left="1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6" w:space="0" w:color="000000"/>
              <w:left w:val="single" w:sz="6" w:space="0" w:color="000000"/>
              <w:bottom w:val="single" w:sz="12" w:space="0" w:color="000000"/>
              <w:right w:val="single" w:sz="12"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本公司董监事会秘书处</w:t>
            </w:r>
          </w:p>
        </w:tc>
      </w:tr>
    </w:tbl>
    <w:p>
      <w:pPr>
        <w:pStyle w:val="Heading2"/>
        <w:spacing w:line="240" w:lineRule="auto" w:before="28"/>
        <w:ind w:left="238" w:right="0"/>
        <w:jc w:val="left"/>
        <w:rPr>
          <w:b w:val="0"/>
          <w:bCs w:val="0"/>
        </w:rPr>
      </w:pPr>
      <w:r>
        <w:rPr/>
        <w:t>五、</w:t>
      </w:r>
      <w:r>
        <w:rPr>
          <w:spacing w:val="41"/>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9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14" w:hRule="exact"/>
        </w:trPr>
        <w:tc>
          <w:tcPr>
            <w:tcW w:w="8896" w:type="dxa"/>
            <w:gridSpan w:val="5"/>
            <w:tcBorders>
              <w:top w:val="single" w:sz="12" w:space="0" w:color="000000"/>
              <w:left w:val="single" w:sz="12" w:space="0" w:color="000000"/>
              <w:bottom w:val="single" w:sz="6" w:space="0" w:color="000000"/>
              <w:right w:val="single" w:sz="1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10" w:hRule="exact"/>
        </w:trPr>
        <w:tc>
          <w:tcPr>
            <w:tcW w:w="1778"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55"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46"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60"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44"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7" w:hRule="exact"/>
        </w:trPr>
        <w:tc>
          <w:tcPr>
            <w:tcW w:w="177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锦州港</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600190</w:t>
            </w:r>
          </w:p>
        </w:tc>
        <w:tc>
          <w:tcPr>
            <w:tcW w:w="1779" w:type="dxa"/>
            <w:tcBorders>
              <w:top w:val="single" w:sz="6" w:space="0" w:color="000000"/>
              <w:left w:val="single" w:sz="6" w:space="0" w:color="000000"/>
              <w:bottom w:val="single" w:sz="6" w:space="0" w:color="000000"/>
              <w:right w:val="single" w:sz="12" w:space="0" w:color="000000"/>
            </w:tcBorders>
          </w:tcPr>
          <w:p>
            <w:pPr/>
          </w:p>
        </w:tc>
      </w:tr>
      <w:tr>
        <w:trPr>
          <w:trHeight w:val="315" w:hRule="exact"/>
        </w:trPr>
        <w:tc>
          <w:tcPr>
            <w:tcW w:w="1778"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16" w:right="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z w:val="21"/>
                <w:szCs w:val="21"/>
              </w:rPr>
              <w:t>股</w:t>
            </w:r>
          </w:p>
        </w:tc>
        <w:tc>
          <w:tcPr>
            <w:tcW w:w="177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锦港</w:t>
            </w:r>
            <w:r>
              <w:rPr>
                <w:rFonts w:ascii="宋体" w:hAnsi="宋体" w:cs="宋体" w:eastAsia="宋体" w:hint="default"/>
                <w:sz w:val="21"/>
                <w:szCs w:val="21"/>
              </w:rPr>
              <w:t>B</w:t>
            </w:r>
            <w:r>
              <w:rPr>
                <w:rFonts w:ascii="宋体" w:hAnsi="宋体" w:cs="宋体" w:eastAsia="宋体" w:hint="default"/>
                <w:sz w:val="21"/>
                <w:szCs w:val="21"/>
              </w:rPr>
              <w:t>股</w:t>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900952</w:t>
            </w:r>
          </w:p>
        </w:tc>
        <w:tc>
          <w:tcPr>
            <w:tcW w:w="1779" w:type="dxa"/>
            <w:tcBorders>
              <w:top w:val="single" w:sz="6" w:space="0" w:color="000000"/>
              <w:left w:val="single" w:sz="6" w:space="0" w:color="000000"/>
              <w:bottom w:val="single" w:sz="12" w:space="0" w:color="000000"/>
              <w:right w:val="single" w:sz="12" w:space="0" w:color="000000"/>
            </w:tcBorders>
          </w:tcPr>
          <w:p>
            <w:pPr/>
          </w:p>
        </w:tc>
      </w:tr>
    </w:tbl>
    <w:p>
      <w:pPr>
        <w:pStyle w:val="Heading2"/>
        <w:spacing w:line="240" w:lineRule="auto" w:before="28"/>
        <w:ind w:left="238" w:right="0"/>
        <w:jc w:val="left"/>
        <w:rPr>
          <w:b w:val="0"/>
          <w:bCs w:val="0"/>
        </w:rPr>
      </w:pPr>
      <w:r>
        <w:rPr/>
        <w:t>六、</w:t>
      </w:r>
      <w:r>
        <w:rPr>
          <w:spacing w:val="-29"/>
        </w:rPr>
        <w:t> </w:t>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15" w:type="dxa"/>
        <w:tblLayout w:type="fixed"/>
        <w:tblCellMar>
          <w:top w:w="0" w:type="dxa"/>
          <w:left w:w="0" w:type="dxa"/>
          <w:bottom w:w="0" w:type="dxa"/>
          <w:right w:w="0" w:type="dxa"/>
        </w:tblCellMar>
        <w:tblLook w:val="01E0"/>
      </w:tblPr>
      <w:tblGrid>
        <w:gridCol w:w="2993"/>
        <w:gridCol w:w="1796"/>
        <w:gridCol w:w="4261"/>
      </w:tblGrid>
      <w:tr>
        <w:trPr>
          <w:trHeight w:val="295" w:hRule="exact"/>
        </w:trPr>
        <w:tc>
          <w:tcPr>
            <w:tcW w:w="2993" w:type="dxa"/>
            <w:vMerge w:val="restart"/>
            <w:tcBorders>
              <w:top w:val="single" w:sz="12" w:space="0" w:color="000000"/>
              <w:left w:val="single" w:sz="12" w:space="0" w:color="000000"/>
              <w:right w:val="single" w:sz="6" w:space="0" w:color="000000"/>
            </w:tcBorders>
          </w:tcPr>
          <w:p>
            <w:pPr>
              <w:pStyle w:val="TableParagraph"/>
              <w:spacing w:line="272" w:lineRule="exact" w:before="147"/>
              <w:ind w:left="93" w:right="97"/>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12"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12" w:space="0" w:color="000000"/>
              <w:left w:val="single" w:sz="6" w:space="0" w:color="000000"/>
              <w:bottom w:val="single" w:sz="6" w:space="0" w:color="000000"/>
              <w:right w:val="single" w:sz="12"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288" w:hRule="exact"/>
        </w:trPr>
        <w:tc>
          <w:tcPr>
            <w:tcW w:w="2993" w:type="dxa"/>
            <w:vMerge/>
            <w:tcBorders>
              <w:left w:val="single" w:sz="12"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北京朝阳区建国门外大街</w:t>
            </w:r>
            <w:r>
              <w:rPr>
                <w:rFonts w:ascii="宋体" w:hAnsi="宋体" w:cs="宋体" w:eastAsia="宋体" w:hint="default"/>
                <w:spacing w:val="-65"/>
                <w:sz w:val="21"/>
                <w:szCs w:val="21"/>
              </w:rPr>
              <w:t> </w:t>
            </w:r>
            <w:r>
              <w:rPr>
                <w:rFonts w:ascii="宋体" w:hAnsi="宋体" w:cs="宋体" w:eastAsia="宋体" w:hint="default"/>
                <w:sz w:val="21"/>
                <w:szCs w:val="21"/>
              </w:rPr>
              <w:t>22</w:t>
            </w:r>
            <w:r>
              <w:rPr>
                <w:rFonts w:ascii="宋体" w:hAnsi="宋体" w:cs="宋体" w:eastAsia="宋体" w:hint="default"/>
                <w:spacing w:val="-66"/>
                <w:sz w:val="21"/>
                <w:szCs w:val="21"/>
              </w:rPr>
              <w:t> </w:t>
            </w:r>
            <w:r>
              <w:rPr>
                <w:rFonts w:ascii="宋体" w:hAnsi="宋体" w:cs="宋体" w:eastAsia="宋体" w:hint="default"/>
                <w:sz w:val="21"/>
                <w:szCs w:val="21"/>
              </w:rPr>
              <w:t>号赛特广场</w:t>
            </w:r>
            <w:r>
              <w:rPr>
                <w:rFonts w:ascii="宋体" w:hAnsi="宋体" w:cs="宋体" w:eastAsia="宋体" w:hint="default"/>
                <w:spacing w:val="-68"/>
                <w:sz w:val="21"/>
                <w:szCs w:val="21"/>
              </w:rPr>
              <w:t> </w:t>
            </w:r>
            <w:r>
              <w:rPr>
                <w:rFonts w:ascii="宋体" w:hAnsi="宋体" w:cs="宋体" w:eastAsia="宋体" w:hint="default"/>
                <w:sz w:val="21"/>
                <w:szCs w:val="21"/>
              </w:rPr>
              <w:t>5</w:t>
            </w:r>
            <w:r>
              <w:rPr>
                <w:rFonts w:ascii="宋体" w:hAnsi="宋体" w:cs="宋体" w:eastAsia="宋体" w:hint="default"/>
                <w:spacing w:val="-66"/>
                <w:sz w:val="21"/>
                <w:szCs w:val="21"/>
              </w:rPr>
              <w:t> </w:t>
            </w:r>
            <w:r>
              <w:rPr>
                <w:rFonts w:ascii="宋体" w:hAnsi="宋体" w:cs="宋体" w:eastAsia="宋体" w:hint="default"/>
                <w:sz w:val="21"/>
                <w:szCs w:val="21"/>
              </w:rPr>
              <w:t>层</w:t>
            </w:r>
          </w:p>
        </w:tc>
      </w:tr>
      <w:tr>
        <w:trPr>
          <w:trHeight w:val="288" w:hRule="exact"/>
        </w:trPr>
        <w:tc>
          <w:tcPr>
            <w:tcW w:w="2993" w:type="dxa"/>
            <w:vMerge/>
            <w:tcBorders>
              <w:left w:val="single" w:sz="12" w:space="0" w:color="000000"/>
              <w:bottom w:val="single" w:sz="6"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关涛、陶怡</w:t>
            </w:r>
          </w:p>
        </w:tc>
      </w:tr>
      <w:tr>
        <w:trPr>
          <w:trHeight w:val="286" w:hRule="exact"/>
        </w:trPr>
        <w:tc>
          <w:tcPr>
            <w:tcW w:w="2993"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93" w:right="97"/>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保荐机构</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国泰君安证券股份有限公司</w:t>
            </w:r>
          </w:p>
        </w:tc>
      </w:tr>
      <w:tr>
        <w:trPr>
          <w:trHeight w:val="562" w:hRule="exact"/>
        </w:trPr>
        <w:tc>
          <w:tcPr>
            <w:tcW w:w="2993" w:type="dxa"/>
            <w:vMerge/>
            <w:tcBorders>
              <w:left w:val="single" w:sz="12"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上海市浦东新区银城中路 </w:t>
            </w:r>
            <w:r>
              <w:rPr>
                <w:rFonts w:ascii="宋体" w:hAnsi="宋体" w:cs="宋体" w:eastAsia="宋体" w:hint="default"/>
                <w:sz w:val="21"/>
                <w:szCs w:val="21"/>
              </w:rPr>
              <w:t>168</w:t>
            </w:r>
            <w:r>
              <w:rPr>
                <w:rFonts w:ascii="宋体" w:hAnsi="宋体" w:cs="宋体" w:eastAsia="宋体" w:hint="default"/>
                <w:spacing w:val="-51"/>
                <w:sz w:val="21"/>
                <w:szCs w:val="21"/>
              </w:rPr>
              <w:t> </w:t>
            </w:r>
            <w:r>
              <w:rPr>
                <w:rFonts w:ascii="宋体" w:hAnsi="宋体" w:cs="宋体" w:eastAsia="宋体" w:hint="default"/>
                <w:sz w:val="21"/>
                <w:szCs w:val="21"/>
              </w:rPr>
              <w:t>号上海银行大</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厦</w:t>
            </w:r>
          </w:p>
        </w:tc>
      </w:tr>
      <w:tr>
        <w:trPr>
          <w:trHeight w:val="559" w:hRule="exact"/>
        </w:trPr>
        <w:tc>
          <w:tcPr>
            <w:tcW w:w="2993" w:type="dxa"/>
            <w:vMerge/>
            <w:tcBorders>
              <w:left w:val="single" w:sz="12" w:space="0" w:color="000000"/>
              <w:right w:val="single" w:sz="6" w:space="0" w:color="000000"/>
            </w:tcBorders>
          </w:tcPr>
          <w:p>
            <w:pP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签字的保荐代表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人姓名</w:t>
            </w:r>
          </w:p>
        </w:tc>
        <w:tc>
          <w:tcPr>
            <w:tcW w:w="426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郁韡君、张翼</w:t>
            </w:r>
          </w:p>
        </w:tc>
      </w:tr>
      <w:tr>
        <w:trPr>
          <w:trHeight w:val="293" w:hRule="exact"/>
        </w:trPr>
        <w:tc>
          <w:tcPr>
            <w:tcW w:w="2993" w:type="dxa"/>
            <w:vMerge/>
            <w:tcBorders>
              <w:left w:val="single" w:sz="12" w:space="0" w:color="000000"/>
              <w:bottom w:val="single" w:sz="12" w:space="0" w:color="000000"/>
              <w:right w:val="single" w:sz="6" w:space="0" w:color="000000"/>
            </w:tcBorders>
          </w:tcPr>
          <w:p>
            <w:pPr/>
          </w:p>
        </w:tc>
        <w:tc>
          <w:tcPr>
            <w:tcW w:w="179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after="0" w:line="241" w:lineRule="exact"/>
        <w:jc w:val="left"/>
        <w:rPr>
          <w:rFonts w:ascii="宋体" w:hAnsi="宋体" w:cs="宋体" w:eastAsia="宋体" w:hint="default"/>
          <w:sz w:val="21"/>
          <w:szCs w:val="21"/>
        </w:rPr>
        <w:sectPr>
          <w:pgSz w:w="11910" w:h="16840"/>
          <w:pgMar w:header="880" w:footer="1195" w:top="1120" w:bottom="1380" w:left="1560" w:right="1020"/>
        </w:sectPr>
      </w:pPr>
    </w:p>
    <w:p>
      <w:pPr>
        <w:spacing w:line="240" w:lineRule="auto" w:before="4"/>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100" w:right="460"/>
        </w:sectPr>
      </w:pPr>
    </w:p>
    <w:p>
      <w:pPr>
        <w:pStyle w:val="Heading2"/>
        <w:spacing w:line="240" w:lineRule="auto"/>
        <w:ind w:left="698" w:right="-18"/>
        <w:jc w:val="left"/>
        <w:rPr>
          <w:b w:val="0"/>
          <w:bCs w:val="0"/>
        </w:rPr>
      </w:pPr>
      <w:r>
        <w:rPr/>
        <w:t>七、</w:t>
      </w:r>
      <w:r>
        <w:rPr>
          <w:spacing w:val="-32"/>
        </w:rPr>
        <w:t> </w:t>
      </w:r>
      <w:r>
        <w:rPr/>
        <w:t>近三年主要会计数据和财务指标</w:t>
      </w:r>
      <w:r>
        <w:rPr>
          <w:b w:val="0"/>
          <w:bCs w:val="0"/>
        </w:rPr>
      </w:r>
    </w:p>
    <w:p>
      <w:pPr>
        <w:pStyle w:val="Heading2"/>
        <w:tabs>
          <w:tab w:pos="1537" w:val="left" w:leader="none"/>
        </w:tabs>
        <w:spacing w:line="240" w:lineRule="auto" w:before="58"/>
        <w:ind w:left="839" w:right="-18"/>
        <w:jc w:val="left"/>
        <w:rPr>
          <w:b w:val="0"/>
          <w:bCs w:val="0"/>
        </w:rPr>
      </w:pPr>
      <w:r>
        <w:rPr>
          <w:rFonts w:ascii="Calibri" w:hAnsi="Calibri" w:cs="Calibri" w:eastAsia="Calibri" w:hint="default"/>
        </w:rPr>
        <w:t>(</w:t>
      </w:r>
      <w:r>
        <w:rPr/>
        <w:t>一</w:t>
      </w:r>
      <w:r>
        <w:rPr>
          <w:rFonts w:ascii="Calibri" w:hAnsi="Calibri" w:cs="Calibri" w:eastAsia="Calibri" w:hint="default"/>
        </w:rPr>
        <w:t>)</w:t>
        <w:tab/>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749" w:val="left" w:leader="none"/>
        </w:tabs>
        <w:spacing w:line="240" w:lineRule="auto" w:before="177"/>
        <w:ind w:left="698" w:right="0"/>
        <w:jc w:val="left"/>
      </w:pPr>
      <w:r>
        <w:rPr>
          <w:spacing w:val="-1"/>
        </w:rPr>
        <w:t>单位：元</w:t>
        <w:tab/>
      </w:r>
      <w:r>
        <w:rPr>
          <w:spacing w:val="-2"/>
        </w:rPr>
        <w:t>币种：人民币</w:t>
      </w:r>
    </w:p>
    <w:p>
      <w:pPr>
        <w:spacing w:after="0" w:line="240" w:lineRule="auto"/>
        <w:jc w:val="left"/>
        <w:sectPr>
          <w:type w:val="continuous"/>
          <w:pgSz w:w="11910" w:h="16840"/>
          <w:pgMar w:top="1120" w:bottom="1380" w:left="1100" w:right="460"/>
          <w:cols w:num="2" w:equalWidth="0">
            <w:col w:w="4147" w:space="2374"/>
            <w:col w:w="3829"/>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261"/>
        <w:gridCol w:w="2002"/>
        <w:gridCol w:w="2004"/>
        <w:gridCol w:w="1813"/>
        <w:gridCol w:w="2002"/>
      </w:tblGrid>
      <w:tr>
        <w:trPr>
          <w:trHeight w:val="566" w:hRule="exact"/>
        </w:trPr>
        <w:tc>
          <w:tcPr>
            <w:tcW w:w="226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2"/>
              <w:ind w:left="485"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20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20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813"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增减</w:t>
            </w:r>
            <w:r>
              <w:rPr>
                <w:rFonts w:ascii="宋体" w:hAnsi="宋体" w:cs="宋体" w:eastAsia="宋体" w:hint="default"/>
                <w:sz w:val="21"/>
                <w:szCs w:val="21"/>
              </w:rPr>
              <w:t>(%)</w:t>
            </w:r>
          </w:p>
        </w:tc>
        <w:tc>
          <w:tcPr>
            <w:tcW w:w="200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r>
      <w:tr>
        <w:trPr>
          <w:trHeight w:val="413" w:hRule="exact"/>
        </w:trPr>
        <w:tc>
          <w:tcPr>
            <w:tcW w:w="22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left="9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1,805,549,385.99</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2,126,994,651.77</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-15.11</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right="88"/>
              <w:jc w:val="right"/>
              <w:rPr>
                <w:rFonts w:ascii="宋体" w:hAnsi="宋体" w:cs="宋体" w:eastAsia="宋体" w:hint="default"/>
                <w:sz w:val="21"/>
                <w:szCs w:val="21"/>
              </w:rPr>
            </w:pPr>
            <w:r>
              <w:rPr>
                <w:rFonts w:ascii="宋体"/>
                <w:spacing w:val="-1"/>
                <w:sz w:val="21"/>
              </w:rPr>
              <w:t>1,844,630,277.16</w:t>
            </w:r>
          </w:p>
        </w:tc>
      </w:tr>
      <w:tr>
        <w:trPr>
          <w:trHeight w:val="559" w:hRule="exact"/>
        </w:trPr>
        <w:tc>
          <w:tcPr>
            <w:tcW w:w="226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1" w:right="0"/>
              <w:jc w:val="left"/>
              <w:rPr>
                <w:rFonts w:ascii="宋体" w:hAnsi="宋体" w:cs="宋体" w:eastAsia="宋体" w:hint="default"/>
                <w:sz w:val="21"/>
                <w:szCs w:val="21"/>
              </w:rPr>
            </w:pPr>
            <w:r>
              <w:rPr>
                <w:rFonts w:ascii="宋体" w:hAnsi="宋体" w:cs="宋体" w:eastAsia="宋体" w:hint="default"/>
                <w:spacing w:val="15"/>
                <w:sz w:val="21"/>
                <w:szCs w:val="21"/>
              </w:rPr>
              <w:t>归属于上市公司股东</w:t>
            </w:r>
          </w:p>
          <w:p>
            <w:pPr>
              <w:pStyle w:val="TableParagraph"/>
              <w:spacing w:line="274" w:lineRule="exact"/>
              <w:ind w:left="91"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129,065,845.77</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220,825,148.69</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-41.55</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89"/>
              <w:jc w:val="right"/>
              <w:rPr>
                <w:rFonts w:ascii="宋体" w:hAnsi="宋体" w:cs="宋体" w:eastAsia="宋体" w:hint="default"/>
                <w:sz w:val="21"/>
                <w:szCs w:val="21"/>
              </w:rPr>
            </w:pPr>
            <w:r>
              <w:rPr>
                <w:rFonts w:ascii="宋体"/>
                <w:spacing w:val="-1"/>
                <w:sz w:val="21"/>
              </w:rPr>
              <w:t>155,522,880.86</w:t>
            </w:r>
          </w:p>
        </w:tc>
      </w:tr>
      <w:tr>
        <w:trPr>
          <w:trHeight w:val="833" w:hRule="exact"/>
        </w:trPr>
        <w:tc>
          <w:tcPr>
            <w:tcW w:w="226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1" w:right="0"/>
              <w:jc w:val="left"/>
              <w:rPr>
                <w:rFonts w:ascii="宋体" w:hAnsi="宋体" w:cs="宋体" w:eastAsia="宋体" w:hint="default"/>
                <w:sz w:val="21"/>
                <w:szCs w:val="21"/>
              </w:rPr>
            </w:pPr>
            <w:r>
              <w:rPr>
                <w:rFonts w:ascii="宋体" w:hAnsi="宋体" w:cs="宋体" w:eastAsia="宋体" w:hint="default"/>
                <w:spacing w:val="15"/>
                <w:sz w:val="21"/>
                <w:szCs w:val="21"/>
              </w:rPr>
              <w:t>归属于上市公司股东</w:t>
            </w:r>
          </w:p>
          <w:p>
            <w:pPr>
              <w:pStyle w:val="TableParagraph"/>
              <w:spacing w:line="272" w:lineRule="exact" w:before="27"/>
              <w:ind w:left="91" w:right="97"/>
              <w:jc w:val="left"/>
              <w:rPr>
                <w:rFonts w:ascii="宋体" w:hAnsi="宋体" w:cs="宋体" w:eastAsia="宋体" w:hint="default"/>
                <w:sz w:val="21"/>
                <w:szCs w:val="21"/>
              </w:rPr>
            </w:pPr>
            <w:r>
              <w:rPr>
                <w:rFonts w:ascii="宋体" w:hAnsi="宋体" w:cs="宋体" w:eastAsia="宋体" w:hint="default"/>
                <w:spacing w:val="15"/>
                <w:sz w:val="21"/>
                <w:szCs w:val="21"/>
              </w:rPr>
              <w:t>的扣除非经常性损益</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的净利润</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62,281,264.31</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110,500,709.34</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-43.64</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9"/>
              <w:jc w:val="right"/>
              <w:rPr>
                <w:rFonts w:ascii="宋体" w:hAnsi="宋体" w:cs="宋体" w:eastAsia="宋体" w:hint="default"/>
                <w:sz w:val="21"/>
                <w:szCs w:val="21"/>
              </w:rPr>
            </w:pPr>
            <w:r>
              <w:rPr>
                <w:rFonts w:ascii="宋体"/>
                <w:spacing w:val="-1"/>
                <w:sz w:val="21"/>
              </w:rPr>
              <w:t>120,227,892.21</w:t>
            </w:r>
          </w:p>
        </w:tc>
      </w:tr>
      <w:tr>
        <w:trPr>
          <w:trHeight w:val="560" w:hRule="exact"/>
        </w:trPr>
        <w:tc>
          <w:tcPr>
            <w:tcW w:w="226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1" w:right="0"/>
              <w:jc w:val="left"/>
              <w:rPr>
                <w:rFonts w:ascii="宋体" w:hAnsi="宋体" w:cs="宋体" w:eastAsia="宋体" w:hint="default"/>
                <w:sz w:val="21"/>
                <w:szCs w:val="21"/>
              </w:rPr>
            </w:pPr>
            <w:r>
              <w:rPr>
                <w:rFonts w:ascii="宋体" w:hAnsi="宋体" w:cs="宋体" w:eastAsia="宋体" w:hint="default"/>
                <w:spacing w:val="15"/>
                <w:sz w:val="21"/>
                <w:szCs w:val="21"/>
              </w:rPr>
              <w:t>经营活动产生的现金</w:t>
            </w:r>
          </w:p>
          <w:p>
            <w:pPr>
              <w:pStyle w:val="TableParagraph"/>
              <w:spacing w:line="274" w:lineRule="exact"/>
              <w:ind w:left="91"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545,417,259.64</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315,624,630.74</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72.81</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right="89"/>
              <w:jc w:val="right"/>
              <w:rPr>
                <w:rFonts w:ascii="宋体" w:hAnsi="宋体" w:cs="宋体" w:eastAsia="宋体" w:hint="default"/>
                <w:sz w:val="21"/>
                <w:szCs w:val="21"/>
              </w:rPr>
            </w:pPr>
            <w:r>
              <w:rPr>
                <w:rFonts w:ascii="宋体"/>
                <w:spacing w:val="-1"/>
                <w:sz w:val="21"/>
              </w:rPr>
              <w:t>537,123,858.32</w:t>
            </w:r>
          </w:p>
        </w:tc>
      </w:tr>
      <w:tr>
        <w:trPr>
          <w:trHeight w:val="559" w:hRule="exact"/>
        </w:trPr>
        <w:tc>
          <w:tcPr>
            <w:tcW w:w="2261" w:type="dxa"/>
            <w:tcBorders>
              <w:top w:val="single" w:sz="6" w:space="0" w:color="000000"/>
              <w:left w:val="single" w:sz="12"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7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7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年末</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6" w:right="0" w:hanging="53"/>
              <w:jc w:val="left"/>
              <w:rPr>
                <w:rFonts w:ascii="宋体" w:hAnsi="宋体" w:cs="宋体" w:eastAsia="宋体" w:hint="default"/>
                <w:sz w:val="21"/>
                <w:szCs w:val="21"/>
              </w:rPr>
            </w:pPr>
            <w:r>
              <w:rPr>
                <w:rFonts w:ascii="宋体" w:hAnsi="宋体" w:cs="宋体" w:eastAsia="宋体" w:hint="default"/>
                <w:sz w:val="21"/>
                <w:szCs w:val="21"/>
              </w:rPr>
              <w:t>本期末比上年同</w:t>
            </w:r>
          </w:p>
          <w:p>
            <w:pPr>
              <w:pStyle w:val="TableParagraph"/>
              <w:spacing w:line="274" w:lineRule="exact"/>
              <w:ind w:left="216" w:right="0"/>
              <w:jc w:val="left"/>
              <w:rPr>
                <w:rFonts w:ascii="宋体" w:hAnsi="宋体" w:cs="宋体" w:eastAsia="宋体" w:hint="default"/>
                <w:sz w:val="21"/>
                <w:szCs w:val="21"/>
              </w:rPr>
            </w:pPr>
            <w:r>
              <w:rPr>
                <w:rFonts w:ascii="宋体" w:hAnsi="宋体" w:cs="宋体" w:eastAsia="宋体" w:hint="default"/>
                <w:sz w:val="21"/>
                <w:szCs w:val="21"/>
              </w:rPr>
              <w:t>期末增减（</w:t>
            </w:r>
            <w:r>
              <w:rPr>
                <w:rFonts w:ascii="宋体" w:hAnsi="宋体" w:cs="宋体" w:eastAsia="宋体" w:hint="default"/>
                <w:sz w:val="21"/>
                <w:szCs w:val="21"/>
              </w:rPr>
              <w:t>%</w:t>
            </w:r>
            <w:r>
              <w:rPr>
                <w:rFonts w:ascii="宋体" w:hAnsi="宋体" w:cs="宋体" w:eastAsia="宋体" w:hint="default"/>
                <w:sz w:val="21"/>
                <w:szCs w:val="21"/>
              </w:rPr>
              <w:t>）</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57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年末</w:t>
            </w:r>
          </w:p>
        </w:tc>
      </w:tr>
      <w:tr>
        <w:trPr>
          <w:trHeight w:val="559" w:hRule="exact"/>
        </w:trPr>
        <w:tc>
          <w:tcPr>
            <w:tcW w:w="226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1" w:right="0"/>
              <w:jc w:val="left"/>
              <w:rPr>
                <w:rFonts w:ascii="宋体" w:hAnsi="宋体" w:cs="宋体" w:eastAsia="宋体" w:hint="default"/>
                <w:sz w:val="21"/>
                <w:szCs w:val="21"/>
              </w:rPr>
            </w:pPr>
            <w:r>
              <w:rPr>
                <w:rFonts w:ascii="宋体" w:hAnsi="宋体" w:cs="宋体" w:eastAsia="宋体" w:hint="default"/>
                <w:spacing w:val="15"/>
                <w:sz w:val="21"/>
                <w:szCs w:val="21"/>
              </w:rPr>
              <w:t>归属于上市公司股东</w:t>
            </w:r>
          </w:p>
          <w:p>
            <w:pPr>
              <w:pStyle w:val="TableParagraph"/>
              <w:spacing w:line="273" w:lineRule="exact"/>
              <w:ind w:left="91" w:right="0"/>
              <w:jc w:val="left"/>
              <w:rPr>
                <w:rFonts w:ascii="宋体" w:hAnsi="宋体" w:cs="宋体" w:eastAsia="宋体" w:hint="default"/>
                <w:sz w:val="21"/>
                <w:szCs w:val="21"/>
              </w:rPr>
            </w:pPr>
            <w:r>
              <w:rPr>
                <w:rFonts w:ascii="宋体" w:hAnsi="宋体" w:cs="宋体" w:eastAsia="宋体" w:hint="default"/>
                <w:sz w:val="21"/>
                <w:szCs w:val="21"/>
              </w:rPr>
              <w:t>的净资产</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5,883,339,634.25</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5,813,932,392.64</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1.19</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88"/>
              <w:jc w:val="right"/>
              <w:rPr>
                <w:rFonts w:ascii="宋体" w:hAnsi="宋体" w:cs="宋体" w:eastAsia="宋体" w:hint="default"/>
                <w:sz w:val="21"/>
                <w:szCs w:val="21"/>
              </w:rPr>
            </w:pPr>
            <w:r>
              <w:rPr>
                <w:rFonts w:ascii="宋体"/>
                <w:spacing w:val="-1"/>
                <w:sz w:val="21"/>
              </w:rPr>
              <w:t>5,637,566,217.69</w:t>
            </w:r>
          </w:p>
        </w:tc>
      </w:tr>
      <w:tr>
        <w:trPr>
          <w:trHeight w:val="413" w:hRule="exact"/>
        </w:trPr>
        <w:tc>
          <w:tcPr>
            <w:tcW w:w="22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left="91"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12,004,158,423.58</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12,195,005,798.32</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-1.56</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right="88"/>
              <w:jc w:val="right"/>
              <w:rPr>
                <w:rFonts w:ascii="宋体" w:hAnsi="宋体" w:cs="宋体" w:eastAsia="宋体" w:hint="default"/>
                <w:sz w:val="21"/>
                <w:szCs w:val="21"/>
              </w:rPr>
            </w:pPr>
            <w:r>
              <w:rPr>
                <w:rFonts w:ascii="宋体"/>
                <w:spacing w:val="-1"/>
                <w:sz w:val="21"/>
              </w:rPr>
              <w:t>11,198,384,680.93</w:t>
            </w:r>
          </w:p>
        </w:tc>
      </w:tr>
      <w:tr>
        <w:trPr>
          <w:trHeight w:val="418" w:hRule="exact"/>
        </w:trPr>
        <w:tc>
          <w:tcPr>
            <w:tcW w:w="226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left="91" w:right="0"/>
              <w:jc w:val="left"/>
              <w:rPr>
                <w:rFonts w:ascii="宋体" w:hAnsi="宋体" w:cs="宋体" w:eastAsia="宋体" w:hint="default"/>
                <w:sz w:val="21"/>
                <w:szCs w:val="21"/>
              </w:rPr>
            </w:pPr>
            <w:r>
              <w:rPr>
                <w:rFonts w:ascii="宋体" w:hAnsi="宋体" w:cs="宋体" w:eastAsia="宋体" w:hint="default"/>
                <w:sz w:val="21"/>
                <w:szCs w:val="21"/>
              </w:rPr>
              <w:t>期末总股本</w:t>
            </w:r>
          </w:p>
        </w:tc>
        <w:tc>
          <w:tcPr>
            <w:tcW w:w="20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2,002,291,500.00</w:t>
            </w:r>
          </w:p>
        </w:tc>
        <w:tc>
          <w:tcPr>
            <w:tcW w:w="20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2,002,291,500.00</w:t>
            </w:r>
          </w:p>
        </w:tc>
        <w:tc>
          <w:tcPr>
            <w:tcW w:w="18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w w:val="100"/>
                <w:sz w:val="21"/>
              </w:rPr>
              <w:t>-</w:t>
            </w:r>
          </w:p>
        </w:tc>
        <w:tc>
          <w:tcPr>
            <w:tcW w:w="20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88"/>
              <w:jc w:val="right"/>
              <w:rPr>
                <w:rFonts w:ascii="宋体" w:hAnsi="宋体" w:cs="宋体" w:eastAsia="宋体" w:hint="default"/>
                <w:sz w:val="21"/>
                <w:szCs w:val="21"/>
              </w:rPr>
            </w:pPr>
            <w:r>
              <w:rPr>
                <w:rFonts w:ascii="宋体"/>
                <w:spacing w:val="-1"/>
                <w:sz w:val="21"/>
              </w:rPr>
              <w:t>2,002,291,500.00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2"/>
        <w:tabs>
          <w:tab w:pos="1537" w:val="left" w:leader="none"/>
        </w:tabs>
        <w:spacing w:line="240" w:lineRule="auto"/>
        <w:ind w:left="69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
        <w:rPr>
          <w:rFonts w:ascii="宋体" w:hAnsi="宋体" w:cs="宋体" w:eastAsia="宋体" w:hint="default"/>
          <w:b/>
          <w:bCs/>
          <w:sz w:val="7"/>
          <w:szCs w:val="7"/>
        </w:rPr>
      </w:pPr>
    </w:p>
    <w:tbl>
      <w:tblPr>
        <w:tblW w:w="0" w:type="auto"/>
        <w:jc w:val="left"/>
        <w:tblInd w:w="116" w:type="dxa"/>
        <w:tblLayout w:type="fixed"/>
        <w:tblCellMar>
          <w:top w:w="0" w:type="dxa"/>
          <w:left w:w="0" w:type="dxa"/>
          <w:bottom w:w="0" w:type="dxa"/>
          <w:right w:w="0" w:type="dxa"/>
        </w:tblCellMar>
        <w:tblLook w:val="01E0"/>
      </w:tblPr>
      <w:tblGrid>
        <w:gridCol w:w="3263"/>
        <w:gridCol w:w="1411"/>
        <w:gridCol w:w="1529"/>
        <w:gridCol w:w="2249"/>
        <w:gridCol w:w="1536"/>
      </w:tblGrid>
      <w:tr>
        <w:trPr>
          <w:trHeight w:val="566" w:hRule="exact"/>
        </w:trPr>
        <w:tc>
          <w:tcPr>
            <w:tcW w:w="326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2"/>
              <w:ind w:left="984"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379"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152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44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2249"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本期比上年同期增减</w:t>
            </w:r>
          </w:p>
          <w:p>
            <w:pPr>
              <w:pStyle w:val="TableParagraph"/>
              <w:spacing w:line="274" w:lineRule="exact"/>
              <w:ind w:right="2"/>
              <w:jc w:val="center"/>
              <w:rPr>
                <w:rFonts w:ascii="宋体" w:hAnsi="宋体" w:cs="宋体" w:eastAsia="宋体" w:hint="default"/>
                <w:sz w:val="21"/>
                <w:szCs w:val="21"/>
              </w:rPr>
            </w:pPr>
            <w:r>
              <w:rPr>
                <w:rFonts w:ascii="宋体"/>
                <w:sz w:val="21"/>
              </w:rPr>
              <w:t>(%)</w:t>
            </w:r>
          </w:p>
        </w:tc>
        <w:tc>
          <w:tcPr>
            <w:tcW w:w="153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2"/>
              <w:ind w:left="44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r>
      <w:tr>
        <w:trPr>
          <w:trHeight w:val="413" w:hRule="exact"/>
        </w:trPr>
        <w:tc>
          <w:tcPr>
            <w:tcW w:w="32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1"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0.064459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0.110286</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-41.55</w:t>
            </w:r>
          </w:p>
        </w:tc>
        <w:tc>
          <w:tcPr>
            <w:tcW w:w="15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宋体" w:hAnsi="宋体" w:cs="宋体" w:eastAsia="宋体" w:hint="default"/>
                <w:sz w:val="21"/>
                <w:szCs w:val="21"/>
              </w:rPr>
            </w:pPr>
            <w:r>
              <w:rPr>
                <w:rFonts w:ascii="宋体"/>
                <w:spacing w:val="-1"/>
                <w:sz w:val="21"/>
              </w:rPr>
              <w:t>0.077672</w:t>
            </w:r>
          </w:p>
        </w:tc>
      </w:tr>
      <w:tr>
        <w:trPr>
          <w:trHeight w:val="413" w:hRule="exact"/>
        </w:trPr>
        <w:tc>
          <w:tcPr>
            <w:tcW w:w="32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1"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0.064459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0.110286</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-41.55</w:t>
            </w:r>
          </w:p>
        </w:tc>
        <w:tc>
          <w:tcPr>
            <w:tcW w:w="15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宋体" w:hAnsi="宋体" w:cs="宋体" w:eastAsia="宋体" w:hint="default"/>
                <w:sz w:val="21"/>
                <w:szCs w:val="21"/>
              </w:rPr>
            </w:pPr>
            <w:r>
              <w:rPr>
                <w:rFonts w:ascii="宋体"/>
                <w:spacing w:val="-1"/>
                <w:sz w:val="21"/>
              </w:rPr>
              <w:t>0.077672</w:t>
            </w:r>
          </w:p>
        </w:tc>
      </w:tr>
      <w:tr>
        <w:trPr>
          <w:trHeight w:val="559" w:hRule="exact"/>
        </w:trPr>
        <w:tc>
          <w:tcPr>
            <w:tcW w:w="3263"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91" w:right="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扣除非经常性损益后的基本每股</w:t>
            </w:r>
            <w:r>
              <w:rPr>
                <w:rFonts w:ascii="宋体" w:hAnsi="宋体" w:cs="宋体" w:eastAsia="宋体" w:hint="default"/>
                <w:sz w:val="21"/>
                <w:szCs w:val="21"/>
              </w:rPr>
            </w:r>
          </w:p>
          <w:p>
            <w:pPr>
              <w:pStyle w:val="TableParagraph"/>
              <w:spacing w:line="273" w:lineRule="exact"/>
              <w:ind w:left="91" w:right="0"/>
              <w:jc w:val="left"/>
              <w:rPr>
                <w:rFonts w:ascii="宋体" w:hAnsi="宋体" w:cs="宋体" w:eastAsia="宋体" w:hint="default"/>
                <w:sz w:val="21"/>
                <w:szCs w:val="21"/>
              </w:rPr>
            </w:pPr>
            <w:r>
              <w:rPr>
                <w:rFonts w:ascii="宋体" w:hAnsi="宋体" w:cs="宋体" w:eastAsia="宋体" w:hint="default"/>
                <w:sz w:val="21"/>
                <w:szCs w:val="21"/>
              </w:rPr>
              <w:t>收益（元／股）</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0.031105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0.055187</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-43.64</w:t>
            </w:r>
          </w:p>
        </w:tc>
        <w:tc>
          <w:tcPr>
            <w:tcW w:w="15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89"/>
              <w:jc w:val="right"/>
              <w:rPr>
                <w:rFonts w:ascii="宋体" w:hAnsi="宋体" w:cs="宋体" w:eastAsia="宋体" w:hint="default"/>
                <w:sz w:val="21"/>
                <w:szCs w:val="21"/>
              </w:rPr>
            </w:pPr>
            <w:r>
              <w:rPr>
                <w:rFonts w:ascii="宋体"/>
                <w:spacing w:val="-1"/>
                <w:sz w:val="21"/>
              </w:rPr>
              <w:t>0.060045</w:t>
            </w:r>
          </w:p>
        </w:tc>
      </w:tr>
      <w:tr>
        <w:trPr>
          <w:trHeight w:val="410" w:hRule="exact"/>
        </w:trPr>
        <w:tc>
          <w:tcPr>
            <w:tcW w:w="32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2.20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z w:val="21"/>
              </w:rPr>
              <w:t>3.86</w:t>
            </w:r>
          </w:p>
        </w:tc>
        <w:tc>
          <w:tcPr>
            <w:tcW w:w="2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1.66</w:t>
            </w:r>
            <w:r>
              <w:rPr>
                <w:rFonts w:ascii="宋体" w:hAnsi="宋体" w:cs="宋体" w:eastAsia="宋体" w:hint="default"/>
                <w:spacing w:val="-1"/>
                <w:sz w:val="21"/>
                <w:szCs w:val="21"/>
              </w:rPr>
              <w:t>个百分点</w:t>
            </w:r>
          </w:p>
        </w:tc>
        <w:tc>
          <w:tcPr>
            <w:tcW w:w="15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宋体" w:hAnsi="宋体" w:cs="宋体" w:eastAsia="宋体" w:hint="default"/>
                <w:sz w:val="21"/>
                <w:szCs w:val="21"/>
              </w:rPr>
            </w:pPr>
            <w:r>
              <w:rPr>
                <w:rFonts w:ascii="宋体"/>
                <w:sz w:val="21"/>
              </w:rPr>
              <w:t>3.75</w:t>
            </w:r>
          </w:p>
        </w:tc>
      </w:tr>
      <w:tr>
        <w:trPr>
          <w:trHeight w:val="566" w:hRule="exact"/>
        </w:trPr>
        <w:tc>
          <w:tcPr>
            <w:tcW w:w="3263"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1" w:right="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扣除非经常性损益后的加权平均</w:t>
            </w:r>
            <w:r>
              <w:rPr>
                <w:rFonts w:ascii="宋体" w:hAnsi="宋体" w:cs="宋体" w:eastAsia="宋体" w:hint="default"/>
                <w:sz w:val="21"/>
                <w:szCs w:val="21"/>
              </w:rPr>
            </w:r>
          </w:p>
          <w:p>
            <w:pPr>
              <w:pStyle w:val="TableParagraph"/>
              <w:spacing w:line="273" w:lineRule="exact"/>
              <w:ind w:left="91"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1.06</w:t>
            </w:r>
          </w:p>
        </w:tc>
        <w:tc>
          <w:tcPr>
            <w:tcW w:w="15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1.93</w:t>
            </w:r>
          </w:p>
        </w:tc>
        <w:tc>
          <w:tcPr>
            <w:tcW w:w="22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0.87</w:t>
            </w:r>
            <w:r>
              <w:rPr>
                <w:rFonts w:ascii="宋体" w:hAnsi="宋体" w:cs="宋体" w:eastAsia="宋体" w:hint="default"/>
                <w:spacing w:val="-1"/>
                <w:sz w:val="21"/>
                <w:szCs w:val="21"/>
              </w:rPr>
              <w:t>个百分点</w:t>
            </w:r>
          </w:p>
        </w:tc>
        <w:tc>
          <w:tcPr>
            <w:tcW w:w="153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2"/>
              <w:ind w:right="89"/>
              <w:jc w:val="right"/>
              <w:rPr>
                <w:rFonts w:ascii="宋体" w:hAnsi="宋体" w:cs="宋体" w:eastAsia="宋体" w:hint="default"/>
                <w:sz w:val="21"/>
                <w:szCs w:val="21"/>
              </w:rPr>
            </w:pPr>
            <w:r>
              <w:rPr>
                <w:rFonts w:ascii="宋体"/>
                <w:sz w:val="21"/>
              </w:rPr>
              <w:t>2.90</w:t>
            </w:r>
          </w:p>
        </w:tc>
      </w:tr>
    </w:tbl>
    <w:p>
      <w:pPr>
        <w:spacing w:line="240" w:lineRule="auto" w:before="10"/>
        <w:rPr>
          <w:rFonts w:ascii="宋体" w:hAnsi="宋体" w:cs="宋体" w:eastAsia="宋体" w:hint="default"/>
          <w:b/>
          <w:bCs/>
          <w:sz w:val="15"/>
          <w:szCs w:val="15"/>
        </w:rPr>
      </w:pPr>
    </w:p>
    <w:p>
      <w:pPr>
        <w:pStyle w:val="Heading2"/>
        <w:spacing w:line="240" w:lineRule="auto"/>
        <w:ind w:left="698" w:right="0"/>
        <w:jc w:val="left"/>
        <w:rPr>
          <w:b w:val="0"/>
          <w:bCs w:val="0"/>
        </w:rPr>
      </w:pPr>
      <w:r>
        <w:rPr/>
        <w:t>八、</w:t>
      </w:r>
      <w:r>
        <w:rPr>
          <w:spacing w:val="-32"/>
        </w:rPr>
        <w:t> </w:t>
      </w:r>
      <w:r>
        <w:rPr/>
        <w:t>境内外会计准则下会计数据差异</w:t>
      </w:r>
      <w:r>
        <w:rPr>
          <w:b w:val="0"/>
          <w:bCs w:val="0"/>
        </w:rPr>
      </w:r>
    </w:p>
    <w:p>
      <w:pPr>
        <w:pStyle w:val="Heading2"/>
        <w:spacing w:line="324" w:lineRule="auto" w:before="133"/>
        <w:ind w:left="698" w:right="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59"/>
        <w:ind w:left="1118" w:right="0"/>
        <w:jc w:val="left"/>
      </w:pPr>
      <w:r>
        <w:rPr/>
        <w:t>□适用 √不适用</w:t>
      </w:r>
    </w:p>
    <w:p>
      <w:pPr>
        <w:pStyle w:val="Heading2"/>
        <w:spacing w:line="326" w:lineRule="auto" w:before="133"/>
        <w:ind w:left="698" w:right="0"/>
        <w:jc w:val="left"/>
        <w:rPr>
          <w:b w:val="0"/>
          <w:bCs w:val="0"/>
        </w:rPr>
      </w:pPr>
      <w:r>
        <w:rPr>
          <w:rFonts w:ascii="Calibri" w:hAnsi="Calibri" w:cs="Calibri" w:eastAsia="Calibri" w:hint="default"/>
        </w:rPr>
        <w:t>(</w:t>
      </w:r>
      <w:r>
        <w:rPr/>
        <w:t>二</w:t>
      </w:r>
      <w:r>
        <w:rPr>
          <w:rFonts w:ascii="Calibri" w:hAnsi="Calibri" w:cs="Calibri" w:eastAsia="Calibri" w:hint="default"/>
        </w:rPr>
        <w:t>) </w:t>
      </w:r>
      <w:r>
        <w:rPr>
          <w:spacing w:val="2"/>
        </w:rPr>
        <w:t>同时按照境外会计准则与按中国会计准则披露的财务报告中净利润和属于上市公司股东的</w:t>
      </w:r>
      <w:r>
        <w:rPr>
          <w:spacing w:val="-85"/>
        </w:rPr>
        <w:t> </w:t>
      </w:r>
      <w:r>
        <w:rPr>
          <w:spacing w:val="-85"/>
        </w:rPr>
      </w:r>
      <w:r>
        <w:rPr/>
        <w:t>净资产差异情况</w:t>
      </w:r>
      <w:r>
        <w:rPr>
          <w:b w:val="0"/>
          <w:bCs w:val="0"/>
        </w:rPr>
      </w:r>
    </w:p>
    <w:p>
      <w:pPr>
        <w:pStyle w:val="BodyText"/>
        <w:spacing w:line="240" w:lineRule="auto" w:before="57"/>
        <w:ind w:left="1118" w:right="0"/>
        <w:jc w:val="left"/>
      </w:pPr>
      <w:r>
        <w:rPr/>
        <w:t>□适用 √不适用</w:t>
      </w:r>
    </w:p>
    <w:p>
      <w:pPr>
        <w:spacing w:after="0" w:line="240" w:lineRule="auto"/>
        <w:jc w:val="left"/>
        <w:sectPr>
          <w:type w:val="continuous"/>
          <w:pgSz w:w="11910" w:h="16840"/>
          <w:pgMar w:top="1120" w:bottom="1380" w:left="1100" w:right="460"/>
        </w:sectPr>
      </w:pPr>
    </w:p>
    <w:p>
      <w:pPr>
        <w:spacing w:line="240" w:lineRule="auto" w:before="4"/>
        <w:rPr>
          <w:rFonts w:ascii="宋体" w:hAnsi="宋体" w:cs="宋体" w:eastAsia="宋体" w:hint="default"/>
          <w:sz w:val="25"/>
          <w:szCs w:val="25"/>
        </w:rPr>
      </w:pPr>
    </w:p>
    <w:p>
      <w:pPr>
        <w:pStyle w:val="Heading2"/>
        <w:spacing w:line="240" w:lineRule="auto"/>
        <w:ind w:left="238" w:right="0"/>
        <w:jc w:val="left"/>
        <w:rPr>
          <w:b w:val="0"/>
          <w:bCs w:val="0"/>
        </w:rPr>
      </w:pPr>
      <w:r>
        <w:rPr/>
        <w:t>九、 </w:t>
      </w:r>
      <w:r>
        <w:rPr>
          <w:rFonts w:ascii="Arial" w:hAnsi="Arial" w:cs="Arial" w:eastAsia="Arial" w:hint="default"/>
        </w:rPr>
        <w:t>2015</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4"/>
        <w:ind w:left="0" w:right="2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305"/>
        <w:gridCol w:w="1687"/>
        <w:gridCol w:w="1685"/>
        <w:gridCol w:w="1688"/>
        <w:gridCol w:w="1685"/>
      </w:tblGrid>
      <w:tr>
        <w:trPr>
          <w:trHeight w:val="569" w:hRule="exact"/>
        </w:trPr>
        <w:tc>
          <w:tcPr>
            <w:tcW w:w="2305" w:type="dxa"/>
            <w:tcBorders>
              <w:top w:val="single" w:sz="12" w:space="0" w:color="000000"/>
              <w:left w:val="single" w:sz="12" w:space="0" w:color="000000"/>
              <w:bottom w:val="single" w:sz="6" w:space="0" w:color="000000"/>
              <w:right w:val="single" w:sz="6" w:space="0" w:color="000000"/>
            </w:tcBorders>
          </w:tcPr>
          <w:p>
            <w:pPr/>
          </w:p>
        </w:tc>
        <w:tc>
          <w:tcPr>
            <w:tcW w:w="1687"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5"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8"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5"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3" w:lineRule="exact"/>
              <w:ind w:left="1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8" w:hRule="exact"/>
        </w:trPr>
        <w:tc>
          <w:tcPr>
            <w:tcW w:w="230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604,204,675.76</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580,739,502.93</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550,994,417.54</w:t>
            </w:r>
          </w:p>
        </w:tc>
        <w:tc>
          <w:tcPr>
            <w:tcW w:w="168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6"/>
              <w:jc w:val="right"/>
              <w:rPr>
                <w:rFonts w:ascii="宋体" w:hAnsi="宋体" w:cs="宋体" w:eastAsia="宋体" w:hint="default"/>
                <w:sz w:val="21"/>
                <w:szCs w:val="21"/>
              </w:rPr>
            </w:pPr>
            <w:r>
              <w:rPr>
                <w:rFonts w:ascii="宋体"/>
                <w:spacing w:val="-1"/>
                <w:sz w:val="21"/>
              </w:rPr>
              <w:t>69,610,789.76</w:t>
            </w:r>
          </w:p>
        </w:tc>
      </w:tr>
      <w:tr>
        <w:trPr>
          <w:trHeight w:val="559" w:hRule="exact"/>
        </w:trPr>
        <w:tc>
          <w:tcPr>
            <w:tcW w:w="2305"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71,721,167.05</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sz w:val="21"/>
              </w:rPr>
              <w:t>38,928,973.61</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10,976,735.30</w:t>
            </w:r>
          </w:p>
        </w:tc>
        <w:tc>
          <w:tcPr>
            <w:tcW w:w="16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86"/>
              <w:jc w:val="right"/>
              <w:rPr>
                <w:rFonts w:ascii="宋体" w:hAnsi="宋体" w:cs="宋体" w:eastAsia="宋体" w:hint="default"/>
                <w:sz w:val="21"/>
                <w:szCs w:val="21"/>
              </w:rPr>
            </w:pPr>
            <w:r>
              <w:rPr>
                <w:rFonts w:ascii="宋体"/>
                <w:spacing w:val="-1"/>
                <w:sz w:val="21"/>
              </w:rPr>
              <w:t>7,438,969.81</w:t>
            </w:r>
          </w:p>
        </w:tc>
      </w:tr>
      <w:tr>
        <w:trPr>
          <w:trHeight w:val="830" w:hRule="exact"/>
        </w:trPr>
        <w:tc>
          <w:tcPr>
            <w:tcW w:w="2305"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40" w:lineRule="auto"/>
              <w:ind w:left="93" w:right="293"/>
              <w:jc w:val="left"/>
              <w:rPr>
                <w:rFonts w:ascii="宋体" w:hAnsi="宋体" w:cs="宋体" w:eastAsia="宋体" w:hint="default"/>
                <w:sz w:val="21"/>
                <w:szCs w:val="21"/>
              </w:rPr>
            </w:pPr>
            <w:r>
              <w:rPr>
                <w:rFonts w:ascii="宋体" w:hAnsi="宋体" w:cs="宋体" w:eastAsia="宋体" w:hint="default"/>
                <w:sz w:val="21"/>
                <w:szCs w:val="21"/>
              </w:rPr>
              <w:t>的扣除非经常性损益</w:t>
            </w:r>
            <w:r>
              <w:rPr>
                <w:rFonts w:ascii="宋体" w:hAnsi="宋体" w:cs="宋体" w:eastAsia="宋体" w:hint="default"/>
                <w:w w:val="100"/>
                <w:sz w:val="21"/>
                <w:szCs w:val="21"/>
              </w:rPr>
              <w:t> </w:t>
            </w:r>
            <w:r>
              <w:rPr>
                <w:rFonts w:ascii="宋体" w:hAnsi="宋体" w:cs="宋体" w:eastAsia="宋体" w:hint="default"/>
                <w:sz w:val="21"/>
                <w:szCs w:val="21"/>
              </w:rPr>
              <w:t>后的净利润</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58,918,146.48</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0" w:right="0"/>
              <w:jc w:val="center"/>
              <w:rPr>
                <w:rFonts w:ascii="宋体" w:hAnsi="宋体" w:cs="宋体" w:eastAsia="宋体" w:hint="default"/>
                <w:sz w:val="21"/>
                <w:szCs w:val="21"/>
              </w:rPr>
            </w:pPr>
            <w:r>
              <w:rPr>
                <w:rFonts w:ascii="宋体"/>
                <w:sz w:val="21"/>
              </w:rPr>
              <w:t>14,951,738.50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7" w:right="0"/>
              <w:jc w:val="center"/>
              <w:rPr>
                <w:rFonts w:ascii="宋体" w:hAnsi="宋体" w:cs="宋体" w:eastAsia="宋体" w:hint="default"/>
                <w:sz w:val="21"/>
                <w:szCs w:val="21"/>
              </w:rPr>
            </w:pPr>
            <w:r>
              <w:rPr>
                <w:rFonts w:ascii="宋体"/>
                <w:sz w:val="21"/>
              </w:rPr>
              <w:t>-7,849,060.68</w:t>
            </w:r>
          </w:p>
        </w:tc>
        <w:tc>
          <w:tcPr>
            <w:tcW w:w="16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6"/>
              <w:jc w:val="right"/>
              <w:rPr>
                <w:rFonts w:ascii="宋体" w:hAnsi="宋体" w:cs="宋体" w:eastAsia="宋体" w:hint="default"/>
                <w:sz w:val="21"/>
                <w:szCs w:val="21"/>
              </w:rPr>
            </w:pPr>
            <w:r>
              <w:rPr>
                <w:rFonts w:ascii="宋体"/>
                <w:spacing w:val="-1"/>
                <w:sz w:val="21"/>
              </w:rPr>
              <w:t>-3,739,559.99</w:t>
            </w:r>
          </w:p>
        </w:tc>
      </w:tr>
      <w:tr>
        <w:trPr>
          <w:trHeight w:val="567" w:hRule="exact"/>
        </w:trPr>
        <w:tc>
          <w:tcPr>
            <w:tcW w:w="2305"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6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175,875,491.56</w:t>
            </w:r>
          </w:p>
        </w:tc>
        <w:tc>
          <w:tcPr>
            <w:tcW w:w="16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221,130,971.01</w:t>
            </w: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-86,784,396.56</w:t>
            </w:r>
          </w:p>
        </w:tc>
        <w:tc>
          <w:tcPr>
            <w:tcW w:w="168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2"/>
              <w:ind w:right="86"/>
              <w:jc w:val="right"/>
              <w:rPr>
                <w:rFonts w:ascii="宋体" w:hAnsi="宋体" w:cs="宋体" w:eastAsia="宋体" w:hint="default"/>
                <w:sz w:val="21"/>
                <w:szCs w:val="21"/>
              </w:rPr>
            </w:pPr>
            <w:r>
              <w:rPr>
                <w:rFonts w:ascii="宋体"/>
                <w:spacing w:val="-1"/>
                <w:sz w:val="21"/>
              </w:rPr>
              <w:t>235,195,193.63</w:t>
            </w:r>
          </w:p>
        </w:tc>
      </w:tr>
    </w:tbl>
    <w:p>
      <w:pPr>
        <w:pStyle w:val="BodyText"/>
        <w:spacing w:line="243" w:lineRule="exact"/>
        <w:ind w:left="658" w:right="0"/>
        <w:jc w:val="left"/>
      </w:pPr>
      <w:r>
        <w:rPr/>
        <w:t>由于部分贸易业务按净额法确认收入，致</w:t>
      </w:r>
      <w:r>
        <w:rPr>
          <w:spacing w:val="-57"/>
        </w:rPr>
        <w:t> </w:t>
      </w:r>
      <w:r>
        <w:rPr>
          <w:rFonts w:ascii="宋体" w:hAnsi="宋体" w:cs="宋体" w:eastAsia="宋体" w:hint="default"/>
        </w:rPr>
        <w:t>2015</w:t>
      </w:r>
      <w:r>
        <w:rPr>
          <w:rFonts w:ascii="宋体" w:hAnsi="宋体" w:cs="宋体" w:eastAsia="宋体" w:hint="default"/>
          <w:spacing w:val="-56"/>
        </w:rPr>
        <w:t> </w:t>
      </w:r>
      <w:r>
        <w:rPr/>
        <w:t>年第四季度营业收入减少。</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ind w:left="658" w:right="0"/>
        <w:jc w:val="left"/>
      </w:pPr>
      <w:r>
        <w:rPr/>
        <w:t>季度数据与已披露定期报告数据差异说明</w:t>
      </w:r>
    </w:p>
    <w:p>
      <w:pPr>
        <w:pStyle w:val="BodyText"/>
        <w:spacing w:line="240" w:lineRule="auto" w:before="133"/>
        <w:ind w:left="658" w:right="0"/>
        <w:jc w:val="left"/>
      </w:pPr>
      <w:r>
        <w:rPr/>
        <w:t>□适用 √不适用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60" w:right="1020"/>
        </w:sectPr>
      </w:pPr>
    </w:p>
    <w:p>
      <w:pPr>
        <w:spacing w:line="240" w:lineRule="auto" w:before="6"/>
        <w:rPr>
          <w:rFonts w:ascii="宋体" w:hAnsi="宋体" w:cs="宋体" w:eastAsia="宋体" w:hint="default"/>
          <w:sz w:val="15"/>
          <w:szCs w:val="15"/>
        </w:rPr>
      </w:pPr>
    </w:p>
    <w:p>
      <w:pPr>
        <w:pStyle w:val="Heading2"/>
        <w:spacing w:line="240" w:lineRule="auto" w:before="0"/>
        <w:ind w:left="238" w:right="-18"/>
        <w:jc w:val="left"/>
        <w:rPr>
          <w:b w:val="0"/>
          <w:bCs w:val="0"/>
        </w:rPr>
      </w:pPr>
      <w:r>
        <w:rPr/>
        <w:t>十、</w:t>
      </w:r>
      <w:r>
        <w:rPr>
          <w:spacing w:val="-31"/>
        </w:rPr>
        <w:t> </w:t>
      </w:r>
      <w:r>
        <w:rPr/>
        <w:t>非经常性损益项目和金额</w:t>
      </w:r>
      <w:r>
        <w:rPr>
          <w:b w:val="0"/>
          <w:bCs w:val="0"/>
        </w:rPr>
      </w:r>
    </w:p>
    <w:p>
      <w:pPr>
        <w:pStyle w:val="BodyText"/>
        <w:spacing w:line="240" w:lineRule="auto" w:before="58"/>
        <w:ind w:left="65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tabs>
          <w:tab w:pos="1184" w:val="left" w:leader="none"/>
        </w:tabs>
        <w:spacing w:line="240" w:lineRule="auto"/>
        <w:ind w:left="2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60" w:right="1020"/>
          <w:cols w:num="2" w:equalWidth="0">
            <w:col w:w="3056" w:space="3677"/>
            <w:col w:w="2597"/>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463"/>
        <w:gridCol w:w="1687"/>
        <w:gridCol w:w="1527"/>
        <w:gridCol w:w="1688"/>
        <w:gridCol w:w="1685"/>
      </w:tblGrid>
      <w:tr>
        <w:trPr>
          <w:trHeight w:val="295" w:hRule="exact"/>
        </w:trPr>
        <w:tc>
          <w:tcPr>
            <w:tcW w:w="2463"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87" w:type="dxa"/>
            <w:tcBorders>
              <w:top w:val="single" w:sz="12" w:space="0" w:color="000000"/>
              <w:left w:val="single" w:sz="6" w:space="0" w:color="000000"/>
              <w:bottom w:val="single" w:sz="6" w:space="0" w:color="000000"/>
              <w:right w:val="single" w:sz="6" w:space="0" w:color="000000"/>
            </w:tcBorders>
          </w:tcPr>
          <w:p>
            <w:pPr>
              <w:pStyle w:val="TableParagraph"/>
              <w:spacing w:line="268" w:lineRule="exact"/>
              <w:ind w:left="280"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527"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00" w:right="-10"/>
              <w:jc w:val="left"/>
              <w:rPr>
                <w:rFonts w:ascii="宋体" w:hAnsi="宋体" w:cs="宋体" w:eastAsia="宋体" w:hint="default"/>
                <w:sz w:val="21"/>
                <w:szCs w:val="21"/>
              </w:rPr>
            </w:pPr>
            <w:r>
              <w:rPr>
                <w:rFonts w:ascii="宋体" w:hAnsi="宋体" w:cs="宋体" w:eastAsia="宋体" w:hint="default"/>
                <w:spacing w:val="-9"/>
                <w:sz w:val="21"/>
                <w:szCs w:val="21"/>
              </w:rPr>
              <w:t>附注（如适用）</w:t>
            </w:r>
          </w:p>
        </w:tc>
        <w:tc>
          <w:tcPr>
            <w:tcW w:w="1688" w:type="dxa"/>
            <w:tcBorders>
              <w:top w:val="single" w:sz="12" w:space="0" w:color="000000"/>
              <w:left w:val="single" w:sz="6" w:space="0" w:color="000000"/>
              <w:bottom w:val="single" w:sz="6" w:space="0" w:color="000000"/>
              <w:right w:val="single" w:sz="6" w:space="0" w:color="000000"/>
            </w:tcBorders>
          </w:tcPr>
          <w:p>
            <w:pPr>
              <w:pStyle w:val="TableParagraph"/>
              <w:spacing w:line="268" w:lineRule="exact"/>
              <w:ind w:left="280"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685" w:type="dxa"/>
            <w:tcBorders>
              <w:top w:val="single" w:sz="12" w:space="0" w:color="000000"/>
              <w:left w:val="single" w:sz="6" w:space="0" w:color="000000"/>
              <w:bottom w:val="single" w:sz="6" w:space="0" w:color="000000"/>
              <w:right w:val="single" w:sz="12" w:space="0" w:color="000000"/>
            </w:tcBorders>
          </w:tcPr>
          <w:p>
            <w:pPr>
              <w:pStyle w:val="TableParagraph"/>
              <w:spacing w:line="268" w:lineRule="exact"/>
              <w:ind w:left="280" w:right="0"/>
              <w:jc w:val="left"/>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r>
      <w:tr>
        <w:trPr>
          <w:trHeight w:val="560" w:hRule="exact"/>
        </w:trPr>
        <w:tc>
          <w:tcPr>
            <w:tcW w:w="24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3"/>
              <w:ind w:left="9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12,616,949.19</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处置拖船等固</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定资产收益</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85,917,717.01</w:t>
            </w:r>
          </w:p>
        </w:tc>
        <w:tc>
          <w:tcPr>
            <w:tcW w:w="16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right="86"/>
              <w:jc w:val="right"/>
              <w:rPr>
                <w:rFonts w:ascii="宋体" w:hAnsi="宋体" w:cs="宋体" w:eastAsia="宋体" w:hint="default"/>
                <w:sz w:val="21"/>
                <w:szCs w:val="21"/>
              </w:rPr>
            </w:pPr>
            <w:r>
              <w:rPr>
                <w:rFonts w:ascii="宋体"/>
                <w:spacing w:val="-1"/>
                <w:sz w:val="21"/>
              </w:rPr>
              <w:t>31,696,658.61</w:t>
            </w:r>
          </w:p>
        </w:tc>
      </w:tr>
      <w:tr>
        <w:trPr>
          <w:trHeight w:val="1649" w:hRule="exact"/>
        </w:trPr>
        <w:tc>
          <w:tcPr>
            <w:tcW w:w="2463"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计入当期损益的政府补</w:t>
            </w:r>
          </w:p>
          <w:p>
            <w:pPr>
              <w:pStyle w:val="TableParagraph"/>
              <w:spacing w:line="237" w:lineRule="auto" w:before="2"/>
              <w:ind w:left="93" w:right="96"/>
              <w:jc w:val="left"/>
              <w:rPr>
                <w:rFonts w:ascii="宋体" w:hAnsi="宋体" w:cs="宋体" w:eastAsia="宋体" w:hint="default"/>
                <w:sz w:val="21"/>
                <w:szCs w:val="21"/>
              </w:rPr>
            </w:pPr>
            <w:r>
              <w:rPr>
                <w:rFonts w:ascii="宋体" w:hAnsi="宋体" w:cs="宋体" w:eastAsia="宋体" w:hint="default"/>
                <w:spacing w:val="-7"/>
                <w:sz w:val="21"/>
                <w:szCs w:val="21"/>
              </w:rPr>
              <w:t>助，但与公司正常经营业</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7"/>
                <w:sz w:val="21"/>
                <w:szCs w:val="21"/>
              </w:rPr>
              <w:t>务密切相关，符合国家政</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7"/>
                <w:sz w:val="21"/>
                <w:szCs w:val="21"/>
              </w:rPr>
              <w:t>策规定、按照一定标准定</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额或定量持续享受的政</w:t>
            </w:r>
            <w:r>
              <w:rPr>
                <w:rFonts w:ascii="宋体" w:hAnsi="宋体" w:cs="宋体" w:eastAsia="宋体" w:hint="default"/>
                <w:w w:val="100"/>
                <w:sz w:val="21"/>
                <w:szCs w:val="21"/>
              </w:rPr>
              <w:t> </w:t>
            </w:r>
            <w:r>
              <w:rPr>
                <w:rFonts w:ascii="宋体" w:hAnsi="宋体" w:cs="宋体" w:eastAsia="宋体" w:hint="default"/>
                <w:sz w:val="21"/>
                <w:szCs w:val="21"/>
              </w:rPr>
              <w:t>府补助除外</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20,746,650.06</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0" w:right="84"/>
              <w:jc w:val="both"/>
              <w:rPr>
                <w:rFonts w:ascii="宋体" w:hAnsi="宋体" w:cs="宋体" w:eastAsia="宋体" w:hint="default"/>
                <w:sz w:val="21"/>
                <w:szCs w:val="21"/>
              </w:rPr>
            </w:pPr>
            <w:r>
              <w:rPr>
                <w:rFonts w:ascii="宋体" w:hAnsi="宋体" w:cs="宋体" w:eastAsia="宋体" w:hint="default"/>
                <w:spacing w:val="8"/>
                <w:sz w:val="21"/>
                <w:szCs w:val="21"/>
              </w:rPr>
              <w:t>航道等与资产</w:t>
            </w:r>
            <w:r>
              <w:rPr>
                <w:rFonts w:ascii="宋体" w:hAnsi="宋体" w:cs="宋体" w:eastAsia="宋体" w:hint="default"/>
                <w:spacing w:val="-92"/>
                <w:sz w:val="21"/>
                <w:szCs w:val="21"/>
              </w:rPr>
              <w:t> </w:t>
            </w:r>
            <w:r>
              <w:rPr>
                <w:rFonts w:ascii="宋体" w:hAnsi="宋体" w:cs="宋体" w:eastAsia="宋体" w:hint="default"/>
                <w:spacing w:val="8"/>
                <w:sz w:val="21"/>
                <w:szCs w:val="21"/>
              </w:rPr>
              <w:t>相关的政府补</w:t>
            </w:r>
            <w:r>
              <w:rPr>
                <w:rFonts w:ascii="宋体" w:hAnsi="宋体" w:cs="宋体" w:eastAsia="宋体" w:hint="default"/>
                <w:spacing w:val="-92"/>
                <w:sz w:val="21"/>
                <w:szCs w:val="21"/>
              </w:rPr>
              <w:t> </w:t>
            </w:r>
            <w:r>
              <w:rPr>
                <w:rFonts w:ascii="宋体" w:hAnsi="宋体" w:cs="宋体" w:eastAsia="宋体" w:hint="default"/>
                <w:spacing w:val="8"/>
                <w:sz w:val="21"/>
                <w:szCs w:val="21"/>
              </w:rPr>
              <w:t>助分期计入当</w:t>
            </w:r>
            <w:r>
              <w:rPr>
                <w:rFonts w:ascii="宋体" w:hAnsi="宋体" w:cs="宋体" w:eastAsia="宋体" w:hint="default"/>
                <w:spacing w:val="-92"/>
                <w:sz w:val="21"/>
                <w:szCs w:val="21"/>
              </w:rPr>
              <w:t> </w:t>
            </w:r>
            <w:r>
              <w:rPr>
                <w:rFonts w:ascii="宋体" w:hAnsi="宋体" w:cs="宋体" w:eastAsia="宋体" w:hint="default"/>
                <w:sz w:val="21"/>
                <w:szCs w:val="21"/>
              </w:rPr>
              <w:t>期损益的金额</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25,380,750.32</w:t>
            </w:r>
          </w:p>
        </w:tc>
        <w:tc>
          <w:tcPr>
            <w:tcW w:w="16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86"/>
              <w:jc w:val="right"/>
              <w:rPr>
                <w:rFonts w:ascii="宋体" w:hAnsi="宋体" w:cs="宋体" w:eastAsia="宋体" w:hint="default"/>
                <w:sz w:val="21"/>
                <w:szCs w:val="21"/>
              </w:rPr>
            </w:pPr>
            <w:r>
              <w:rPr>
                <w:rFonts w:ascii="宋体"/>
                <w:spacing w:val="-1"/>
                <w:sz w:val="21"/>
              </w:rPr>
              <w:t>9,850,417.93</w:t>
            </w:r>
          </w:p>
        </w:tc>
      </w:tr>
      <w:tr>
        <w:trPr>
          <w:trHeight w:val="1923" w:hRule="exact"/>
        </w:trPr>
        <w:tc>
          <w:tcPr>
            <w:tcW w:w="24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93" w:right="243"/>
              <w:jc w:val="left"/>
              <w:rPr>
                <w:rFonts w:ascii="宋体" w:hAnsi="宋体" w:cs="宋体" w:eastAsia="宋体" w:hint="default"/>
                <w:sz w:val="21"/>
                <w:szCs w:val="21"/>
              </w:rPr>
            </w:pPr>
            <w:r>
              <w:rPr>
                <w:rFonts w:ascii="宋体" w:hAnsi="宋体" w:cs="宋体" w:eastAsia="宋体" w:hint="default"/>
                <w:sz w:val="21"/>
                <w:szCs w:val="21"/>
              </w:rPr>
              <w:t>对外委托贷款取得的损</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54,510,921.43</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8"/>
                <w:sz w:val="21"/>
                <w:szCs w:val="21"/>
              </w:rPr>
              <w:t>向北京盛通华</w:t>
            </w:r>
            <w:r>
              <w:rPr>
                <w:rFonts w:ascii="宋体" w:hAnsi="宋体" w:cs="宋体" w:eastAsia="宋体" w:hint="default"/>
                <w:sz w:val="21"/>
                <w:szCs w:val="21"/>
              </w:rPr>
            </w:r>
          </w:p>
          <w:p>
            <w:pPr>
              <w:pStyle w:val="TableParagraph"/>
              <w:spacing w:line="237" w:lineRule="auto" w:before="2"/>
              <w:ind w:left="100" w:right="84"/>
              <w:jc w:val="both"/>
              <w:rPr>
                <w:rFonts w:ascii="宋体" w:hAnsi="宋体" w:cs="宋体" w:eastAsia="宋体" w:hint="default"/>
                <w:sz w:val="21"/>
                <w:szCs w:val="21"/>
              </w:rPr>
            </w:pPr>
            <w:r>
              <w:rPr>
                <w:rFonts w:ascii="宋体" w:hAnsi="宋体" w:cs="宋体" w:eastAsia="宋体" w:hint="default"/>
                <w:spacing w:val="8"/>
                <w:sz w:val="21"/>
                <w:szCs w:val="21"/>
              </w:rPr>
              <w:t>诚投资有限公</w:t>
            </w:r>
            <w:r>
              <w:rPr>
                <w:rFonts w:ascii="宋体" w:hAnsi="宋体" w:cs="宋体" w:eastAsia="宋体" w:hint="default"/>
                <w:spacing w:val="-92"/>
                <w:sz w:val="21"/>
                <w:szCs w:val="21"/>
              </w:rPr>
              <w:t> </w:t>
            </w:r>
            <w:r>
              <w:rPr>
                <w:rFonts w:ascii="宋体" w:hAnsi="宋体" w:cs="宋体" w:eastAsia="宋体" w:hint="default"/>
                <w:spacing w:val="8"/>
                <w:sz w:val="21"/>
                <w:szCs w:val="21"/>
              </w:rPr>
              <w:t>司、辽宁锦港</w:t>
            </w:r>
            <w:r>
              <w:rPr>
                <w:rFonts w:ascii="宋体" w:hAnsi="宋体" w:cs="宋体" w:eastAsia="宋体" w:hint="default"/>
                <w:spacing w:val="-92"/>
                <w:sz w:val="21"/>
                <w:szCs w:val="21"/>
              </w:rPr>
              <w:t> </w:t>
            </w:r>
            <w:r>
              <w:rPr>
                <w:rFonts w:ascii="宋体" w:hAnsi="宋体" w:cs="宋体" w:eastAsia="宋体" w:hint="default"/>
                <w:spacing w:val="8"/>
                <w:sz w:val="21"/>
                <w:szCs w:val="21"/>
              </w:rPr>
              <w:t>宝地置业有限</w:t>
            </w:r>
            <w:r>
              <w:rPr>
                <w:rFonts w:ascii="宋体" w:hAnsi="宋体" w:cs="宋体" w:eastAsia="宋体" w:hint="default"/>
                <w:spacing w:val="-92"/>
                <w:sz w:val="21"/>
                <w:szCs w:val="21"/>
              </w:rPr>
              <w:t> </w:t>
            </w:r>
            <w:r>
              <w:rPr>
                <w:rFonts w:ascii="宋体" w:hAnsi="宋体" w:cs="宋体" w:eastAsia="宋体" w:hint="default"/>
                <w:spacing w:val="8"/>
                <w:sz w:val="21"/>
                <w:szCs w:val="21"/>
              </w:rPr>
              <w:t>公司提供委托</w:t>
            </w:r>
            <w:r>
              <w:rPr>
                <w:rFonts w:ascii="宋体" w:hAnsi="宋体" w:cs="宋体" w:eastAsia="宋体" w:hint="default"/>
                <w:spacing w:val="-92"/>
                <w:sz w:val="21"/>
                <w:szCs w:val="21"/>
              </w:rPr>
              <w:t> </w:t>
            </w:r>
            <w:r>
              <w:rPr>
                <w:rFonts w:ascii="宋体" w:hAnsi="宋体" w:cs="宋体" w:eastAsia="宋体" w:hint="default"/>
                <w:spacing w:val="8"/>
                <w:sz w:val="21"/>
                <w:szCs w:val="21"/>
              </w:rPr>
              <w:t>贷款取得的收</w:t>
            </w:r>
            <w:r>
              <w:rPr>
                <w:rFonts w:ascii="宋体" w:hAnsi="宋体" w:cs="宋体" w:eastAsia="宋体" w:hint="default"/>
                <w:spacing w:val="-92"/>
                <w:sz w:val="21"/>
                <w:szCs w:val="21"/>
              </w:rPr>
              <w:t> </w:t>
            </w:r>
            <w:r>
              <w:rPr>
                <w:rFonts w:ascii="宋体" w:hAnsi="宋体" w:cs="宋体" w:eastAsia="宋体" w:hint="default"/>
                <w:sz w:val="21"/>
                <w:szCs w:val="21"/>
              </w:rPr>
              <w:t>益</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33,911,333.35</w:t>
            </w:r>
          </w:p>
        </w:tc>
        <w:tc>
          <w:tcPr>
            <w:tcW w:w="16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86"/>
              <w:jc w:val="right"/>
              <w:rPr>
                <w:rFonts w:ascii="宋体" w:hAnsi="宋体" w:cs="宋体" w:eastAsia="宋体" w:hint="default"/>
                <w:sz w:val="21"/>
                <w:szCs w:val="21"/>
              </w:rPr>
            </w:pPr>
            <w:r>
              <w:rPr>
                <w:rFonts w:ascii="宋体"/>
                <w:spacing w:val="-1"/>
                <w:sz w:val="21"/>
              </w:rPr>
              <w:t>3,370,080.00</w:t>
            </w:r>
          </w:p>
        </w:tc>
      </w:tr>
      <w:tr>
        <w:trPr>
          <w:trHeight w:val="559" w:hRule="exact"/>
        </w:trPr>
        <w:tc>
          <w:tcPr>
            <w:tcW w:w="2463"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除上述各项之外的其他</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营业外收入和支出</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1,201,536.6</w:t>
            </w:r>
          </w:p>
        </w:tc>
        <w:tc>
          <w:tcPr>
            <w:tcW w:w="1527"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1,159,649.82</w:t>
            </w:r>
          </w:p>
        </w:tc>
        <w:tc>
          <w:tcPr>
            <w:tcW w:w="16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86"/>
              <w:jc w:val="right"/>
              <w:rPr>
                <w:rFonts w:ascii="宋体" w:hAnsi="宋体" w:cs="宋体" w:eastAsia="宋体" w:hint="default"/>
                <w:sz w:val="21"/>
                <w:szCs w:val="21"/>
              </w:rPr>
            </w:pPr>
            <w:r>
              <w:rPr>
                <w:rFonts w:ascii="宋体"/>
                <w:spacing w:val="-1"/>
                <w:sz w:val="21"/>
              </w:rPr>
              <w:t>2,028,005.09</w:t>
            </w:r>
          </w:p>
        </w:tc>
      </w:tr>
      <w:tr>
        <w:trPr>
          <w:trHeight w:val="288" w:hRule="exact"/>
        </w:trPr>
        <w:tc>
          <w:tcPr>
            <w:tcW w:w="24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-22,461.50</w:t>
            </w:r>
          </w:p>
        </w:tc>
        <w:tc>
          <w:tcPr>
            <w:tcW w:w="1527"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547,351.48</w:t>
            </w:r>
          </w:p>
        </w:tc>
        <w:tc>
          <w:tcPr>
            <w:tcW w:w="168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6"/>
              <w:jc w:val="right"/>
              <w:rPr>
                <w:rFonts w:ascii="宋体" w:hAnsi="宋体" w:cs="宋体" w:eastAsia="宋体" w:hint="default"/>
                <w:sz w:val="21"/>
                <w:szCs w:val="21"/>
              </w:rPr>
            </w:pPr>
            <w:r>
              <w:rPr>
                <w:rFonts w:ascii="宋体"/>
                <w:spacing w:val="-1"/>
                <w:sz w:val="21"/>
              </w:rPr>
              <w:t>86,117.43</w:t>
            </w:r>
          </w:p>
        </w:tc>
      </w:tr>
      <w:tr>
        <w:trPr>
          <w:trHeight w:val="286" w:hRule="exact"/>
        </w:trPr>
        <w:tc>
          <w:tcPr>
            <w:tcW w:w="24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-22,269,014.32</w:t>
            </w:r>
          </w:p>
        </w:tc>
        <w:tc>
          <w:tcPr>
            <w:tcW w:w="1527"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-36,592,362.63</w:t>
            </w:r>
          </w:p>
        </w:tc>
        <w:tc>
          <w:tcPr>
            <w:tcW w:w="168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6"/>
              <w:jc w:val="right"/>
              <w:rPr>
                <w:rFonts w:ascii="宋体" w:hAnsi="宋体" w:cs="宋体" w:eastAsia="宋体" w:hint="default"/>
                <w:sz w:val="21"/>
                <w:szCs w:val="21"/>
              </w:rPr>
            </w:pPr>
            <w:r>
              <w:rPr>
                <w:rFonts w:ascii="宋体"/>
                <w:spacing w:val="-1"/>
                <w:sz w:val="21"/>
              </w:rPr>
              <w:t>-11,736,290.41</w:t>
            </w:r>
          </w:p>
        </w:tc>
      </w:tr>
      <w:tr>
        <w:trPr>
          <w:trHeight w:val="295" w:hRule="exact"/>
        </w:trPr>
        <w:tc>
          <w:tcPr>
            <w:tcW w:w="2463" w:type="dxa"/>
            <w:tcBorders>
              <w:top w:val="single" w:sz="6" w:space="0" w:color="000000"/>
              <w:left w:val="single" w:sz="12" w:space="0" w:color="000000"/>
              <w:bottom w:val="single" w:sz="12" w:space="0" w:color="000000"/>
              <w:right w:val="single" w:sz="6"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66,784,581.46</w:t>
            </w:r>
          </w:p>
        </w:tc>
        <w:tc>
          <w:tcPr>
            <w:tcW w:w="1527" w:type="dxa"/>
            <w:tcBorders>
              <w:top w:val="single" w:sz="6" w:space="0" w:color="000000"/>
              <w:left w:val="single" w:sz="6" w:space="0" w:color="000000"/>
              <w:bottom w:val="single" w:sz="12" w:space="0" w:color="000000"/>
              <w:right w:val="single" w:sz="6" w:space="0" w:color="000000"/>
            </w:tcBorders>
          </w:tcPr>
          <w:p>
            <w:pP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110,324,439.35</w:t>
            </w:r>
          </w:p>
        </w:tc>
        <w:tc>
          <w:tcPr>
            <w:tcW w:w="1685" w:type="dxa"/>
            <w:tcBorders>
              <w:top w:val="single" w:sz="6" w:space="0" w:color="000000"/>
              <w:left w:val="single" w:sz="6" w:space="0" w:color="000000"/>
              <w:bottom w:val="single" w:sz="12" w:space="0" w:color="000000"/>
              <w:right w:val="single" w:sz="12" w:space="0" w:color="000000"/>
            </w:tcBorders>
          </w:tcPr>
          <w:p>
            <w:pPr>
              <w:pStyle w:val="TableParagraph"/>
              <w:spacing w:line="243" w:lineRule="exact"/>
              <w:ind w:right="86"/>
              <w:jc w:val="right"/>
              <w:rPr>
                <w:rFonts w:ascii="宋体" w:hAnsi="宋体" w:cs="宋体" w:eastAsia="宋体" w:hint="default"/>
                <w:sz w:val="21"/>
                <w:szCs w:val="21"/>
              </w:rPr>
            </w:pPr>
            <w:r>
              <w:rPr>
                <w:rFonts w:ascii="宋体"/>
                <w:spacing w:val="-1"/>
                <w:sz w:val="21"/>
              </w:rPr>
              <w:t>35,294,988.65</w:t>
            </w:r>
          </w:p>
        </w:tc>
      </w:tr>
    </w:tbl>
    <w:p>
      <w:pPr>
        <w:spacing w:after="0" w:line="243" w:lineRule="exact"/>
        <w:jc w:val="right"/>
        <w:rPr>
          <w:rFonts w:ascii="宋体" w:hAnsi="宋体" w:cs="宋体" w:eastAsia="宋体" w:hint="default"/>
          <w:sz w:val="21"/>
          <w:szCs w:val="21"/>
        </w:rPr>
        <w:sectPr>
          <w:type w:val="continuous"/>
          <w:pgSz w:w="11910" w:h="16840"/>
          <w:pgMar w:top="1120" w:bottom="1380" w:left="1560" w:right="1020"/>
        </w:sectPr>
      </w:pPr>
    </w:p>
    <w:p>
      <w:pPr>
        <w:spacing w:line="240" w:lineRule="auto" w:before="11"/>
        <w:rPr>
          <w:rFonts w:ascii="宋体" w:hAnsi="宋体" w:cs="宋体" w:eastAsia="宋体" w:hint="default"/>
          <w:sz w:val="25"/>
          <w:szCs w:val="25"/>
        </w:rPr>
      </w:pPr>
    </w:p>
    <w:p>
      <w:pPr>
        <w:pStyle w:val="Heading1"/>
        <w:tabs>
          <w:tab w:pos="1259" w:val="left" w:leader="none"/>
        </w:tabs>
        <w:spacing w:line="240" w:lineRule="auto"/>
        <w:ind w:right="75"/>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left="138" w:right="0"/>
        <w:jc w:val="both"/>
        <w:rPr>
          <w:b w:val="0"/>
          <w:bCs w:val="0"/>
        </w:rPr>
      </w:pPr>
      <w:r>
        <w:rPr/>
        <w:t>一、报告期内公司所从事的主要业务、经营模式及行业情况说明</w:t>
      </w:r>
      <w:r>
        <w:rPr>
          <w:b w:val="0"/>
          <w:bCs w:val="0"/>
        </w:rPr>
      </w:r>
    </w:p>
    <w:p>
      <w:pPr>
        <w:pStyle w:val="BodyText"/>
        <w:spacing w:line="390" w:lineRule="atLeast" w:before="3"/>
        <w:ind w:left="558" w:right="68"/>
        <w:jc w:val="left"/>
      </w:pPr>
      <w:r>
        <w:rPr/>
        <w:t>（一）公司主要业务</w:t>
      </w:r>
      <w:r>
        <w:rPr>
          <w:w w:val="100"/>
        </w:rPr>
        <w:t> </w:t>
      </w:r>
      <w:r>
        <w:rPr>
          <w:spacing w:val="-7"/>
        </w:rPr>
        <w:t>报告期内公司所从事的主要业务按货种分类主要有：油品类（原油、成品油及液体化工品）、</w:t>
      </w:r>
    </w:p>
    <w:p>
      <w:pPr>
        <w:pStyle w:val="BodyText"/>
        <w:spacing w:line="237" w:lineRule="auto" w:before="1"/>
        <w:ind w:right="217"/>
        <w:jc w:val="both"/>
      </w:pPr>
      <w:r>
        <w:rPr>
          <w:spacing w:val="-2"/>
        </w:rPr>
        <w:t>大宗散杂货类（煤炭、粮食、矿石）、其他散杂货类（钢材、石油焦、糖、化肥、氧化铝等）港</w:t>
      </w:r>
      <w:r>
        <w:rPr>
          <w:spacing w:val="-25"/>
        </w:rPr>
        <w:t> </w:t>
      </w:r>
      <w:r>
        <w:rPr>
          <w:spacing w:val="-25"/>
        </w:rPr>
      </w:r>
      <w:r>
        <w:rPr>
          <w:spacing w:val="-2"/>
        </w:rPr>
        <w:t>口装卸、仓储及相关物流业务。主要腹地为东北三省的中部和西部、内蒙东部广大地区。目前，</w:t>
      </w:r>
      <w:r>
        <w:rPr>
          <w:spacing w:val="-25"/>
        </w:rPr>
        <w:t> </w:t>
      </w:r>
      <w:r>
        <w:rPr>
          <w:spacing w:val="-25"/>
        </w:rPr>
      </w:r>
      <w:r>
        <w:rPr>
          <w:spacing w:val="-2"/>
        </w:rPr>
        <w:t>锦州港已具备内外贸集装箱运输和油品、化工品、大宗散杂货、件杂货的装卸、仓储、运输、服</w:t>
      </w:r>
      <w:r>
        <w:rPr>
          <w:spacing w:val="-25"/>
        </w:rPr>
        <w:t> </w:t>
      </w:r>
      <w:r>
        <w:rPr>
          <w:spacing w:val="-25"/>
        </w:rPr>
      </w:r>
      <w:r>
        <w:rPr/>
        <w:t>务及散货灌包等多项功能。</w:t>
      </w:r>
    </w:p>
    <w:p>
      <w:pPr>
        <w:pStyle w:val="BodyText"/>
        <w:spacing w:line="390" w:lineRule="atLeast" w:before="4"/>
        <w:ind w:left="558" w:right="68"/>
        <w:jc w:val="left"/>
      </w:pPr>
      <w:r>
        <w:rPr/>
        <w:t>（二）公司经营模式</w:t>
      </w:r>
      <w:r>
        <w:rPr>
          <w:w w:val="100"/>
        </w:rPr>
        <w:t> </w:t>
      </w:r>
      <w:r>
        <w:rPr>
          <w:spacing w:val="-2"/>
        </w:rPr>
        <w:t>公司目前港口主业还主要停留在运输、储存、装卸等传统业务模式上，尚未完全形成以港口</w:t>
      </w:r>
    </w:p>
    <w:p>
      <w:pPr>
        <w:pStyle w:val="BodyText"/>
        <w:spacing w:line="237" w:lineRule="auto" w:before="1"/>
        <w:ind w:right="208"/>
        <w:jc w:val="both"/>
      </w:pPr>
      <w:r>
        <w:rPr>
          <w:spacing w:val="-2"/>
        </w:rPr>
        <w:t>为核心要素的完整物流供应链。公司目前生产组织由五大专业化公司实施专业化经营：输油公司</w:t>
      </w:r>
      <w:r>
        <w:rPr>
          <w:spacing w:val="-26"/>
        </w:rPr>
        <w:t> </w:t>
      </w:r>
      <w:r>
        <w:rPr>
          <w:spacing w:val="-26"/>
        </w:rPr>
      </w:r>
      <w:r>
        <w:rPr>
          <w:spacing w:val="-2"/>
        </w:rPr>
        <w:t>主营油品和化工品的仓储、装卸业务；现代粮食物流有限公司主营散粮筒仓的仓储、装卸业务；</w:t>
      </w:r>
      <w:r>
        <w:rPr>
          <w:spacing w:val="-25"/>
        </w:rPr>
        <w:t> </w:t>
      </w:r>
      <w:r>
        <w:rPr>
          <w:spacing w:val="-25"/>
        </w:rPr>
      </w:r>
      <w:r>
        <w:rPr>
          <w:spacing w:val="-6"/>
        </w:rPr>
        <w:t>散杂货作业公司主营煤炭、金属矿的仓储、装卸业务；件杂货作业公司主营件杂货物、非金属矿、</w:t>
      </w:r>
      <w:r>
        <w:rPr>
          <w:spacing w:val="-52"/>
        </w:rPr>
        <w:t> </w:t>
      </w:r>
      <w:r>
        <w:rPr>
          <w:spacing w:val="-52"/>
        </w:rPr>
      </w:r>
      <w:r>
        <w:rPr/>
        <w:t>筒仓之外散粮的仓储、装卸业务；集装箱码头公司主营集装箱的装卸、堆存业务。</w:t>
      </w:r>
    </w:p>
    <w:p>
      <w:pPr>
        <w:pStyle w:val="BodyText"/>
        <w:spacing w:line="237" w:lineRule="auto" w:before="121"/>
        <w:ind w:right="217" w:firstLine="419"/>
        <w:jc w:val="both"/>
      </w:pPr>
      <w:r>
        <w:rPr>
          <w:spacing w:val="-2"/>
        </w:rPr>
        <w:t>港口辅业板块主要由从事理货业、监理业、物流业、代理业以及从事国际贸易、转口贸易业</w:t>
      </w:r>
      <w:r>
        <w:rPr>
          <w:w w:val="100"/>
        </w:rPr>
        <w:t> </w:t>
      </w:r>
      <w:r>
        <w:rPr>
          <w:spacing w:val="-2"/>
        </w:rPr>
        <w:t>务的子公司或合营、联营公司经营。辅业板块各项业务的发展目前尚处起步阶段，尚难以对港口</w:t>
      </w:r>
      <w:r>
        <w:rPr>
          <w:spacing w:val="-26"/>
        </w:rPr>
        <w:t> </w:t>
      </w:r>
      <w:r>
        <w:rPr>
          <w:spacing w:val="-26"/>
        </w:rPr>
      </w:r>
      <w:r>
        <w:rPr/>
        <w:t>发展形成强力支撑。</w:t>
      </w:r>
    </w:p>
    <w:p>
      <w:pPr>
        <w:pStyle w:val="BodyText"/>
        <w:spacing w:line="390" w:lineRule="atLeast" w:before="1"/>
        <w:ind w:left="558" w:right="68"/>
        <w:jc w:val="left"/>
      </w:pPr>
      <w:r>
        <w:rPr/>
        <w:t>（三）主要的业绩驱动因素</w:t>
      </w:r>
      <w:r>
        <w:rPr>
          <w:w w:val="100"/>
        </w:rPr>
        <w:t> </w:t>
      </w:r>
      <w:r>
        <w:rPr>
          <w:spacing w:val="-2"/>
        </w:rPr>
        <w:t>为适应我国经济增长新常态下增长方式的转变，以及港口行业市场与服务竞争激烈的局面，</w:t>
      </w:r>
    </w:p>
    <w:p>
      <w:pPr>
        <w:pStyle w:val="BodyText"/>
        <w:spacing w:line="237" w:lineRule="auto" w:before="1"/>
        <w:ind w:right="217"/>
        <w:jc w:val="both"/>
      </w:pPr>
      <w:r>
        <w:rPr>
          <w:spacing w:val="-2"/>
        </w:rPr>
        <w:t>锦州港以提高发展质量和效益为中心，公司以创新、转型为“双引擎”，以扎实做好港口主营业</w:t>
      </w:r>
      <w:r>
        <w:rPr>
          <w:spacing w:val="-26"/>
        </w:rPr>
        <w:t> </w:t>
      </w:r>
      <w:r>
        <w:rPr>
          <w:spacing w:val="-26"/>
        </w:rPr>
      </w:r>
      <w:r>
        <w:rPr>
          <w:spacing w:val="-2"/>
        </w:rPr>
        <w:t>务为基础，积极延伸产业链条，实施主营业务与辅营业务双轮驱动，双管齐下，进一步拓展公司</w:t>
      </w:r>
      <w:r>
        <w:rPr>
          <w:spacing w:val="-25"/>
        </w:rPr>
        <w:t> </w:t>
      </w:r>
      <w:r>
        <w:rPr>
          <w:spacing w:val="-25"/>
        </w:rPr>
      </w:r>
      <w:r>
        <w:rPr>
          <w:spacing w:val="-2"/>
        </w:rPr>
        <w:t>经营模式，进一步丰富和完善港口功能，延伸港口产业链条，扩大经营服务领域，逐步提升港口</w:t>
      </w:r>
      <w:r>
        <w:rPr>
          <w:spacing w:val="-25"/>
        </w:rPr>
        <w:t> </w:t>
      </w:r>
      <w:r>
        <w:rPr>
          <w:spacing w:val="-25"/>
        </w:rPr>
      </w:r>
      <w:r>
        <w:rPr>
          <w:spacing w:val="-2"/>
        </w:rPr>
        <w:t>的存储、集散、配送、信息传输等能力，发展具有涵盖物流产业链所有环节特点的港口综合服务</w:t>
      </w:r>
      <w:r>
        <w:rPr>
          <w:spacing w:val="-25"/>
        </w:rPr>
        <w:t> </w:t>
      </w:r>
      <w:r>
        <w:rPr>
          <w:spacing w:val="-25"/>
        </w:rPr>
      </w:r>
      <w:r>
        <w:rPr>
          <w:spacing w:val="-2"/>
        </w:rPr>
        <w:t>体系。在巩固公司港口装卸、仓储等主营业务的同时，公司着眼于经济形势与竞争环境，主动拓</w:t>
      </w:r>
      <w:r>
        <w:rPr>
          <w:spacing w:val="-26"/>
        </w:rPr>
        <w:t> </w:t>
      </w:r>
      <w:r>
        <w:rPr>
          <w:spacing w:val="-26"/>
        </w:rPr>
      </w:r>
      <w:r>
        <w:rPr>
          <w:spacing w:val="-2"/>
        </w:rPr>
        <w:t>展主业相关上下游产业项目及投资回报率较高的高附加产业项目，延伸港口服务功能，探索港口</w:t>
      </w:r>
      <w:r>
        <w:rPr>
          <w:spacing w:val="-25"/>
        </w:rPr>
        <w:t> </w:t>
      </w:r>
      <w:r>
        <w:rPr>
          <w:spacing w:val="-25"/>
        </w:rPr>
      </w:r>
      <w:r>
        <w:rPr/>
        <w:t>业务模式，提高自身竞争能力。</w:t>
      </w:r>
    </w:p>
    <w:p>
      <w:pPr>
        <w:pStyle w:val="BodyText"/>
        <w:spacing w:line="394" w:lineRule="exact" w:before="46"/>
        <w:ind w:left="558" w:right="68"/>
        <w:jc w:val="left"/>
      </w:pPr>
      <w:r>
        <w:rPr/>
        <w:t>（四）行业发展状况</w:t>
      </w:r>
      <w:r>
        <w:rPr>
          <w:w w:val="100"/>
        </w:rPr>
        <w:t> </w:t>
      </w:r>
      <w:r>
        <w:rPr>
          <w:spacing w:val="-2"/>
        </w:rPr>
        <w:t>港口行业是国民经济的基础性产业，是现代物流业的重要组成部分，也是国际物流供应链的</w:t>
      </w:r>
    </w:p>
    <w:p>
      <w:pPr>
        <w:pStyle w:val="BodyText"/>
        <w:spacing w:line="221" w:lineRule="exact"/>
        <w:ind w:right="0"/>
        <w:jc w:val="both"/>
      </w:pPr>
      <w:r>
        <w:rPr/>
        <w:t>重要参与者，对全球经济发展的作用日益突出。港口行业投资大、建设周期长、资金回收慢，属</w:t>
      </w:r>
    </w:p>
    <w:p>
      <w:pPr>
        <w:pStyle w:val="BodyText"/>
        <w:spacing w:line="237" w:lineRule="auto" w:before="2"/>
        <w:ind w:right="208"/>
        <w:jc w:val="both"/>
      </w:pPr>
      <w:r>
        <w:rPr>
          <w:spacing w:val="-2"/>
        </w:rPr>
        <w:t>于典型的“广种薄收”微利行业，港口建设规模不断扩大、在建工程转固后利息费用停止资本化</w:t>
      </w:r>
      <w:r>
        <w:rPr>
          <w:spacing w:val="-25"/>
        </w:rPr>
        <w:t> </w:t>
      </w:r>
      <w:r>
        <w:rPr>
          <w:spacing w:val="-25"/>
        </w:rPr>
      </w:r>
      <w:r>
        <w:rPr>
          <w:spacing w:val="-2"/>
        </w:rPr>
        <w:t>等，会在一定程度上削弱港口的盈利能力。港口行业是以港口为中心、港口城市为载体、综</w:t>
      </w:r>
      <w:hyperlink r:id="rId11">
        <w:r>
          <w:rPr>
            <w:spacing w:val="-2"/>
          </w:rPr>
          <w:t>合运</w:t>
        </w:r>
      </w:hyperlink>
      <w:r>
        <w:rPr>
          <w:spacing w:val="-26"/>
        </w:rPr>
        <w:t> </w:t>
      </w:r>
      <w:r>
        <w:rPr>
          <w:spacing w:val="-26"/>
        </w:rPr>
      </w:r>
      <w:hyperlink r:id="rId11">
        <w:r>
          <w:rPr>
            <w:spacing w:val="-2"/>
          </w:rPr>
          <w:t>输</w:t>
        </w:r>
      </w:hyperlink>
      <w:r>
        <w:rPr>
          <w:spacing w:val="-2"/>
        </w:rPr>
        <w:t>体系为动脉、港口相关产业为支撑、海陆腹地为依托，并实现彼此间相互联系、密切协调、有</w:t>
      </w:r>
      <w:r>
        <w:rPr>
          <w:spacing w:val="-26"/>
        </w:rPr>
        <w:t> </w:t>
      </w:r>
      <w:r>
        <w:rPr>
          <w:spacing w:val="-26"/>
        </w:rPr>
      </w:r>
      <w:r>
        <w:rPr>
          <w:spacing w:val="-4"/>
        </w:rPr>
        <w:t>机结合、共同发展，进而推动区域繁荣的开放型产业</w:t>
      </w:r>
      <w:r>
        <w:rPr>
          <w:rFonts w:ascii="宋体" w:hAnsi="宋体" w:cs="宋体" w:eastAsia="宋体" w:hint="default"/>
          <w:spacing w:val="-4"/>
        </w:rPr>
        <w:t>,</w:t>
      </w:r>
      <w:r>
        <w:rPr>
          <w:spacing w:val="-4"/>
        </w:rPr>
        <w:t>具有资本密集性、规模经济性、周期性和区</w:t>
      </w:r>
      <w:r>
        <w:rPr>
          <w:spacing w:val="-36"/>
        </w:rPr>
        <w:t> </w:t>
      </w:r>
      <w:r>
        <w:rPr>
          <w:spacing w:val="-36"/>
        </w:rPr>
      </w:r>
      <w:r>
        <w:rPr/>
        <w:t>域性几大特征。</w:t>
      </w:r>
    </w:p>
    <w:p>
      <w:pPr>
        <w:pStyle w:val="BodyText"/>
        <w:spacing w:line="237" w:lineRule="auto" w:before="119"/>
        <w:ind w:right="68" w:firstLine="419"/>
        <w:jc w:val="left"/>
      </w:pPr>
      <w:r>
        <w:rPr>
          <w:spacing w:val="-7"/>
          <w:w w:val="100"/>
        </w:rPr>
        <w:t>港口的发展与宏观经济的发展密切相关。进入新世纪以来，中国经济和对外贸易保持了持续、</w:t>
      </w:r>
      <w:r>
        <w:rPr>
          <w:w w:val="100"/>
        </w:rPr>
        <w:t> </w:t>
      </w:r>
      <w:r>
        <w:rPr/>
        <w:t>快速增长的态势，推动了中国港口行业的迅速发展，在全球港口中占据重要的地位。但近年来，</w:t>
      </w:r>
      <w:r>
        <w:rPr>
          <w:w w:val="100"/>
        </w:rPr>
        <w:t> </w:t>
      </w:r>
      <w:r>
        <w:rPr>
          <w:spacing w:val="-6"/>
        </w:rPr>
        <w:t>国内外经济持续上行压力加大，受到我国经济增长放缓和产业结构调整的影响，包括钢铁、化工、</w:t>
      </w:r>
      <w:r>
        <w:rPr>
          <w:spacing w:val="-53"/>
        </w:rPr>
        <w:t> </w:t>
      </w:r>
      <w:r>
        <w:rPr>
          <w:spacing w:val="-53"/>
        </w:rPr>
      </w:r>
      <w:r>
        <w:rPr/>
        <w:t>粮食加工、设备制造等港口上下游产业需求出现疲软，影响了煤炭、钢铁、粮食等港口大宗货源</w:t>
      </w:r>
      <w:r>
        <w:rPr>
          <w:w w:val="100"/>
        </w:rPr>
        <w:t> </w:t>
      </w:r>
      <w:r>
        <w:rPr/>
        <w:t>的运输需求，给锦州港吞吐量的提高带来巨大压力。此外，渤海湾地区港口服务同质性的特点，</w:t>
      </w:r>
      <w:r>
        <w:rPr>
          <w:w w:val="100"/>
        </w:rPr>
        <w:t> </w:t>
      </w:r>
      <w:r>
        <w:rPr>
          <w:spacing w:val="-4"/>
          <w:w w:val="100"/>
        </w:rPr>
        <w:t>加大了不同港口对环渤海地区经济腹地货源的争夺和过度竞争，从而影响了整体经济效益的提高。</w:t>
      </w:r>
      <w:r>
        <w:rPr>
          <w:spacing w:val="-86"/>
          <w:w w:val="100"/>
        </w:rPr>
        <w:t> </w:t>
      </w:r>
      <w:r>
        <w:rPr>
          <w:spacing w:val="-86"/>
          <w:w w:val="100"/>
        </w:rPr>
      </w:r>
      <w:r>
        <w:rPr>
          <w:spacing w:val="-5"/>
        </w:rPr>
        <w:t>目前，公司是辽宁省重点发展的北方区域性港口。</w:t>
      </w:r>
      <w:r>
        <w:rPr>
          <w:rFonts w:ascii="宋体" w:hAnsi="宋体" w:cs="宋体" w:eastAsia="宋体" w:hint="default"/>
          <w:spacing w:val="-5"/>
        </w:rPr>
        <w:t>2015 </w:t>
      </w:r>
      <w:r>
        <w:rPr/>
        <w:t>年公司在全国沿海港口货物吞吐量排名第</w:t>
      </w:r>
      <w:r>
        <w:rPr>
          <w:spacing w:val="-72"/>
        </w:rPr>
        <w:t> </w:t>
      </w:r>
      <w:r>
        <w:rPr>
          <w:spacing w:val="-72"/>
        </w:rPr>
      </w:r>
      <w:r>
        <w:rPr>
          <w:rFonts w:ascii="宋体" w:hAnsi="宋体" w:cs="宋体" w:eastAsia="宋体" w:hint="default"/>
        </w:rPr>
        <w:t>21</w:t>
      </w:r>
      <w:r>
        <w:rPr>
          <w:rFonts w:ascii="宋体" w:hAnsi="宋体" w:cs="宋体" w:eastAsia="宋体" w:hint="default"/>
          <w:spacing w:val="-53"/>
        </w:rPr>
        <w:t> </w:t>
      </w:r>
      <w:r>
        <w:rPr/>
        <w:t>位。（摘自</w:t>
      </w:r>
      <w:r>
        <w:rPr>
          <w:spacing w:val="-53"/>
        </w:rPr>
        <w:t> </w:t>
      </w:r>
      <w:r>
        <w:rPr>
          <w:rFonts w:ascii="宋体" w:hAnsi="宋体" w:cs="宋体" w:eastAsia="宋体" w:hint="default"/>
        </w:rPr>
        <w:t>2016</w:t>
      </w:r>
      <w:r>
        <w:rPr>
          <w:rFonts w:ascii="宋体" w:hAnsi="宋体" w:cs="宋体" w:eastAsia="宋体" w:hint="default"/>
          <w:spacing w:val="-55"/>
        </w:rPr>
        <w:t> </w:t>
      </w:r>
      <w:r>
        <w:rPr/>
        <w:t>年第</w:t>
      </w:r>
      <w:r>
        <w:rPr>
          <w:spacing w:val="-54"/>
        </w:rPr>
        <w:t> </w:t>
      </w:r>
      <w:r>
        <w:rPr>
          <w:rFonts w:ascii="宋体" w:hAnsi="宋体" w:cs="宋体" w:eastAsia="宋体" w:hint="default"/>
        </w:rPr>
        <w:t>1</w:t>
      </w:r>
      <w:r>
        <w:rPr>
          <w:rFonts w:ascii="宋体" w:hAnsi="宋体" w:cs="宋体" w:eastAsia="宋体" w:hint="default"/>
          <w:spacing w:val="-53"/>
        </w:rPr>
        <w:t> </w:t>
      </w:r>
      <w:r>
        <w:rPr/>
        <w:t>期《中国港口》）</w:t>
      </w:r>
    </w:p>
    <w:p>
      <w:pPr>
        <w:spacing w:after="0" w:line="237" w:lineRule="auto"/>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spacing w:line="343" w:lineRule="auto" w:before="36"/>
        <w:ind w:left="558" w:right="6207" w:hanging="420"/>
        <w:jc w:val="left"/>
        <w:rPr>
          <w:rFonts w:ascii="宋体" w:hAnsi="宋体" w:cs="宋体" w:eastAsia="宋体" w:hint="default"/>
          <w:sz w:val="21"/>
          <w:szCs w:val="21"/>
        </w:rPr>
      </w:pPr>
      <w:r>
        <w:rPr>
          <w:rFonts w:ascii="宋体" w:hAnsi="宋体" w:cs="宋体" w:eastAsia="宋体" w:hint="default"/>
          <w:b/>
          <w:bCs/>
          <w:sz w:val="21"/>
          <w:szCs w:val="21"/>
        </w:rPr>
        <w:t>二、报告期内核心竞争力分析</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z w:val="21"/>
          <w:szCs w:val="21"/>
        </w:rPr>
        <w:t>1</w:t>
      </w:r>
      <w:r>
        <w:rPr>
          <w:rFonts w:ascii="宋体" w:hAnsi="宋体" w:cs="宋体" w:eastAsia="宋体" w:hint="default"/>
          <w:sz w:val="21"/>
          <w:szCs w:val="21"/>
        </w:rPr>
        <w:t>、地理区位优势</w:t>
      </w:r>
    </w:p>
    <w:p>
      <w:pPr>
        <w:pStyle w:val="BodyText"/>
        <w:spacing w:line="237" w:lineRule="auto" w:before="28"/>
        <w:ind w:right="137" w:firstLine="419"/>
        <w:jc w:val="both"/>
      </w:pPr>
      <w:r>
        <w:rPr>
          <w:spacing w:val="-2"/>
        </w:rPr>
        <w:t>公司位于环渤海经济圈，地处“一带一路”与京津冀协同发展两大战略空间的衔接点，是连</w:t>
      </w:r>
      <w:r>
        <w:rPr>
          <w:w w:val="100"/>
        </w:rPr>
        <w:t> </w:t>
      </w:r>
      <w:r>
        <w:rPr>
          <w:spacing w:val="-2"/>
        </w:rPr>
        <w:t>接我国东北与华北地区的交通枢纽，也是我国辽宁西部、吉林黑龙江两省中西部、内蒙东部、华</w:t>
      </w:r>
      <w:r>
        <w:rPr>
          <w:spacing w:val="-25"/>
        </w:rPr>
        <w:t> </w:t>
      </w:r>
      <w:r>
        <w:rPr>
          <w:spacing w:val="-25"/>
        </w:rPr>
      </w:r>
      <w:r>
        <w:rPr>
          <w:spacing w:val="-2"/>
        </w:rPr>
        <w:t>北北部乃至蒙古国、俄罗斯远东地区最便捷的进出海口，是辽宁省重点发展的北方区域性港口。</w:t>
      </w:r>
    </w:p>
    <w:p>
      <w:pPr>
        <w:pStyle w:val="BodyText"/>
        <w:spacing w:line="390" w:lineRule="atLeast" w:before="4"/>
        <w:ind w:left="558" w:right="0"/>
        <w:jc w:val="left"/>
      </w:pPr>
      <w:r>
        <w:rPr>
          <w:rFonts w:ascii="宋体" w:hAnsi="宋体" w:cs="宋体" w:eastAsia="宋体" w:hint="default"/>
        </w:rPr>
        <w:t>2</w:t>
      </w:r>
      <w:r>
        <w:rPr/>
        <w:t>、货源品牌优势</w:t>
      </w:r>
      <w:r>
        <w:rPr>
          <w:w w:val="100"/>
        </w:rPr>
        <w:t> </w:t>
      </w:r>
      <w:r>
        <w:rPr>
          <w:spacing w:val="-2"/>
        </w:rPr>
        <w:t>煤炭、粮食、油品是锦州港的主打货源和主要品牌。煤炭：锦州港在褐煤中转方面具有不可</w:t>
      </w:r>
    </w:p>
    <w:p>
      <w:pPr>
        <w:pStyle w:val="BodyText"/>
        <w:spacing w:line="237" w:lineRule="auto" w:before="1"/>
        <w:ind w:right="127"/>
        <w:jc w:val="both"/>
      </w:pPr>
      <w:r>
        <w:rPr>
          <w:spacing w:val="-2"/>
        </w:rPr>
        <w:t>比拟的区位优势、成熟的经验优势、汇集各方的政策优势，被交通部确定为中国第四条煤炭能源</w:t>
      </w:r>
      <w:r>
        <w:rPr>
          <w:spacing w:val="-25"/>
        </w:rPr>
        <w:t> </w:t>
      </w:r>
      <w:r>
        <w:rPr>
          <w:spacing w:val="-25"/>
        </w:rPr>
      </w:r>
      <w:r>
        <w:rPr>
          <w:spacing w:val="-4"/>
        </w:rPr>
        <w:t>通道，被国家能源局确定为北煤南运的重要节点港。粮食：锦州港加强粮食筒仓、平房仓、</w:t>
      </w:r>
      <w:r>
        <w:rPr>
          <w:rFonts w:ascii="宋体" w:hAnsi="宋体" w:cs="宋体" w:eastAsia="宋体" w:hint="default"/>
          <w:spacing w:val="-4"/>
        </w:rPr>
        <w:t>K</w:t>
      </w:r>
      <w:r>
        <w:rPr>
          <w:spacing w:val="-4"/>
        </w:rPr>
        <w:t>车等</w:t>
      </w:r>
      <w:r>
        <w:rPr>
          <w:spacing w:val="-33"/>
        </w:rPr>
        <w:t> </w:t>
      </w:r>
      <w:r>
        <w:rPr>
          <w:spacing w:val="-2"/>
        </w:rPr>
        <w:t>硬件设施投入，并获得进境粮食中转指定口岸资质，港口目前拥有多条粮食运输航线，辐射整个</w:t>
      </w:r>
      <w:r>
        <w:rPr>
          <w:spacing w:val="-25"/>
        </w:rPr>
        <w:t> </w:t>
      </w:r>
      <w:r>
        <w:rPr>
          <w:spacing w:val="-25"/>
        </w:rPr>
      </w:r>
      <w:r>
        <w:rPr>
          <w:spacing w:val="-6"/>
        </w:rPr>
        <w:t>南方市场，形成以锦州港为原点的一点多射的航线布局，促进了北粮南运的水道顺畅；与厦门港、</w:t>
      </w:r>
      <w:r>
        <w:rPr>
          <w:spacing w:val="-54"/>
        </w:rPr>
        <w:t> </w:t>
      </w:r>
      <w:r>
        <w:rPr>
          <w:spacing w:val="-54"/>
        </w:rPr>
      </w:r>
      <w:r>
        <w:rPr>
          <w:spacing w:val="-2"/>
        </w:rPr>
        <w:t>中谷新良海运合作，搭建粮食集散、集运、交易新通道；与中海集运、沈铁红运合作，利用沈阳</w:t>
      </w:r>
      <w:r>
        <w:rPr>
          <w:spacing w:val="-25"/>
        </w:rPr>
        <w:t> </w:t>
      </w:r>
      <w:r>
        <w:rPr>
          <w:spacing w:val="-25"/>
        </w:rPr>
      </w:r>
      <w:r>
        <w:rPr>
          <w:spacing w:val="-2"/>
        </w:rPr>
        <w:t>铁路局运输网络，争取远程粮食货源，巩固了锦州港对于粮食腹地货源的固有优势。油品：公司</w:t>
      </w:r>
      <w:r>
        <w:rPr>
          <w:spacing w:val="-25"/>
        </w:rPr>
        <w:t> </w:t>
      </w:r>
      <w:r>
        <w:rPr>
          <w:spacing w:val="-25"/>
        </w:rPr>
      </w:r>
      <w:r>
        <w:rPr>
          <w:spacing w:val="-2"/>
        </w:rPr>
        <w:t>所处的辽西地区是我国北方重要的石油化工生产加工和物流基地，油品化工是锦州港最重要的利</w:t>
      </w:r>
      <w:r>
        <w:rPr>
          <w:spacing w:val="-25"/>
        </w:rPr>
        <w:t> </w:t>
      </w:r>
      <w:r>
        <w:rPr>
          <w:spacing w:val="-25"/>
        </w:rPr>
      </w:r>
      <w:r>
        <w:rPr>
          <w:spacing w:val="-2"/>
        </w:rPr>
        <w:t>润来源，</w:t>
      </w:r>
      <w:r>
        <w:rPr>
          <w:rFonts w:ascii="宋体" w:hAnsi="宋体" w:cs="宋体" w:eastAsia="宋体" w:hint="default"/>
          <w:spacing w:val="-2"/>
        </w:rPr>
        <w:t>60</w:t>
      </w:r>
      <w:r>
        <w:rPr>
          <w:spacing w:val="-2"/>
        </w:rPr>
        <w:t>万立自有油品罐区等硬件设施建成，国家石油储备项目的推进，都为将锦州港打造成</w:t>
      </w:r>
      <w:r>
        <w:rPr>
          <w:spacing w:val="-24"/>
        </w:rPr>
        <w:t> </w:t>
      </w:r>
      <w:r>
        <w:rPr>
          <w:spacing w:val="-24"/>
        </w:rPr>
      </w:r>
      <w:r>
        <w:rPr/>
        <w:t>中国北方油品大港奠定有利的基础和条件。</w:t>
      </w:r>
    </w:p>
    <w:p>
      <w:pPr>
        <w:pStyle w:val="BodyText"/>
        <w:spacing w:line="394" w:lineRule="exact" w:before="46"/>
        <w:ind w:left="558" w:right="0"/>
        <w:jc w:val="left"/>
      </w:pPr>
      <w:r>
        <w:rPr>
          <w:rFonts w:ascii="宋体" w:hAnsi="宋体" w:cs="宋体" w:eastAsia="宋体" w:hint="default"/>
        </w:rPr>
        <w:t>3</w:t>
      </w:r>
      <w:r>
        <w:rPr/>
        <w:t>、物流体系优势</w:t>
      </w:r>
      <w:r>
        <w:rPr>
          <w:w w:val="100"/>
        </w:rPr>
        <w:t> </w:t>
      </w:r>
      <w:r>
        <w:rPr>
          <w:spacing w:val="-2"/>
        </w:rPr>
        <w:t>公司主动抢抓国家“一带一路”战略机遇，融入“辽满欧”、“辽蒙欧”综合交通运输大通</w:t>
      </w:r>
    </w:p>
    <w:p>
      <w:pPr>
        <w:pStyle w:val="BodyText"/>
        <w:spacing w:line="220" w:lineRule="exact"/>
        <w:ind w:right="0"/>
        <w:jc w:val="both"/>
      </w:pPr>
      <w:r>
        <w:rPr/>
        <w:t>道及中蒙俄经济走廊建设，积极推进锦州港作为中蒙铁路新通道出海口建设。紧紧抓住国家建设</w:t>
      </w:r>
    </w:p>
    <w:p>
      <w:pPr>
        <w:pStyle w:val="BodyText"/>
        <w:spacing w:line="237" w:lineRule="auto"/>
        <w:ind w:right="128"/>
        <w:jc w:val="both"/>
      </w:pPr>
      <w:r>
        <w:rPr>
          <w:spacing w:val="-4"/>
        </w:rPr>
        <w:t>综合立体交通走廊、打造长江经济带的有利契机，与江苏靖江港联袂打造北粮南运“黄金水道”</w:t>
      </w:r>
      <w:r>
        <w:rPr>
          <w:rFonts w:ascii="宋体" w:hAnsi="宋体" w:cs="宋体" w:eastAsia="宋体" w:hint="default"/>
          <w:spacing w:val="-4"/>
        </w:rPr>
        <w:t>.</w:t>
      </w:r>
      <w:r>
        <w:rPr>
          <w:rFonts w:ascii="宋体" w:hAnsi="宋体" w:cs="宋体" w:eastAsia="宋体" w:hint="default"/>
          <w:spacing w:val="-33"/>
        </w:rPr>
        <w:t> </w:t>
      </w:r>
      <w:r>
        <w:rPr>
          <w:spacing w:val="-2"/>
        </w:rPr>
        <w:t>与沈阳铁路局签订物流总包协议，加强了港、铁间深入合作，有效简化了企业物流中转程序和环</w:t>
      </w:r>
      <w:r>
        <w:rPr>
          <w:spacing w:val="-25"/>
        </w:rPr>
        <w:t> </w:t>
      </w:r>
      <w:r>
        <w:rPr>
          <w:spacing w:val="-25"/>
        </w:rPr>
      </w:r>
      <w:r>
        <w:rPr/>
        <w:t>节，降低了腹地企业的综合物流成本，实现了多方共赢。</w:t>
      </w:r>
    </w:p>
    <w:p>
      <w:pPr>
        <w:pStyle w:val="BodyText"/>
        <w:spacing w:line="390" w:lineRule="atLeast" w:before="4"/>
        <w:ind w:left="558" w:right="0"/>
        <w:jc w:val="left"/>
      </w:pPr>
      <w:r>
        <w:rPr>
          <w:rFonts w:ascii="宋体" w:hAnsi="宋体" w:cs="宋体" w:eastAsia="宋体" w:hint="default"/>
        </w:rPr>
        <w:t>4</w:t>
      </w:r>
      <w:r>
        <w:rPr/>
        <w:t>、发展政策优势</w:t>
      </w:r>
      <w:r>
        <w:rPr>
          <w:spacing w:val="-3"/>
          <w:w w:val="100"/>
        </w:rPr>
        <w:t> </w:t>
      </w:r>
      <w:r>
        <w:rPr>
          <w:spacing w:val="-2"/>
        </w:rPr>
        <w:t>随着东北地区振兴规划、辽宁沿海经济带、环渤海地区合作发展纲要等一批国家重大战略的</w:t>
      </w:r>
    </w:p>
    <w:p>
      <w:pPr>
        <w:pStyle w:val="BodyText"/>
        <w:spacing w:line="237" w:lineRule="auto" w:before="1"/>
        <w:ind w:right="137"/>
        <w:jc w:val="both"/>
      </w:pPr>
      <w:r>
        <w:rPr>
          <w:spacing w:val="-2"/>
        </w:rPr>
        <w:t>实施，新一轮支持东北振兴政策等配套政策将逐步落实，将为东北地区及环渤海经济圈发展起到</w:t>
      </w:r>
      <w:r>
        <w:rPr>
          <w:spacing w:val="-25"/>
        </w:rPr>
        <w:t> </w:t>
      </w:r>
      <w:r>
        <w:rPr>
          <w:spacing w:val="-25"/>
        </w:rPr>
      </w:r>
      <w:r>
        <w:rPr>
          <w:spacing w:val="-2"/>
        </w:rPr>
        <w:t>巨大的促进作用，为腹地经济发展和转型升级提供强有力的政策环境支撑，有利于公司腹地货源</w:t>
      </w:r>
      <w:r>
        <w:rPr>
          <w:spacing w:val="-25"/>
        </w:rPr>
        <w:t> </w:t>
      </w:r>
      <w:r>
        <w:rPr>
          <w:spacing w:val="-25"/>
        </w:rPr>
      </w:r>
      <w:r>
        <w:rPr/>
        <w:t>形成新的增量。</w:t>
      </w:r>
    </w:p>
    <w:p>
      <w:pPr>
        <w:pStyle w:val="BodyText"/>
        <w:spacing w:line="394" w:lineRule="exact" w:before="46"/>
        <w:ind w:left="558" w:right="0"/>
        <w:jc w:val="left"/>
      </w:pPr>
      <w:r>
        <w:rPr>
          <w:rFonts w:ascii="宋体" w:hAnsi="宋体" w:cs="宋体" w:eastAsia="宋体" w:hint="default"/>
        </w:rPr>
        <w:t>5</w:t>
      </w:r>
      <w:r>
        <w:rPr/>
        <w:t>、公司治理和经营管理优势</w:t>
      </w:r>
      <w:r>
        <w:rPr>
          <w:w w:val="100"/>
        </w:rPr>
        <w:t> </w:t>
      </w:r>
      <w:r>
        <w:rPr>
          <w:spacing w:val="-2"/>
        </w:rPr>
        <w:t>公司始终坚持“治理透明、管理规范、科学决策、诚信经营”原则，目前的经营管理团队完</w:t>
      </w:r>
    </w:p>
    <w:p>
      <w:pPr>
        <w:pStyle w:val="BodyText"/>
        <w:spacing w:line="221" w:lineRule="exact"/>
        <w:ind w:right="0"/>
        <w:jc w:val="both"/>
      </w:pPr>
      <w:r>
        <w:rPr/>
        <w:t>全通过市场化机制面向社会聘任，相对稳定并具有丰富管理经验。公司是上海证券交易所“上证</w:t>
      </w:r>
    </w:p>
    <w:p>
      <w:pPr>
        <w:pStyle w:val="BodyText"/>
        <w:spacing w:line="237" w:lineRule="auto" w:before="2"/>
        <w:ind w:right="128"/>
        <w:jc w:val="both"/>
      </w:pPr>
      <w:r>
        <w:rPr>
          <w:spacing w:val="-3"/>
        </w:rPr>
        <w:t>公司治理板块”样本股，并入围“</w:t>
      </w:r>
      <w:r>
        <w:rPr>
          <w:rFonts w:ascii="宋体" w:hAnsi="宋体" w:cs="宋体" w:eastAsia="宋体" w:hint="default"/>
          <w:spacing w:val="-3"/>
        </w:rPr>
        <w:t>2015 </w:t>
      </w:r>
      <w:r>
        <w:rPr>
          <w:spacing w:val="-3"/>
        </w:rPr>
        <w:t>年中国最受投资者尊重的上市公司”。公司始终坚持“船</w:t>
      </w:r>
      <w:r>
        <w:rPr>
          <w:spacing w:val="-72"/>
        </w:rPr>
        <w:t> </w:t>
      </w:r>
      <w:r>
        <w:rPr>
          <w:spacing w:val="-72"/>
        </w:rPr>
      </w:r>
      <w:r>
        <w:rPr>
          <w:spacing w:val="-2"/>
        </w:rPr>
        <w:t>船客户满意，事事货主放心”的服务理念，不断提升生产和作业效率、创新服务模式，提升员工</w:t>
      </w:r>
      <w:r>
        <w:rPr>
          <w:spacing w:val="-27"/>
        </w:rPr>
        <w:t> </w:t>
      </w:r>
      <w:r>
        <w:rPr>
          <w:spacing w:val="-27"/>
        </w:rPr>
      </w:r>
      <w:r>
        <w:rPr/>
        <w:t>素质，带动公司经营管理水平的提升。</w:t>
      </w:r>
    </w:p>
    <w:p>
      <w:pPr>
        <w:spacing w:after="0" w:line="237" w:lineRule="auto"/>
        <w:jc w:val="both"/>
        <w:sectPr>
          <w:pgSz w:w="11910" w:h="16840"/>
          <w:pgMar w:header="880" w:footer="1195" w:top="1120" w:bottom="1380" w:left="1660" w:right="1140"/>
        </w:sectPr>
      </w:pPr>
    </w:p>
    <w:p>
      <w:pPr>
        <w:spacing w:line="240" w:lineRule="auto" w:before="11"/>
        <w:rPr>
          <w:rFonts w:ascii="宋体" w:hAnsi="宋体" w:cs="宋体" w:eastAsia="宋体" w:hint="default"/>
          <w:sz w:val="25"/>
          <w:szCs w:val="25"/>
        </w:rPr>
      </w:pPr>
    </w:p>
    <w:p>
      <w:pPr>
        <w:pStyle w:val="Heading1"/>
        <w:tabs>
          <w:tab w:pos="4060" w:val="left" w:leader="none"/>
        </w:tabs>
        <w:spacing w:line="240" w:lineRule="auto"/>
        <w:ind w:left="2800" w:right="68"/>
        <w:jc w:val="left"/>
        <w:rPr>
          <w:b w:val="0"/>
          <w:bCs w:val="0"/>
        </w:rPr>
      </w:pPr>
      <w:bookmarkStart w:name="_TOC_250008" w:id="4"/>
      <w:r>
        <w:rPr>
          <w:w w:val="95"/>
        </w:rPr>
        <w:t>第四节</w:t>
        <w:tab/>
      </w:r>
      <w:r>
        <w:rPr/>
        <w:t>管理层讨论与分析</w:t>
      </w:r>
      <w:bookmarkEnd w:id="4"/>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left="138" w:right="68"/>
        <w:jc w:val="left"/>
        <w:rPr>
          <w:b w:val="0"/>
          <w:bCs w:val="0"/>
        </w:rPr>
      </w:pPr>
      <w:r>
        <w:rPr/>
        <w:t>一、管理层讨论与分析</w:t>
      </w:r>
      <w:r>
        <w:rPr>
          <w:b w:val="0"/>
          <w:bCs w:val="0"/>
        </w:rPr>
      </w:r>
    </w:p>
    <w:p>
      <w:pPr>
        <w:pStyle w:val="BodyText"/>
        <w:spacing w:line="237" w:lineRule="auto" w:before="121"/>
        <w:ind w:right="68" w:firstLine="479"/>
        <w:jc w:val="left"/>
      </w:pPr>
      <w:r>
        <w:rPr>
          <w:rFonts w:ascii="宋体" w:hAnsi="宋体" w:cs="宋体" w:eastAsia="宋体" w:hint="default"/>
        </w:rPr>
        <w:t>2015</w:t>
      </w:r>
      <w:r>
        <w:rPr>
          <w:rFonts w:ascii="宋体" w:hAnsi="宋体" w:cs="宋体" w:eastAsia="宋体" w:hint="default"/>
          <w:spacing w:val="4"/>
        </w:rPr>
        <w:t> </w:t>
      </w:r>
      <w:r>
        <w:rPr>
          <w:spacing w:val="-2"/>
        </w:rPr>
        <w:t>年，世界经济复苏依旧缓慢，我国经济发展步入从高速增长转向中高速增长的新常态，</w:t>
      </w:r>
      <w:r>
        <w:rPr>
          <w:w w:val="100"/>
        </w:rPr>
        <w:t> </w:t>
      </w:r>
      <w:r>
        <w:rPr/>
        <w:t>公司所在的东北地区经济受制于传统的经济结构影响，</w:t>
      </w:r>
      <w:r>
        <w:rPr>
          <w:rFonts w:ascii="宋体" w:hAnsi="宋体" w:cs="宋体" w:eastAsia="宋体" w:hint="default"/>
        </w:rPr>
        <w:t>GDP </w:t>
      </w:r>
      <w:r>
        <w:rPr/>
        <w:t>增速下滑明显，加之报告期内国际、</w:t>
      </w:r>
      <w:r>
        <w:rPr>
          <w:spacing w:val="-98"/>
        </w:rPr>
        <w:t> </w:t>
      </w:r>
      <w:r>
        <w:rPr>
          <w:spacing w:val="-98"/>
        </w:rPr>
      </w:r>
      <w:r>
        <w:rPr/>
        <w:t>国内大宗商品市场需求依然徘徊在较低水平，公司经营的外部经济环境和市场环境十分严峻。一</w:t>
      </w:r>
      <w:r>
        <w:rPr>
          <w:spacing w:val="-97"/>
        </w:rPr>
        <w:t> </w:t>
      </w:r>
      <w:r>
        <w:rPr>
          <w:spacing w:val="-97"/>
        </w:rPr>
      </w:r>
      <w:r>
        <w:rPr/>
        <w:t>直以来，公司主要业务以运输大宗散杂货为主，报告期内，粮食、煤炭两大主打货源的吞吐量出</w:t>
      </w:r>
      <w:r>
        <w:rPr>
          <w:spacing w:val="-97"/>
        </w:rPr>
        <w:t> </w:t>
      </w:r>
      <w:r>
        <w:rPr>
          <w:spacing w:val="-97"/>
        </w:rPr>
      </w:r>
      <w:r>
        <w:rPr/>
        <w:t>现大幅下滑，货源结构性矛盾导致港口生产运营面临前所未有的困难和压力，尽管公司有针对性</w:t>
      </w:r>
      <w:r>
        <w:rPr>
          <w:spacing w:val="-97"/>
        </w:rPr>
        <w:t> </w:t>
      </w:r>
      <w:r>
        <w:rPr>
          <w:spacing w:val="-97"/>
        </w:rPr>
      </w:r>
      <w:r>
        <w:rPr/>
        <w:t>地采取了稳定老客户，开辟新客户、新航线，加强辅营业务拓展等措施，各项指标完成情况仍不</w:t>
      </w:r>
      <w:r>
        <w:rPr>
          <w:spacing w:val="-97"/>
        </w:rPr>
        <w:t> </w:t>
      </w:r>
      <w:r>
        <w:rPr>
          <w:spacing w:val="-97"/>
        </w:rPr>
      </w:r>
      <w:r>
        <w:rPr/>
        <w:t>及预期。报告期内实现营业收入</w:t>
      </w:r>
      <w:r>
        <w:rPr>
          <w:spacing w:val="-33"/>
        </w:rPr>
        <w:t> </w:t>
      </w:r>
      <w:r>
        <w:rPr>
          <w:rFonts w:ascii="宋体" w:hAnsi="宋体" w:cs="宋体" w:eastAsia="宋体" w:hint="default"/>
        </w:rPr>
        <w:t>180,554.94</w:t>
      </w:r>
      <w:r>
        <w:rPr>
          <w:rFonts w:ascii="宋体" w:hAnsi="宋体" w:cs="宋体" w:eastAsia="宋体" w:hint="default"/>
          <w:spacing w:val="-33"/>
        </w:rPr>
        <w:t> </w:t>
      </w:r>
      <w:r>
        <w:rPr/>
        <w:t>万元，同比下降</w:t>
      </w:r>
      <w:r>
        <w:rPr>
          <w:spacing w:val="-36"/>
        </w:rPr>
        <w:t> </w:t>
      </w:r>
      <w:r>
        <w:rPr>
          <w:rFonts w:ascii="宋体" w:hAnsi="宋体" w:cs="宋体" w:eastAsia="宋体" w:hint="default"/>
        </w:rPr>
        <w:t>15.11%</w:t>
      </w:r>
      <w:r>
        <w:rPr/>
        <w:t>；实现归属于母公司所有者</w:t>
      </w:r>
      <w:r>
        <w:rPr>
          <w:w w:val="100"/>
        </w:rPr>
        <w:t> </w:t>
      </w:r>
      <w:r>
        <w:rPr/>
        <w:t>的净利润</w:t>
      </w:r>
      <w:r>
        <w:rPr>
          <w:spacing w:val="-49"/>
        </w:rPr>
        <w:t> </w:t>
      </w:r>
      <w:r>
        <w:rPr>
          <w:rFonts w:ascii="宋体" w:hAnsi="宋体" w:cs="宋体" w:eastAsia="宋体" w:hint="default"/>
        </w:rPr>
        <w:t>12,906.58</w:t>
      </w:r>
      <w:r>
        <w:rPr>
          <w:rFonts w:ascii="宋体" w:hAnsi="宋体" w:cs="宋体" w:eastAsia="宋体" w:hint="default"/>
          <w:spacing w:val="-49"/>
        </w:rPr>
        <w:t> </w:t>
      </w:r>
      <w:r>
        <w:rPr/>
        <w:t>万元，同比下降</w:t>
      </w:r>
      <w:r>
        <w:rPr>
          <w:spacing w:val="-3"/>
        </w:rPr>
        <w:t> </w:t>
      </w:r>
      <w:r>
        <w:rPr>
          <w:rFonts w:ascii="宋体" w:hAnsi="宋体" w:cs="宋体" w:eastAsia="宋体" w:hint="default"/>
        </w:rPr>
        <w:t>41.55</w:t>
      </w:r>
      <w:r>
        <w:rPr>
          <w:rFonts w:ascii="宋体" w:hAnsi="宋体" w:cs="宋体" w:eastAsia="宋体" w:hint="default"/>
          <w:spacing w:val="-2"/>
        </w:rPr>
        <w:t> </w:t>
      </w:r>
      <w:r>
        <w:rPr>
          <w:rFonts w:ascii="宋体" w:hAnsi="宋体" w:cs="宋体" w:eastAsia="宋体" w:hint="default"/>
        </w:rPr>
        <w:t>%</w:t>
      </w:r>
      <w:r>
        <w:rPr/>
        <w:t>；扣除非经常性损益后归属于上市公司股东的净利</w:t>
      </w:r>
    </w:p>
    <w:p>
      <w:pPr>
        <w:pStyle w:val="BodyText"/>
        <w:spacing w:line="274" w:lineRule="exact"/>
        <w:ind w:right="68"/>
        <w:jc w:val="left"/>
      </w:pPr>
      <w:r>
        <w:rPr/>
        <w:t>润为</w:t>
      </w:r>
      <w:r>
        <w:rPr>
          <w:spacing w:val="-53"/>
        </w:rPr>
        <w:t> </w:t>
      </w:r>
      <w:r>
        <w:rPr>
          <w:rFonts w:ascii="宋体" w:hAnsi="宋体" w:cs="宋体" w:eastAsia="宋体" w:hint="default"/>
        </w:rPr>
        <w:t>6,228.13</w:t>
      </w:r>
      <w:r>
        <w:rPr>
          <w:rFonts w:ascii="宋体" w:hAnsi="宋体" w:cs="宋体" w:eastAsia="宋体" w:hint="default"/>
          <w:spacing w:val="-55"/>
        </w:rPr>
        <w:t> </w:t>
      </w:r>
      <w:r>
        <w:rPr/>
        <w:t>万元，同比下降</w:t>
      </w:r>
      <w:r>
        <w:rPr>
          <w:spacing w:val="-52"/>
        </w:rPr>
        <w:t> </w:t>
      </w:r>
      <w:r>
        <w:rPr>
          <w:rFonts w:ascii="宋体" w:hAnsi="宋体" w:cs="宋体" w:eastAsia="宋体" w:hint="default"/>
        </w:rPr>
        <w:t>43.64</w:t>
      </w:r>
      <w:r>
        <w:rPr>
          <w:rFonts w:ascii="宋体" w:hAnsi="宋体" w:cs="宋体" w:eastAsia="宋体" w:hint="default"/>
          <w:spacing w:val="-2"/>
        </w:rPr>
        <w:t> </w:t>
      </w:r>
      <w:r>
        <w:rPr>
          <w:rFonts w:ascii="宋体" w:hAnsi="宋体" w:cs="宋体" w:eastAsia="宋体" w:hint="default"/>
        </w:rPr>
        <w:t>%</w:t>
      </w:r>
      <w:r>
        <w:rPr/>
        <w:t>。</w:t>
      </w:r>
    </w:p>
    <w:p>
      <w:pPr>
        <w:pStyle w:val="BodyText"/>
        <w:spacing w:line="237" w:lineRule="auto" w:before="119"/>
        <w:ind w:right="208" w:firstLine="419"/>
        <w:jc w:val="both"/>
      </w:pPr>
      <w:r>
        <w:rPr>
          <w:spacing w:val="-2"/>
        </w:rPr>
        <w:t>报告期内，面对严峻的经济形势和艰难的市场环境，公司客观分析腹地货源增长状况及周边</w:t>
      </w:r>
      <w:r>
        <w:rPr>
          <w:w w:val="100"/>
        </w:rPr>
        <w:t> </w:t>
      </w:r>
      <w:r>
        <w:rPr>
          <w:spacing w:val="-1"/>
        </w:rPr>
        <w:t>港口发展态势，积极争取国家政策支持，利用“一带一路”战略、中韩自贸区以及国家支持东北</w:t>
      </w:r>
      <w:r>
        <w:rPr>
          <w:spacing w:val="-55"/>
        </w:rPr>
        <w:t> </w:t>
      </w:r>
      <w:r>
        <w:rPr>
          <w:spacing w:val="-55"/>
        </w:rPr>
      </w:r>
      <w:r>
        <w:rPr>
          <w:spacing w:val="-1"/>
        </w:rPr>
        <w:t>振兴若干重大政策红利，改变传统经营思路，从港口装卸业务为主逐步向运输、仓储、配送一体</w:t>
      </w:r>
      <w:r>
        <w:rPr>
          <w:spacing w:val="-55"/>
        </w:rPr>
        <w:t> </w:t>
      </w:r>
      <w:r>
        <w:rPr>
          <w:spacing w:val="-55"/>
        </w:rPr>
      </w:r>
      <w:r>
        <w:rPr/>
        <w:t>化的港口服务商转变，千方百计加快业务转型创新。主要体现在以下方面：</w:t>
      </w:r>
    </w:p>
    <w:p>
      <w:pPr>
        <w:pStyle w:val="BodyText"/>
        <w:spacing w:line="237" w:lineRule="auto" w:before="119"/>
        <w:ind w:right="68" w:firstLine="419"/>
        <w:jc w:val="left"/>
      </w:pPr>
      <w:r>
        <w:rPr>
          <w:spacing w:val="-1"/>
        </w:rPr>
        <w:t>在主营业务上，粮食货种受到市场需求减少、替代增多等因素影响，中转量同比下降</w:t>
      </w:r>
      <w:r>
        <w:rPr>
          <w:rFonts w:ascii="宋体" w:hAnsi="宋体" w:cs="宋体" w:eastAsia="宋体" w:hint="default"/>
          <w:spacing w:val="-1"/>
        </w:rPr>
        <w:t>27.2%</w:t>
      </w:r>
      <w:r>
        <w:rPr>
          <w:spacing w:val="-1"/>
        </w:rPr>
        <w:t>，</w:t>
      </w:r>
      <w:r>
        <w:rPr>
          <w:w w:val="100"/>
        </w:rPr>
        <w:t> </w:t>
      </w:r>
      <w:r>
        <w:rPr>
          <w:spacing w:val="-6"/>
        </w:rPr>
        <w:t>也是近</w:t>
      </w:r>
      <w:r>
        <w:rPr>
          <w:rFonts w:ascii="宋体" w:hAnsi="宋体" w:cs="宋体" w:eastAsia="宋体" w:hint="default"/>
          <w:spacing w:val="-6"/>
        </w:rPr>
        <w:t>10</w:t>
      </w:r>
      <w:r>
        <w:rPr>
          <w:spacing w:val="-6"/>
        </w:rPr>
        <w:t>年来首次下滑；煤炭价格持续低迷，致使吞吐量同比下降</w:t>
      </w:r>
      <w:r>
        <w:rPr>
          <w:rFonts w:ascii="宋体" w:hAnsi="宋体" w:cs="宋体" w:eastAsia="宋体" w:hint="default"/>
          <w:spacing w:val="-6"/>
        </w:rPr>
        <w:t>16.5%</w:t>
      </w:r>
      <w:r>
        <w:rPr>
          <w:spacing w:val="-6"/>
        </w:rPr>
        <w:t>，创下近</w:t>
      </w:r>
      <w:r>
        <w:rPr>
          <w:rFonts w:ascii="宋体" w:hAnsi="宋体" w:cs="宋体" w:eastAsia="宋体" w:hint="default"/>
          <w:spacing w:val="-6"/>
        </w:rPr>
        <w:t>5</w:t>
      </w:r>
      <w:r>
        <w:rPr>
          <w:spacing w:val="-6"/>
        </w:rPr>
        <w:t>年来最低水平；</w:t>
      </w:r>
      <w:r>
        <w:rPr>
          <w:spacing w:val="-30"/>
        </w:rPr>
        <w:t> </w:t>
      </w:r>
      <w:r>
        <w:rPr>
          <w:spacing w:val="-30"/>
        </w:rPr>
      </w:r>
      <w:r>
        <w:rPr/>
        <w:t>主要货种中转量的下滑使公司经营目标的完成面临重大压力。公司继续牢固树立以客户为中心的</w:t>
      </w:r>
      <w:r>
        <w:rPr>
          <w:spacing w:val="-96"/>
        </w:rPr>
        <w:t> </w:t>
      </w:r>
      <w:r>
        <w:rPr>
          <w:spacing w:val="-96"/>
        </w:rPr>
      </w:r>
      <w:r>
        <w:rPr/>
        <w:t>理念，充分发挥货种品牌优势，在油品化工、粮食、煤炭等大宗货源品种稳老拓新的同时，有针</w:t>
      </w:r>
      <w:r>
        <w:rPr>
          <w:spacing w:val="-98"/>
        </w:rPr>
        <w:t> </w:t>
      </w:r>
      <w:r>
        <w:rPr>
          <w:spacing w:val="-98"/>
        </w:rPr>
      </w:r>
      <w:r>
        <w:rPr/>
        <w:t>对性地开拓其他货源市场，实现了成品油、矿粉、外贸化肥、外贸钢材等货种的较大增幅，货源</w:t>
      </w:r>
      <w:r>
        <w:rPr>
          <w:spacing w:val="-97"/>
        </w:rPr>
        <w:t> </w:t>
      </w:r>
      <w:r>
        <w:rPr>
          <w:spacing w:val="-97"/>
        </w:rPr>
      </w:r>
      <w:r>
        <w:rPr/>
        <w:t>结构更加合理；深化港企铁路物流合作，争取更优惠的运费政策，为企业降低物流成本，提高中</w:t>
      </w:r>
      <w:r>
        <w:rPr>
          <w:spacing w:val="-97"/>
        </w:rPr>
        <w:t> </w:t>
      </w:r>
      <w:r>
        <w:rPr>
          <w:spacing w:val="-97"/>
        </w:rPr>
      </w:r>
      <w:r>
        <w:rPr/>
        <w:t>转效率；加大了与大连港在油品、煤炭、散矿、集装箱中转“重去重回”的全程物流合作，提升</w:t>
      </w:r>
      <w:r>
        <w:rPr>
          <w:spacing w:val="-97"/>
        </w:rPr>
        <w:t> </w:t>
      </w:r>
      <w:r>
        <w:rPr>
          <w:spacing w:val="-97"/>
        </w:rPr>
      </w:r>
      <w:r>
        <w:rPr/>
        <w:t>公司竞争能力和服务效率。</w:t>
      </w:r>
    </w:p>
    <w:p>
      <w:pPr>
        <w:pStyle w:val="BodyText"/>
        <w:spacing w:line="237" w:lineRule="auto" w:before="121"/>
        <w:ind w:right="208" w:firstLine="419"/>
        <w:jc w:val="both"/>
      </w:pPr>
      <w:r>
        <w:rPr>
          <w:spacing w:val="-7"/>
          <w:w w:val="100"/>
        </w:rPr>
        <w:t>在辅营业务上，继续涉足与港口增量增利具有直接关联性的上下游产业，拓展物流产业链条；</w:t>
      </w:r>
      <w:r>
        <w:rPr>
          <w:w w:val="100"/>
        </w:rPr>
        <w:t> </w:t>
      </w:r>
      <w:r>
        <w:rPr>
          <w:spacing w:val="-9"/>
          <w:w w:val="100"/>
        </w:rPr>
        <w:t>通过植入金融理念和互联网</w:t>
      </w:r>
      <w:r>
        <w:rPr>
          <w:rFonts w:ascii="宋体" w:hAnsi="宋体" w:cs="宋体" w:eastAsia="宋体" w:hint="default"/>
          <w:spacing w:val="-9"/>
          <w:w w:val="100"/>
        </w:rPr>
        <w:t>+</w:t>
      </w:r>
      <w:r>
        <w:rPr>
          <w:spacing w:val="-9"/>
          <w:w w:val="100"/>
        </w:rPr>
        <w:t>思路，加快业务转型创新；在控制风险的前提下，继续深化物流金融、</w:t>
      </w:r>
      <w:r>
        <w:rPr>
          <w:spacing w:val="-73"/>
          <w:w w:val="100"/>
        </w:rPr>
        <w:t> </w:t>
      </w:r>
      <w:r>
        <w:rPr>
          <w:spacing w:val="-73"/>
          <w:w w:val="100"/>
        </w:rPr>
      </w:r>
      <w:r>
        <w:rPr>
          <w:spacing w:val="-4"/>
        </w:rPr>
        <w:t>质押融资、收储贸易委托经营等业务，使其对主业形成支撑；推进保税物流中心（</w:t>
      </w:r>
      <w:r>
        <w:rPr>
          <w:rFonts w:ascii="宋体" w:hAnsi="宋体" w:cs="宋体" w:eastAsia="宋体" w:hint="default"/>
          <w:spacing w:val="-4"/>
        </w:rPr>
        <w:t>B</w:t>
      </w:r>
      <w:r>
        <w:rPr>
          <w:spacing w:val="-4"/>
        </w:rPr>
        <w:t>型）建设，扩</w:t>
      </w:r>
      <w:r>
        <w:rPr>
          <w:spacing w:val="-37"/>
        </w:rPr>
        <w:t> </w:t>
      </w:r>
      <w:r>
        <w:rPr>
          <w:spacing w:val="-37"/>
        </w:rPr>
      </w:r>
      <w:r>
        <w:rPr>
          <w:spacing w:val="-1"/>
        </w:rPr>
        <w:t>大港口开放功能，使公司从传统经营模式向投资收益获取利润转变，以期在不同物流环节上获取</w:t>
      </w:r>
      <w:r>
        <w:rPr>
          <w:spacing w:val="-55"/>
        </w:rPr>
        <w:t> </w:t>
      </w:r>
      <w:r>
        <w:rPr>
          <w:spacing w:val="-55"/>
        </w:rPr>
      </w:r>
      <w:r>
        <w:rPr/>
        <w:t>收益。</w:t>
      </w:r>
    </w:p>
    <w:p>
      <w:pPr>
        <w:pStyle w:val="BodyText"/>
        <w:spacing w:line="237" w:lineRule="auto" w:before="119"/>
        <w:ind w:right="207" w:firstLine="419"/>
        <w:jc w:val="both"/>
      </w:pPr>
      <w:r>
        <w:rPr>
          <w:spacing w:val="-2"/>
        </w:rPr>
        <w:t>港口建设方面，以满足港口实际需求为基准，本着统筹当前、兼顾长远的原则，把握建设节</w:t>
      </w:r>
      <w:r>
        <w:rPr>
          <w:w w:val="100"/>
        </w:rPr>
        <w:t> </w:t>
      </w:r>
      <w:r>
        <w:rPr>
          <w:spacing w:val="-9"/>
        </w:rPr>
        <w:t>奏，量力而为。</w:t>
      </w:r>
      <w:r>
        <w:rPr>
          <w:rFonts w:ascii="宋体" w:hAnsi="宋体" w:cs="宋体" w:eastAsia="宋体" w:hint="default"/>
          <w:spacing w:val="-9"/>
        </w:rPr>
        <w:t>2015 </w:t>
      </w:r>
      <w:r>
        <w:rPr>
          <w:spacing w:val="-7"/>
        </w:rPr>
        <w:t>年港建计划指标中的“罐区二期工程”和“港三路工程”两项指标未予实施，</w:t>
      </w:r>
      <w:r>
        <w:rPr>
          <w:spacing w:val="-71"/>
        </w:rPr>
        <w:t> </w:t>
      </w:r>
      <w:r>
        <w:rPr>
          <w:spacing w:val="-71"/>
        </w:rPr>
      </w:r>
      <w:r>
        <w:rPr>
          <w:spacing w:val="-1"/>
          <w:w w:val="100"/>
        </w:rPr>
        <w:t>减少计划投资</w:t>
      </w:r>
      <w:r>
        <w:rPr>
          <w:spacing w:val="-52"/>
          <w:w w:val="100"/>
        </w:rPr>
        <w:t> </w:t>
      </w:r>
      <w:r>
        <w:rPr>
          <w:rFonts w:ascii="宋体" w:hAnsi="宋体" w:cs="宋体" w:eastAsia="宋体" w:hint="default"/>
          <w:spacing w:val="-1"/>
          <w:w w:val="100"/>
        </w:rPr>
        <w:t>1.06</w:t>
      </w:r>
      <w:r>
        <w:rPr>
          <w:rFonts w:ascii="宋体" w:hAnsi="宋体" w:cs="宋体" w:eastAsia="宋体" w:hint="default"/>
          <w:spacing w:val="-54"/>
          <w:w w:val="100"/>
        </w:rPr>
        <w:t> </w:t>
      </w:r>
      <w:r>
        <w:rPr>
          <w:spacing w:val="-11"/>
          <w:w w:val="100"/>
        </w:rPr>
        <w:t>亿元。报告期内，完成主要在建工程投资</w:t>
      </w:r>
      <w:r>
        <w:rPr>
          <w:spacing w:val="-52"/>
          <w:w w:val="100"/>
        </w:rPr>
        <w:t> </w:t>
      </w:r>
      <w:r>
        <w:rPr>
          <w:rFonts w:ascii="宋体" w:hAnsi="宋体" w:cs="宋体" w:eastAsia="宋体" w:hint="default"/>
          <w:spacing w:val="-1"/>
          <w:w w:val="100"/>
        </w:rPr>
        <w:t>3.81</w:t>
      </w:r>
      <w:r>
        <w:rPr>
          <w:rFonts w:ascii="宋体" w:hAnsi="宋体" w:cs="宋体" w:eastAsia="宋体" w:hint="default"/>
          <w:spacing w:val="-52"/>
          <w:w w:val="100"/>
        </w:rPr>
        <w:t> </w:t>
      </w:r>
      <w:r>
        <w:rPr>
          <w:spacing w:val="-10"/>
          <w:w w:val="100"/>
        </w:rPr>
        <w:t>亿元，完成年初计划的</w:t>
      </w:r>
      <w:r>
        <w:rPr>
          <w:spacing w:val="-51"/>
          <w:w w:val="100"/>
        </w:rPr>
        <w:t> </w:t>
      </w:r>
      <w:r>
        <w:rPr>
          <w:rFonts w:ascii="宋体" w:hAnsi="宋体" w:cs="宋体" w:eastAsia="宋体" w:hint="default"/>
          <w:spacing w:val="-1"/>
          <w:w w:val="100"/>
        </w:rPr>
        <w:t>124.5%</w:t>
      </w:r>
      <w:r>
        <w:rPr>
          <w:spacing w:val="-1"/>
          <w:w w:val="100"/>
        </w:rPr>
        <w:t>。</w:t>
      </w:r>
      <w:r>
        <w:rPr>
          <w:w w:val="100"/>
        </w:rPr>
        <w:t> </w:t>
      </w:r>
      <w:r>
        <w:rPr/>
        <w:t>主要完成了西部海域变更段及南防波堤、西部港区排水（锦州施工段）、</w:t>
      </w:r>
      <w:r>
        <w:rPr>
          <w:rFonts w:ascii="宋体" w:hAnsi="宋体" w:cs="宋体" w:eastAsia="宋体" w:hint="default"/>
        </w:rPr>
        <w:t>DN700</w:t>
      </w:r>
      <w:r>
        <w:rPr>
          <w:rFonts w:ascii="宋体" w:hAnsi="宋体" w:cs="宋体" w:eastAsia="宋体" w:hint="default"/>
          <w:spacing w:val="7"/>
        </w:rPr>
        <w:t> </w:t>
      </w:r>
      <w:r>
        <w:rPr/>
        <w:t>管线改造、集装</w:t>
      </w:r>
      <w:r>
        <w:rPr>
          <w:w w:val="100"/>
        </w:rPr>
        <w:t> </w:t>
      </w:r>
      <w:r>
        <w:rPr>
          <w:spacing w:val="-3"/>
        </w:rPr>
        <w:t>箱码头钢轨改造、三港池临时堆场加高等工程，</w:t>
      </w:r>
      <w:r>
        <w:rPr>
          <w:rFonts w:ascii="宋体" w:hAnsi="宋体" w:cs="宋体" w:eastAsia="宋体" w:hint="default"/>
          <w:spacing w:val="-3"/>
        </w:rPr>
        <w:t>2014 </w:t>
      </w:r>
      <w:r>
        <w:rPr>
          <w:spacing w:val="-3"/>
        </w:rPr>
        <w:t>年结转至本报告期项目有油品罐区工程（一</w:t>
      </w:r>
      <w:r>
        <w:rPr>
          <w:spacing w:val="-71"/>
        </w:rPr>
        <w:t> </w:t>
      </w:r>
      <w:r>
        <w:rPr>
          <w:spacing w:val="-71"/>
        </w:rPr>
      </w:r>
      <w:r>
        <w:rPr>
          <w:spacing w:val="-4"/>
        </w:rPr>
        <w:t>期二期）、三港池东岸区通用泊位、生产调度指挥中心工程等。截止本报告期末，共有</w:t>
      </w:r>
      <w:r>
        <w:rPr>
          <w:spacing w:val="-34"/>
        </w:rPr>
        <w:t> </w:t>
      </w:r>
      <w:r>
        <w:rPr>
          <w:rFonts w:ascii="宋体" w:hAnsi="宋体" w:cs="宋体" w:eastAsia="宋体" w:hint="default"/>
        </w:rPr>
        <w:t>23</w:t>
      </w:r>
      <w:r>
        <w:rPr>
          <w:rFonts w:ascii="宋体" w:hAnsi="宋体" w:cs="宋体" w:eastAsia="宋体" w:hint="default"/>
          <w:spacing w:val="-31"/>
        </w:rPr>
        <w:t> </w:t>
      </w:r>
      <w:r>
        <w:rPr/>
        <w:t>个泊位</w:t>
      </w:r>
      <w:r>
        <w:rPr>
          <w:spacing w:val="-96"/>
        </w:rPr>
        <w:t> </w:t>
      </w:r>
      <w:r>
        <w:rPr>
          <w:spacing w:val="-96"/>
        </w:rPr>
      </w:r>
      <w:r>
        <w:rPr>
          <w:spacing w:val="-1"/>
        </w:rPr>
        <w:t>通过验收，使我港在辽宁省港口中率先实现生产性泊位全部验收；为提高港口功能，最大程度发</w:t>
      </w:r>
      <w:r>
        <w:rPr>
          <w:spacing w:val="-56"/>
        </w:rPr>
        <w:t> </w:t>
      </w:r>
      <w:r>
        <w:rPr>
          <w:spacing w:val="-56"/>
        </w:rPr>
      </w:r>
      <w:r>
        <w:rPr>
          <w:spacing w:val="-6"/>
        </w:rPr>
        <w:t>挥泊位能力，公司完成了</w:t>
      </w:r>
      <w:r>
        <w:rPr>
          <w:spacing w:val="-36"/>
        </w:rPr>
        <w:t> </w:t>
      </w:r>
      <w:r>
        <w:rPr>
          <w:rFonts w:ascii="宋体" w:hAnsi="宋体" w:cs="宋体" w:eastAsia="宋体" w:hint="default"/>
        </w:rPr>
        <w:t>101B</w:t>
      </w:r>
      <w:r>
        <w:rPr>
          <w:rFonts w:ascii="宋体" w:hAnsi="宋体" w:cs="宋体" w:eastAsia="宋体" w:hint="default"/>
          <w:spacing w:val="-36"/>
        </w:rPr>
        <w:t> </w:t>
      </w:r>
      <w:r>
        <w:rPr/>
        <w:t>等</w:t>
      </w:r>
      <w:r>
        <w:rPr>
          <w:spacing w:val="-39"/>
        </w:rPr>
        <w:t> </w:t>
      </w:r>
      <w:r>
        <w:rPr>
          <w:rFonts w:ascii="宋体" w:hAnsi="宋体" w:cs="宋体" w:eastAsia="宋体" w:hint="default"/>
        </w:rPr>
        <w:t>5</w:t>
      </w:r>
      <w:r>
        <w:rPr>
          <w:rFonts w:ascii="宋体" w:hAnsi="宋体" w:cs="宋体" w:eastAsia="宋体" w:hint="default"/>
          <w:spacing w:val="-36"/>
        </w:rPr>
        <w:t> </w:t>
      </w:r>
      <w:r>
        <w:rPr>
          <w:spacing w:val="-4"/>
        </w:rPr>
        <w:t>个泊位的靠泊能力升级工作，为港口正常生产营运添加了有力</w:t>
      </w:r>
      <w:r>
        <w:rPr>
          <w:spacing w:val="-98"/>
        </w:rPr>
        <w:t> </w:t>
      </w:r>
      <w:r>
        <w:rPr>
          <w:spacing w:val="-98"/>
        </w:rPr>
      </w:r>
      <w:r>
        <w:rPr/>
        <w:t>砝码。</w:t>
      </w:r>
    </w:p>
    <w:p>
      <w:pPr>
        <w:pStyle w:val="BodyText"/>
        <w:spacing w:line="237" w:lineRule="auto" w:before="121"/>
        <w:ind w:right="207" w:firstLine="419"/>
        <w:jc w:val="both"/>
      </w:pPr>
      <w:r>
        <w:rPr>
          <w:spacing w:val="-2"/>
        </w:rPr>
        <w:t>项目运作方面，报告期内，大庆油经锦州港下海、宝来集团油品储罐租赁项目带来稳定的油</w:t>
      </w:r>
      <w:r>
        <w:rPr>
          <w:w w:val="100"/>
        </w:rPr>
        <w:t> </w:t>
      </w:r>
      <w:r>
        <w:rPr>
          <w:spacing w:val="-1"/>
        </w:rPr>
        <w:t>品中转量；与沈阳铁路局签署物流总包合作协议，对服务半径范围内所有企业上下水货物实施物</w:t>
      </w:r>
      <w:r>
        <w:rPr>
          <w:spacing w:val="-55"/>
        </w:rPr>
        <w:t> </w:t>
      </w:r>
      <w:r>
        <w:rPr>
          <w:spacing w:val="-55"/>
        </w:rPr>
      </w:r>
      <w:r>
        <w:rPr>
          <w:spacing w:val="-1"/>
        </w:rPr>
        <w:t>流总代理，实现了港口、铁路、企业三方共赢；与厦门港及中谷新良“两港一航”项目实现了东</w:t>
      </w:r>
      <w:r>
        <w:rPr>
          <w:spacing w:val="-55"/>
        </w:rPr>
        <w:t> </w:t>
      </w:r>
      <w:r>
        <w:rPr>
          <w:spacing w:val="-55"/>
        </w:rPr>
      </w:r>
      <w:r>
        <w:rPr>
          <w:spacing w:val="-1"/>
        </w:rPr>
        <w:t>北粮食主产区与海西粮食主销区、北粮南运与闽、台商品北运的战略合作；设立辽西地区的第一</w:t>
      </w:r>
      <w:r>
        <w:rPr>
          <w:spacing w:val="-55"/>
        </w:rPr>
        <w:t> </w:t>
      </w:r>
      <w:r>
        <w:rPr>
          <w:spacing w:val="-55"/>
        </w:rPr>
      </w:r>
      <w:r>
        <w:rPr/>
        <w:t>家内陆港，实现了码头前沿向内陆腹地延伸的转型重构。</w:t>
      </w:r>
    </w:p>
    <w:p>
      <w:pPr>
        <w:pStyle w:val="BodyText"/>
        <w:spacing w:line="237" w:lineRule="auto" w:before="121"/>
        <w:ind w:right="208" w:firstLine="419"/>
        <w:jc w:val="both"/>
      </w:pPr>
      <w:r>
        <w:rPr>
          <w:spacing w:val="-1"/>
        </w:rPr>
        <w:t>内部管理方面，公司以开源节流为出发点，通过自检自修、修旧利废、节能降耗、优化作业</w:t>
      </w:r>
      <w:r>
        <w:rPr>
          <w:w w:val="100"/>
        </w:rPr>
        <w:t> </w:t>
      </w:r>
      <w:r>
        <w:rPr>
          <w:spacing w:val="-1"/>
        </w:rPr>
        <w:t>环节、降低物资采购成本、技术改造等多种方式增收节支。公司自主研发的无人理货系统颠覆了</w:t>
      </w:r>
      <w:r>
        <w:rPr>
          <w:spacing w:val="-55"/>
        </w:rPr>
        <w:t> </w:t>
      </w:r>
      <w:r>
        <w:rPr>
          <w:spacing w:val="-55"/>
        </w:rPr>
      </w:r>
      <w:r>
        <w:rPr>
          <w:spacing w:val="-1"/>
        </w:rPr>
        <w:t>我国传统的理货作业模式，实现了我国港口理货作业的一次重大变革。在薪酬管理和人员配置上</w:t>
      </w:r>
      <w:r>
        <w:rPr>
          <w:spacing w:val="-55"/>
        </w:rPr>
        <w:t> </w:t>
      </w:r>
      <w:r>
        <w:rPr>
          <w:spacing w:val="-55"/>
        </w:rPr>
      </w:r>
      <w:r>
        <w:rPr/>
        <w:t>做出及时和必要调整，高管人员和中级管理人员自降薪酬，确保用工成本总额不增加。</w:t>
      </w:r>
    </w:p>
    <w:p>
      <w:pPr>
        <w:spacing w:after="0" w:line="237" w:lineRule="auto"/>
        <w:jc w:val="both"/>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Heading2"/>
        <w:spacing w:line="240" w:lineRule="auto"/>
        <w:ind w:left="258" w:right="0"/>
        <w:jc w:val="left"/>
        <w:rPr>
          <w:b w:val="0"/>
          <w:bCs w:val="0"/>
        </w:rPr>
      </w:pPr>
      <w:r>
        <w:rPr/>
        <w:t>二、报告期内主要经营情况</w:t>
      </w:r>
      <w:r>
        <w:rPr>
          <w:b w:val="0"/>
          <w:bCs w:val="0"/>
        </w:rPr>
      </w:r>
    </w:p>
    <w:p>
      <w:pPr>
        <w:pStyle w:val="BodyText"/>
        <w:spacing w:line="237" w:lineRule="auto" w:before="121"/>
        <w:ind w:left="258" w:right="248" w:firstLine="419"/>
        <w:jc w:val="right"/>
      </w:pPr>
      <w:r>
        <w:rPr>
          <w:spacing w:val="-2"/>
        </w:rPr>
        <w:t>报告期内，尽管公司采取了加大市场开发力度，采取了开辟新客户、新航线，实时铁路物流</w:t>
      </w:r>
      <w:r>
        <w:rPr>
          <w:w w:val="100"/>
        </w:rPr>
        <w:t> </w:t>
      </w:r>
      <w:r>
        <w:rPr>
          <w:spacing w:val="-1"/>
        </w:rPr>
        <w:t>总包，加强与大连港业务合作，提升作业水平和作业效率等一系列举措，同时进一步加强内部管</w:t>
      </w:r>
      <w:r>
        <w:rPr>
          <w:spacing w:val="-71"/>
        </w:rPr>
        <w:t> </w:t>
      </w:r>
      <w:r>
        <w:rPr>
          <w:spacing w:val="-71"/>
        </w:rPr>
      </w:r>
      <w:r>
        <w:rPr>
          <w:spacing w:val="-1"/>
        </w:rPr>
        <w:t>理，大力压缩成本，开展增收节支。但在国内经济下行压力增大以及煤炭、粮食等大宗商品货源</w:t>
      </w:r>
      <w:r>
        <w:rPr>
          <w:spacing w:val="-71"/>
        </w:rPr>
        <w:t> </w:t>
      </w:r>
      <w:r>
        <w:rPr>
          <w:spacing w:val="-71"/>
        </w:rPr>
      </w:r>
      <w:r>
        <w:rPr>
          <w:spacing w:val="-2"/>
        </w:rPr>
        <w:t>市场收窄的严峻现实面前，公司的主要经营指标仍较计划和上年同期相比出现不同程度的下降。</w:t>
      </w:r>
    </w:p>
    <w:p>
      <w:pPr>
        <w:pStyle w:val="BodyText"/>
        <w:spacing w:line="272" w:lineRule="exact" w:before="146"/>
        <w:ind w:left="258" w:right="0" w:firstLine="199"/>
        <w:jc w:val="left"/>
      </w:pPr>
      <w:r>
        <w:rPr>
          <w:spacing w:val="-6"/>
        </w:rPr>
        <w:t>报告期内，公司完成营业收入</w:t>
      </w:r>
      <w:r>
        <w:rPr>
          <w:spacing w:val="-44"/>
        </w:rPr>
        <w:t> </w:t>
      </w:r>
      <w:r>
        <w:rPr>
          <w:rFonts w:ascii="宋体" w:hAnsi="宋体" w:cs="宋体" w:eastAsia="宋体" w:hint="default"/>
        </w:rPr>
        <w:t>180,554.94</w:t>
      </w:r>
      <w:r>
        <w:rPr>
          <w:rFonts w:ascii="宋体" w:hAnsi="宋体" w:cs="宋体" w:eastAsia="宋体" w:hint="default"/>
          <w:spacing w:val="-45"/>
        </w:rPr>
        <w:t> </w:t>
      </w:r>
      <w:r>
        <w:rPr>
          <w:spacing w:val="-8"/>
        </w:rPr>
        <w:t>万元，完成年度计划的</w:t>
      </w:r>
      <w:r>
        <w:rPr>
          <w:spacing w:val="-45"/>
        </w:rPr>
        <w:t> </w:t>
      </w:r>
      <w:r>
        <w:rPr>
          <w:rFonts w:ascii="宋体" w:hAnsi="宋体" w:cs="宋体" w:eastAsia="宋体" w:hint="default"/>
          <w:spacing w:val="-7"/>
        </w:rPr>
        <w:t>65.66%</w:t>
      </w:r>
      <w:r>
        <w:rPr>
          <w:spacing w:val="-7"/>
        </w:rPr>
        <w:t>；营业成本</w:t>
      </w:r>
      <w:r>
        <w:rPr>
          <w:spacing w:val="-44"/>
        </w:rPr>
        <w:t> </w:t>
      </w:r>
      <w:r>
        <w:rPr>
          <w:rFonts w:ascii="宋体" w:hAnsi="宋体" w:cs="宋体" w:eastAsia="宋体" w:hint="default"/>
        </w:rPr>
        <w:t>136,743.82</w:t>
      </w:r>
      <w:r>
        <w:rPr>
          <w:rFonts w:ascii="宋体" w:hAnsi="宋体" w:cs="宋体" w:eastAsia="宋体" w:hint="default"/>
          <w:w w:val="100"/>
        </w:rPr>
        <w:t> </w:t>
      </w:r>
      <w:r>
        <w:rPr/>
        <w:t>万元，较去年同期减少</w:t>
      </w:r>
      <w:r>
        <w:rPr>
          <w:spacing w:val="-54"/>
        </w:rPr>
        <w:t> </w:t>
      </w:r>
      <w:r>
        <w:rPr>
          <w:rFonts w:ascii="宋体" w:hAnsi="宋体" w:cs="宋体" w:eastAsia="宋体" w:hint="default"/>
        </w:rPr>
        <w:t>24,071</w:t>
      </w:r>
      <w:r>
        <w:rPr>
          <w:rFonts w:ascii="宋体" w:hAnsi="宋体" w:cs="宋体" w:eastAsia="宋体" w:hint="default"/>
          <w:spacing w:val="-57"/>
        </w:rPr>
        <w:t> </w:t>
      </w:r>
      <w:r>
        <w:rPr/>
        <w:t>万元，同比下降</w:t>
      </w:r>
      <w:r>
        <w:rPr>
          <w:spacing w:val="-55"/>
        </w:rPr>
        <w:t> </w:t>
      </w:r>
      <w:r>
        <w:rPr>
          <w:rFonts w:ascii="宋体" w:hAnsi="宋体" w:cs="宋体" w:eastAsia="宋体" w:hint="default"/>
        </w:rPr>
        <w:t>14.97%</w:t>
      </w:r>
      <w:r>
        <w:rPr/>
        <w:t>。</w:t>
      </w:r>
    </w:p>
    <w:p>
      <w:pPr>
        <w:pStyle w:val="BodyText"/>
        <w:spacing w:line="272" w:lineRule="exact" w:before="121"/>
        <w:ind w:left="258" w:right="0" w:firstLine="419"/>
        <w:jc w:val="left"/>
      </w:pPr>
      <w:r>
        <w:rPr>
          <w:spacing w:val="-5"/>
        </w:rPr>
        <w:t>报告期内，公司发行中期票据 </w:t>
      </w:r>
      <w:r>
        <w:rPr>
          <w:rFonts w:ascii="宋体" w:hAnsi="宋体" w:cs="宋体" w:eastAsia="宋体" w:hint="default"/>
        </w:rPr>
        <w:t>10</w:t>
      </w:r>
      <w:r>
        <w:rPr>
          <w:rFonts w:ascii="宋体" w:hAnsi="宋体" w:cs="宋体" w:eastAsia="宋体" w:hint="default"/>
          <w:spacing w:val="-44"/>
        </w:rPr>
        <w:t> </w:t>
      </w:r>
      <w:r>
        <w:rPr>
          <w:spacing w:val="-4"/>
        </w:rPr>
        <w:t>亿元，积极争取交通部航道补贴资金和港口公共基础建设维</w:t>
      </w:r>
      <w:r>
        <w:rPr>
          <w:w w:val="100"/>
        </w:rPr>
        <w:t> </w:t>
      </w:r>
      <w:r>
        <w:rPr/>
        <w:t>护专项资金补贴到账，缓解了公司财务资金压力。</w:t>
      </w:r>
    </w:p>
    <w:p>
      <w:pPr>
        <w:pStyle w:val="Heading2"/>
        <w:spacing w:line="240" w:lineRule="auto" w:before="34"/>
        <w:ind w:left="25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9"/>
        </w:rPr>
        <w:t> </w:t>
      </w:r>
      <w:r>
        <w:rPr/>
        <w:t>主营业务分析</w:t>
      </w:r>
      <w:r>
        <w:rPr>
          <w:b w:val="0"/>
          <w:bCs w:val="0"/>
        </w:rPr>
      </w:r>
    </w:p>
    <w:p>
      <w:pPr>
        <w:pStyle w:val="Heading2"/>
        <w:spacing w:line="240" w:lineRule="auto" w:before="30"/>
        <w:ind w:left="3172" w:right="0"/>
        <w:jc w:val="left"/>
        <w:rPr>
          <w:b w:val="0"/>
          <w:bCs w:val="0"/>
        </w:rPr>
      </w:pPr>
      <w:r>
        <w:rPr/>
        <w:t>利润表及现金流量表相关科目变动分析表</w:t>
      </w:r>
      <w:r>
        <w:rPr>
          <w:b w:val="0"/>
          <w:bCs w:val="0"/>
        </w:rPr>
      </w:r>
    </w:p>
    <w:p>
      <w:pPr>
        <w:pStyle w:val="BodyText"/>
        <w:tabs>
          <w:tab w:pos="946" w:val="left" w:leader="none"/>
        </w:tabs>
        <w:spacing w:line="240" w:lineRule="auto" w:before="58"/>
        <w:ind w:left="0" w:right="25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3305"/>
        <w:gridCol w:w="1896"/>
        <w:gridCol w:w="2002"/>
        <w:gridCol w:w="1846"/>
      </w:tblGrid>
      <w:tr>
        <w:trPr>
          <w:trHeight w:val="295" w:hRule="exact"/>
        </w:trPr>
        <w:tc>
          <w:tcPr>
            <w:tcW w:w="3305" w:type="dxa"/>
            <w:tcBorders>
              <w:top w:val="single" w:sz="12" w:space="0" w:color="000000"/>
              <w:left w:val="single" w:sz="12"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科目</w:t>
            </w:r>
          </w:p>
        </w:tc>
        <w:tc>
          <w:tcPr>
            <w:tcW w:w="1896" w:type="dxa"/>
            <w:tcBorders>
              <w:top w:val="single" w:sz="12" w:space="0" w:color="000000"/>
              <w:left w:val="single" w:sz="6" w:space="0" w:color="000000"/>
              <w:bottom w:val="single" w:sz="6" w:space="0" w:color="000000"/>
              <w:right w:val="single" w:sz="6" w:space="0" w:color="000000"/>
            </w:tcBorders>
          </w:tcPr>
          <w:p>
            <w:pPr>
              <w:pStyle w:val="TableParagraph"/>
              <w:spacing w:line="243" w:lineRule="exact"/>
              <w:ind w:left="621"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002" w:type="dxa"/>
            <w:tcBorders>
              <w:top w:val="single" w:sz="12" w:space="0" w:color="000000"/>
              <w:left w:val="single" w:sz="6" w:space="0" w:color="000000"/>
              <w:bottom w:val="single" w:sz="6" w:space="0" w:color="000000"/>
              <w:right w:val="single" w:sz="6" w:space="0" w:color="000000"/>
            </w:tcBorders>
          </w:tcPr>
          <w:p>
            <w:pPr>
              <w:pStyle w:val="TableParagraph"/>
              <w:spacing w:line="243" w:lineRule="exact"/>
              <w:ind w:left="46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46" w:type="dxa"/>
            <w:tcBorders>
              <w:top w:val="single" w:sz="12" w:space="0" w:color="000000"/>
              <w:left w:val="single" w:sz="6" w:space="0" w:color="000000"/>
              <w:bottom w:val="single" w:sz="6" w:space="0" w:color="000000"/>
              <w:right w:val="single" w:sz="12" w:space="0" w:color="000000"/>
            </w:tcBorders>
          </w:tcPr>
          <w:p>
            <w:pPr>
              <w:pStyle w:val="TableParagraph"/>
              <w:spacing w:line="243" w:lineRule="exact"/>
              <w:ind w:left="232"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8" w:hRule="exact"/>
        </w:trPr>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1,805,549,385.99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2,126,994,651.77</w:t>
            </w:r>
          </w:p>
        </w:tc>
        <w:tc>
          <w:tcPr>
            <w:tcW w:w="184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-15.11</w:t>
            </w:r>
          </w:p>
        </w:tc>
      </w:tr>
      <w:tr>
        <w:trPr>
          <w:trHeight w:val="288" w:hRule="exact"/>
        </w:trPr>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1,367,438,226.98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1,608,151,670.51</w:t>
            </w:r>
          </w:p>
        </w:tc>
        <w:tc>
          <w:tcPr>
            <w:tcW w:w="184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-14.97</w:t>
            </w:r>
          </w:p>
        </w:tc>
      </w:tr>
      <w:tr>
        <w:trPr>
          <w:trHeight w:val="286" w:hRule="exact"/>
        </w:trPr>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8,192,159.14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10,732,749.26</w:t>
            </w:r>
          </w:p>
        </w:tc>
        <w:tc>
          <w:tcPr>
            <w:tcW w:w="184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-23.67</w:t>
            </w:r>
          </w:p>
        </w:tc>
      </w:tr>
      <w:tr>
        <w:trPr>
          <w:trHeight w:val="288" w:hRule="exact"/>
        </w:trPr>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100,219,314.75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127,506,269.49</w:t>
            </w:r>
          </w:p>
        </w:tc>
        <w:tc>
          <w:tcPr>
            <w:tcW w:w="1846"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z w:val="21"/>
              </w:rPr>
              <w:t>-21.40</w:t>
            </w:r>
          </w:p>
        </w:tc>
      </w:tr>
      <w:tr>
        <w:trPr>
          <w:trHeight w:val="288" w:hRule="exact"/>
        </w:trPr>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223,530,330.69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215,882,283.25</w:t>
            </w:r>
          </w:p>
        </w:tc>
        <w:tc>
          <w:tcPr>
            <w:tcW w:w="184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3.54</w:t>
            </w:r>
          </w:p>
        </w:tc>
      </w:tr>
      <w:tr>
        <w:trPr>
          <w:trHeight w:val="286" w:hRule="exact"/>
        </w:trPr>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545,417,259.64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315,624,630.74</w:t>
            </w:r>
          </w:p>
        </w:tc>
        <w:tc>
          <w:tcPr>
            <w:tcW w:w="184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72.81</w:t>
            </w:r>
          </w:p>
        </w:tc>
      </w:tr>
      <w:tr>
        <w:trPr>
          <w:trHeight w:val="288" w:hRule="exact"/>
        </w:trPr>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-824,431,498.87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-1,825,709,511.54</w:t>
            </w:r>
          </w:p>
        </w:tc>
        <w:tc>
          <w:tcPr>
            <w:tcW w:w="1846"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z w:val="21"/>
              </w:rPr>
              <w:t>54.84</w:t>
            </w:r>
          </w:p>
        </w:tc>
      </w:tr>
      <w:tr>
        <w:trPr>
          <w:trHeight w:val="293" w:hRule="exact"/>
        </w:trPr>
        <w:tc>
          <w:tcPr>
            <w:tcW w:w="3305"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47,600,116.97</w:t>
            </w:r>
          </w:p>
        </w:tc>
        <w:tc>
          <w:tcPr>
            <w:tcW w:w="200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879,268,121.50</w:t>
            </w:r>
          </w:p>
        </w:tc>
        <w:tc>
          <w:tcPr>
            <w:tcW w:w="1846"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-94.59</w:t>
            </w:r>
          </w:p>
        </w:tc>
      </w:tr>
    </w:tbl>
    <w:p>
      <w:pPr>
        <w:spacing w:line="240" w:lineRule="auto" w:before="10"/>
        <w:rPr>
          <w:rFonts w:ascii="宋体" w:hAnsi="宋体" w:cs="宋体" w:eastAsia="宋体" w:hint="default"/>
          <w:sz w:val="15"/>
          <w:szCs w:val="15"/>
        </w:rPr>
      </w:pPr>
    </w:p>
    <w:p>
      <w:pPr>
        <w:pStyle w:val="Heading2"/>
        <w:tabs>
          <w:tab w:pos="677" w:val="left" w:leader="none"/>
        </w:tabs>
        <w:spacing w:line="240" w:lineRule="auto"/>
        <w:ind w:left="258" w:right="0"/>
        <w:jc w:val="left"/>
        <w:rPr>
          <w:b w:val="0"/>
          <w:bCs w:val="0"/>
        </w:rPr>
      </w:pPr>
      <w:r>
        <w:rPr>
          <w:rFonts w:ascii="宋体" w:hAnsi="宋体" w:cs="宋体" w:eastAsia="宋体" w:hint="default"/>
          <w:w w:val="95"/>
        </w:rPr>
        <w:t>1.</w:t>
        <w:tab/>
      </w:r>
      <w:r>
        <w:rPr/>
        <w:t>收入和成本分析</w:t>
      </w:r>
      <w:r>
        <w:rPr>
          <w:b w:val="0"/>
          <w:bCs w:val="0"/>
        </w:rPr>
      </w:r>
    </w:p>
    <w:p>
      <w:pPr>
        <w:pStyle w:val="BodyText"/>
        <w:spacing w:line="237" w:lineRule="auto" w:before="119"/>
        <w:ind w:left="258" w:right="248" w:firstLine="419"/>
        <w:jc w:val="both"/>
      </w:pPr>
      <w:r>
        <w:rPr>
          <w:spacing w:val="-2"/>
        </w:rPr>
        <w:t>公司主营业务收入主要来源于提供港口服务业务，港口作业主要货种为油品、粮食、煤炭、</w:t>
      </w:r>
      <w:r>
        <w:rPr>
          <w:w w:val="100"/>
        </w:rPr>
        <w:t> </w:t>
      </w:r>
      <w:r>
        <w:rPr>
          <w:spacing w:val="-1"/>
        </w:rPr>
        <w:t>金属矿、钢材等。直接经济腹地主要集中在辽西葫芦岛、盘锦、阜新、朝阳及内蒙古霍林河、白</w:t>
      </w:r>
      <w:r>
        <w:rPr>
          <w:spacing w:val="-55"/>
        </w:rPr>
        <w:t> </w:t>
      </w:r>
      <w:r>
        <w:rPr>
          <w:spacing w:val="-55"/>
        </w:rPr>
      </w:r>
      <w:r>
        <w:rPr>
          <w:spacing w:val="-1"/>
        </w:rPr>
        <w:t>音华、赤峰等区域。主要客户群集中在港口经济腹地的上下游企业，包括石油、钢铁生产、粮食</w:t>
      </w:r>
      <w:r>
        <w:rPr>
          <w:spacing w:val="-55"/>
        </w:rPr>
        <w:t> </w:t>
      </w:r>
      <w:r>
        <w:rPr>
          <w:spacing w:val="-55"/>
        </w:rPr>
      </w:r>
      <w:r>
        <w:rPr/>
        <w:t>购销、物流企业等。</w:t>
      </w:r>
    </w:p>
    <w:p>
      <w:pPr>
        <w:pStyle w:val="BodyText"/>
        <w:spacing w:line="237" w:lineRule="auto" w:before="119"/>
        <w:ind w:left="258" w:right="247" w:firstLine="419"/>
        <w:jc w:val="both"/>
      </w:pPr>
      <w:r>
        <w:rPr/>
        <w:t>报告期内，公司实现营业收入</w:t>
      </w:r>
      <w:r>
        <w:rPr>
          <w:spacing w:val="-33"/>
        </w:rPr>
        <w:t> </w:t>
      </w:r>
      <w:r>
        <w:rPr>
          <w:rFonts w:ascii="宋体" w:hAnsi="宋体" w:cs="宋体" w:eastAsia="宋体" w:hint="default"/>
        </w:rPr>
        <w:t>180,554.94</w:t>
      </w:r>
      <w:r>
        <w:rPr>
          <w:rFonts w:ascii="宋体" w:hAnsi="宋体" w:cs="宋体" w:eastAsia="宋体" w:hint="default"/>
          <w:spacing w:val="-33"/>
        </w:rPr>
        <w:t> </w:t>
      </w:r>
      <w:r>
        <w:rPr/>
        <w:t>万元，同比减少了</w:t>
      </w:r>
      <w:r>
        <w:rPr>
          <w:spacing w:val="-35"/>
        </w:rPr>
        <w:t> </w:t>
      </w:r>
      <w:r>
        <w:rPr>
          <w:rFonts w:ascii="宋体" w:hAnsi="宋体" w:cs="宋体" w:eastAsia="宋体" w:hint="default"/>
        </w:rPr>
        <w:t>15.11%</w:t>
      </w:r>
      <w:r>
        <w:rPr/>
        <w:t>，主要是由于吞吐量减</w:t>
      </w:r>
      <w:r>
        <w:rPr>
          <w:w w:val="100"/>
        </w:rPr>
        <w:t> </w:t>
      </w:r>
      <w:r>
        <w:rPr>
          <w:spacing w:val="-11"/>
        </w:rPr>
        <w:t>少、港口费收入减少，以及贸易收入减少，营业总收入相应减少；实现营业成本</w:t>
      </w:r>
      <w:r>
        <w:rPr>
          <w:spacing w:val="-23"/>
        </w:rPr>
        <w:t> </w:t>
      </w:r>
      <w:r>
        <w:rPr>
          <w:rFonts w:ascii="宋体" w:hAnsi="宋体" w:cs="宋体" w:eastAsia="宋体" w:hint="default"/>
        </w:rPr>
        <w:t>136,743.82</w:t>
      </w:r>
      <w:r>
        <w:rPr>
          <w:rFonts w:ascii="宋体" w:hAnsi="宋体" w:cs="宋体" w:eastAsia="宋体" w:hint="default"/>
          <w:spacing w:val="-26"/>
        </w:rPr>
        <w:t> </w:t>
      </w:r>
      <w:r>
        <w:rPr/>
        <w:t>万元，</w:t>
      </w:r>
      <w:r>
        <w:rPr>
          <w:spacing w:val="-91"/>
        </w:rPr>
        <w:t> </w:t>
      </w:r>
      <w:r>
        <w:rPr>
          <w:spacing w:val="-91"/>
        </w:rPr>
      </w:r>
      <w:r>
        <w:rPr/>
        <w:t>同比减少了</w:t>
      </w:r>
      <w:r>
        <w:rPr>
          <w:spacing w:val="-55"/>
        </w:rPr>
        <w:t> </w:t>
      </w:r>
      <w:r>
        <w:rPr>
          <w:rFonts w:ascii="宋体" w:hAnsi="宋体" w:cs="宋体" w:eastAsia="宋体" w:hint="default"/>
        </w:rPr>
        <w:t>14.97%</w:t>
      </w:r>
      <w:r>
        <w:rPr/>
        <w:t>。</w:t>
      </w:r>
    </w:p>
    <w:p>
      <w:pPr>
        <w:pStyle w:val="BodyText"/>
        <w:spacing w:line="240" w:lineRule="auto" w:before="119"/>
        <w:ind w:left="678" w:right="0"/>
        <w:jc w:val="left"/>
      </w:pPr>
      <w:r>
        <w:rPr>
          <w:w w:val="100"/>
        </w:rPr>
        <w:t>报告</w:t>
      </w:r>
      <w:r>
        <w:rPr>
          <w:spacing w:val="-3"/>
          <w:w w:val="100"/>
        </w:rPr>
        <w:t>期</w:t>
      </w:r>
      <w:r>
        <w:rPr>
          <w:w w:val="100"/>
        </w:rPr>
        <w:t>内</w:t>
      </w:r>
      <w:r>
        <w:rPr>
          <w:spacing w:val="-108"/>
          <w:w w:val="100"/>
        </w:rPr>
        <w:t>，</w:t>
      </w:r>
      <w:r>
        <w:rPr>
          <w:w w:val="100"/>
        </w:rPr>
        <w:t>公</w:t>
      </w:r>
      <w:r>
        <w:rPr>
          <w:spacing w:val="-3"/>
          <w:w w:val="100"/>
        </w:rPr>
        <w:t>司</w:t>
      </w:r>
      <w:r>
        <w:rPr>
          <w:w w:val="100"/>
        </w:rPr>
        <w:t>前</w:t>
      </w:r>
      <w:r>
        <w:rPr>
          <w:spacing w:val="-3"/>
          <w:w w:val="100"/>
        </w:rPr>
        <w:t>五</w:t>
      </w:r>
      <w:r>
        <w:rPr>
          <w:w w:val="100"/>
        </w:rPr>
        <w:t>名</w:t>
      </w:r>
      <w:r>
        <w:rPr>
          <w:spacing w:val="-3"/>
          <w:w w:val="100"/>
        </w:rPr>
        <w:t>客户</w:t>
      </w:r>
      <w:r>
        <w:rPr>
          <w:w w:val="100"/>
        </w:rPr>
        <w:t>销售</w:t>
      </w:r>
      <w:r>
        <w:rPr>
          <w:spacing w:val="-3"/>
          <w:w w:val="100"/>
        </w:rPr>
        <w:t>收</w:t>
      </w:r>
      <w:r>
        <w:rPr>
          <w:w w:val="100"/>
        </w:rPr>
        <w:t>入</w:t>
      </w:r>
      <w:r>
        <w:rPr>
          <w:spacing w:val="-3"/>
          <w:w w:val="100"/>
        </w:rPr>
        <w:t>合</w:t>
      </w:r>
      <w:r>
        <w:rPr>
          <w:w w:val="100"/>
        </w:rPr>
        <w:t>计为</w:t>
      </w:r>
      <w:r>
        <w:rPr>
          <w:spacing w:val="-67"/>
        </w:rPr>
        <w:t> </w:t>
      </w:r>
      <w:r>
        <w:rPr>
          <w:rFonts w:ascii="宋体" w:hAnsi="宋体" w:cs="宋体" w:eastAsia="宋体" w:hint="default"/>
          <w:spacing w:val="-3"/>
          <w:w w:val="100"/>
        </w:rPr>
        <w:t>4</w:t>
      </w:r>
      <w:r>
        <w:rPr>
          <w:rFonts w:ascii="宋体" w:hAnsi="宋体" w:cs="宋体" w:eastAsia="宋体" w:hint="default"/>
          <w:w w:val="100"/>
        </w:rPr>
        <w:t>6,6</w:t>
      </w:r>
      <w:r>
        <w:rPr>
          <w:rFonts w:ascii="宋体" w:hAnsi="宋体" w:cs="宋体" w:eastAsia="宋体" w:hint="default"/>
          <w:spacing w:val="-3"/>
          <w:w w:val="100"/>
        </w:rPr>
        <w:t>4</w:t>
      </w:r>
      <w:r>
        <w:rPr>
          <w:rFonts w:ascii="宋体" w:hAnsi="宋体" w:cs="宋体" w:eastAsia="宋体" w:hint="default"/>
          <w:w w:val="100"/>
        </w:rPr>
        <w:t>5.</w:t>
      </w:r>
      <w:r>
        <w:rPr>
          <w:rFonts w:ascii="宋体" w:hAnsi="宋体" w:cs="宋体" w:eastAsia="宋体" w:hint="default"/>
          <w:spacing w:val="-3"/>
          <w:w w:val="100"/>
        </w:rPr>
        <w:t>5</w:t>
      </w:r>
      <w:r>
        <w:rPr>
          <w:rFonts w:ascii="宋体" w:hAnsi="宋体" w:cs="宋体" w:eastAsia="宋体" w:hint="default"/>
          <w:w w:val="100"/>
        </w:rPr>
        <w:t>9</w:t>
      </w:r>
      <w:r>
        <w:rPr>
          <w:rFonts w:ascii="宋体" w:hAnsi="宋体" w:cs="宋体" w:eastAsia="宋体" w:hint="default"/>
          <w:spacing w:val="-67"/>
        </w:rPr>
        <w:t> </w:t>
      </w:r>
      <w:r>
        <w:rPr>
          <w:w w:val="100"/>
        </w:rPr>
        <w:t>万元</w:t>
      </w:r>
      <w:r>
        <w:rPr>
          <w:spacing w:val="-108"/>
          <w:w w:val="100"/>
        </w:rPr>
        <w:t>，</w:t>
      </w:r>
      <w:r>
        <w:rPr>
          <w:w w:val="100"/>
        </w:rPr>
        <w:t>占</w:t>
      </w:r>
      <w:r>
        <w:rPr>
          <w:spacing w:val="-3"/>
          <w:w w:val="100"/>
        </w:rPr>
        <w:t>全</w:t>
      </w:r>
      <w:r>
        <w:rPr>
          <w:w w:val="100"/>
        </w:rPr>
        <w:t>部</w:t>
      </w:r>
      <w:r>
        <w:rPr>
          <w:spacing w:val="-3"/>
          <w:w w:val="100"/>
        </w:rPr>
        <w:t>营</w:t>
      </w:r>
      <w:r>
        <w:rPr>
          <w:w w:val="100"/>
        </w:rPr>
        <w:t>业</w:t>
      </w:r>
      <w:r>
        <w:rPr>
          <w:spacing w:val="-3"/>
          <w:w w:val="100"/>
        </w:rPr>
        <w:t>收</w:t>
      </w:r>
      <w:r>
        <w:rPr>
          <w:w w:val="100"/>
        </w:rPr>
        <w:t>入</w:t>
      </w:r>
      <w:r>
        <w:rPr>
          <w:spacing w:val="-3"/>
          <w:w w:val="100"/>
        </w:rPr>
        <w:t>的</w:t>
      </w:r>
      <w:r>
        <w:rPr>
          <w:w w:val="100"/>
        </w:rPr>
        <w:t>比例</w:t>
      </w:r>
      <w:r>
        <w:rPr>
          <w:spacing w:val="-67"/>
        </w:rPr>
        <w:t> </w:t>
      </w:r>
      <w:r>
        <w:rPr>
          <w:rFonts w:ascii="宋体" w:hAnsi="宋体" w:cs="宋体" w:eastAsia="宋体" w:hint="default"/>
          <w:w w:val="100"/>
        </w:rPr>
        <w:t>25</w:t>
      </w:r>
      <w:r>
        <w:rPr>
          <w:rFonts w:ascii="宋体" w:hAnsi="宋体" w:cs="宋体" w:eastAsia="宋体" w:hint="default"/>
          <w:spacing w:val="-3"/>
          <w:w w:val="100"/>
        </w:rPr>
        <w:t>.</w:t>
      </w:r>
      <w:r>
        <w:rPr>
          <w:rFonts w:ascii="宋体" w:hAnsi="宋体" w:cs="宋体" w:eastAsia="宋体" w:hint="default"/>
          <w:w w:val="100"/>
        </w:rPr>
        <w:t>83</w:t>
      </w:r>
      <w:r>
        <w:rPr>
          <w:rFonts w:ascii="宋体" w:hAnsi="宋体" w:cs="宋体" w:eastAsia="宋体" w:hint="default"/>
          <w:spacing w:val="-3"/>
          <w:w w:val="100"/>
        </w:rPr>
        <w:t>%</w:t>
      </w:r>
      <w:r>
        <w:rPr>
          <w:w w:val="100"/>
        </w:rPr>
        <w:t>。</w:t>
      </w:r>
    </w:p>
    <w:p>
      <w:pPr>
        <w:spacing w:line="240" w:lineRule="auto" w:before="6"/>
        <w:rPr>
          <w:rFonts w:ascii="宋体" w:hAnsi="宋体" w:cs="宋体" w:eastAsia="宋体" w:hint="default"/>
          <w:sz w:val="22"/>
          <w:szCs w:val="22"/>
        </w:rPr>
      </w:pPr>
    </w:p>
    <w:p>
      <w:pPr>
        <w:pStyle w:val="Heading2"/>
        <w:tabs>
          <w:tab w:pos="824" w:val="left" w:leader="none"/>
        </w:tabs>
        <w:spacing w:line="240" w:lineRule="auto"/>
        <w:ind w:left="116" w:right="0"/>
        <w:jc w:val="left"/>
        <w:rPr>
          <w:b w:val="0"/>
          <w:bCs w:val="0"/>
        </w:rPr>
      </w:pPr>
      <w:r>
        <w:rPr>
          <w:rFonts w:ascii="宋体" w:hAnsi="宋体" w:cs="宋体" w:eastAsia="宋体" w:hint="default"/>
          <w:w w:val="95"/>
        </w:rPr>
        <w:t>(1).</w:t>
        <w:tab/>
      </w:r>
      <w:r>
        <w:rPr/>
        <w:t>主营业务分行业、分产品、分地区情况</w:t>
      </w:r>
      <w:r>
        <w:rPr>
          <w:b w:val="0"/>
          <w:bCs w:val="0"/>
        </w:rPr>
      </w:r>
    </w:p>
    <w:p>
      <w:pPr>
        <w:pStyle w:val="BodyText"/>
        <w:tabs>
          <w:tab w:pos="946" w:val="left" w:leader="none"/>
        </w:tabs>
        <w:spacing w:line="240" w:lineRule="auto" w:before="56"/>
        <w:ind w:left="0" w:right="25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955"/>
        <w:gridCol w:w="1697"/>
        <w:gridCol w:w="1702"/>
        <w:gridCol w:w="850"/>
        <w:gridCol w:w="996"/>
        <w:gridCol w:w="994"/>
        <w:gridCol w:w="1846"/>
      </w:tblGrid>
      <w:tr>
        <w:trPr>
          <w:trHeight w:val="254" w:hRule="exact"/>
        </w:trPr>
        <w:tc>
          <w:tcPr>
            <w:tcW w:w="9040" w:type="dxa"/>
            <w:gridSpan w:val="7"/>
            <w:tcBorders>
              <w:top w:val="single" w:sz="12" w:space="0" w:color="000000"/>
              <w:left w:val="single" w:sz="12" w:space="0" w:color="000000"/>
              <w:bottom w:val="single" w:sz="6" w:space="0" w:color="000000"/>
              <w:right w:val="single" w:sz="12"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715" w:hRule="exact"/>
        </w:trPr>
        <w:tc>
          <w:tcPr>
            <w:tcW w:w="9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分行业</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48"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29"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32" w:lineRule="exact" w:before="23"/>
              <w:ind w:left="175" w:right="131" w:hanging="46"/>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宋体" w:hAnsi="宋体" w:cs="宋体" w:eastAsia="宋体" w:hint="default"/>
                <w:sz w:val="18"/>
                <w:szCs w:val="18"/>
              </w:rPr>
              <w:t>%</w:t>
            </w:r>
            <w:r>
              <w:rPr>
                <w:rFonts w:ascii="宋体" w:hAnsi="宋体" w:cs="宋体" w:eastAsia="宋体" w:hint="default"/>
                <w:sz w:val="18"/>
                <w:szCs w:val="18"/>
              </w:rPr>
              <w:t>）</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27" w:right="0"/>
              <w:jc w:val="left"/>
              <w:rPr>
                <w:rFonts w:ascii="宋体" w:hAnsi="宋体" w:cs="宋体" w:eastAsia="宋体" w:hint="default"/>
                <w:sz w:val="18"/>
                <w:szCs w:val="18"/>
              </w:rPr>
            </w:pPr>
            <w:r>
              <w:rPr>
                <w:rFonts w:ascii="宋体" w:hAnsi="宋体" w:cs="宋体" w:eastAsia="宋体" w:hint="default"/>
                <w:sz w:val="18"/>
                <w:szCs w:val="18"/>
              </w:rPr>
              <w:t>营业成本</w:t>
            </w:r>
          </w:p>
          <w:p>
            <w:pPr>
              <w:pStyle w:val="TableParagraph"/>
              <w:spacing w:line="232" w:lineRule="exact" w:before="23"/>
              <w:ind w:left="172" w:right="131" w:hanging="46"/>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宋体" w:hAnsi="宋体" w:cs="宋体" w:eastAsia="宋体" w:hint="default"/>
                <w:sz w:val="18"/>
                <w:szCs w:val="18"/>
              </w:rPr>
              <w:t>%</w:t>
            </w:r>
            <w:r>
              <w:rPr>
                <w:rFonts w:ascii="宋体" w:hAnsi="宋体" w:cs="宋体" w:eastAsia="宋体" w:hint="default"/>
                <w:sz w:val="18"/>
                <w:szCs w:val="18"/>
              </w:rPr>
              <w:t>）</w:t>
            </w:r>
          </w:p>
        </w:tc>
        <w:tc>
          <w:tcPr>
            <w:tcW w:w="1846" w:type="dxa"/>
            <w:tcBorders>
              <w:top w:val="single" w:sz="6" w:space="0" w:color="000000"/>
              <w:left w:val="single" w:sz="6" w:space="0" w:color="000000"/>
              <w:bottom w:val="single" w:sz="6" w:space="0" w:color="000000"/>
              <w:right w:val="single" w:sz="12" w:space="0" w:color="000000"/>
            </w:tcBorders>
          </w:tcPr>
          <w:p>
            <w:pPr>
              <w:pStyle w:val="TableParagraph"/>
              <w:spacing w:line="235" w:lineRule="exact" w:before="87"/>
              <w:ind w:right="0"/>
              <w:jc w:val="center"/>
              <w:rPr>
                <w:rFonts w:ascii="宋体" w:hAnsi="宋体" w:cs="宋体" w:eastAsia="宋体" w:hint="default"/>
                <w:sz w:val="18"/>
                <w:szCs w:val="18"/>
              </w:rPr>
            </w:pPr>
            <w:r>
              <w:rPr>
                <w:rFonts w:ascii="宋体" w:hAnsi="宋体" w:cs="宋体" w:eastAsia="宋体" w:hint="default"/>
                <w:sz w:val="18"/>
                <w:szCs w:val="18"/>
              </w:rPr>
              <w:t>毛利率比上年增减</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254" w:hRule="exact"/>
        </w:trPr>
        <w:tc>
          <w:tcPr>
            <w:tcW w:w="955" w:type="dxa"/>
            <w:tcBorders>
              <w:top w:val="single" w:sz="6" w:space="0" w:color="000000"/>
              <w:left w:val="single" w:sz="12" w:space="0" w:color="000000"/>
              <w:bottom w:val="single" w:sz="12" w:space="0" w:color="000000"/>
              <w:right w:val="single" w:sz="6" w:space="0" w:color="000000"/>
            </w:tcBorders>
          </w:tcPr>
          <w:p>
            <w:pPr>
              <w:pStyle w:val="TableParagraph"/>
              <w:spacing w:line="208" w:lineRule="exact"/>
              <w:ind w:right="24"/>
              <w:jc w:val="center"/>
              <w:rPr>
                <w:rFonts w:ascii="宋体" w:hAnsi="宋体" w:cs="宋体" w:eastAsia="宋体" w:hint="default"/>
                <w:sz w:val="18"/>
                <w:szCs w:val="18"/>
              </w:rPr>
            </w:pPr>
            <w:r>
              <w:rPr>
                <w:rFonts w:ascii="宋体" w:hAnsi="宋体" w:cs="宋体" w:eastAsia="宋体" w:hint="default"/>
                <w:sz w:val="18"/>
                <w:szCs w:val="18"/>
              </w:rPr>
              <w:t>港口服务</w:t>
            </w:r>
          </w:p>
        </w:tc>
        <w:tc>
          <w:tcPr>
            <w:tcW w:w="1697" w:type="dxa"/>
            <w:tcBorders>
              <w:top w:val="single" w:sz="6" w:space="0" w:color="000000"/>
              <w:left w:val="single" w:sz="6" w:space="0" w:color="000000"/>
              <w:bottom w:val="single" w:sz="12" w:space="0" w:color="000000"/>
              <w:right w:val="single" w:sz="6" w:space="0" w:color="000000"/>
            </w:tcBorders>
          </w:tcPr>
          <w:p>
            <w:pPr>
              <w:pStyle w:val="TableParagraph"/>
              <w:spacing w:line="208" w:lineRule="exact"/>
              <w:ind w:left="40" w:right="0"/>
              <w:jc w:val="center"/>
              <w:rPr>
                <w:rFonts w:ascii="宋体" w:hAnsi="宋体" w:cs="宋体" w:eastAsia="宋体" w:hint="default"/>
                <w:sz w:val="18"/>
                <w:szCs w:val="18"/>
              </w:rPr>
            </w:pPr>
            <w:r>
              <w:rPr>
                <w:rFonts w:ascii="宋体"/>
                <w:sz w:val="18"/>
              </w:rPr>
              <w:t>1,392,223,006.25</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08" w:lineRule="exact"/>
              <w:ind w:left="45" w:right="0"/>
              <w:jc w:val="center"/>
              <w:rPr>
                <w:rFonts w:ascii="宋体" w:hAnsi="宋体" w:cs="宋体" w:eastAsia="宋体" w:hint="default"/>
                <w:sz w:val="18"/>
                <w:szCs w:val="18"/>
              </w:rPr>
            </w:pPr>
            <w:r>
              <w:rPr>
                <w:rFonts w:ascii="宋体"/>
                <w:sz w:val="18"/>
              </w:rPr>
              <w:t>1,043,893,505.75</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08" w:lineRule="exact"/>
              <w:ind w:left="285" w:right="0"/>
              <w:jc w:val="left"/>
              <w:rPr>
                <w:rFonts w:ascii="宋体" w:hAnsi="宋体" w:cs="宋体" w:eastAsia="宋体" w:hint="default"/>
                <w:sz w:val="18"/>
                <w:szCs w:val="18"/>
              </w:rPr>
            </w:pPr>
            <w:r>
              <w:rPr>
                <w:rFonts w:ascii="宋体"/>
                <w:sz w:val="18"/>
              </w:rPr>
              <w:t>25.02</w:t>
            </w:r>
          </w:p>
        </w:tc>
        <w:tc>
          <w:tcPr>
            <w:tcW w:w="996" w:type="dxa"/>
            <w:tcBorders>
              <w:top w:val="single" w:sz="6" w:space="0" w:color="000000"/>
              <w:left w:val="single" w:sz="6" w:space="0" w:color="000000"/>
              <w:bottom w:val="single" w:sz="12" w:space="0" w:color="000000"/>
              <w:right w:val="single" w:sz="6" w:space="0" w:color="000000"/>
            </w:tcBorders>
          </w:tcPr>
          <w:p>
            <w:pPr>
              <w:pStyle w:val="TableParagraph"/>
              <w:spacing w:line="208" w:lineRule="exact"/>
              <w:ind w:left="340" w:right="0"/>
              <w:jc w:val="left"/>
              <w:rPr>
                <w:rFonts w:ascii="宋体" w:hAnsi="宋体" w:cs="宋体" w:eastAsia="宋体" w:hint="default"/>
                <w:sz w:val="18"/>
                <w:szCs w:val="18"/>
              </w:rPr>
            </w:pPr>
            <w:r>
              <w:rPr>
                <w:rFonts w:ascii="宋体"/>
                <w:sz w:val="18"/>
              </w:rPr>
              <w:t>-11.56</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08" w:lineRule="exact"/>
              <w:ind w:left="424" w:right="0"/>
              <w:jc w:val="left"/>
              <w:rPr>
                <w:rFonts w:ascii="宋体" w:hAnsi="宋体" w:cs="宋体" w:eastAsia="宋体" w:hint="default"/>
                <w:sz w:val="18"/>
                <w:szCs w:val="18"/>
              </w:rPr>
            </w:pPr>
            <w:r>
              <w:rPr>
                <w:rFonts w:ascii="宋体"/>
                <w:sz w:val="18"/>
              </w:rPr>
              <w:t>-7.13</w:t>
            </w:r>
          </w:p>
        </w:tc>
        <w:tc>
          <w:tcPr>
            <w:tcW w:w="1846" w:type="dxa"/>
            <w:tcBorders>
              <w:top w:val="single" w:sz="6" w:space="0" w:color="000000"/>
              <w:left w:val="single" w:sz="6" w:space="0" w:color="000000"/>
              <w:bottom w:val="single" w:sz="12" w:space="0" w:color="000000"/>
              <w:right w:val="single" w:sz="12" w:space="0" w:color="000000"/>
            </w:tcBorders>
          </w:tcPr>
          <w:p>
            <w:pPr>
              <w:pStyle w:val="TableParagraph"/>
              <w:spacing w:line="208" w:lineRule="exact"/>
              <w:ind w:left="196"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5"/>
                <w:sz w:val="18"/>
                <w:szCs w:val="18"/>
              </w:rPr>
              <w:t> </w:t>
            </w:r>
            <w:r>
              <w:rPr>
                <w:rFonts w:ascii="宋体" w:hAnsi="宋体" w:cs="宋体" w:eastAsia="宋体" w:hint="default"/>
                <w:sz w:val="18"/>
                <w:szCs w:val="18"/>
              </w:rPr>
              <w:t>3.57</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bl>
    <w:p>
      <w:pPr>
        <w:pStyle w:val="BodyText"/>
        <w:spacing w:line="240" w:lineRule="auto" w:before="88"/>
        <w:ind w:left="678" w:right="0"/>
        <w:jc w:val="left"/>
      </w:pPr>
      <w:r>
        <w:rPr/>
        <w:t>主营业务分行业、分产品、分地区情况的说明</w:t>
      </w:r>
    </w:p>
    <w:p>
      <w:pPr>
        <w:pStyle w:val="BodyText"/>
        <w:spacing w:line="237" w:lineRule="auto" w:before="121"/>
        <w:ind w:left="258" w:right="248" w:firstLine="419"/>
        <w:jc w:val="both"/>
      </w:pPr>
      <w:r>
        <w:rPr>
          <w:spacing w:val="-3"/>
        </w:rPr>
        <w:t>报告期内，公司实现港口服务收入</w:t>
      </w:r>
      <w:r>
        <w:rPr>
          <w:spacing w:val="-45"/>
        </w:rPr>
        <w:t> </w:t>
      </w:r>
      <w:r>
        <w:rPr>
          <w:rFonts w:ascii="宋体" w:hAnsi="宋体" w:cs="宋体" w:eastAsia="宋体" w:hint="default"/>
        </w:rPr>
        <w:t>139,222.3</w:t>
      </w:r>
      <w:r>
        <w:rPr>
          <w:rFonts w:ascii="宋体" w:hAnsi="宋体" w:cs="宋体" w:eastAsia="宋体" w:hint="default"/>
          <w:spacing w:val="-47"/>
        </w:rPr>
        <w:t> </w:t>
      </w:r>
      <w:r>
        <w:rPr>
          <w:spacing w:val="-4"/>
        </w:rPr>
        <w:t>万元，同比减少了</w:t>
      </w:r>
      <w:r>
        <w:rPr>
          <w:spacing w:val="-45"/>
        </w:rPr>
        <w:t> </w:t>
      </w:r>
      <w:r>
        <w:rPr>
          <w:rFonts w:ascii="宋体" w:hAnsi="宋体" w:cs="宋体" w:eastAsia="宋体" w:hint="default"/>
        </w:rPr>
        <w:t>11.56%</w:t>
      </w:r>
      <w:r>
        <w:rPr/>
        <w:t>；主要是由于受宏观</w:t>
      </w:r>
      <w:r>
        <w:rPr>
          <w:w w:val="100"/>
        </w:rPr>
        <w:t> </w:t>
      </w:r>
      <w:r>
        <w:rPr>
          <w:spacing w:val="-1"/>
        </w:rPr>
        <w:t>经济形势不利因素的影响，煤炭、钢铁市场供求不旺，以及进口粮食对国内市场的冲击，煤炭、</w:t>
      </w:r>
      <w:r>
        <w:rPr>
          <w:spacing w:val="-55"/>
        </w:rPr>
        <w:t> </w:t>
      </w:r>
      <w:r>
        <w:rPr>
          <w:spacing w:val="-55"/>
        </w:rPr>
      </w:r>
      <w:r>
        <w:rPr/>
        <w:t>粮食吞吐量减少，致港口作业收入减少。</w:t>
      </w:r>
    </w:p>
    <w:p>
      <w:pPr>
        <w:pStyle w:val="Heading2"/>
        <w:spacing w:line="240" w:lineRule="auto" w:before="57"/>
        <w:ind w:left="258" w:right="0"/>
        <w:jc w:val="left"/>
        <w:rPr>
          <w:b w:val="0"/>
          <w:bCs w:val="0"/>
        </w:rPr>
      </w:pPr>
      <w:r>
        <w:rPr>
          <w:rFonts w:ascii="宋体" w:hAnsi="宋体" w:cs="宋体" w:eastAsia="宋体" w:hint="default"/>
        </w:rPr>
        <w:t>(2).</w:t>
      </w:r>
      <w:r>
        <w:rPr>
          <w:rFonts w:ascii="宋体" w:hAnsi="宋体" w:cs="宋体" w:eastAsia="宋体" w:hint="default"/>
          <w:spacing w:val="39"/>
        </w:rPr>
        <w:t> </w:t>
      </w:r>
      <w:r>
        <w:rPr/>
        <w:t>成本分析表</w:t>
      </w:r>
      <w:r>
        <w:rPr>
          <w:b w:val="0"/>
          <w:bCs w:val="0"/>
        </w:rPr>
      </w:r>
    </w:p>
    <w:p>
      <w:pPr>
        <w:pStyle w:val="BodyText"/>
        <w:spacing w:line="240" w:lineRule="auto" w:before="58"/>
        <w:ind w:left="0" w:right="250"/>
        <w:jc w:val="right"/>
      </w:pPr>
      <w:r>
        <w:rPr>
          <w:spacing w:val="-1"/>
        </w:rPr>
        <w:t>单位：元</w:t>
      </w:r>
    </w:p>
    <w:p>
      <w:pPr>
        <w:spacing w:after="0" w:line="240" w:lineRule="auto"/>
        <w:jc w:val="right"/>
        <w:sectPr>
          <w:footerReference w:type="default" r:id="rId12"/>
          <w:pgSz w:w="11910" w:h="16840"/>
          <w:pgMar w:footer="1195" w:header="880" w:top="1120" w:bottom="1380" w:left="154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1099"/>
        <w:gridCol w:w="938"/>
        <w:gridCol w:w="1899"/>
        <w:gridCol w:w="910"/>
        <w:gridCol w:w="1898"/>
        <w:gridCol w:w="841"/>
        <w:gridCol w:w="814"/>
        <w:gridCol w:w="734"/>
      </w:tblGrid>
      <w:tr>
        <w:trPr>
          <w:trHeight w:val="257" w:hRule="exact"/>
        </w:trPr>
        <w:tc>
          <w:tcPr>
            <w:tcW w:w="9134" w:type="dxa"/>
            <w:gridSpan w:val="8"/>
            <w:tcBorders>
              <w:top w:val="single" w:sz="12" w:space="0" w:color="000000"/>
              <w:left w:val="single" w:sz="12" w:space="0" w:color="000000"/>
              <w:bottom w:val="single" w:sz="6" w:space="0" w:color="000000"/>
              <w:right w:val="single" w:sz="12"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hAnsi="宋体" w:cs="宋体" w:eastAsia="宋体" w:hint="default"/>
                <w:sz w:val="18"/>
                <w:szCs w:val="18"/>
              </w:rPr>
              <w:t>分行业情况</w:t>
            </w:r>
          </w:p>
        </w:tc>
      </w:tr>
      <w:tr>
        <w:trPr>
          <w:trHeight w:val="1183" w:hRule="exact"/>
        </w:trPr>
        <w:tc>
          <w:tcPr>
            <w:tcW w:w="10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71"/>
              <w:jc w:val="right"/>
              <w:rPr>
                <w:rFonts w:ascii="宋体" w:hAnsi="宋体" w:cs="宋体" w:eastAsia="宋体" w:hint="default"/>
                <w:sz w:val="18"/>
                <w:szCs w:val="18"/>
              </w:rPr>
            </w:pPr>
            <w:r>
              <w:rPr>
                <w:rFonts w:ascii="宋体" w:hAnsi="宋体" w:cs="宋体" w:eastAsia="宋体" w:hint="default"/>
                <w:sz w:val="18"/>
                <w:szCs w:val="18"/>
              </w:rPr>
              <w:t>分行业</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80" w:right="101" w:hanging="180"/>
              <w:jc w:val="left"/>
              <w:rPr>
                <w:rFonts w:ascii="宋体" w:hAnsi="宋体" w:cs="宋体" w:eastAsia="宋体" w:hint="default"/>
                <w:sz w:val="18"/>
                <w:szCs w:val="18"/>
              </w:rPr>
            </w:pPr>
            <w:r>
              <w:rPr>
                <w:rFonts w:ascii="宋体" w:hAnsi="宋体" w:cs="宋体" w:eastAsia="宋体" w:hint="default"/>
                <w:sz w:val="18"/>
                <w:szCs w:val="18"/>
              </w:rPr>
              <w:t>成本构成 项目</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8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29" w:right="131" w:firstLine="45"/>
              <w:jc w:val="both"/>
              <w:rPr>
                <w:rFonts w:ascii="宋体" w:hAnsi="宋体" w:cs="宋体" w:eastAsia="宋体" w:hint="default"/>
                <w:sz w:val="18"/>
                <w:szCs w:val="18"/>
              </w:rPr>
            </w:pPr>
            <w:r>
              <w:rPr>
                <w:rFonts w:ascii="宋体" w:hAnsi="宋体" w:cs="宋体" w:eastAsia="宋体" w:hint="default"/>
                <w:sz w:val="18"/>
                <w:szCs w:val="18"/>
              </w:rPr>
              <w:t>本期占 总成本 比例</w:t>
            </w:r>
            <w:r>
              <w:rPr>
                <w:rFonts w:ascii="宋体" w:hAnsi="宋体" w:cs="宋体" w:eastAsia="宋体" w:hint="default"/>
                <w:sz w:val="18"/>
                <w:szCs w:val="18"/>
              </w:rPr>
              <w:t>(%)</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上年同期金额</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39" w:right="146"/>
              <w:jc w:val="both"/>
              <w:rPr>
                <w:rFonts w:ascii="宋体" w:hAnsi="宋体" w:cs="宋体" w:eastAsia="宋体" w:hint="default"/>
                <w:sz w:val="18"/>
                <w:szCs w:val="18"/>
              </w:rPr>
            </w:pPr>
            <w:r>
              <w:rPr>
                <w:rFonts w:ascii="宋体" w:hAnsi="宋体" w:cs="宋体" w:eastAsia="宋体" w:hint="default"/>
                <w:sz w:val="18"/>
                <w:szCs w:val="18"/>
              </w:rPr>
              <w:t>上年同 期占总 成本比 例</w:t>
            </w:r>
            <w:r>
              <w:rPr>
                <w:rFonts w:ascii="宋体" w:hAnsi="宋体" w:cs="宋体" w:eastAsia="宋体" w:hint="default"/>
                <w:sz w:val="18"/>
                <w:szCs w:val="18"/>
              </w:rPr>
              <w:t>(%)</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7" w:right="0"/>
              <w:jc w:val="both"/>
              <w:rPr>
                <w:rFonts w:ascii="宋体" w:hAnsi="宋体" w:cs="宋体" w:eastAsia="宋体" w:hint="default"/>
                <w:sz w:val="18"/>
                <w:szCs w:val="18"/>
              </w:rPr>
            </w:pPr>
            <w:r>
              <w:rPr>
                <w:rFonts w:ascii="宋体" w:hAnsi="宋体" w:cs="宋体" w:eastAsia="宋体" w:hint="default"/>
                <w:sz w:val="18"/>
                <w:szCs w:val="18"/>
              </w:rPr>
              <w:t>本期金</w:t>
            </w:r>
          </w:p>
          <w:p>
            <w:pPr>
              <w:pStyle w:val="TableParagraph"/>
              <w:spacing w:line="232" w:lineRule="exact" w:before="24"/>
              <w:ind w:left="127" w:right="131"/>
              <w:jc w:val="both"/>
              <w:rPr>
                <w:rFonts w:ascii="宋体" w:hAnsi="宋体" w:cs="宋体" w:eastAsia="宋体" w:hint="default"/>
                <w:sz w:val="18"/>
                <w:szCs w:val="18"/>
              </w:rPr>
            </w:pPr>
            <w:r>
              <w:rPr>
                <w:rFonts w:ascii="宋体" w:hAnsi="宋体" w:cs="宋体" w:eastAsia="宋体" w:hint="default"/>
                <w:sz w:val="18"/>
                <w:szCs w:val="18"/>
              </w:rPr>
              <w:t>额较上 年同期 变动比 例</w:t>
            </w:r>
            <w:r>
              <w:rPr>
                <w:rFonts w:ascii="宋体" w:hAnsi="宋体" w:cs="宋体" w:eastAsia="宋体" w:hint="default"/>
                <w:sz w:val="18"/>
                <w:szCs w:val="18"/>
              </w:rPr>
              <w:t>(%)</w:t>
            </w:r>
          </w:p>
        </w:tc>
        <w:tc>
          <w:tcPr>
            <w:tcW w:w="7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80" w:right="170"/>
              <w:jc w:val="left"/>
              <w:rPr>
                <w:rFonts w:ascii="宋体" w:hAnsi="宋体" w:cs="宋体" w:eastAsia="宋体" w:hint="default"/>
                <w:sz w:val="18"/>
                <w:szCs w:val="18"/>
              </w:rPr>
            </w:pPr>
            <w:r>
              <w:rPr>
                <w:rFonts w:ascii="宋体" w:hAnsi="宋体" w:cs="宋体" w:eastAsia="宋体" w:hint="default"/>
                <w:sz w:val="18"/>
                <w:szCs w:val="18"/>
              </w:rPr>
              <w:t>情况 说明</w:t>
            </w:r>
          </w:p>
        </w:tc>
      </w:tr>
      <w:tr>
        <w:trPr>
          <w:trHeight w:val="482" w:hRule="exact"/>
        </w:trPr>
        <w:tc>
          <w:tcPr>
            <w:tcW w:w="10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61"/>
              <w:jc w:val="right"/>
              <w:rPr>
                <w:rFonts w:ascii="宋体" w:hAnsi="宋体" w:cs="宋体" w:eastAsia="宋体" w:hint="default"/>
                <w:sz w:val="18"/>
                <w:szCs w:val="18"/>
              </w:rPr>
            </w:pPr>
            <w:r>
              <w:rPr>
                <w:rFonts w:ascii="宋体" w:hAnsi="宋体" w:cs="宋体" w:eastAsia="宋体" w:hint="default"/>
                <w:sz w:val="18"/>
                <w:szCs w:val="18"/>
              </w:rPr>
              <w:t>港口服务</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港口服务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1,043,893,505.75</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99.93</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1,124,056,953.24</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99.95</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-7.13</w:t>
            </w:r>
          </w:p>
        </w:tc>
        <w:tc>
          <w:tcPr>
            <w:tcW w:w="734" w:type="dxa"/>
            <w:tcBorders>
              <w:top w:val="single" w:sz="6" w:space="0" w:color="000000"/>
              <w:left w:val="single" w:sz="6" w:space="0" w:color="000000"/>
              <w:bottom w:val="single" w:sz="6" w:space="0" w:color="000000"/>
              <w:right w:val="single" w:sz="12" w:space="0" w:color="000000"/>
            </w:tcBorders>
          </w:tcPr>
          <w:p>
            <w:pPr/>
          </w:p>
        </w:tc>
      </w:tr>
      <w:tr>
        <w:trPr>
          <w:trHeight w:val="487" w:hRule="exact"/>
        </w:trPr>
        <w:tc>
          <w:tcPr>
            <w:tcW w:w="109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5"/>
              <w:ind w:right="261"/>
              <w:jc w:val="right"/>
              <w:rPr>
                <w:rFonts w:ascii="宋体" w:hAnsi="宋体" w:cs="宋体" w:eastAsia="宋体" w:hint="default"/>
                <w:sz w:val="18"/>
                <w:szCs w:val="18"/>
              </w:rPr>
            </w:pPr>
            <w:r>
              <w:rPr>
                <w:rFonts w:ascii="宋体" w:hAnsi="宋体" w:cs="宋体" w:eastAsia="宋体" w:hint="default"/>
                <w:sz w:val="18"/>
                <w:szCs w:val="18"/>
              </w:rPr>
              <w:t>工程监理</w:t>
            </w:r>
          </w:p>
        </w:tc>
        <w:tc>
          <w:tcPr>
            <w:tcW w:w="938" w:type="dxa"/>
            <w:tcBorders>
              <w:top w:val="single" w:sz="6" w:space="0" w:color="000000"/>
              <w:left w:val="single" w:sz="6" w:space="0" w:color="000000"/>
              <w:bottom w:val="single" w:sz="12"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工程监理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8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759,444.67</w:t>
            </w:r>
          </w:p>
        </w:tc>
        <w:tc>
          <w:tcPr>
            <w:tcW w:w="9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0.07</w:t>
            </w:r>
          </w:p>
        </w:tc>
        <w:tc>
          <w:tcPr>
            <w:tcW w:w="18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560,008.58</w:t>
            </w:r>
          </w:p>
        </w:tc>
        <w:tc>
          <w:tcPr>
            <w:tcW w:w="8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0.05</w:t>
            </w:r>
          </w:p>
        </w:tc>
        <w:tc>
          <w:tcPr>
            <w:tcW w:w="8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35.61</w:t>
            </w:r>
          </w:p>
        </w:tc>
        <w:tc>
          <w:tcPr>
            <w:tcW w:w="734"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240" w:lineRule="auto" w:before="88"/>
        <w:ind w:left="658" w:right="329"/>
        <w:jc w:val="left"/>
      </w:pPr>
      <w:r>
        <w:rPr/>
        <w:t>成本分析其他情况说明</w:t>
      </w:r>
    </w:p>
    <w:p>
      <w:pPr>
        <w:pStyle w:val="BodyText"/>
        <w:spacing w:line="394" w:lineRule="exact" w:before="46"/>
        <w:ind w:left="658" w:right="329"/>
        <w:jc w:val="left"/>
      </w:pPr>
      <w:r>
        <w:rPr>
          <w:spacing w:val="-7"/>
          <w:w w:val="100"/>
        </w:rPr>
        <w:t>报告期内，公司前五名供应商采购金额合计为</w:t>
      </w:r>
      <w:r>
        <w:rPr>
          <w:spacing w:val="-63"/>
          <w:w w:val="100"/>
        </w:rPr>
        <w:t> </w:t>
      </w:r>
      <w:r>
        <w:rPr>
          <w:rFonts w:ascii="宋体" w:hAnsi="宋体" w:cs="宋体" w:eastAsia="宋体" w:hint="default"/>
          <w:spacing w:val="-1"/>
          <w:w w:val="100"/>
        </w:rPr>
        <w:t>9,628.29</w:t>
      </w:r>
      <w:r>
        <w:rPr>
          <w:rFonts w:ascii="宋体" w:hAnsi="宋体" w:cs="宋体" w:eastAsia="宋体" w:hint="default"/>
          <w:spacing w:val="-63"/>
          <w:w w:val="100"/>
        </w:rPr>
        <w:t> </w:t>
      </w:r>
      <w:r>
        <w:rPr>
          <w:spacing w:val="-9"/>
          <w:w w:val="100"/>
        </w:rPr>
        <w:t>万元，占全部采购金额的比例为</w:t>
      </w:r>
      <w:r>
        <w:rPr>
          <w:spacing w:val="-63"/>
          <w:w w:val="100"/>
        </w:rPr>
        <w:t> </w:t>
      </w:r>
      <w:r>
        <w:rPr>
          <w:rFonts w:ascii="宋体" w:hAnsi="宋体" w:cs="宋体" w:eastAsia="宋体" w:hint="default"/>
          <w:spacing w:val="-2"/>
          <w:w w:val="100"/>
        </w:rPr>
        <w:t>46%</w:t>
      </w:r>
      <w:r>
        <w:rPr>
          <w:spacing w:val="-2"/>
          <w:w w:val="100"/>
        </w:rPr>
        <w:t>。</w:t>
      </w:r>
      <w:r>
        <w:rPr>
          <w:spacing w:val="-104"/>
          <w:w w:val="100"/>
        </w:rPr>
        <w:t> </w:t>
      </w:r>
      <w:r>
        <w:rPr>
          <w:spacing w:val="-2"/>
        </w:rPr>
        <w:t>公司大宗原材料、燃料采购采用公开招投标方式，按照市场化规则规范运行，对较大供应商</w:t>
      </w:r>
    </w:p>
    <w:p>
      <w:pPr>
        <w:pStyle w:val="BodyText"/>
        <w:spacing w:line="222" w:lineRule="exact"/>
        <w:ind w:left="220" w:right="7465"/>
        <w:jc w:val="center"/>
      </w:pPr>
      <w:r>
        <w:rPr/>
        <w:t>不存在依赖关系。</w:t>
      </w:r>
    </w:p>
    <w:p>
      <w:pPr>
        <w:pStyle w:val="Heading2"/>
        <w:tabs>
          <w:tab w:pos="1089" w:val="left" w:leader="none"/>
        </w:tabs>
        <w:spacing w:line="240" w:lineRule="auto" w:before="118"/>
        <w:ind w:left="658" w:right="329"/>
        <w:jc w:val="left"/>
        <w:rPr>
          <w:b w:val="0"/>
          <w:bCs w:val="0"/>
        </w:rPr>
      </w:pPr>
      <w:r>
        <w:rPr>
          <w:rFonts w:ascii="宋体" w:hAnsi="宋体" w:cs="宋体" w:eastAsia="宋体" w:hint="default"/>
          <w:w w:val="95"/>
        </w:rPr>
        <w:t>2.</w:t>
        <w:tab/>
      </w:r>
      <w:r>
        <w:rPr/>
        <w:t>费用</w:t>
      </w:r>
      <w:r>
        <w:rPr>
          <w:b w:val="0"/>
          <w:bCs w:val="0"/>
        </w:rPr>
      </w:r>
    </w:p>
    <w:p>
      <w:pPr>
        <w:pStyle w:val="BodyText"/>
        <w:spacing w:line="237" w:lineRule="auto" w:before="119"/>
        <w:ind w:left="238" w:right="329" w:firstLine="419"/>
        <w:jc w:val="left"/>
      </w:pPr>
      <w:r>
        <w:rPr/>
        <w:t>报告期内，公司发生销售费用</w:t>
      </w:r>
      <w:r>
        <w:rPr>
          <w:spacing w:val="-54"/>
        </w:rPr>
        <w:t> </w:t>
      </w:r>
      <w:r>
        <w:rPr>
          <w:rFonts w:ascii="宋体" w:hAnsi="宋体" w:cs="宋体" w:eastAsia="宋体" w:hint="default"/>
        </w:rPr>
        <w:t>819.22</w:t>
      </w:r>
      <w:r>
        <w:rPr>
          <w:rFonts w:ascii="宋体" w:hAnsi="宋体" w:cs="宋体" w:eastAsia="宋体" w:hint="default"/>
          <w:spacing w:val="-55"/>
        </w:rPr>
        <w:t> </w:t>
      </w:r>
      <w:r>
        <w:rPr/>
        <w:t>万元，同比减少了</w:t>
      </w:r>
      <w:r>
        <w:rPr>
          <w:spacing w:val="-55"/>
        </w:rPr>
        <w:t> </w:t>
      </w:r>
      <w:r>
        <w:rPr>
          <w:rFonts w:ascii="宋体" w:hAnsi="宋体" w:cs="宋体" w:eastAsia="宋体" w:hint="default"/>
        </w:rPr>
        <w:t>23.67%</w:t>
      </w:r>
      <w:r>
        <w:rPr/>
        <w:t>；发生管理费用</w:t>
      </w:r>
      <w:r>
        <w:rPr>
          <w:spacing w:val="-54"/>
        </w:rPr>
        <w:t> </w:t>
      </w:r>
      <w:r>
        <w:rPr>
          <w:rFonts w:ascii="宋体" w:hAnsi="宋体" w:cs="宋体" w:eastAsia="宋体" w:hint="default"/>
        </w:rPr>
        <w:t>10,021.93</w:t>
      </w:r>
      <w:r>
        <w:rPr>
          <w:rFonts w:ascii="宋体" w:hAnsi="宋体" w:cs="宋体" w:eastAsia="宋体" w:hint="default"/>
          <w:w w:val="100"/>
        </w:rPr>
        <w:t> </w:t>
      </w:r>
      <w:r>
        <w:rPr>
          <w:spacing w:val="-3"/>
        </w:rPr>
        <w:t>万元，同比减少了 </w:t>
      </w:r>
      <w:r>
        <w:rPr>
          <w:rFonts w:ascii="宋体" w:hAnsi="宋体" w:cs="宋体" w:eastAsia="宋体" w:hint="default"/>
          <w:spacing w:val="-3"/>
        </w:rPr>
        <w:t>21.40%</w:t>
      </w:r>
      <w:r>
        <w:rPr>
          <w:spacing w:val="-3"/>
        </w:rPr>
        <w:t>，费用减少的原因主要是由于公司采取增收节支措施，人工成本、办公</w:t>
      </w:r>
      <w:r>
        <w:rPr>
          <w:spacing w:val="-72"/>
        </w:rPr>
        <w:t> </w:t>
      </w:r>
      <w:r>
        <w:rPr>
          <w:spacing w:val="-72"/>
        </w:rPr>
      </w:r>
      <w:r>
        <w:rPr/>
        <w:t>费、会议费、差旅费等均不同程度减少。发生财务费用</w:t>
      </w:r>
      <w:r>
        <w:rPr>
          <w:spacing w:val="-54"/>
        </w:rPr>
        <w:t> </w:t>
      </w:r>
      <w:r>
        <w:rPr>
          <w:rFonts w:ascii="宋体" w:hAnsi="宋体" w:cs="宋体" w:eastAsia="宋体" w:hint="default"/>
        </w:rPr>
        <w:t>22,353.03</w:t>
      </w:r>
      <w:r>
        <w:rPr>
          <w:rFonts w:ascii="宋体" w:hAnsi="宋体" w:cs="宋体" w:eastAsia="宋体" w:hint="default"/>
          <w:spacing w:val="-57"/>
        </w:rPr>
        <w:t> </w:t>
      </w:r>
      <w:r>
        <w:rPr/>
        <w:t>万元，同比增长了</w:t>
      </w:r>
      <w:r>
        <w:rPr>
          <w:spacing w:val="-54"/>
        </w:rPr>
        <w:t> </w:t>
      </w:r>
      <w:r>
        <w:rPr>
          <w:rFonts w:ascii="宋体" w:hAnsi="宋体" w:cs="宋体" w:eastAsia="宋体" w:hint="default"/>
        </w:rPr>
        <w:t>3.54%</w:t>
      </w:r>
      <w:r>
        <w:rPr/>
        <w:t>。</w:t>
      </w:r>
    </w:p>
    <w:p>
      <w:pPr>
        <w:pStyle w:val="Heading2"/>
        <w:tabs>
          <w:tab w:pos="1089" w:val="left" w:leader="none"/>
        </w:tabs>
        <w:spacing w:line="240" w:lineRule="auto" w:before="119"/>
        <w:ind w:left="658" w:right="329"/>
        <w:jc w:val="left"/>
        <w:rPr>
          <w:b w:val="0"/>
          <w:bCs w:val="0"/>
        </w:rPr>
      </w:pPr>
      <w:r>
        <w:rPr>
          <w:rFonts w:ascii="宋体" w:hAnsi="宋体" w:cs="宋体" w:eastAsia="宋体" w:hint="default"/>
          <w:w w:val="95"/>
        </w:rPr>
        <w:t>3.</w:t>
        <w:tab/>
      </w:r>
      <w:r>
        <w:rPr/>
        <w:t>现金流</w:t>
      </w:r>
      <w:r>
        <w:rPr>
          <w:b w:val="0"/>
          <w:bCs w:val="0"/>
        </w:rPr>
      </w:r>
    </w:p>
    <w:p>
      <w:pPr>
        <w:pStyle w:val="BodyText"/>
        <w:spacing w:line="240" w:lineRule="auto" w:before="116"/>
        <w:ind w:left="238" w:right="329" w:firstLine="419"/>
        <w:jc w:val="left"/>
      </w:pPr>
      <w:r>
        <w:rPr>
          <w:spacing w:val="-3"/>
        </w:rPr>
        <w:t>报告期内，公司经营活动产生的现金流量净额为</w:t>
      </w:r>
      <w:r>
        <w:rPr>
          <w:spacing w:val="-33"/>
        </w:rPr>
        <w:t> </w:t>
      </w:r>
      <w:r>
        <w:rPr>
          <w:rFonts w:ascii="宋体" w:hAnsi="宋体" w:cs="宋体" w:eastAsia="宋体" w:hint="default"/>
        </w:rPr>
        <w:t>54,541.73</w:t>
      </w:r>
      <w:r>
        <w:rPr>
          <w:rFonts w:ascii="宋体" w:hAnsi="宋体" w:cs="宋体" w:eastAsia="宋体" w:hint="default"/>
          <w:spacing w:val="-34"/>
        </w:rPr>
        <w:t> </w:t>
      </w:r>
      <w:r>
        <w:rPr>
          <w:spacing w:val="-4"/>
        </w:rPr>
        <w:t>万元，同比增加了</w:t>
      </w:r>
      <w:r>
        <w:rPr>
          <w:spacing w:val="-34"/>
        </w:rPr>
        <w:t> </w:t>
      </w:r>
      <w:r>
        <w:rPr>
          <w:rFonts w:ascii="宋体" w:hAnsi="宋体" w:cs="宋体" w:eastAsia="宋体" w:hint="default"/>
          <w:spacing w:val="-3"/>
        </w:rPr>
        <w:t>72.81%</w:t>
      </w:r>
      <w:r>
        <w:rPr>
          <w:spacing w:val="-3"/>
        </w:rPr>
        <w:t>，主要</w:t>
      </w:r>
      <w:r>
        <w:rPr>
          <w:w w:val="100"/>
        </w:rPr>
        <w:t> </w:t>
      </w:r>
      <w:r>
        <w:rPr/>
        <w:t>是由于购买商品、接受劳务支付的现金以及支付的税费减少；投资活动产生的现金流量净额为</w:t>
      </w:r>
    </w:p>
    <w:p>
      <w:pPr>
        <w:pStyle w:val="BodyText"/>
        <w:spacing w:line="237" w:lineRule="auto"/>
        <w:ind w:left="238" w:right="327"/>
        <w:jc w:val="both"/>
      </w:pPr>
      <w:r>
        <w:rPr>
          <w:rFonts w:ascii="宋体" w:hAnsi="宋体" w:cs="宋体" w:eastAsia="宋体" w:hint="default"/>
        </w:rPr>
        <w:t>-82,443.15</w:t>
      </w:r>
      <w:r>
        <w:rPr>
          <w:rFonts w:ascii="宋体" w:hAnsi="宋体" w:cs="宋体" w:eastAsia="宋体" w:hint="default"/>
          <w:spacing w:val="-24"/>
        </w:rPr>
        <w:t> </w:t>
      </w:r>
      <w:r>
        <w:rPr>
          <w:spacing w:val="-6"/>
        </w:rPr>
        <w:t>万元，同比增加了</w:t>
      </w:r>
      <w:r>
        <w:rPr>
          <w:spacing w:val="-24"/>
        </w:rPr>
        <w:t> </w:t>
      </w:r>
      <w:r>
        <w:rPr>
          <w:rFonts w:ascii="宋体" w:hAnsi="宋体" w:cs="宋体" w:eastAsia="宋体" w:hint="default"/>
          <w:spacing w:val="-4"/>
        </w:rPr>
        <w:t>54.84%</w:t>
      </w:r>
      <w:r>
        <w:rPr>
          <w:spacing w:val="-4"/>
        </w:rPr>
        <w:t>，主要原因是本期投资支付的现金同比减少；筹资活动产生</w:t>
      </w:r>
      <w:r>
        <w:rPr>
          <w:spacing w:val="-92"/>
        </w:rPr>
        <w:t> </w:t>
      </w:r>
      <w:r>
        <w:rPr>
          <w:spacing w:val="-92"/>
        </w:rPr>
      </w:r>
      <w:r>
        <w:rPr/>
        <w:t>的现金流量净额为</w:t>
      </w:r>
      <w:r>
        <w:rPr>
          <w:spacing w:val="-52"/>
        </w:rPr>
        <w:t> </w:t>
      </w:r>
      <w:r>
        <w:rPr>
          <w:rFonts w:ascii="宋体" w:hAnsi="宋体" w:cs="宋体" w:eastAsia="宋体" w:hint="default"/>
        </w:rPr>
        <w:t>4,760.01</w:t>
      </w:r>
      <w:r>
        <w:rPr>
          <w:rFonts w:ascii="宋体" w:hAnsi="宋体" w:cs="宋体" w:eastAsia="宋体" w:hint="default"/>
          <w:spacing w:val="-51"/>
        </w:rPr>
        <w:t> </w:t>
      </w:r>
      <w:r>
        <w:rPr>
          <w:spacing w:val="-7"/>
        </w:rPr>
        <w:t>万元，同比减少了</w:t>
      </w:r>
      <w:r>
        <w:rPr>
          <w:spacing w:val="-52"/>
        </w:rPr>
        <w:t> </w:t>
      </w:r>
      <w:r>
        <w:rPr>
          <w:rFonts w:ascii="宋体" w:hAnsi="宋体" w:cs="宋体" w:eastAsia="宋体" w:hint="default"/>
        </w:rPr>
        <w:t>94.59%,</w:t>
      </w:r>
      <w:r>
        <w:rPr/>
        <w:t>主要是由于本期偿还银行借款支付的现金</w:t>
      </w:r>
      <w:r>
        <w:rPr>
          <w:w w:val="100"/>
        </w:rPr>
        <w:t> </w:t>
      </w:r>
      <w:r>
        <w:rPr/>
        <w:t>同比增加影响的结果。</w:t>
      </w:r>
    </w:p>
    <w:p>
      <w:pPr>
        <w:spacing w:line="240" w:lineRule="auto" w:before="9"/>
        <w:rPr>
          <w:rFonts w:ascii="宋体" w:hAnsi="宋体" w:cs="宋体" w:eastAsia="宋体" w:hint="default"/>
          <w:sz w:val="20"/>
          <w:szCs w:val="20"/>
        </w:rPr>
      </w:pPr>
    </w:p>
    <w:p>
      <w:pPr>
        <w:pStyle w:val="Heading2"/>
        <w:spacing w:line="286" w:lineRule="exact" w:before="0"/>
        <w:ind w:left="605" w:right="329"/>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5"/>
        </w:rPr>
        <w:t> </w:t>
      </w:r>
      <w:r>
        <w:rPr/>
        <w:t>非主营业务导致利润重大变化的说明</w:t>
      </w:r>
      <w:r>
        <w:rPr>
          <w:b w:val="0"/>
          <w:bCs w:val="0"/>
        </w:rPr>
      </w:r>
    </w:p>
    <w:p>
      <w:pPr>
        <w:pStyle w:val="BodyText"/>
        <w:spacing w:line="260" w:lineRule="exact"/>
        <w:ind w:left="658" w:right="329"/>
        <w:jc w:val="left"/>
      </w:pPr>
      <w:r>
        <w:rPr/>
        <w:t>□适用 √不适用</w:t>
      </w:r>
    </w:p>
    <w:p>
      <w:pPr>
        <w:pStyle w:val="Heading2"/>
        <w:spacing w:line="240" w:lineRule="auto" w:before="58"/>
        <w:ind w:left="658" w:right="32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资产、负债情况分析</w:t>
      </w:r>
      <w:r>
        <w:rPr>
          <w:b w:val="0"/>
          <w:bCs w:val="0"/>
        </w:rPr>
      </w:r>
    </w:p>
    <w:p>
      <w:pPr>
        <w:spacing w:line="235" w:lineRule="exact" w:before="33"/>
        <w:ind w:left="220" w:right="317" w:firstLine="0"/>
        <w:jc w:val="center"/>
        <w:rPr>
          <w:rFonts w:ascii="宋体" w:hAnsi="宋体" w:cs="宋体" w:eastAsia="宋体" w:hint="default"/>
          <w:sz w:val="18"/>
          <w:szCs w:val="18"/>
        </w:rPr>
      </w:pPr>
      <w:r>
        <w:rPr>
          <w:rFonts w:ascii="宋体" w:hAnsi="宋体" w:cs="宋体" w:eastAsia="宋体" w:hint="default"/>
          <w:b/>
          <w:bCs/>
          <w:sz w:val="18"/>
          <w:szCs w:val="18"/>
        </w:rPr>
        <w:t>资产及负债状况</w:t>
      </w:r>
      <w:r>
        <w:rPr>
          <w:rFonts w:ascii="宋体" w:hAnsi="宋体" w:cs="宋体" w:eastAsia="宋体" w:hint="default"/>
          <w:sz w:val="18"/>
          <w:szCs w:val="18"/>
        </w:rPr>
      </w:r>
    </w:p>
    <w:p>
      <w:pPr>
        <w:spacing w:before="0"/>
        <w:ind w:left="0" w:right="3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414"/>
        <w:gridCol w:w="1479"/>
        <w:gridCol w:w="763"/>
        <w:gridCol w:w="1476"/>
        <w:gridCol w:w="792"/>
        <w:gridCol w:w="850"/>
        <w:gridCol w:w="2266"/>
      </w:tblGrid>
      <w:tr>
        <w:trPr>
          <w:trHeight w:val="1424" w:hRule="exact"/>
        </w:trPr>
        <w:tc>
          <w:tcPr>
            <w:tcW w:w="141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本期期末数</w:t>
            </w:r>
          </w:p>
        </w:tc>
        <w:tc>
          <w:tcPr>
            <w:tcW w:w="763" w:type="dxa"/>
            <w:tcBorders>
              <w:top w:val="single" w:sz="12" w:space="0" w:color="000000"/>
              <w:left w:val="single" w:sz="6" w:space="0" w:color="000000"/>
              <w:bottom w:val="single" w:sz="6" w:space="0" w:color="000000"/>
              <w:right w:val="single" w:sz="6" w:space="0" w:color="000000"/>
            </w:tcBorders>
          </w:tcPr>
          <w:p>
            <w:pPr>
              <w:pStyle w:val="TableParagraph"/>
              <w:spacing w:line="237" w:lineRule="auto" w:before="89"/>
              <w:ind w:left="100" w:right="107"/>
              <w:jc w:val="both"/>
              <w:rPr>
                <w:rFonts w:ascii="宋体" w:hAnsi="宋体" w:cs="宋体" w:eastAsia="宋体" w:hint="default"/>
                <w:sz w:val="18"/>
                <w:szCs w:val="18"/>
              </w:rPr>
            </w:pPr>
            <w:r>
              <w:rPr>
                <w:rFonts w:ascii="宋体" w:hAnsi="宋体" w:cs="宋体" w:eastAsia="宋体" w:hint="default"/>
                <w:sz w:val="18"/>
                <w:szCs w:val="18"/>
              </w:rPr>
              <w:t>本期期 末数占 总资产 的比例</w:t>
            </w:r>
          </w:p>
          <w:p>
            <w:pPr>
              <w:pStyle w:val="TableParagraph"/>
              <w:spacing w:line="234" w:lineRule="exact"/>
              <w:ind w:left="146"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上期期末数</w:t>
            </w:r>
          </w:p>
        </w:tc>
        <w:tc>
          <w:tcPr>
            <w:tcW w:w="792" w:type="dxa"/>
            <w:tcBorders>
              <w:top w:val="single" w:sz="12" w:space="0" w:color="000000"/>
              <w:left w:val="single" w:sz="6" w:space="0" w:color="000000"/>
              <w:bottom w:val="single" w:sz="6" w:space="0" w:color="000000"/>
              <w:right w:val="single" w:sz="6" w:space="0" w:color="000000"/>
            </w:tcBorders>
          </w:tcPr>
          <w:p>
            <w:pPr>
              <w:pStyle w:val="TableParagraph"/>
              <w:spacing w:line="237" w:lineRule="auto" w:before="89"/>
              <w:ind w:left="117" w:right="119"/>
              <w:jc w:val="both"/>
              <w:rPr>
                <w:rFonts w:ascii="宋体" w:hAnsi="宋体" w:cs="宋体" w:eastAsia="宋体" w:hint="default"/>
                <w:sz w:val="18"/>
                <w:szCs w:val="18"/>
              </w:rPr>
            </w:pPr>
            <w:r>
              <w:rPr>
                <w:rFonts w:ascii="宋体" w:hAnsi="宋体" w:cs="宋体" w:eastAsia="宋体" w:hint="default"/>
                <w:sz w:val="18"/>
                <w:szCs w:val="18"/>
              </w:rPr>
              <w:t>上期期 末数占 总资产 的比例</w:t>
            </w:r>
          </w:p>
          <w:p>
            <w:pPr>
              <w:pStyle w:val="TableParagraph"/>
              <w:spacing w:line="234" w:lineRule="exact"/>
              <w:ind w:left="16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850"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46" w:right="0"/>
              <w:jc w:val="both"/>
              <w:rPr>
                <w:rFonts w:ascii="宋体" w:hAnsi="宋体" w:cs="宋体" w:eastAsia="宋体" w:hint="default"/>
                <w:sz w:val="18"/>
                <w:szCs w:val="18"/>
              </w:rPr>
            </w:pPr>
            <w:r>
              <w:rPr>
                <w:rFonts w:ascii="宋体" w:hAnsi="宋体" w:cs="宋体" w:eastAsia="宋体" w:hint="default"/>
                <w:sz w:val="18"/>
                <w:szCs w:val="18"/>
              </w:rPr>
              <w:t>本期期</w:t>
            </w:r>
          </w:p>
          <w:p>
            <w:pPr>
              <w:pStyle w:val="TableParagraph"/>
              <w:spacing w:line="237" w:lineRule="auto" w:before="2"/>
              <w:ind w:left="146" w:right="146"/>
              <w:jc w:val="both"/>
              <w:rPr>
                <w:rFonts w:ascii="宋体" w:hAnsi="宋体" w:cs="宋体" w:eastAsia="宋体" w:hint="default"/>
                <w:sz w:val="18"/>
                <w:szCs w:val="18"/>
              </w:rPr>
            </w:pPr>
            <w:r>
              <w:rPr>
                <w:rFonts w:ascii="宋体" w:hAnsi="宋体" w:cs="宋体" w:eastAsia="宋体" w:hint="default"/>
                <w:sz w:val="18"/>
                <w:szCs w:val="18"/>
              </w:rPr>
              <w:t>末金额 较上期 期末变 动比例</w:t>
            </w:r>
          </w:p>
          <w:p>
            <w:pPr>
              <w:pStyle w:val="TableParagraph"/>
              <w:spacing w:line="240" w:lineRule="auto"/>
              <w:ind w:left="191"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226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情况说明</w:t>
            </w:r>
          </w:p>
        </w:tc>
      </w:tr>
      <w:tr>
        <w:trPr>
          <w:trHeight w:val="250" w:hRule="exact"/>
        </w:trPr>
        <w:tc>
          <w:tcPr>
            <w:tcW w:w="1414"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325,495,866.04</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2.71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250,138,437.16</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2.05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3" w:right="0"/>
              <w:jc w:val="center"/>
              <w:rPr>
                <w:rFonts w:ascii="宋体" w:hAnsi="宋体" w:cs="宋体" w:eastAsia="宋体" w:hint="default"/>
                <w:sz w:val="18"/>
                <w:szCs w:val="18"/>
              </w:rPr>
            </w:pPr>
            <w:r>
              <w:rPr>
                <w:rFonts w:ascii="宋体"/>
                <w:sz w:val="18"/>
              </w:rPr>
              <w:t>30.13</w:t>
            </w:r>
          </w:p>
        </w:tc>
        <w:tc>
          <w:tcPr>
            <w:tcW w:w="2266"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贸易存货增加。</w:t>
            </w:r>
          </w:p>
        </w:tc>
      </w:tr>
      <w:tr>
        <w:trPr>
          <w:trHeight w:val="480" w:hRule="exact"/>
        </w:trPr>
        <w:tc>
          <w:tcPr>
            <w:tcW w:w="14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5"/>
              <w:ind w:left="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9"/>
              <w:jc w:val="right"/>
              <w:rPr>
                <w:rFonts w:ascii="宋体" w:hAnsi="宋体" w:cs="宋体" w:eastAsia="宋体" w:hint="default"/>
                <w:sz w:val="18"/>
                <w:szCs w:val="18"/>
              </w:rPr>
            </w:pPr>
            <w:r>
              <w:rPr>
                <w:rFonts w:ascii="宋体"/>
                <w:spacing w:val="-1"/>
                <w:sz w:val="18"/>
              </w:rPr>
              <w:t>62,535,955.64</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z w:val="18"/>
              </w:rPr>
              <w:t>0.52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83" w:right="0"/>
              <w:jc w:val="center"/>
              <w:rPr>
                <w:rFonts w:ascii="宋体" w:hAnsi="宋体" w:cs="宋体" w:eastAsia="宋体" w:hint="default"/>
                <w:sz w:val="18"/>
                <w:szCs w:val="18"/>
              </w:rPr>
            </w:pPr>
            <w:r>
              <w:rPr>
                <w:rFonts w:ascii="宋体"/>
                <w:sz w:val="18"/>
              </w:rPr>
              <w:t>39,818,449.97</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7"/>
              <w:jc w:val="right"/>
              <w:rPr>
                <w:rFonts w:ascii="宋体" w:hAnsi="宋体" w:cs="宋体" w:eastAsia="宋体" w:hint="default"/>
                <w:sz w:val="18"/>
                <w:szCs w:val="18"/>
              </w:rPr>
            </w:pPr>
            <w:r>
              <w:rPr>
                <w:rFonts w:ascii="宋体"/>
                <w:sz w:val="18"/>
              </w:rPr>
              <w:t>0.33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83" w:right="0"/>
              <w:jc w:val="center"/>
              <w:rPr>
                <w:rFonts w:ascii="宋体" w:hAnsi="宋体" w:cs="宋体" w:eastAsia="宋体" w:hint="default"/>
                <w:sz w:val="18"/>
                <w:szCs w:val="18"/>
              </w:rPr>
            </w:pPr>
            <w:r>
              <w:rPr>
                <w:rFonts w:ascii="宋体"/>
                <w:sz w:val="18"/>
              </w:rPr>
              <w:t>57.05</w:t>
            </w:r>
          </w:p>
        </w:tc>
        <w:tc>
          <w:tcPr>
            <w:tcW w:w="2266" w:type="dxa"/>
            <w:tcBorders>
              <w:top w:val="single" w:sz="6" w:space="0" w:color="000000"/>
              <w:left w:val="single" w:sz="6" w:space="0" w:color="000000"/>
              <w:bottom w:val="single" w:sz="6" w:space="0" w:color="000000"/>
              <w:right w:val="single" w:sz="12"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支付开发区财政局往来款</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715" w:hRule="exact"/>
        </w:trPr>
        <w:tc>
          <w:tcPr>
            <w:tcW w:w="1414"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before="112"/>
              <w:ind w:left="93" w:right="72"/>
              <w:jc w:val="left"/>
              <w:rPr>
                <w:rFonts w:ascii="宋体" w:hAnsi="宋体" w:cs="宋体" w:eastAsia="宋体" w:hint="default"/>
                <w:sz w:val="18"/>
                <w:szCs w:val="18"/>
              </w:rPr>
            </w:pPr>
            <w:r>
              <w:rPr>
                <w:rFonts w:ascii="宋体" w:hAnsi="宋体" w:cs="宋体" w:eastAsia="宋体" w:hint="default"/>
                <w:spacing w:val="20"/>
                <w:sz w:val="18"/>
                <w:szCs w:val="18"/>
              </w:rPr>
              <w:t>划分为持有待</w:t>
            </w:r>
            <w:r>
              <w:rPr>
                <w:rFonts w:ascii="宋体" w:hAnsi="宋体" w:cs="宋体" w:eastAsia="宋体" w:hint="default"/>
                <w:spacing w:val="-66"/>
                <w:sz w:val="18"/>
                <w:szCs w:val="18"/>
              </w:rPr>
              <w:t> </w:t>
            </w:r>
            <w:r>
              <w:rPr>
                <w:rFonts w:ascii="宋体" w:hAnsi="宋体" w:cs="宋体" w:eastAsia="宋体" w:hint="default"/>
                <w:sz w:val="18"/>
                <w:szCs w:val="18"/>
              </w:rPr>
              <w:t>售的资产</w:t>
            </w:r>
          </w:p>
        </w:tc>
        <w:tc>
          <w:tcPr>
            <w:tcW w:w="1479" w:type="dxa"/>
            <w:tcBorders>
              <w:top w:val="single" w:sz="6" w:space="0" w:color="000000"/>
              <w:left w:val="single" w:sz="6" w:space="0" w:color="000000"/>
              <w:bottom w:val="single" w:sz="6" w:space="0" w:color="000000"/>
              <w:right w:val="single" w:sz="6" w:space="0" w:color="000000"/>
            </w:tcBorders>
          </w:tcPr>
          <w:p>
            <w:pPr/>
          </w:p>
        </w:tc>
        <w:tc>
          <w:tcPr>
            <w:tcW w:w="763"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sz w:val="18"/>
              </w:rPr>
              <w:t>174,971,757.96</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1.43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-100.00</w:t>
            </w:r>
          </w:p>
        </w:tc>
        <w:tc>
          <w:tcPr>
            <w:tcW w:w="2266" w:type="dxa"/>
            <w:tcBorders>
              <w:top w:val="single" w:sz="6" w:space="0" w:color="000000"/>
              <w:left w:val="single" w:sz="6" w:space="0" w:color="000000"/>
              <w:bottom w:val="single" w:sz="6" w:space="0" w:color="000000"/>
              <w:right w:val="single" w:sz="12"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划分为持有待售的子公司</w:t>
            </w:r>
            <w:r>
              <w:rPr>
                <w:rFonts w:ascii="宋体" w:hAnsi="宋体" w:cs="宋体" w:eastAsia="宋体" w:hint="default"/>
                <w:sz w:val="18"/>
                <w:szCs w:val="18"/>
              </w:rPr>
            </w:r>
          </w:p>
          <w:p>
            <w:pPr>
              <w:pStyle w:val="TableParagraph"/>
              <w:spacing w:line="232" w:lineRule="exact" w:before="23"/>
              <w:ind w:left="100" w:right="82"/>
              <w:jc w:val="left"/>
              <w:rPr>
                <w:rFonts w:ascii="宋体" w:hAnsi="宋体" w:cs="宋体" w:eastAsia="宋体" w:hint="default"/>
                <w:sz w:val="18"/>
                <w:szCs w:val="18"/>
              </w:rPr>
            </w:pPr>
            <w:r>
              <w:rPr>
                <w:rFonts w:ascii="宋体" w:hAnsi="宋体" w:cs="宋体" w:eastAsia="宋体" w:hint="default"/>
                <w:spacing w:val="7"/>
                <w:sz w:val="18"/>
                <w:szCs w:val="18"/>
              </w:rPr>
              <w:t>投资（辽宁广航置业有限 </w:t>
            </w:r>
            <w:r>
              <w:rPr>
                <w:rFonts w:ascii="宋体" w:hAnsi="宋体" w:cs="宋体" w:eastAsia="宋体" w:hint="default"/>
                <w:sz w:val="18"/>
                <w:szCs w:val="18"/>
              </w:rPr>
              <w:t>公司）本期转让所致</w:t>
            </w:r>
          </w:p>
        </w:tc>
      </w:tr>
      <w:tr>
        <w:trPr>
          <w:trHeight w:val="715" w:hRule="exact"/>
        </w:trPr>
        <w:tc>
          <w:tcPr>
            <w:tcW w:w="14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37,065,277.40</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0.31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sz w:val="18"/>
              </w:rPr>
              <w:t>111,708,726.70</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0.92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4" w:right="0"/>
              <w:jc w:val="center"/>
              <w:rPr>
                <w:rFonts w:ascii="宋体" w:hAnsi="宋体" w:cs="宋体" w:eastAsia="宋体" w:hint="default"/>
                <w:sz w:val="18"/>
                <w:szCs w:val="18"/>
              </w:rPr>
            </w:pPr>
            <w:r>
              <w:rPr>
                <w:rFonts w:ascii="宋体"/>
                <w:sz w:val="18"/>
              </w:rPr>
              <w:t>-66.82</w:t>
            </w:r>
          </w:p>
        </w:tc>
        <w:tc>
          <w:tcPr>
            <w:tcW w:w="2266" w:type="dxa"/>
            <w:tcBorders>
              <w:top w:val="single" w:sz="6" w:space="0" w:color="000000"/>
              <w:left w:val="single" w:sz="6" w:space="0" w:color="000000"/>
              <w:bottom w:val="single" w:sz="6" w:space="0" w:color="000000"/>
              <w:right w:val="single" w:sz="12"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一年内到期的向辽宁锦港</w:t>
            </w:r>
            <w:r>
              <w:rPr>
                <w:rFonts w:ascii="宋体" w:hAnsi="宋体" w:cs="宋体" w:eastAsia="宋体" w:hint="default"/>
                <w:sz w:val="18"/>
                <w:szCs w:val="18"/>
              </w:rPr>
            </w:r>
          </w:p>
          <w:p>
            <w:pPr>
              <w:pStyle w:val="TableParagraph"/>
              <w:spacing w:line="232" w:lineRule="exact" w:before="23"/>
              <w:ind w:left="100" w:right="82"/>
              <w:jc w:val="left"/>
              <w:rPr>
                <w:rFonts w:ascii="宋体" w:hAnsi="宋体" w:cs="宋体" w:eastAsia="宋体" w:hint="default"/>
                <w:sz w:val="18"/>
                <w:szCs w:val="18"/>
              </w:rPr>
            </w:pPr>
            <w:r>
              <w:rPr>
                <w:rFonts w:ascii="宋体" w:hAnsi="宋体" w:cs="宋体" w:eastAsia="宋体" w:hint="default"/>
                <w:spacing w:val="7"/>
                <w:sz w:val="18"/>
                <w:szCs w:val="18"/>
              </w:rPr>
              <w:t>宝地置业有限公司提供的 </w:t>
            </w:r>
            <w:r>
              <w:rPr>
                <w:rFonts w:ascii="宋体" w:hAnsi="宋体" w:cs="宋体" w:eastAsia="宋体" w:hint="default"/>
                <w:sz w:val="18"/>
                <w:szCs w:val="18"/>
              </w:rPr>
              <w:t>委托贷款到期偿还所致</w:t>
            </w:r>
          </w:p>
        </w:tc>
      </w:tr>
      <w:tr>
        <w:trPr>
          <w:trHeight w:val="482" w:hRule="exact"/>
        </w:trPr>
        <w:tc>
          <w:tcPr>
            <w:tcW w:w="14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9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307,993,851.94</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2.57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sz w:val="18"/>
              </w:rPr>
              <w:t>945,373,953.44</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7.75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4" w:right="0"/>
              <w:jc w:val="center"/>
              <w:rPr>
                <w:rFonts w:ascii="宋体" w:hAnsi="宋体" w:cs="宋体" w:eastAsia="宋体" w:hint="default"/>
                <w:sz w:val="18"/>
                <w:szCs w:val="18"/>
              </w:rPr>
            </w:pPr>
            <w:r>
              <w:rPr>
                <w:rFonts w:ascii="宋体"/>
                <w:sz w:val="18"/>
              </w:rPr>
              <w:t>-67.42</w:t>
            </w:r>
          </w:p>
        </w:tc>
        <w:tc>
          <w:tcPr>
            <w:tcW w:w="2266" w:type="dxa"/>
            <w:tcBorders>
              <w:top w:val="single" w:sz="6" w:space="0" w:color="000000"/>
              <w:left w:val="single" w:sz="6" w:space="0" w:color="000000"/>
              <w:bottom w:val="single" w:sz="6" w:space="0" w:color="000000"/>
              <w:right w:val="single" w:sz="12"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锦州港油品灌区工程（一</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期）结转固定资产所致</w:t>
            </w:r>
          </w:p>
        </w:tc>
      </w:tr>
      <w:tr>
        <w:trPr>
          <w:trHeight w:val="716" w:hRule="exact"/>
        </w:trPr>
        <w:tc>
          <w:tcPr>
            <w:tcW w:w="14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298,457,755.04</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2.49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sz w:val="18"/>
              </w:rPr>
              <w:t>216,013,438.10</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1.77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3" w:right="0"/>
              <w:jc w:val="center"/>
              <w:rPr>
                <w:rFonts w:ascii="宋体" w:hAnsi="宋体" w:cs="宋体" w:eastAsia="宋体" w:hint="default"/>
                <w:sz w:val="18"/>
                <w:szCs w:val="18"/>
              </w:rPr>
            </w:pPr>
            <w:r>
              <w:rPr>
                <w:rFonts w:ascii="宋体"/>
                <w:sz w:val="18"/>
              </w:rPr>
              <w:t>38.17</w:t>
            </w:r>
          </w:p>
        </w:tc>
        <w:tc>
          <w:tcPr>
            <w:tcW w:w="2266"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石</w:t>
            </w:r>
            <w:r>
              <w:rPr>
                <w:rFonts w:ascii="宋体" w:hAnsi="宋体" w:cs="宋体" w:eastAsia="宋体" w:hint="default"/>
                <w:spacing w:val="-62"/>
                <w:sz w:val="18"/>
                <w:szCs w:val="18"/>
              </w:rPr>
              <w:t> </w:t>
            </w:r>
            <w:r>
              <w:rPr>
                <w:rFonts w:ascii="宋体" w:hAnsi="宋体" w:cs="宋体" w:eastAsia="宋体" w:hint="default"/>
                <w:sz w:val="18"/>
                <w:szCs w:val="18"/>
              </w:rPr>
              <w:t>化</w:t>
            </w:r>
            <w:r>
              <w:rPr>
                <w:rFonts w:ascii="宋体" w:hAnsi="宋体" w:cs="宋体" w:eastAsia="宋体" w:hint="default"/>
                <w:spacing w:val="-62"/>
                <w:sz w:val="18"/>
                <w:szCs w:val="18"/>
              </w:rPr>
              <w:t> </w:t>
            </w:r>
            <w:r>
              <w:rPr>
                <w:rFonts w:ascii="宋体" w:hAnsi="宋体" w:cs="宋体" w:eastAsia="宋体" w:hint="default"/>
                <w:sz w:val="18"/>
                <w:szCs w:val="18"/>
              </w:rPr>
              <w:t>罐</w:t>
            </w:r>
            <w:r>
              <w:rPr>
                <w:rFonts w:ascii="宋体" w:hAnsi="宋体" w:cs="宋体" w:eastAsia="宋体" w:hint="default"/>
                <w:spacing w:val="-64"/>
                <w:sz w:val="18"/>
                <w:szCs w:val="18"/>
              </w:rPr>
              <w:t> </w:t>
            </w:r>
            <w:r>
              <w:rPr>
                <w:rFonts w:ascii="宋体" w:hAnsi="宋体" w:cs="宋体" w:eastAsia="宋体" w:hint="default"/>
                <w:sz w:val="18"/>
                <w:szCs w:val="18"/>
              </w:rPr>
              <w:t>区</w:t>
            </w:r>
            <w:r>
              <w:rPr>
                <w:rFonts w:ascii="宋体" w:hAnsi="宋体" w:cs="宋体" w:eastAsia="宋体" w:hint="default"/>
                <w:spacing w:val="-62"/>
                <w:sz w:val="18"/>
                <w:szCs w:val="18"/>
              </w:rPr>
              <w:t> </w:t>
            </w:r>
            <w:r>
              <w:rPr>
                <w:rFonts w:ascii="宋体" w:hAnsi="宋体" w:cs="宋体" w:eastAsia="宋体" w:hint="default"/>
                <w:sz w:val="18"/>
                <w:szCs w:val="18"/>
              </w:rPr>
              <w:t>二</w:t>
            </w:r>
            <w:r>
              <w:rPr>
                <w:rFonts w:ascii="宋体" w:hAnsi="宋体" w:cs="宋体" w:eastAsia="宋体" w:hint="default"/>
                <w:spacing w:val="-64"/>
                <w:sz w:val="18"/>
                <w:szCs w:val="18"/>
              </w:rPr>
              <w:t> </w:t>
            </w:r>
            <w:r>
              <w:rPr>
                <w:rFonts w:ascii="宋体" w:hAnsi="宋体" w:cs="宋体" w:eastAsia="宋体" w:hint="default"/>
                <w:sz w:val="18"/>
                <w:szCs w:val="18"/>
              </w:rPr>
              <w:t>期</w:t>
            </w:r>
            <w:r>
              <w:rPr>
                <w:rFonts w:ascii="宋体" w:hAnsi="宋体" w:cs="宋体" w:eastAsia="宋体" w:hint="default"/>
                <w:spacing w:val="-62"/>
                <w:sz w:val="18"/>
                <w:szCs w:val="18"/>
              </w:rPr>
              <w:t> </w:t>
            </w:r>
            <w:r>
              <w:rPr>
                <w:rFonts w:ascii="宋体" w:hAnsi="宋体" w:cs="宋体" w:eastAsia="宋体" w:hint="default"/>
                <w:sz w:val="18"/>
                <w:szCs w:val="18"/>
              </w:rPr>
              <w:t>土</w:t>
            </w:r>
            <w:r>
              <w:rPr>
                <w:rFonts w:ascii="宋体" w:hAnsi="宋体" w:cs="宋体" w:eastAsia="宋体" w:hint="default"/>
                <w:spacing w:val="-64"/>
                <w:sz w:val="18"/>
                <w:szCs w:val="18"/>
              </w:rPr>
              <w:t> </w:t>
            </w:r>
            <w:r>
              <w:rPr>
                <w:rFonts w:ascii="宋体" w:hAnsi="宋体" w:cs="宋体" w:eastAsia="宋体" w:hint="default"/>
                <w:sz w:val="18"/>
                <w:szCs w:val="18"/>
              </w:rPr>
              <w:t>地</w:t>
            </w:r>
            <w:r>
              <w:rPr>
                <w:rFonts w:ascii="宋体" w:hAnsi="宋体" w:cs="宋体" w:eastAsia="宋体" w:hint="default"/>
                <w:spacing w:val="-62"/>
                <w:sz w:val="18"/>
                <w:szCs w:val="18"/>
              </w:rPr>
              <w:t> </w:t>
            </w:r>
            <w:r>
              <w:rPr>
                <w:rFonts w:ascii="宋体" w:hAnsi="宋体" w:cs="宋体" w:eastAsia="宋体" w:hint="default"/>
                <w:sz w:val="18"/>
                <w:szCs w:val="18"/>
              </w:rPr>
              <w:t>使</w:t>
            </w:r>
            <w:r>
              <w:rPr>
                <w:rFonts w:ascii="宋体" w:hAnsi="宋体" w:cs="宋体" w:eastAsia="宋体" w:hint="default"/>
                <w:spacing w:val="-62"/>
                <w:sz w:val="18"/>
                <w:szCs w:val="18"/>
              </w:rPr>
              <w:t> </w:t>
            </w:r>
            <w:r>
              <w:rPr>
                <w:rFonts w:ascii="宋体" w:hAnsi="宋体" w:cs="宋体" w:eastAsia="宋体" w:hint="default"/>
                <w:sz w:val="18"/>
                <w:szCs w:val="18"/>
              </w:rPr>
              <w:t>用</w:t>
            </w:r>
          </w:p>
          <w:p>
            <w:pPr>
              <w:pStyle w:val="TableParagraph"/>
              <w:spacing w:line="232" w:lineRule="exact" w:before="24"/>
              <w:ind w:left="100" w:right="83"/>
              <w:jc w:val="left"/>
              <w:rPr>
                <w:rFonts w:ascii="宋体" w:hAnsi="宋体" w:cs="宋体" w:eastAsia="宋体" w:hint="default"/>
                <w:sz w:val="18"/>
                <w:szCs w:val="18"/>
              </w:rPr>
            </w:pPr>
            <w:r>
              <w:rPr>
                <w:rFonts w:ascii="宋体" w:hAnsi="宋体" w:cs="宋体" w:eastAsia="宋体" w:hint="default"/>
                <w:spacing w:val="6"/>
                <w:sz w:val="18"/>
                <w:szCs w:val="18"/>
              </w:rPr>
              <w:t>权、四港池</w:t>
            </w:r>
            <w:r>
              <w:rPr>
                <w:rFonts w:ascii="宋体" w:hAnsi="宋体" w:cs="宋体" w:eastAsia="宋体" w:hint="default"/>
                <w:spacing w:val="6"/>
                <w:sz w:val="18"/>
                <w:szCs w:val="18"/>
              </w:rPr>
              <w:t>(</w:t>
            </w:r>
            <w:r>
              <w:rPr>
                <w:rFonts w:ascii="宋体" w:hAnsi="宋体" w:cs="宋体" w:eastAsia="宋体" w:hint="default"/>
                <w:spacing w:val="6"/>
                <w:sz w:val="18"/>
                <w:szCs w:val="18"/>
              </w:rPr>
              <w:t>西侧</w:t>
            </w:r>
            <w:r>
              <w:rPr>
                <w:rFonts w:ascii="宋体" w:hAnsi="宋体" w:cs="宋体" w:eastAsia="宋体" w:hint="default"/>
                <w:spacing w:val="6"/>
                <w:sz w:val="18"/>
                <w:szCs w:val="18"/>
              </w:rPr>
              <w:t>)</w:t>
            </w:r>
            <w:r>
              <w:rPr>
                <w:rFonts w:ascii="宋体" w:hAnsi="宋体" w:cs="宋体" w:eastAsia="宋体" w:hint="default"/>
                <w:spacing w:val="6"/>
                <w:sz w:val="18"/>
                <w:szCs w:val="18"/>
              </w:rPr>
              <w:t>散货码</w:t>
            </w:r>
            <w:r>
              <w:rPr>
                <w:rFonts w:ascii="宋体" w:hAnsi="宋体" w:cs="宋体" w:eastAsia="宋体" w:hint="default"/>
                <w:spacing w:val="-86"/>
                <w:sz w:val="18"/>
                <w:szCs w:val="18"/>
              </w:rPr>
              <w:t> </w:t>
            </w:r>
            <w:r>
              <w:rPr>
                <w:rFonts w:ascii="宋体" w:hAnsi="宋体" w:cs="宋体" w:eastAsia="宋体" w:hint="default"/>
                <w:sz w:val="18"/>
                <w:szCs w:val="18"/>
              </w:rPr>
              <w:t>头海域使用权增加所致</w:t>
            </w:r>
          </w:p>
        </w:tc>
      </w:tr>
      <w:tr>
        <w:trPr>
          <w:trHeight w:val="254" w:hRule="exact"/>
        </w:trPr>
        <w:tc>
          <w:tcPr>
            <w:tcW w:w="1414"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479"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5,780,173.66</w:t>
            </w:r>
          </w:p>
        </w:tc>
        <w:tc>
          <w:tcPr>
            <w:tcW w:w="763"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0.05</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12,235,685.17</w:t>
            </w:r>
          </w:p>
        </w:tc>
        <w:tc>
          <w:tcPr>
            <w:tcW w:w="792"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0.10</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94" w:right="0"/>
              <w:jc w:val="center"/>
              <w:rPr>
                <w:rFonts w:ascii="宋体" w:hAnsi="宋体" w:cs="宋体" w:eastAsia="宋体" w:hint="default"/>
                <w:sz w:val="18"/>
                <w:szCs w:val="18"/>
              </w:rPr>
            </w:pPr>
            <w:r>
              <w:rPr>
                <w:rFonts w:ascii="宋体"/>
                <w:sz w:val="18"/>
              </w:rPr>
              <w:t>-52.76</w:t>
            </w:r>
          </w:p>
        </w:tc>
        <w:tc>
          <w:tcPr>
            <w:tcW w:w="2266" w:type="dxa"/>
            <w:tcBorders>
              <w:top w:val="single" w:sz="6" w:space="0" w:color="000000"/>
              <w:left w:val="single" w:sz="6" w:space="0" w:color="000000"/>
              <w:bottom w:val="single" w:sz="12"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本期摊销所致</w:t>
            </w:r>
          </w:p>
        </w:tc>
      </w:tr>
    </w:tbl>
    <w:p>
      <w:pPr>
        <w:spacing w:after="0" w:line="205" w:lineRule="exact"/>
        <w:jc w:val="left"/>
        <w:rPr>
          <w:rFonts w:ascii="宋体" w:hAnsi="宋体" w:cs="宋体" w:eastAsia="宋体" w:hint="default"/>
          <w:sz w:val="18"/>
          <w:szCs w:val="18"/>
        </w:rPr>
        <w:sectPr>
          <w:footerReference w:type="default" r:id="rId13"/>
          <w:pgSz w:w="11910" w:h="16840"/>
          <w:pgMar w:footer="1195" w:header="880" w:top="1120" w:bottom="1380" w:left="1560" w:right="940"/>
          <w:pgNumType w:start="1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35" w:type="dxa"/>
        <w:tblLayout w:type="fixed"/>
        <w:tblCellMar>
          <w:top w:w="0" w:type="dxa"/>
          <w:left w:w="0" w:type="dxa"/>
          <w:bottom w:w="0" w:type="dxa"/>
          <w:right w:w="0" w:type="dxa"/>
        </w:tblCellMar>
        <w:tblLook w:val="01E0"/>
      </w:tblPr>
      <w:tblGrid>
        <w:gridCol w:w="1414"/>
        <w:gridCol w:w="1479"/>
        <w:gridCol w:w="763"/>
        <w:gridCol w:w="1476"/>
        <w:gridCol w:w="792"/>
        <w:gridCol w:w="850"/>
        <w:gridCol w:w="2266"/>
      </w:tblGrid>
      <w:tr>
        <w:trPr>
          <w:trHeight w:val="257" w:hRule="exact"/>
        </w:trPr>
        <w:tc>
          <w:tcPr>
            <w:tcW w:w="1414" w:type="dxa"/>
            <w:tcBorders>
              <w:top w:val="single" w:sz="12" w:space="0" w:color="000000"/>
              <w:left w:val="single" w:sz="12" w:space="0" w:color="000000"/>
              <w:bottom w:val="single" w:sz="6" w:space="0" w:color="000000"/>
              <w:right w:val="single" w:sz="6"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79" w:type="dxa"/>
            <w:tcBorders>
              <w:top w:val="single" w:sz="12" w:space="0" w:color="000000"/>
              <w:left w:val="single" w:sz="6" w:space="0" w:color="000000"/>
              <w:bottom w:val="single" w:sz="6" w:space="0" w:color="000000"/>
              <w:right w:val="single" w:sz="6"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sz w:val="18"/>
              </w:rPr>
              <w:t>352,121,613.07</w:t>
            </w:r>
          </w:p>
        </w:tc>
        <w:tc>
          <w:tcPr>
            <w:tcW w:w="763" w:type="dxa"/>
            <w:tcBorders>
              <w:top w:val="single" w:sz="12" w:space="0" w:color="000000"/>
              <w:left w:val="single" w:sz="6" w:space="0" w:color="000000"/>
              <w:bottom w:val="single" w:sz="6" w:space="0" w:color="000000"/>
              <w:right w:val="single" w:sz="6"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2.93</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935,008,697.35</w:t>
            </w:r>
          </w:p>
        </w:tc>
        <w:tc>
          <w:tcPr>
            <w:tcW w:w="792" w:type="dxa"/>
            <w:tcBorders>
              <w:top w:val="single" w:sz="12" w:space="0" w:color="000000"/>
              <w:left w:val="single" w:sz="6" w:space="0" w:color="000000"/>
              <w:bottom w:val="single" w:sz="6" w:space="0" w:color="000000"/>
              <w:right w:val="single" w:sz="6" w:space="0" w:color="000000"/>
            </w:tcBorders>
          </w:tcPr>
          <w:p>
            <w:pPr>
              <w:pStyle w:val="TableParagraph"/>
              <w:spacing w:line="208" w:lineRule="exact"/>
              <w:ind w:right="97"/>
              <w:jc w:val="right"/>
              <w:rPr>
                <w:rFonts w:ascii="宋体" w:hAnsi="宋体" w:cs="宋体" w:eastAsia="宋体" w:hint="default"/>
                <w:sz w:val="18"/>
                <w:szCs w:val="18"/>
              </w:rPr>
            </w:pPr>
            <w:r>
              <w:rPr>
                <w:rFonts w:ascii="宋体"/>
                <w:sz w:val="18"/>
              </w:rPr>
              <w:t>7.67</w:t>
            </w:r>
          </w:p>
        </w:tc>
        <w:tc>
          <w:tcPr>
            <w:tcW w:w="850" w:type="dxa"/>
            <w:tcBorders>
              <w:top w:val="single" w:sz="12" w:space="0" w:color="000000"/>
              <w:left w:val="single" w:sz="6" w:space="0" w:color="000000"/>
              <w:bottom w:val="single" w:sz="6" w:space="0" w:color="000000"/>
              <w:right w:val="single" w:sz="6" w:space="0" w:color="000000"/>
            </w:tcBorders>
          </w:tcPr>
          <w:p>
            <w:pPr>
              <w:pStyle w:val="TableParagraph"/>
              <w:spacing w:line="208" w:lineRule="exact"/>
              <w:ind w:right="97"/>
              <w:jc w:val="right"/>
              <w:rPr>
                <w:rFonts w:ascii="宋体" w:hAnsi="宋体" w:cs="宋体" w:eastAsia="宋体" w:hint="default"/>
                <w:sz w:val="18"/>
                <w:szCs w:val="18"/>
              </w:rPr>
            </w:pPr>
            <w:r>
              <w:rPr>
                <w:rFonts w:ascii="宋体"/>
                <w:spacing w:val="-1"/>
                <w:sz w:val="18"/>
              </w:rPr>
              <w:t>-62.34</w:t>
            </w:r>
          </w:p>
        </w:tc>
        <w:tc>
          <w:tcPr>
            <w:tcW w:w="2266" w:type="dxa"/>
            <w:tcBorders>
              <w:top w:val="single" w:sz="12" w:space="0" w:color="000000"/>
              <w:left w:val="single" w:sz="6" w:space="0" w:color="000000"/>
              <w:bottom w:val="single" w:sz="6" w:space="0" w:color="000000"/>
              <w:right w:val="single" w:sz="12"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本期支付工程款所致</w:t>
            </w:r>
          </w:p>
        </w:tc>
      </w:tr>
      <w:tr>
        <w:trPr>
          <w:trHeight w:val="482" w:hRule="exact"/>
        </w:trPr>
        <w:tc>
          <w:tcPr>
            <w:tcW w:w="14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9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30,230,336.04</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0.25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14,861,445.32</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0.12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103.41</w:t>
            </w:r>
          </w:p>
        </w:tc>
        <w:tc>
          <w:tcPr>
            <w:tcW w:w="2266"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主要为未到期中期票据、</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银行借款利息增加所致</w:t>
            </w:r>
          </w:p>
        </w:tc>
      </w:tr>
      <w:tr>
        <w:trPr>
          <w:trHeight w:val="487" w:hRule="exact"/>
        </w:trPr>
        <w:tc>
          <w:tcPr>
            <w:tcW w:w="141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7"/>
              <w:ind w:left="9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14,017,620.60</w:t>
            </w:r>
          </w:p>
        </w:tc>
        <w:tc>
          <w:tcPr>
            <w:tcW w:w="7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0.12</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5,598,313.76</w:t>
            </w:r>
          </w:p>
        </w:tc>
        <w:tc>
          <w:tcPr>
            <w:tcW w:w="7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0.05</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150.39</w:t>
            </w:r>
          </w:p>
        </w:tc>
        <w:tc>
          <w:tcPr>
            <w:tcW w:w="2266" w:type="dxa"/>
            <w:tcBorders>
              <w:top w:val="single" w:sz="6" w:space="0" w:color="000000"/>
              <w:left w:val="single" w:sz="6" w:space="0" w:color="000000"/>
              <w:bottom w:val="single" w:sz="12" w:space="0" w:color="000000"/>
              <w:right w:val="single" w:sz="12"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本期已计提尚未使用的安</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全生产费用增加所致</w:t>
            </w:r>
          </w:p>
        </w:tc>
      </w:tr>
    </w:tbl>
    <w:p>
      <w:pPr>
        <w:spacing w:after="0" w:line="234" w:lineRule="exact"/>
        <w:jc w:val="left"/>
        <w:rPr>
          <w:rFonts w:ascii="宋体" w:hAnsi="宋体" w:cs="宋体" w:eastAsia="宋体" w:hint="default"/>
          <w:sz w:val="18"/>
          <w:szCs w:val="18"/>
        </w:rPr>
        <w:sectPr>
          <w:pgSz w:w="11910" w:h="16840"/>
          <w:pgMar w:header="880" w:footer="1195" w:top="1120" w:bottom="1380" w:left="1540" w:right="940"/>
        </w:sectPr>
      </w:pPr>
    </w:p>
    <w:p>
      <w:pPr>
        <w:pStyle w:val="BodyText"/>
        <w:spacing w:line="243" w:lineRule="exact"/>
        <w:ind w:left="678" w:right="-17"/>
        <w:jc w:val="left"/>
      </w:pPr>
      <w:r>
        <w:rPr/>
        <w:t>其他说明</w:t>
      </w:r>
    </w:p>
    <w:p>
      <w:pPr>
        <w:pStyle w:val="Heading2"/>
        <w:spacing w:line="240" w:lineRule="auto" w:before="58"/>
        <w:ind w:left="678" w:right="-17"/>
        <w:jc w:val="left"/>
        <w:rPr>
          <w:b w:val="0"/>
          <w:bCs w:val="0"/>
        </w:rPr>
      </w:pPr>
      <w:r>
        <w:rPr>
          <w:rFonts w:ascii="宋体" w:hAnsi="宋体" w:cs="宋体" w:eastAsia="宋体" w:hint="default"/>
        </w:rPr>
        <w:t>(1)</w:t>
      </w:r>
      <w:r>
        <w:rPr>
          <w:rFonts w:ascii="宋体" w:hAnsi="宋体" w:cs="宋体" w:eastAsia="宋体" w:hint="default"/>
          <w:spacing w:val="-5"/>
        </w:rPr>
        <w:t> </w:t>
      </w:r>
      <w:r>
        <w:rPr/>
        <w:t>公司利润构成或利润来源发生重大变动的详细说明</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8"/>
          <w:szCs w:val="28"/>
        </w:rPr>
      </w:pPr>
    </w:p>
    <w:p>
      <w:pPr>
        <w:pStyle w:val="BodyText"/>
        <w:spacing w:line="240" w:lineRule="auto"/>
        <w:ind w:left="678" w:right="0"/>
        <w:jc w:val="left"/>
      </w:pPr>
      <w:r>
        <w:rPr/>
        <w:t>单位：元 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40" w:right="940"/>
          <w:cols w:num="2" w:equalWidth="0">
            <w:col w:w="5738" w:space="575"/>
            <w:col w:w="311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18"/>
        <w:gridCol w:w="1419"/>
        <w:gridCol w:w="1558"/>
        <w:gridCol w:w="992"/>
        <w:gridCol w:w="852"/>
        <w:gridCol w:w="2924"/>
      </w:tblGrid>
      <w:tr>
        <w:trPr>
          <w:trHeight w:val="722" w:hRule="exact"/>
        </w:trPr>
        <w:tc>
          <w:tcPr>
            <w:tcW w:w="141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4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5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上年金额</w:t>
            </w: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2"/>
              <w:ind w:left="261" w:right="263" w:firstLine="46"/>
              <w:jc w:val="left"/>
              <w:rPr>
                <w:rFonts w:ascii="宋体" w:hAnsi="宋体" w:cs="宋体" w:eastAsia="宋体" w:hint="default"/>
                <w:sz w:val="18"/>
                <w:szCs w:val="18"/>
              </w:rPr>
            </w:pPr>
            <w:r>
              <w:rPr>
                <w:rFonts w:ascii="宋体" w:hAnsi="宋体" w:cs="宋体" w:eastAsia="宋体" w:hint="default"/>
                <w:sz w:val="18"/>
                <w:szCs w:val="18"/>
              </w:rPr>
              <w:t>变动 幅度</w:t>
            </w:r>
            <w:r>
              <w:rPr>
                <w:rFonts w:ascii="宋体" w:hAnsi="宋体" w:cs="宋体" w:eastAsia="宋体" w:hint="default"/>
                <w:sz w:val="18"/>
                <w:szCs w:val="18"/>
              </w:rPr>
              <w:t>%</w:t>
            </w:r>
          </w:p>
        </w:tc>
        <w:tc>
          <w:tcPr>
            <w:tcW w:w="852"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148" w:right="0"/>
              <w:jc w:val="left"/>
              <w:rPr>
                <w:rFonts w:ascii="宋体" w:hAnsi="宋体" w:cs="宋体" w:eastAsia="宋体" w:hint="default"/>
                <w:sz w:val="18"/>
                <w:szCs w:val="18"/>
              </w:rPr>
            </w:pPr>
            <w:r>
              <w:rPr>
                <w:rFonts w:ascii="宋体" w:hAnsi="宋体" w:cs="宋体" w:eastAsia="宋体" w:hint="default"/>
                <w:sz w:val="18"/>
                <w:szCs w:val="18"/>
              </w:rPr>
              <w:t>变动额</w:t>
            </w:r>
          </w:p>
          <w:p>
            <w:pPr>
              <w:pStyle w:val="TableParagraph"/>
              <w:spacing w:line="240" w:lineRule="auto"/>
              <w:ind w:left="191" w:right="146" w:hanging="44"/>
              <w:jc w:val="left"/>
              <w:rPr>
                <w:rFonts w:ascii="宋体" w:hAnsi="宋体" w:cs="宋体" w:eastAsia="宋体" w:hint="default"/>
                <w:sz w:val="18"/>
                <w:szCs w:val="18"/>
              </w:rPr>
            </w:pPr>
            <w:r>
              <w:rPr>
                <w:rFonts w:ascii="宋体" w:hAnsi="宋体" w:cs="宋体" w:eastAsia="宋体" w:hint="default"/>
                <w:sz w:val="18"/>
                <w:szCs w:val="18"/>
              </w:rPr>
              <w:t>占利润 总额</w:t>
            </w:r>
            <w:r>
              <w:rPr>
                <w:rFonts w:ascii="宋体" w:hAnsi="宋体" w:cs="宋体" w:eastAsia="宋体" w:hint="default"/>
                <w:sz w:val="18"/>
                <w:szCs w:val="18"/>
              </w:rPr>
              <w:t>%</w:t>
            </w:r>
          </w:p>
        </w:tc>
        <w:tc>
          <w:tcPr>
            <w:tcW w:w="292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55" w:hRule="exact"/>
        </w:trPr>
        <w:tc>
          <w:tcPr>
            <w:tcW w:w="14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2"/>
              <w:ind w:left="9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36,396,432.14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pacing w:val="-1"/>
                <w:sz w:val="18"/>
              </w:rPr>
              <w:t>119,008,515.67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7"/>
              <w:jc w:val="right"/>
              <w:rPr>
                <w:rFonts w:ascii="宋体" w:hAnsi="宋体" w:cs="宋体" w:eastAsia="宋体" w:hint="default"/>
                <w:sz w:val="18"/>
                <w:szCs w:val="18"/>
              </w:rPr>
            </w:pPr>
            <w:r>
              <w:rPr>
                <w:rFonts w:ascii="宋体"/>
                <w:spacing w:val="-1"/>
                <w:sz w:val="18"/>
              </w:rPr>
              <w:t>-69.42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49.63</w:t>
            </w:r>
          </w:p>
        </w:tc>
        <w:tc>
          <w:tcPr>
            <w:tcW w:w="29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处置土地、海域资产收益减少</w:t>
            </w:r>
            <w:r>
              <w:rPr>
                <w:rFonts w:ascii="宋体" w:hAnsi="宋体" w:cs="宋体" w:eastAsia="宋体" w:hint="default"/>
                <w:spacing w:val="1"/>
                <w:sz w:val="18"/>
                <w:szCs w:val="18"/>
              </w:rPr>
              <w:t> </w:t>
            </w:r>
            <w:r>
              <w:rPr>
                <w:rFonts w:ascii="宋体" w:hAnsi="宋体" w:cs="宋体" w:eastAsia="宋体" w:hint="default"/>
                <w:sz w:val="18"/>
                <w:szCs w:val="18"/>
              </w:rPr>
              <w:t>。</w:t>
            </w:r>
          </w:p>
        </w:tc>
      </w:tr>
      <w:tr>
        <w:trPr>
          <w:trHeight w:val="356" w:hRule="exact"/>
        </w:trPr>
        <w:tc>
          <w:tcPr>
            <w:tcW w:w="14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3"/>
              <w:ind w:left="9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pacing w:val="-1"/>
                <w:sz w:val="18"/>
              </w:rPr>
              <w:t>2,212,514.92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8"/>
              <w:jc w:val="right"/>
              <w:rPr>
                <w:rFonts w:ascii="宋体" w:hAnsi="宋体" w:cs="宋体" w:eastAsia="宋体" w:hint="default"/>
                <w:sz w:val="18"/>
                <w:szCs w:val="18"/>
              </w:rPr>
            </w:pPr>
            <w:r>
              <w:rPr>
                <w:rFonts w:ascii="宋体"/>
                <w:spacing w:val="-1"/>
                <w:sz w:val="18"/>
              </w:rPr>
              <w:t>6,550,398.52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7"/>
              <w:jc w:val="right"/>
              <w:rPr>
                <w:rFonts w:ascii="宋体" w:hAnsi="宋体" w:cs="宋体" w:eastAsia="宋体" w:hint="default"/>
                <w:sz w:val="18"/>
                <w:szCs w:val="18"/>
              </w:rPr>
            </w:pPr>
            <w:r>
              <w:rPr>
                <w:rFonts w:ascii="宋体"/>
                <w:spacing w:val="-1"/>
                <w:sz w:val="18"/>
              </w:rPr>
              <w:t>-66.22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97"/>
              <w:jc w:val="right"/>
              <w:rPr>
                <w:rFonts w:ascii="宋体" w:hAnsi="宋体" w:cs="宋体" w:eastAsia="宋体" w:hint="default"/>
                <w:sz w:val="18"/>
                <w:szCs w:val="18"/>
              </w:rPr>
            </w:pPr>
            <w:r>
              <w:rPr>
                <w:rFonts w:ascii="宋体"/>
                <w:sz w:val="18"/>
              </w:rPr>
              <w:t>2.61</w:t>
            </w:r>
          </w:p>
        </w:tc>
        <w:tc>
          <w:tcPr>
            <w:tcW w:w="292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非流动资产处置损失减少。</w:t>
            </w:r>
          </w:p>
        </w:tc>
      </w:tr>
      <w:tr>
        <w:trPr>
          <w:trHeight w:val="487" w:hRule="exact"/>
        </w:trPr>
        <w:tc>
          <w:tcPr>
            <w:tcW w:w="141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7"/>
              <w:ind w:left="9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36,974,382.97</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76,048,247.26</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pacing w:val="-1"/>
                <w:sz w:val="18"/>
              </w:rPr>
              <w:t>-51.38</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23.48</w:t>
            </w:r>
          </w:p>
        </w:tc>
        <w:tc>
          <w:tcPr>
            <w:tcW w:w="2924" w:type="dxa"/>
            <w:tcBorders>
              <w:top w:val="single" w:sz="6" w:space="0" w:color="000000"/>
              <w:left w:val="single" w:sz="6" w:space="0" w:color="000000"/>
              <w:bottom w:val="single" w:sz="12" w:space="0" w:color="000000"/>
              <w:right w:val="single" w:sz="12"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利润总额减少，应纳税所得额减少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所致。</w:t>
            </w:r>
          </w:p>
        </w:tc>
      </w:tr>
    </w:tbl>
    <w:p>
      <w:pPr>
        <w:spacing w:line="240" w:lineRule="auto" w:before="12"/>
        <w:rPr>
          <w:rFonts w:ascii="宋体" w:hAnsi="宋体" w:cs="宋体" w:eastAsia="宋体" w:hint="default"/>
          <w:sz w:val="24"/>
          <w:szCs w:val="24"/>
        </w:rPr>
      </w:pPr>
    </w:p>
    <w:p>
      <w:pPr>
        <w:spacing w:line="312" w:lineRule="auto" w:before="36"/>
        <w:ind w:left="738" w:right="0" w:hanging="6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行业经营性信息分析</w:t>
      </w:r>
      <w:r>
        <w:rPr>
          <w:rFonts w:ascii="宋体" w:hAnsi="宋体" w:cs="宋体" w:eastAsia="宋体" w:hint="default"/>
          <w:b/>
          <w:bCs/>
          <w:spacing w:val="-101"/>
          <w:sz w:val="21"/>
          <w:szCs w:val="21"/>
        </w:rPr>
        <w:t> </w:t>
      </w:r>
      <w:r>
        <w:rPr>
          <w:rFonts w:ascii="宋体" w:hAnsi="宋体" w:cs="宋体" w:eastAsia="宋体" w:hint="default"/>
          <w:spacing w:val="-3"/>
          <w:sz w:val="21"/>
          <w:szCs w:val="21"/>
        </w:rPr>
        <w:t>港口行业是国民经济的基础性产业，在全球经济发展中的作用日益突出，并呈现出码头泊位</w:t>
      </w:r>
    </w:p>
    <w:p>
      <w:pPr>
        <w:pStyle w:val="BodyText"/>
        <w:spacing w:line="209" w:lineRule="exact"/>
        <w:ind w:left="258" w:right="0"/>
        <w:jc w:val="both"/>
      </w:pPr>
      <w:r>
        <w:rPr/>
        <w:t>大型化、深水化和专业化的发展趋势。港口行业的发展主要取决于社会经济发展所带来的商品贸</w:t>
      </w:r>
    </w:p>
    <w:p>
      <w:pPr>
        <w:pStyle w:val="BodyText"/>
        <w:spacing w:line="237" w:lineRule="auto"/>
        <w:ind w:left="258" w:right="337"/>
        <w:jc w:val="both"/>
      </w:pPr>
      <w:r>
        <w:rPr>
          <w:spacing w:val="-2"/>
        </w:rPr>
        <w:t>易及货物运输需求，港口货物吞吐量对地区经济、商品贸易等具有较强的依赖性。港口正在由传</w:t>
      </w:r>
      <w:r>
        <w:rPr>
          <w:spacing w:val="-25"/>
        </w:rPr>
        <w:t> </w:t>
      </w:r>
      <w:r>
        <w:rPr>
          <w:spacing w:val="-25"/>
        </w:rPr>
      </w:r>
      <w:r>
        <w:rPr>
          <w:spacing w:val="-2"/>
        </w:rPr>
        <w:t>统的装卸、转运业务向上下游供应链的延伸，向包装、加工、仓储、配送、信息服务、保税、金</w:t>
      </w:r>
      <w:r>
        <w:rPr>
          <w:spacing w:val="-25"/>
        </w:rPr>
        <w:t> </w:t>
      </w:r>
      <w:r>
        <w:rPr>
          <w:spacing w:val="-25"/>
        </w:rPr>
      </w:r>
      <w:r>
        <w:rPr/>
        <w:t>融、贸易等高附加值综合物流功能方向发展。</w:t>
      </w:r>
    </w:p>
    <w:p>
      <w:pPr>
        <w:pStyle w:val="BodyText"/>
        <w:spacing w:line="237" w:lineRule="auto" w:before="119"/>
        <w:ind w:left="258" w:right="337" w:firstLine="419"/>
        <w:jc w:val="both"/>
      </w:pPr>
      <w:r>
        <w:rPr>
          <w:spacing w:val="-2"/>
        </w:rPr>
        <w:t>受到世界经济复苏艰难、国内经济增速减缓、需求不足的影响，我国港口行业进入低速增长</w:t>
      </w:r>
      <w:r>
        <w:rPr>
          <w:w w:val="100"/>
        </w:rPr>
        <w:t> </w:t>
      </w:r>
      <w:r>
        <w:rPr>
          <w:spacing w:val="-2"/>
        </w:rPr>
        <w:t>阶段，规模以上港口货物吞吐量增速均出现大幅回落。从区域经济看，东北经济发展动力不足，</w:t>
      </w:r>
      <w:r>
        <w:rPr>
          <w:spacing w:val="-25"/>
        </w:rPr>
        <w:t> </w:t>
      </w:r>
      <w:r>
        <w:rPr>
          <w:spacing w:val="-25"/>
        </w:rPr>
      </w:r>
      <w:r>
        <w:rPr>
          <w:spacing w:val="-2"/>
        </w:rPr>
        <w:t>东三省经济增速均排名全国末位，经济转型压力凸显。从竞争环境看，环渤海地区港口众多，区</w:t>
      </w:r>
      <w:r>
        <w:rPr>
          <w:spacing w:val="-25"/>
        </w:rPr>
        <w:t> </w:t>
      </w:r>
      <w:r>
        <w:rPr>
          <w:spacing w:val="-25"/>
        </w:rPr>
      </w:r>
      <w:r>
        <w:rPr/>
        <w:t>域定位分工趋同，竞争形势更加明显。</w:t>
      </w:r>
    </w:p>
    <w:p>
      <w:pPr>
        <w:pStyle w:val="BodyText"/>
        <w:spacing w:line="230" w:lineRule="auto" w:before="126"/>
        <w:ind w:left="258" w:right="328" w:firstLine="419"/>
        <w:jc w:val="both"/>
      </w:pPr>
      <w:r>
        <w:rPr>
          <w:spacing w:val="-7"/>
          <w:w w:val="100"/>
        </w:rPr>
        <w:t>在此背景下，包括锦州港在内的各主要港口正以转型创新为动力，借助和发挥东北振兴规划、</w:t>
      </w:r>
      <w:r>
        <w:rPr>
          <w:w w:val="100"/>
        </w:rPr>
        <w:t> </w:t>
      </w:r>
      <w:r>
        <w:rPr>
          <w:spacing w:val="-2"/>
        </w:rPr>
        <w:t>辽宁沿海经济带、</w:t>
      </w:r>
      <w:r>
        <w:rPr>
          <w:rFonts w:ascii="Calibri" w:hAnsi="Calibri" w:cs="Calibri" w:eastAsia="Calibri" w:hint="default"/>
          <w:spacing w:val="-2"/>
        </w:rPr>
        <w:t>“</w:t>
      </w:r>
      <w:r>
        <w:rPr>
          <w:spacing w:val="-2"/>
        </w:rPr>
        <w:t>一带一路</w:t>
      </w:r>
      <w:r>
        <w:rPr>
          <w:rFonts w:ascii="Calibri" w:hAnsi="Calibri" w:cs="Calibri" w:eastAsia="Calibri" w:hint="default"/>
          <w:spacing w:val="-2"/>
        </w:rPr>
        <w:t>”</w:t>
      </w:r>
      <w:r>
        <w:rPr>
          <w:spacing w:val="-2"/>
        </w:rPr>
        <w:t>等政策红利，围绕港口装卸、仓储等传统主业逐步拓展服务功能，</w:t>
      </w:r>
      <w:r>
        <w:rPr>
          <w:spacing w:val="-30"/>
        </w:rPr>
        <w:t> </w:t>
      </w:r>
      <w:r>
        <w:rPr>
          <w:spacing w:val="-30"/>
        </w:rPr>
      </w:r>
      <w:r>
        <w:rPr>
          <w:spacing w:val="-2"/>
        </w:rPr>
        <w:t>延伸服务领域，加快转型升级，进一步整合资源，提高港口竞争能力，以期在港口竞争中占据主</w:t>
      </w:r>
      <w:r>
        <w:rPr>
          <w:spacing w:val="-25"/>
        </w:rPr>
        <w:t> </w:t>
      </w:r>
      <w:r>
        <w:rPr>
          <w:spacing w:val="-25"/>
        </w:rPr>
      </w:r>
      <w:r>
        <w:rPr/>
        <w:t>动。</w:t>
      </w:r>
    </w:p>
    <w:p>
      <w:pPr>
        <w:pStyle w:val="Heading2"/>
        <w:spacing w:line="240" w:lineRule="auto" w:before="117"/>
        <w:ind w:left="67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1"/>
        </w:rPr>
        <w:t> </w:t>
      </w:r>
      <w:r>
        <w:rPr/>
        <w:t>投资状况分析</w:t>
      </w:r>
      <w:r>
        <w:rPr>
          <w:b w:val="0"/>
          <w:bCs w:val="0"/>
        </w:rPr>
      </w:r>
    </w:p>
    <w:p>
      <w:pPr>
        <w:pStyle w:val="Heading2"/>
        <w:spacing w:line="240" w:lineRule="auto" w:before="92"/>
        <w:ind w:left="678" w:right="0"/>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37" w:lineRule="auto" w:before="119"/>
        <w:ind w:left="258" w:right="327" w:firstLine="419"/>
        <w:jc w:val="both"/>
      </w:pPr>
      <w:r>
        <w:rPr>
          <w:rFonts w:ascii="宋体" w:hAnsi="宋体" w:cs="宋体" w:eastAsia="宋体" w:hint="default"/>
        </w:rPr>
        <w:t>1</w:t>
      </w:r>
      <w:r>
        <w:rPr/>
        <w:t>、报告期末，公司对外股权投资总额为</w:t>
      </w:r>
      <w:r>
        <w:rPr>
          <w:spacing w:val="-55"/>
        </w:rPr>
        <w:t> </w:t>
      </w:r>
      <w:r>
        <w:rPr>
          <w:rFonts w:ascii="宋体" w:hAnsi="宋体" w:cs="宋体" w:eastAsia="宋体" w:hint="default"/>
        </w:rPr>
        <w:t>85,694.48</w:t>
      </w:r>
      <w:r>
        <w:rPr>
          <w:rFonts w:ascii="宋体" w:hAnsi="宋体" w:cs="宋体" w:eastAsia="宋体" w:hint="default"/>
          <w:spacing w:val="-57"/>
        </w:rPr>
        <w:t> </w:t>
      </w:r>
      <w:r>
        <w:rPr/>
        <w:t>万元，比期初减少了</w:t>
      </w:r>
      <w:r>
        <w:rPr>
          <w:spacing w:val="-54"/>
        </w:rPr>
        <w:t> </w:t>
      </w:r>
      <w:r>
        <w:rPr>
          <w:rFonts w:ascii="宋体" w:hAnsi="宋体" w:cs="宋体" w:eastAsia="宋体" w:hint="default"/>
        </w:rPr>
        <w:t>461.76</w:t>
      </w:r>
      <w:r>
        <w:rPr>
          <w:rFonts w:ascii="宋体" w:hAnsi="宋体" w:cs="宋体" w:eastAsia="宋体" w:hint="default"/>
          <w:spacing w:val="-55"/>
        </w:rPr>
        <w:t> </w:t>
      </w:r>
      <w:r>
        <w:rPr/>
        <w:t>万元，减幅</w:t>
      </w:r>
      <w:r>
        <w:rPr>
          <w:w w:val="100"/>
        </w:rPr>
        <w:t> 为</w:t>
      </w:r>
      <w:r>
        <w:rPr>
          <w:spacing w:val="-43"/>
          <w:w w:val="100"/>
        </w:rPr>
        <w:t> </w:t>
      </w:r>
      <w:r>
        <w:rPr>
          <w:rFonts w:ascii="宋体" w:hAnsi="宋体" w:cs="宋体" w:eastAsia="宋体" w:hint="default"/>
          <w:spacing w:val="-5"/>
          <w:w w:val="100"/>
        </w:rPr>
        <w:t>0.54%</w:t>
      </w:r>
      <w:r>
        <w:rPr>
          <w:spacing w:val="-5"/>
          <w:w w:val="100"/>
        </w:rPr>
        <w:t>。报告期内，公司与辽宁沈铁红运物流有限公司签订《股权转让合同》，公司将持有辽宁</w:t>
      </w:r>
      <w:r>
        <w:rPr>
          <w:spacing w:val="-102"/>
          <w:w w:val="100"/>
        </w:rPr>
        <w:t> </w:t>
      </w:r>
      <w:r>
        <w:rPr>
          <w:spacing w:val="-102"/>
          <w:w w:val="100"/>
        </w:rPr>
      </w:r>
      <w:r>
        <w:rPr>
          <w:spacing w:val="-4"/>
        </w:rPr>
        <w:t>沈哈红运物流锦州有限公司（原名锦州港集铁物流有限公司）</w:t>
      </w:r>
      <w:r>
        <w:rPr>
          <w:rFonts w:ascii="宋体" w:hAnsi="宋体" w:cs="宋体" w:eastAsia="宋体" w:hint="default"/>
          <w:spacing w:val="-4"/>
        </w:rPr>
        <w:t>45%</w:t>
      </w:r>
      <w:r>
        <w:rPr>
          <w:spacing w:val="-4"/>
        </w:rPr>
        <w:t>的股权转让给辽宁沈铁红运物流</w:t>
      </w:r>
      <w:r>
        <w:rPr>
          <w:spacing w:val="-30"/>
        </w:rPr>
        <w:t> </w:t>
      </w:r>
      <w:r>
        <w:rPr>
          <w:spacing w:val="-30"/>
        </w:rPr>
      </w:r>
      <w:r>
        <w:rPr/>
        <w:t>有限公司，投资成本为</w:t>
      </w:r>
      <w:r>
        <w:rPr>
          <w:spacing w:val="-53"/>
        </w:rPr>
        <w:t> </w:t>
      </w:r>
      <w:r>
        <w:rPr>
          <w:rFonts w:ascii="宋体" w:hAnsi="宋体" w:cs="宋体" w:eastAsia="宋体" w:hint="default"/>
        </w:rPr>
        <w:t>450</w:t>
      </w:r>
      <w:r>
        <w:rPr>
          <w:rFonts w:ascii="宋体" w:hAnsi="宋体" w:cs="宋体" w:eastAsia="宋体" w:hint="default"/>
          <w:spacing w:val="-54"/>
        </w:rPr>
        <w:t> </w:t>
      </w:r>
      <w:r>
        <w:rPr/>
        <w:t>万元，股权转让价格为</w:t>
      </w:r>
      <w:r>
        <w:rPr>
          <w:spacing w:val="-56"/>
        </w:rPr>
        <w:t> </w:t>
      </w:r>
      <w:r>
        <w:rPr>
          <w:rFonts w:ascii="宋体" w:hAnsi="宋体" w:cs="宋体" w:eastAsia="宋体" w:hint="default"/>
        </w:rPr>
        <w:t>421.04</w:t>
      </w:r>
      <w:r>
        <w:rPr>
          <w:rFonts w:ascii="宋体" w:hAnsi="宋体" w:cs="宋体" w:eastAsia="宋体" w:hint="default"/>
          <w:spacing w:val="-56"/>
        </w:rPr>
        <w:t> </w:t>
      </w:r>
      <w:r>
        <w:rPr/>
        <w:t>万元。</w:t>
      </w:r>
    </w:p>
    <w:p>
      <w:pPr>
        <w:pStyle w:val="BodyText"/>
        <w:spacing w:line="237" w:lineRule="auto" w:before="119"/>
        <w:ind w:left="258" w:right="328" w:firstLine="419"/>
        <w:jc w:val="both"/>
      </w:pPr>
      <w:r>
        <w:rPr>
          <w:rFonts w:ascii="宋体" w:hAnsi="宋体" w:cs="宋体" w:eastAsia="宋体" w:hint="default"/>
          <w:spacing w:val="-4"/>
          <w:w w:val="100"/>
        </w:rPr>
        <w:t>2</w:t>
      </w:r>
      <w:r>
        <w:rPr>
          <w:spacing w:val="-4"/>
          <w:w w:val="100"/>
        </w:rPr>
        <w:t>、公司的全资子公司锦港国贸与公司关联法人大连港集团的控股子公司大连港投融资控股集</w:t>
      </w:r>
      <w:r>
        <w:rPr>
          <w:w w:val="100"/>
        </w:rPr>
        <w:t> </w:t>
      </w:r>
      <w:r>
        <w:rPr>
          <w:spacing w:val="-2"/>
        </w:rPr>
        <w:t>团有限公司投资设立辽港大宗商品交易有限公司（以下简称“辽港公司”）。合资公司注册资本</w:t>
      </w:r>
      <w:r>
        <w:rPr>
          <w:spacing w:val="-25"/>
        </w:rPr>
        <w:t> </w:t>
      </w:r>
      <w:r>
        <w:rPr>
          <w:spacing w:val="-25"/>
        </w:rPr>
      </w:r>
      <w:r>
        <w:rPr/>
        <w:t>为人民币</w:t>
      </w:r>
      <w:r>
        <w:rPr>
          <w:spacing w:val="-54"/>
        </w:rPr>
        <w:t> </w:t>
      </w:r>
      <w:r>
        <w:rPr>
          <w:rFonts w:ascii="宋体" w:hAnsi="宋体" w:cs="宋体" w:eastAsia="宋体" w:hint="default"/>
        </w:rPr>
        <w:t>5</w:t>
      </w:r>
      <w:r>
        <w:rPr>
          <w:rFonts w:ascii="宋体" w:hAnsi="宋体" w:cs="宋体" w:eastAsia="宋体" w:hint="default"/>
          <w:spacing w:val="-56"/>
        </w:rPr>
        <w:t> </w:t>
      </w:r>
      <w:r>
        <w:rPr/>
        <w:t>亿元，锦港国贸出资</w:t>
      </w:r>
      <w:r>
        <w:rPr>
          <w:spacing w:val="-53"/>
        </w:rPr>
        <w:t> </w:t>
      </w:r>
      <w:r>
        <w:rPr>
          <w:rFonts w:ascii="宋体" w:hAnsi="宋体" w:cs="宋体" w:eastAsia="宋体" w:hint="default"/>
        </w:rPr>
        <w:t>5,000</w:t>
      </w:r>
      <w:r>
        <w:rPr>
          <w:rFonts w:ascii="宋体" w:hAnsi="宋体" w:cs="宋体" w:eastAsia="宋体" w:hint="default"/>
          <w:spacing w:val="-54"/>
        </w:rPr>
        <w:t> </w:t>
      </w:r>
      <w:r>
        <w:rPr/>
        <w:t>万元，出资比例</w:t>
      </w:r>
      <w:r>
        <w:rPr>
          <w:spacing w:val="-54"/>
        </w:rPr>
        <w:t> </w:t>
      </w:r>
      <w:r>
        <w:rPr>
          <w:rFonts w:ascii="宋体" w:hAnsi="宋体" w:cs="宋体" w:eastAsia="宋体" w:hint="default"/>
        </w:rPr>
        <w:t>10%</w:t>
      </w:r>
      <w:r>
        <w:rPr/>
        <w:t>。</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10</w:t>
      </w:r>
      <w:r>
        <w:rPr>
          <w:rFonts w:ascii="宋体" w:hAnsi="宋体" w:cs="宋体" w:eastAsia="宋体" w:hint="default"/>
          <w:spacing w:val="-54"/>
        </w:rPr>
        <w:t> </w:t>
      </w:r>
      <w:r>
        <w:rPr/>
        <w:t>月</w:t>
      </w:r>
      <w:r>
        <w:rPr>
          <w:spacing w:val="-56"/>
        </w:rPr>
        <w:t> </w:t>
      </w:r>
      <w:r>
        <w:rPr>
          <w:rFonts w:ascii="宋体" w:hAnsi="宋体" w:cs="宋体" w:eastAsia="宋体" w:hint="default"/>
        </w:rPr>
        <w:t>20</w:t>
      </w:r>
      <w:r>
        <w:rPr>
          <w:rFonts w:ascii="宋体" w:hAnsi="宋体" w:cs="宋体" w:eastAsia="宋体" w:hint="default"/>
          <w:spacing w:val="-53"/>
        </w:rPr>
        <w:t> </w:t>
      </w:r>
      <w:r>
        <w:rPr/>
        <w:t>日，辽港公司在大</w:t>
      </w:r>
      <w:r>
        <w:rPr>
          <w:w w:val="100"/>
        </w:rPr>
        <w:t> </w:t>
      </w:r>
      <w:r>
        <w:rPr/>
        <w:t>连注册成立。</w:t>
      </w:r>
    </w:p>
    <w:p>
      <w:pPr>
        <w:pStyle w:val="BodyText"/>
        <w:spacing w:line="272" w:lineRule="exact" w:before="144"/>
        <w:ind w:left="258" w:right="395" w:firstLine="419"/>
        <w:jc w:val="both"/>
      </w:pPr>
      <w:r>
        <w:rPr>
          <w:rFonts w:ascii="宋体" w:hAnsi="宋体" w:cs="宋体" w:eastAsia="宋体" w:hint="default"/>
          <w:spacing w:val="-2"/>
        </w:rPr>
        <w:t>3</w:t>
      </w:r>
      <w:r>
        <w:rPr>
          <w:spacing w:val="-2"/>
        </w:rPr>
        <w:t>、公司将持有的全资子公司——辽宁广航置业有限公司</w:t>
      </w:r>
      <w:r>
        <w:rPr/>
        <w:t> </w:t>
      </w:r>
      <w:r>
        <w:rPr>
          <w:rFonts w:ascii="宋体" w:hAnsi="宋体" w:cs="宋体" w:eastAsia="宋体" w:hint="default"/>
          <w:spacing w:val="-2"/>
        </w:rPr>
        <w:t>100%</w:t>
      </w:r>
      <w:r>
        <w:rPr>
          <w:spacing w:val="-2"/>
        </w:rPr>
        <w:t>股权转让给广航局，转让价格</w:t>
      </w:r>
      <w:r>
        <w:rPr>
          <w:w w:val="100"/>
        </w:rPr>
        <w:t> </w:t>
      </w:r>
      <w:r>
        <w:rPr/>
        <w:t>为</w:t>
      </w:r>
      <w:r>
        <w:rPr>
          <w:spacing w:val="-55"/>
        </w:rPr>
        <w:t> </w:t>
      </w:r>
      <w:r>
        <w:rPr>
          <w:rFonts w:ascii="宋体" w:hAnsi="宋体" w:cs="宋体" w:eastAsia="宋体" w:hint="default"/>
        </w:rPr>
        <w:t>17611.51</w:t>
      </w:r>
      <w:r>
        <w:rPr>
          <w:rFonts w:ascii="宋体" w:hAnsi="宋体" w:cs="宋体" w:eastAsia="宋体" w:hint="default"/>
          <w:spacing w:val="-55"/>
        </w:rPr>
        <w:t> </w:t>
      </w:r>
      <w:r>
        <w:rPr/>
        <w:t>万元，报告期内已实施完毕。</w:t>
      </w:r>
    </w:p>
    <w:p>
      <w:pPr>
        <w:spacing w:line="312" w:lineRule="auto" w:before="94"/>
        <w:ind w:left="678" w:right="6201"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六</w:t>
      </w:r>
      <w:r>
        <w:rPr>
          <w:rFonts w:ascii="Calibri" w:hAnsi="Calibri" w:cs="Calibri" w:eastAsia="Calibri" w:hint="default"/>
          <w:b/>
          <w:bCs/>
          <w:sz w:val="21"/>
          <w:szCs w:val="21"/>
        </w:rPr>
        <w:t>)</w:t>
      </w:r>
      <w:r>
        <w:rPr>
          <w:rFonts w:ascii="Calibri" w:hAnsi="Calibri" w:cs="Calibri" w:eastAsia="Calibri" w:hint="default"/>
          <w:b/>
          <w:bCs/>
          <w:spacing w:val="30"/>
          <w:sz w:val="21"/>
          <w:szCs w:val="21"/>
        </w:rPr>
        <w:t> </w:t>
      </w:r>
      <w:r>
        <w:rPr>
          <w:rFonts w:ascii="宋体" w:hAnsi="宋体" w:cs="宋体" w:eastAsia="宋体" w:hint="default"/>
          <w:b/>
          <w:bCs/>
          <w:sz w:val="21"/>
          <w:szCs w:val="21"/>
        </w:rPr>
        <w:t>主要控股参股公司分析</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主要子公司</w:t>
      </w:r>
    </w:p>
    <w:p>
      <w:pPr>
        <w:spacing w:after="0" w:line="312" w:lineRule="auto"/>
        <w:jc w:val="left"/>
        <w:rPr>
          <w:rFonts w:ascii="宋体" w:hAnsi="宋体" w:cs="宋体" w:eastAsia="宋体" w:hint="default"/>
          <w:sz w:val="21"/>
          <w:szCs w:val="21"/>
        </w:rPr>
        <w:sectPr>
          <w:type w:val="continuous"/>
          <w:pgSz w:w="11910" w:h="16840"/>
          <w:pgMar w:top="1120" w:bottom="1380" w:left="1540" w:right="940"/>
        </w:sectPr>
      </w:pPr>
    </w:p>
    <w:p>
      <w:pPr>
        <w:spacing w:line="240" w:lineRule="auto" w:before="4"/>
        <w:rPr>
          <w:rFonts w:ascii="宋体" w:hAnsi="宋体" w:cs="宋体" w:eastAsia="宋体" w:hint="default"/>
          <w:sz w:val="25"/>
          <w:szCs w:val="25"/>
        </w:rPr>
      </w:pPr>
    </w:p>
    <w:p>
      <w:pPr>
        <w:pStyle w:val="BodyText"/>
        <w:spacing w:line="237" w:lineRule="auto" w:before="38"/>
        <w:ind w:right="130" w:firstLine="419"/>
        <w:jc w:val="both"/>
        <w:rPr>
          <w:rFonts w:ascii="宋体" w:hAnsi="宋体" w:cs="宋体" w:eastAsia="宋体" w:hint="default"/>
        </w:rPr>
      </w:pPr>
      <w:r>
        <w:rPr>
          <w:spacing w:val="-2"/>
        </w:rPr>
        <w:t>①锦州港现代粮食物流有限公司为公司与中储粮北方物流有限公司共同出资设立的子公司，</w:t>
      </w:r>
      <w:r>
        <w:rPr>
          <w:w w:val="100"/>
        </w:rPr>
        <w:t> </w:t>
      </w:r>
      <w:r>
        <w:rPr/>
        <w:t>公司持股比例为</w:t>
      </w:r>
      <w:r>
        <w:rPr>
          <w:spacing w:val="-52"/>
        </w:rPr>
        <w:t> </w:t>
      </w:r>
      <w:r>
        <w:rPr>
          <w:rFonts w:ascii="宋体" w:hAnsi="宋体" w:cs="宋体" w:eastAsia="宋体" w:hint="default"/>
        </w:rPr>
        <w:t>75.90%</w:t>
      </w:r>
      <w:r>
        <w:rPr/>
        <w:t>，该公司注册资本</w:t>
      </w:r>
      <w:r>
        <w:rPr>
          <w:spacing w:val="-52"/>
        </w:rPr>
        <w:t> </w:t>
      </w:r>
      <w:r>
        <w:rPr>
          <w:rFonts w:ascii="宋体" w:hAnsi="宋体" w:cs="宋体" w:eastAsia="宋体" w:hint="default"/>
        </w:rPr>
        <w:t>38,530.83</w:t>
      </w:r>
      <w:r>
        <w:rPr>
          <w:rFonts w:ascii="宋体" w:hAnsi="宋体" w:cs="宋体" w:eastAsia="宋体" w:hint="default"/>
          <w:spacing w:val="-52"/>
        </w:rPr>
        <w:t> </w:t>
      </w:r>
      <w:r>
        <w:rPr>
          <w:spacing w:val="-3"/>
        </w:rPr>
        <w:t>万元，主营物资仓储、中转（化学危险品除</w:t>
      </w:r>
      <w:r>
        <w:rPr>
          <w:w w:val="100"/>
        </w:rPr>
        <w:t> </w:t>
      </w:r>
      <w:r>
        <w:rPr>
          <w:spacing w:val="-7"/>
        </w:rPr>
        <w:t>外）；装卸服务；代理相关业务服务。报告期末，总资产为</w:t>
      </w:r>
      <w:r>
        <w:rPr>
          <w:spacing w:val="-34"/>
        </w:rPr>
        <w:t> </w:t>
      </w:r>
      <w:r>
        <w:rPr>
          <w:rFonts w:ascii="宋体" w:hAnsi="宋体" w:cs="宋体" w:eastAsia="宋体" w:hint="default"/>
        </w:rPr>
        <w:t>59,164.45</w:t>
      </w:r>
      <w:r>
        <w:rPr>
          <w:rFonts w:ascii="宋体" w:hAnsi="宋体" w:cs="宋体" w:eastAsia="宋体" w:hint="default"/>
          <w:spacing w:val="-35"/>
        </w:rPr>
        <w:t> </w:t>
      </w:r>
      <w:r>
        <w:rPr>
          <w:spacing w:val="-5"/>
        </w:rPr>
        <w:t>万元，净资产为</w:t>
      </w:r>
      <w:r>
        <w:rPr>
          <w:spacing w:val="-34"/>
        </w:rPr>
        <w:t> </w:t>
      </w:r>
      <w:r>
        <w:rPr>
          <w:rFonts w:ascii="宋体" w:hAnsi="宋体" w:cs="宋体" w:eastAsia="宋体" w:hint="default"/>
        </w:rPr>
        <w:t>50,417.35</w:t>
      </w:r>
    </w:p>
    <w:p>
      <w:pPr>
        <w:pStyle w:val="BodyText"/>
        <w:spacing w:line="272" w:lineRule="exact" w:before="26"/>
        <w:ind w:right="0"/>
        <w:jc w:val="left"/>
      </w:pPr>
      <w:r>
        <w:rPr/>
        <w:t>万元，报告期内，实现营业收入</w:t>
      </w:r>
      <w:r>
        <w:rPr>
          <w:spacing w:val="-55"/>
        </w:rPr>
        <w:t> </w:t>
      </w:r>
      <w:r>
        <w:rPr>
          <w:rFonts w:ascii="宋体" w:hAnsi="宋体" w:cs="宋体" w:eastAsia="宋体" w:hint="default"/>
        </w:rPr>
        <w:t>40,419.86</w:t>
      </w:r>
      <w:r>
        <w:rPr>
          <w:rFonts w:ascii="宋体" w:hAnsi="宋体" w:cs="宋体" w:eastAsia="宋体" w:hint="default"/>
          <w:spacing w:val="-55"/>
        </w:rPr>
        <w:t> </w:t>
      </w:r>
      <w:r>
        <w:rPr/>
        <w:t>万元，营业利润</w:t>
      </w:r>
      <w:r>
        <w:rPr>
          <w:spacing w:val="-55"/>
        </w:rPr>
        <w:t> </w:t>
      </w:r>
      <w:r>
        <w:rPr>
          <w:rFonts w:ascii="宋体" w:hAnsi="宋体" w:cs="宋体" w:eastAsia="宋体" w:hint="default"/>
        </w:rPr>
        <w:t>404.45</w:t>
      </w:r>
      <w:r>
        <w:rPr>
          <w:rFonts w:ascii="宋体" w:hAnsi="宋体" w:cs="宋体" w:eastAsia="宋体" w:hint="default"/>
          <w:spacing w:val="-55"/>
        </w:rPr>
        <w:t> </w:t>
      </w:r>
      <w:r>
        <w:rPr/>
        <w:t>万元，实现净利润</w:t>
      </w:r>
      <w:r>
        <w:rPr>
          <w:spacing w:val="-54"/>
        </w:rPr>
        <w:t> </w:t>
      </w:r>
      <w:r>
        <w:rPr>
          <w:rFonts w:ascii="宋体" w:hAnsi="宋体" w:cs="宋体" w:eastAsia="宋体" w:hint="default"/>
        </w:rPr>
        <w:t>273.04</w:t>
      </w:r>
      <w:r>
        <w:rPr>
          <w:rFonts w:ascii="宋体" w:hAnsi="宋体" w:cs="宋体" w:eastAsia="宋体" w:hint="default"/>
          <w:spacing w:val="-55"/>
        </w:rPr>
        <w:t> </w:t>
      </w:r>
      <w:r>
        <w:rPr/>
        <w:t>万</w:t>
      </w:r>
      <w:r>
        <w:rPr>
          <w:w w:val="100"/>
        </w:rPr>
        <w:t> </w:t>
      </w:r>
      <w:r>
        <w:rPr/>
        <w:t>元。</w:t>
      </w:r>
    </w:p>
    <w:p>
      <w:pPr>
        <w:pStyle w:val="BodyText"/>
        <w:spacing w:line="237" w:lineRule="auto" w:before="96"/>
        <w:ind w:right="0" w:firstLine="314"/>
        <w:jc w:val="left"/>
      </w:pPr>
      <w:r>
        <w:rPr/>
        <w:t>②根据公司第八届董事会第七次会议通过的《关于成立哈尔滨锦州港物流代理有限公司的议</w:t>
      </w:r>
      <w:r>
        <w:rPr>
          <w:w w:val="100"/>
        </w:rPr>
        <w:t> </w:t>
      </w:r>
      <w:r>
        <w:rPr>
          <w:spacing w:val="-5"/>
        </w:rPr>
        <w:t>案》，公司现金出资设立了全资子公司—哈尔滨锦州港物流代理有限公司，该公司注册资本</w:t>
      </w:r>
      <w:r>
        <w:rPr>
          <w:spacing w:val="-20"/>
        </w:rPr>
        <w:t> </w:t>
      </w:r>
      <w:r>
        <w:rPr>
          <w:rFonts w:ascii="宋体" w:hAnsi="宋体" w:cs="宋体" w:eastAsia="宋体" w:hint="default"/>
        </w:rPr>
        <w:t>1,000</w:t>
      </w:r>
      <w:r>
        <w:rPr>
          <w:rFonts w:ascii="宋体" w:hAnsi="宋体" w:cs="宋体" w:eastAsia="宋体" w:hint="default"/>
          <w:spacing w:val="-92"/>
        </w:rPr>
        <w:t> </w:t>
      </w:r>
      <w:r>
        <w:rPr>
          <w:rFonts w:ascii="宋体" w:hAnsi="宋体" w:cs="宋体" w:eastAsia="宋体" w:hint="default"/>
          <w:spacing w:val="-92"/>
        </w:rPr>
      </w:r>
      <w:r>
        <w:rPr>
          <w:spacing w:val="-2"/>
        </w:rPr>
        <w:t>万元，主要经营普通道路货物运输（不含易燃易爆物及危险化学物品）；水稻、玉米、杂粮、成</w:t>
      </w:r>
      <w:r>
        <w:rPr>
          <w:spacing w:val="-25"/>
        </w:rPr>
        <w:t> </w:t>
      </w:r>
      <w:r>
        <w:rPr>
          <w:spacing w:val="-25"/>
        </w:rPr>
      </w:r>
      <w:r>
        <w:rPr/>
        <w:t>品粮收购、煤炭销售、货物仓储、货物运输代理服务等业务。</w:t>
      </w:r>
    </w:p>
    <w:p>
      <w:pPr>
        <w:pStyle w:val="BodyText"/>
        <w:spacing w:line="273" w:lineRule="exact" w:before="119"/>
        <w:ind w:left="558" w:right="0"/>
        <w:jc w:val="left"/>
      </w:pPr>
      <w:r>
        <w:rPr/>
        <w:t>报告期末，总资产为</w:t>
      </w:r>
      <w:r>
        <w:rPr>
          <w:spacing w:val="-54"/>
        </w:rPr>
        <w:t> </w:t>
      </w:r>
      <w:r>
        <w:rPr>
          <w:rFonts w:ascii="宋体" w:hAnsi="宋体" w:cs="宋体" w:eastAsia="宋体" w:hint="default"/>
        </w:rPr>
        <w:t>5,979.36</w:t>
      </w:r>
      <w:r>
        <w:rPr>
          <w:rFonts w:ascii="宋体" w:hAnsi="宋体" w:cs="宋体" w:eastAsia="宋体" w:hint="default"/>
          <w:spacing w:val="-57"/>
        </w:rPr>
        <w:t> </w:t>
      </w:r>
      <w:r>
        <w:rPr/>
        <w:t>万元，净资产为</w:t>
      </w:r>
      <w:r>
        <w:rPr>
          <w:spacing w:val="-55"/>
        </w:rPr>
        <w:t> </w:t>
      </w:r>
      <w:r>
        <w:rPr>
          <w:rFonts w:ascii="宋体" w:hAnsi="宋体" w:cs="宋体" w:eastAsia="宋体" w:hint="default"/>
        </w:rPr>
        <w:t>5,218.65</w:t>
      </w:r>
      <w:r>
        <w:rPr>
          <w:rFonts w:ascii="宋体" w:hAnsi="宋体" w:cs="宋体" w:eastAsia="宋体" w:hint="default"/>
          <w:spacing w:val="-57"/>
        </w:rPr>
        <w:t> </w:t>
      </w:r>
      <w:r>
        <w:rPr/>
        <w:t>万元，报告期内，实现营业收入</w:t>
      </w:r>
    </w:p>
    <w:p>
      <w:pPr>
        <w:pStyle w:val="BodyText"/>
        <w:spacing w:line="273" w:lineRule="exact"/>
        <w:ind w:right="0"/>
        <w:jc w:val="left"/>
      </w:pPr>
      <w:r>
        <w:rPr>
          <w:rFonts w:ascii="宋体" w:hAnsi="宋体" w:cs="宋体" w:eastAsia="宋体" w:hint="default"/>
        </w:rPr>
        <w:t>7,142.51</w:t>
      </w:r>
      <w:r>
        <w:rPr>
          <w:rFonts w:ascii="宋体" w:hAnsi="宋体" w:cs="宋体" w:eastAsia="宋体" w:hint="default"/>
          <w:spacing w:val="-56"/>
        </w:rPr>
        <w:t> </w:t>
      </w:r>
      <w:r>
        <w:rPr/>
        <w:t>万元，实现营业利润</w:t>
      </w:r>
      <w:r>
        <w:rPr>
          <w:spacing w:val="-53"/>
        </w:rPr>
        <w:t> </w:t>
      </w:r>
      <w:r>
        <w:rPr>
          <w:rFonts w:ascii="宋体" w:hAnsi="宋体" w:cs="宋体" w:eastAsia="宋体" w:hint="default"/>
        </w:rPr>
        <w:t>5,554.79</w:t>
      </w:r>
      <w:r>
        <w:rPr>
          <w:rFonts w:ascii="宋体" w:hAnsi="宋体" w:cs="宋体" w:eastAsia="宋体" w:hint="default"/>
          <w:spacing w:val="-56"/>
        </w:rPr>
        <w:t> </w:t>
      </w:r>
      <w:r>
        <w:rPr/>
        <w:t>万元，实现净利润</w:t>
      </w:r>
      <w:r>
        <w:rPr>
          <w:spacing w:val="-54"/>
        </w:rPr>
        <w:t> </w:t>
      </w:r>
      <w:r>
        <w:rPr>
          <w:rFonts w:ascii="宋体" w:hAnsi="宋体" w:cs="宋体" w:eastAsia="宋体" w:hint="default"/>
        </w:rPr>
        <w:t>4,720.51</w:t>
      </w:r>
      <w:r>
        <w:rPr>
          <w:rFonts w:ascii="宋体" w:hAnsi="宋体" w:cs="宋体" w:eastAsia="宋体" w:hint="default"/>
          <w:spacing w:val="-54"/>
        </w:rPr>
        <w:t> </w:t>
      </w:r>
      <w:r>
        <w:rPr/>
        <w:t>万元。</w:t>
      </w:r>
    </w:p>
    <w:p>
      <w:pPr>
        <w:pStyle w:val="BodyText"/>
        <w:spacing w:line="390" w:lineRule="atLeast" w:before="4"/>
        <w:ind w:left="558" w:right="0"/>
        <w:jc w:val="left"/>
      </w:pPr>
      <w:r>
        <w:rPr/>
        <w:t>（</w:t>
      </w:r>
      <w:r>
        <w:rPr>
          <w:rFonts w:ascii="宋体" w:hAnsi="宋体" w:cs="宋体" w:eastAsia="宋体" w:hint="default"/>
        </w:rPr>
        <w:t>2</w:t>
      </w:r>
      <w:r>
        <w:rPr/>
        <w:t>）重要的合营企业和联营企业</w:t>
      </w:r>
      <w:r>
        <w:rPr>
          <w:w w:val="100"/>
        </w:rPr>
        <w:t> </w:t>
      </w:r>
      <w:r>
        <w:rPr>
          <w:spacing w:val="-2"/>
        </w:rPr>
        <w:t>公司重要的合营企业和联营企业相关信息详见财务报表附注“在合营企业或联营企业中的权</w:t>
      </w:r>
    </w:p>
    <w:p>
      <w:pPr>
        <w:spacing w:line="343" w:lineRule="auto" w:before="0"/>
        <w:ind w:left="138" w:right="4869" w:firstLine="0"/>
        <w:jc w:val="left"/>
        <w:rPr>
          <w:rFonts w:ascii="宋体" w:hAnsi="宋体" w:cs="宋体" w:eastAsia="宋体" w:hint="default"/>
          <w:sz w:val="21"/>
          <w:szCs w:val="21"/>
        </w:rPr>
      </w:pPr>
      <w:r>
        <w:rPr>
          <w:rFonts w:ascii="宋体" w:hAnsi="宋体" w:cs="宋体" w:eastAsia="宋体" w:hint="default"/>
          <w:sz w:val="21"/>
          <w:szCs w:val="21"/>
        </w:rPr>
        <w:t>益—重要的合营企业或联营企业”。</w:t>
      </w:r>
      <w:r>
        <w:rPr>
          <w:rFonts w:ascii="宋体" w:hAnsi="宋体" w:cs="宋体" w:eastAsia="宋体" w:hint="default"/>
          <w:w w:val="100"/>
          <w:sz w:val="21"/>
          <w:szCs w:val="21"/>
        </w:rPr>
        <w:t> </w:t>
      </w:r>
      <w:r>
        <w:rPr>
          <w:rFonts w:ascii="宋体" w:hAnsi="宋体" w:cs="宋体" w:eastAsia="宋体" w:hint="default"/>
          <w:b/>
          <w:bCs/>
          <w:spacing w:val="-1"/>
          <w:sz w:val="21"/>
          <w:szCs w:val="21"/>
        </w:rPr>
        <w:t>三、公司关于公司未来发展的讨论与分析</w:t>
      </w:r>
      <w:r>
        <w:rPr>
          <w:rFonts w:ascii="宋体" w:hAnsi="宋体" w:cs="宋体" w:eastAsia="宋体" w:hint="default"/>
          <w:b/>
          <w:bCs/>
          <w:spacing w:val="-88"/>
          <w:sz w:val="21"/>
          <w:szCs w:val="21"/>
        </w:rPr>
        <w:t> </w:t>
      </w:r>
      <w:r>
        <w:rPr>
          <w:rFonts w:ascii="宋体" w:hAnsi="宋体" w:cs="宋体" w:eastAsia="宋体" w:hint="default"/>
          <w:b/>
          <w:bCs/>
          <w:spacing w:val="-88"/>
          <w:sz w:val="21"/>
          <w:szCs w:val="21"/>
        </w:rPr>
      </w: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 </w:t>
      </w:r>
      <w:r>
        <w:rPr>
          <w:rFonts w:ascii="Calibri" w:hAnsi="Calibri" w:cs="Calibri" w:eastAsia="Calibri" w:hint="default"/>
          <w:b/>
          <w:bCs/>
          <w:spacing w:val="43"/>
          <w:sz w:val="21"/>
          <w:szCs w:val="21"/>
        </w:rPr>
        <w:t> </w:t>
      </w:r>
      <w:r>
        <w:rPr>
          <w:rFonts w:ascii="宋体" w:hAnsi="宋体" w:cs="宋体" w:eastAsia="宋体" w:hint="default"/>
          <w:b/>
          <w:bCs/>
          <w:sz w:val="21"/>
          <w:szCs w:val="21"/>
        </w:rPr>
        <w:t>行业竞争格局和发展趋势</w:t>
      </w:r>
      <w:r>
        <w:rPr>
          <w:rFonts w:ascii="宋体" w:hAnsi="宋体" w:cs="宋体" w:eastAsia="宋体" w:hint="default"/>
          <w:sz w:val="21"/>
          <w:szCs w:val="21"/>
        </w:rPr>
      </w:r>
    </w:p>
    <w:p>
      <w:pPr>
        <w:pStyle w:val="BodyText"/>
        <w:spacing w:line="254" w:lineRule="exact"/>
        <w:ind w:left="558" w:right="0"/>
        <w:jc w:val="left"/>
      </w:pPr>
      <w:r>
        <w:rPr/>
        <w:t>目前，经济增长乏力成为全球经济新常态，并存在着诸多不稳定、不确定因素。我国经济下</w:t>
      </w:r>
    </w:p>
    <w:p>
      <w:pPr>
        <w:pStyle w:val="BodyText"/>
        <w:spacing w:line="272" w:lineRule="exact" w:before="27"/>
        <w:ind w:right="0"/>
        <w:jc w:val="left"/>
      </w:pPr>
      <w:r>
        <w:rPr>
          <w:spacing w:val="-6"/>
        </w:rPr>
        <w:t>行压力持续加重，国内经济转型和结构调整正处在关键时期，受此影响，港口货源市场增幅收窄，</w:t>
      </w:r>
      <w:r>
        <w:rPr>
          <w:spacing w:val="-54"/>
        </w:rPr>
        <w:t> </w:t>
      </w:r>
      <w:r>
        <w:rPr>
          <w:spacing w:val="-54"/>
        </w:rPr>
      </w:r>
      <w:r>
        <w:rPr/>
        <w:t>进入低速增长阶段，港航业争夺市场、比拼服务的竞争日益激烈。</w:t>
      </w:r>
    </w:p>
    <w:p>
      <w:pPr>
        <w:pStyle w:val="BodyText"/>
        <w:spacing w:line="237" w:lineRule="auto" w:before="94"/>
        <w:ind w:right="137" w:firstLine="419"/>
        <w:jc w:val="both"/>
      </w:pPr>
      <w:r>
        <w:rPr>
          <w:spacing w:val="-2"/>
        </w:rPr>
        <w:t>从腹地区域经济环境看，受到传统经济结构和发展方式制约，</w:t>
      </w:r>
      <w:r>
        <w:rPr>
          <w:rFonts w:ascii="宋体" w:hAnsi="宋体" w:cs="宋体" w:eastAsia="宋体" w:hint="default"/>
          <w:spacing w:val="-2"/>
        </w:rPr>
        <w:t>2015</w:t>
      </w:r>
      <w:r>
        <w:rPr>
          <w:spacing w:val="-2"/>
        </w:rPr>
        <w:t>年东北三省经济增长率排</w:t>
      </w:r>
      <w:r>
        <w:rPr>
          <w:w w:val="100"/>
        </w:rPr>
        <w:t> </w:t>
      </w:r>
      <w:r>
        <w:rPr>
          <w:spacing w:val="-2"/>
        </w:rPr>
        <w:t>名全国靠后，经济发展动力不足。从货源结构看，区域内油品、粮食、矿石等大宗货种受经济发</w:t>
      </w:r>
      <w:r>
        <w:rPr>
          <w:spacing w:val="-25"/>
        </w:rPr>
        <w:t> </w:t>
      </w:r>
      <w:r>
        <w:rPr>
          <w:spacing w:val="-25"/>
        </w:rPr>
      </w:r>
      <w:r>
        <w:rPr>
          <w:spacing w:val="-2"/>
        </w:rPr>
        <w:t>展影响较大，从而造成部分港口吞吐量同比有所下降。与此同时，随着国家“一带一路”战略、</w:t>
      </w:r>
      <w:r>
        <w:rPr>
          <w:spacing w:val="-25"/>
        </w:rPr>
        <w:t> </w:t>
      </w:r>
      <w:r>
        <w:rPr>
          <w:spacing w:val="-25"/>
        </w:rPr>
      </w:r>
      <w:r>
        <w:rPr>
          <w:spacing w:val="-2"/>
        </w:rPr>
        <w:t>新一轮支持东北振兴重大政策红利的的逐步落实，将对腹地地区经济发展带来有利契机，给环渤</w:t>
      </w:r>
      <w:r>
        <w:rPr>
          <w:spacing w:val="-25"/>
        </w:rPr>
        <w:t> </w:t>
      </w:r>
      <w:r>
        <w:rPr>
          <w:spacing w:val="-25"/>
        </w:rPr>
      </w:r>
      <w:r>
        <w:rPr/>
        <w:t>海经济圈各港口带来潜在货源支撑。</w:t>
      </w:r>
    </w:p>
    <w:p>
      <w:pPr>
        <w:pStyle w:val="Heading2"/>
        <w:spacing w:line="240" w:lineRule="auto" w:before="119"/>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公司发展战略</w:t>
      </w:r>
      <w:r>
        <w:rPr>
          <w:b w:val="0"/>
          <w:bCs w:val="0"/>
        </w:rPr>
      </w:r>
    </w:p>
    <w:p>
      <w:pPr>
        <w:pStyle w:val="BodyText"/>
        <w:spacing w:line="235" w:lineRule="auto" w:before="94"/>
        <w:ind w:right="127" w:firstLine="419"/>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42"/>
        </w:rPr>
        <w:t> </w:t>
      </w:r>
      <w:r>
        <w:rPr>
          <w:spacing w:val="-3"/>
        </w:rPr>
        <w:t>年是“十三五”开局之年，公司要立足于稳、践行于质、落实于增，坚定信心、勇于担</w:t>
      </w:r>
      <w:r>
        <w:rPr>
          <w:w w:val="100"/>
        </w:rPr>
        <w:t> </w:t>
      </w:r>
      <w:r>
        <w:rPr>
          <w:spacing w:val="-1"/>
        </w:rPr>
        <w:t>当，千方百计确保公司效益不失速、发展稳着陆。公司制定的战略目标：加大招商引资，发展临</w:t>
      </w:r>
      <w:r>
        <w:rPr>
          <w:spacing w:val="-55"/>
        </w:rPr>
        <w:t> </w:t>
      </w:r>
      <w:r>
        <w:rPr>
          <w:spacing w:val="-55"/>
        </w:rPr>
      </w:r>
      <w:r>
        <w:rPr>
          <w:spacing w:val="-6"/>
        </w:rPr>
        <w:t>港产业，打造高回报率、高附加值、高技术含量的新型盈利业务和特色优势项目；深耕全程物流，</w:t>
      </w:r>
      <w:r>
        <w:rPr>
          <w:spacing w:val="-51"/>
        </w:rPr>
        <w:t> </w:t>
      </w:r>
      <w:r>
        <w:rPr>
          <w:spacing w:val="-51"/>
        </w:rPr>
      </w:r>
      <w:r>
        <w:rPr>
          <w:spacing w:val="-1"/>
        </w:rPr>
        <w:t>从单纯码头装卸服务向全程物流转变，从单一吞吐量增长驱动向复合型多核驱动转变；加强内贸</w:t>
      </w:r>
      <w:r>
        <w:rPr>
          <w:spacing w:val="-56"/>
        </w:rPr>
        <w:t> </w:t>
      </w:r>
      <w:r>
        <w:rPr>
          <w:spacing w:val="-56"/>
        </w:rPr>
      </w:r>
      <w:r>
        <w:rPr/>
        <w:t>集装箱发展，重在保量、增量。</w:t>
      </w:r>
    </w:p>
    <w:p>
      <w:pPr>
        <w:pStyle w:val="Heading2"/>
        <w:spacing w:line="240" w:lineRule="auto" w:before="119"/>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经营计划</w:t>
      </w:r>
      <w:r>
        <w:rPr>
          <w:b w:val="0"/>
          <w:bCs w:val="0"/>
        </w:rPr>
      </w:r>
    </w:p>
    <w:p>
      <w:pPr>
        <w:pStyle w:val="BodyText"/>
        <w:spacing w:line="237" w:lineRule="auto" w:before="92"/>
        <w:ind w:right="127" w:firstLine="419"/>
        <w:jc w:val="right"/>
      </w:pPr>
      <w:r>
        <w:rPr>
          <w:spacing w:val="-2"/>
        </w:rPr>
        <w:t>报告期内，公司生产经营面临严峻形势，受到货源结构的制约和日益激烈的市场竞争环境影</w:t>
      </w:r>
      <w:r>
        <w:rPr>
          <w:w w:val="100"/>
        </w:rPr>
        <w:t> </w:t>
      </w:r>
      <w:r>
        <w:rPr>
          <w:spacing w:val="-3"/>
        </w:rPr>
        <w:t>响，主要大宗货源品种吞吐量下跌对公司经营造成了较为严重的影响。</w:t>
      </w:r>
      <w:r>
        <w:rPr>
          <w:rFonts w:ascii="宋体" w:hAnsi="宋体" w:cs="宋体" w:eastAsia="宋体" w:hint="default"/>
          <w:spacing w:val="-3"/>
        </w:rPr>
        <w:t>2015</w:t>
      </w:r>
      <w:r>
        <w:rPr>
          <w:rFonts w:ascii="宋体" w:hAnsi="宋体" w:cs="宋体" w:eastAsia="宋体" w:hint="default"/>
          <w:spacing w:val="29"/>
        </w:rPr>
        <w:t> </w:t>
      </w:r>
      <w:r>
        <w:rPr>
          <w:spacing w:val="-3"/>
        </w:rPr>
        <w:t>年度，公司计划营业</w:t>
      </w:r>
      <w:r>
        <w:rPr>
          <w:w w:val="100"/>
        </w:rPr>
        <w:t> </w:t>
      </w:r>
      <w:r>
        <w:rPr/>
        <w:t>收入为</w:t>
      </w:r>
      <w:r>
        <w:rPr>
          <w:spacing w:val="-55"/>
        </w:rPr>
        <w:t> </w:t>
      </w:r>
      <w:r>
        <w:rPr>
          <w:rFonts w:ascii="宋体" w:hAnsi="宋体" w:cs="宋体" w:eastAsia="宋体" w:hint="default"/>
        </w:rPr>
        <w:t>274,994</w:t>
      </w:r>
      <w:r>
        <w:rPr>
          <w:rFonts w:ascii="宋体" w:hAnsi="宋体" w:cs="宋体" w:eastAsia="宋体" w:hint="default"/>
          <w:spacing w:val="-57"/>
        </w:rPr>
        <w:t> </w:t>
      </w:r>
      <w:r>
        <w:rPr/>
        <w:t>万元，报告期内实际完成营业收入</w:t>
      </w:r>
      <w:r>
        <w:rPr>
          <w:spacing w:val="-57"/>
        </w:rPr>
        <w:t> </w:t>
      </w:r>
      <w:r>
        <w:rPr>
          <w:rFonts w:ascii="宋体" w:hAnsi="宋体" w:cs="宋体" w:eastAsia="宋体" w:hint="default"/>
        </w:rPr>
        <w:t>180,554.94</w:t>
      </w:r>
      <w:r>
        <w:rPr>
          <w:rFonts w:ascii="宋体" w:hAnsi="宋体" w:cs="宋体" w:eastAsia="宋体" w:hint="default"/>
          <w:spacing w:val="-55"/>
        </w:rPr>
        <w:t> </w:t>
      </w:r>
      <w:r>
        <w:rPr/>
        <w:t>万元，完成年度计划的</w:t>
      </w:r>
      <w:r>
        <w:rPr>
          <w:spacing w:val="-54"/>
        </w:rPr>
        <w:t> </w:t>
      </w:r>
      <w:r>
        <w:rPr>
          <w:rFonts w:ascii="宋体" w:hAnsi="宋体" w:cs="宋体" w:eastAsia="宋体" w:hint="default"/>
        </w:rPr>
        <w:t>65.66%</w:t>
      </w:r>
      <w:r>
        <w:rPr/>
        <w:t>。</w:t>
      </w:r>
    </w:p>
    <w:p>
      <w:pPr>
        <w:pStyle w:val="BodyText"/>
        <w:spacing w:line="272" w:lineRule="exact" w:before="146"/>
        <w:ind w:right="127" w:firstLine="419"/>
        <w:jc w:val="both"/>
      </w:pPr>
      <w:r>
        <w:rPr>
          <w:rFonts w:ascii="宋体" w:hAnsi="宋体" w:cs="宋体" w:eastAsia="宋体" w:hint="default"/>
          <w:spacing w:val="-4"/>
        </w:rPr>
        <w:t>1</w:t>
      </w:r>
      <w:r>
        <w:rPr>
          <w:spacing w:val="-4"/>
        </w:rPr>
        <w:t>、抓好港口主营业务，积极发展临港产业。加强与政府联动，加大招商引资力度，在港口产</w:t>
      </w:r>
      <w:r>
        <w:rPr>
          <w:w w:val="100"/>
        </w:rPr>
        <w:t> </w:t>
      </w:r>
      <w:r>
        <w:rPr>
          <w:spacing w:val="3"/>
        </w:rPr>
        <w:t>业链上下游寻找合作机会，推动层次丰富、领域多元的战略合作，打造高回报率、高附加值、</w:t>
      </w:r>
    </w:p>
    <w:p>
      <w:pPr>
        <w:pStyle w:val="BodyText"/>
        <w:spacing w:line="272" w:lineRule="exact" w:before="1"/>
        <w:ind w:right="0"/>
        <w:jc w:val="left"/>
      </w:pPr>
      <w:r>
        <w:rPr>
          <w:spacing w:val="3"/>
        </w:rPr>
        <w:t>高技术含量的新型盈利业务和特色优势项目。加大内贸集装箱发展，推进一、二期集装箱码头</w:t>
      </w:r>
      <w:r>
        <w:rPr>
          <w:spacing w:val="-16"/>
        </w:rPr>
        <w:t> </w:t>
      </w:r>
      <w:r>
        <w:rPr>
          <w:spacing w:val="-16"/>
        </w:rPr>
      </w:r>
      <w:r>
        <w:rPr>
          <w:spacing w:val="-1"/>
        </w:rPr>
        <w:t>整合，提高港口集装箱核心竞争力。积极寻找港口与“一带一路”建设的最佳契合点，全力推进</w:t>
      </w:r>
    </w:p>
    <w:p>
      <w:pPr>
        <w:pStyle w:val="BodyText"/>
        <w:spacing w:line="272" w:lineRule="exact" w:before="1"/>
        <w:ind w:right="124"/>
        <w:jc w:val="both"/>
      </w:pPr>
      <w:r>
        <w:rPr>
          <w:spacing w:val="-1"/>
        </w:rPr>
        <w:t>以跨境物流为引领的中蒙俄经济走廊建设，助推锦州港成为中蒙铁路新通道出海口。市场开发继</w:t>
      </w:r>
      <w:r>
        <w:rPr>
          <w:spacing w:val="-55"/>
        </w:rPr>
        <w:t> </w:t>
      </w:r>
      <w:r>
        <w:rPr>
          <w:spacing w:val="-55"/>
        </w:rPr>
      </w:r>
      <w:r>
        <w:rPr>
          <w:spacing w:val="-1"/>
        </w:rPr>
        <w:t>续稳老拓新，加大货源承揽力度，创新市场开发模式，为客户提供全方位的一体化产业链上的物</w:t>
      </w:r>
      <w:r>
        <w:rPr>
          <w:spacing w:val="-55"/>
        </w:rPr>
        <w:t> </w:t>
      </w:r>
      <w:r>
        <w:rPr>
          <w:spacing w:val="-55"/>
        </w:rPr>
      </w:r>
      <w:r>
        <w:rPr>
          <w:spacing w:val="5"/>
        </w:rPr>
        <w:t>流服务，实现产业链上各种资源、各个参与者的无缝对接。</w:t>
      </w:r>
      <w:r>
        <w:rPr>
          <w:rFonts w:ascii="宋体" w:hAnsi="宋体" w:cs="宋体" w:eastAsia="宋体" w:hint="default"/>
          <w:spacing w:val="5"/>
        </w:rPr>
        <w:t>2016</w:t>
      </w:r>
      <w:r>
        <w:rPr>
          <w:rFonts w:ascii="宋体" w:hAnsi="宋体" w:cs="宋体" w:eastAsia="宋体" w:hint="default"/>
          <w:spacing w:val="97"/>
        </w:rPr>
        <w:t> </w:t>
      </w:r>
      <w:r>
        <w:rPr>
          <w:spacing w:val="6"/>
        </w:rPr>
        <w:t>年，公司计划实现营业收入</w:t>
      </w:r>
      <w:r>
        <w:rPr/>
      </w:r>
    </w:p>
    <w:p>
      <w:pPr>
        <w:pStyle w:val="BodyText"/>
        <w:spacing w:line="249" w:lineRule="exact"/>
        <w:ind w:right="0"/>
        <w:jc w:val="left"/>
      </w:pPr>
      <w:r>
        <w:rPr>
          <w:rFonts w:ascii="宋体" w:hAnsi="宋体" w:cs="宋体" w:eastAsia="宋体" w:hint="default"/>
        </w:rPr>
        <w:t>238,013.98</w:t>
      </w:r>
      <w:r>
        <w:rPr>
          <w:rFonts w:ascii="宋体" w:hAnsi="宋体" w:cs="宋体" w:eastAsia="宋体" w:hint="default"/>
          <w:spacing w:val="-54"/>
        </w:rPr>
        <w:t> </w:t>
      </w:r>
      <w:r>
        <w:rPr/>
        <w:t>万元，营业成本</w:t>
      </w:r>
      <w:r>
        <w:rPr>
          <w:spacing w:val="-53"/>
        </w:rPr>
        <w:t> </w:t>
      </w:r>
      <w:r>
        <w:rPr>
          <w:rFonts w:ascii="宋体" w:hAnsi="宋体" w:cs="宋体" w:eastAsia="宋体" w:hint="default"/>
        </w:rPr>
        <w:t>195,977.77</w:t>
      </w:r>
      <w:r>
        <w:rPr>
          <w:rFonts w:ascii="宋体" w:hAnsi="宋体" w:cs="宋体" w:eastAsia="宋体" w:hint="default"/>
          <w:spacing w:val="-56"/>
        </w:rPr>
        <w:t> </w:t>
      </w:r>
      <w:r>
        <w:rPr/>
        <w:t>万元。</w:t>
      </w:r>
    </w:p>
    <w:p>
      <w:pPr>
        <w:pStyle w:val="BodyText"/>
        <w:spacing w:line="240" w:lineRule="auto" w:before="116"/>
        <w:ind w:right="128" w:firstLine="472"/>
        <w:jc w:val="both"/>
      </w:pPr>
      <w:r>
        <w:rPr>
          <w:rFonts w:ascii="宋体" w:hAnsi="宋体" w:cs="宋体" w:eastAsia="宋体" w:hint="default"/>
          <w:spacing w:val="-5"/>
        </w:rPr>
        <w:t>2</w:t>
      </w:r>
      <w:r>
        <w:rPr>
          <w:spacing w:val="-5"/>
        </w:rPr>
        <w:t>、继续夯实发展基础，完善港口功能。</w:t>
      </w:r>
      <w:r>
        <w:rPr>
          <w:rFonts w:ascii="宋体" w:hAnsi="宋体" w:cs="宋体" w:eastAsia="宋体" w:hint="default"/>
          <w:spacing w:val="-5"/>
        </w:rPr>
        <w:t>2015</w:t>
      </w:r>
      <w:r>
        <w:rPr>
          <w:rFonts w:ascii="宋体" w:hAnsi="宋体" w:cs="宋体" w:eastAsia="宋体" w:hint="default"/>
          <w:spacing w:val="-38"/>
        </w:rPr>
        <w:t> </w:t>
      </w:r>
      <w:r>
        <w:rPr/>
        <w:t>年完成港口建设投资</w:t>
      </w:r>
      <w:r>
        <w:rPr>
          <w:spacing w:val="-39"/>
        </w:rPr>
        <w:t> </w:t>
      </w:r>
      <w:r>
        <w:rPr>
          <w:rFonts w:ascii="宋体" w:hAnsi="宋体" w:cs="宋体" w:eastAsia="宋体" w:hint="default"/>
        </w:rPr>
        <w:t>3.81</w:t>
      </w:r>
      <w:r>
        <w:rPr>
          <w:rFonts w:ascii="宋体" w:hAnsi="宋体" w:cs="宋体" w:eastAsia="宋体" w:hint="default"/>
          <w:spacing w:val="-42"/>
        </w:rPr>
        <w:t> </w:t>
      </w:r>
      <w:r>
        <w:rPr>
          <w:spacing w:val="-4"/>
        </w:rPr>
        <w:t>亿元，完成年初计划</w:t>
      </w:r>
      <w:r>
        <w:rPr>
          <w:w w:val="100"/>
        </w:rPr>
        <w:t> </w:t>
      </w:r>
      <w:r>
        <w:rPr/>
        <w:t>总额的</w:t>
      </w:r>
      <w:r>
        <w:rPr>
          <w:spacing w:val="20"/>
        </w:rPr>
        <w:t> </w:t>
      </w:r>
      <w:r>
        <w:rPr>
          <w:rFonts w:ascii="宋体" w:hAnsi="宋体" w:cs="宋体" w:eastAsia="宋体" w:hint="default"/>
          <w:spacing w:val="-3"/>
        </w:rPr>
        <w:t>124.5%</w:t>
      </w:r>
      <w:r>
        <w:rPr>
          <w:spacing w:val="-3"/>
        </w:rPr>
        <w:t>。主要完成了西部海域变更段及南防波堤、西部港区排水（锦州施工段）等计划内</w:t>
      </w:r>
    </w:p>
    <w:p>
      <w:pPr>
        <w:spacing w:after="0" w:line="240"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237" w:lineRule="auto" w:before="38"/>
        <w:ind w:right="106"/>
        <w:jc w:val="left"/>
      </w:pPr>
      <w:r>
        <w:rPr/>
        <w:t>项目和</w:t>
      </w:r>
      <w:r>
        <w:rPr>
          <w:spacing w:val="-35"/>
        </w:rPr>
        <w:t> </w:t>
      </w:r>
      <w:r>
        <w:rPr>
          <w:rFonts w:ascii="宋体" w:hAnsi="宋体" w:cs="宋体" w:eastAsia="宋体" w:hint="default"/>
        </w:rPr>
        <w:t>2014</w:t>
      </w:r>
      <w:r>
        <w:rPr>
          <w:rFonts w:ascii="宋体" w:hAnsi="宋体" w:cs="宋体" w:eastAsia="宋体" w:hint="default"/>
          <w:spacing w:val="-35"/>
        </w:rPr>
        <w:t> </w:t>
      </w:r>
      <w:r>
        <w:rPr>
          <w:spacing w:val="-5"/>
        </w:rPr>
        <w:t>年结转至本报告期内的油品罐区工程（一期二期）、三港池东岸区通用泊位、生产调</w:t>
      </w:r>
      <w:r>
        <w:rPr>
          <w:spacing w:val="-62"/>
        </w:rPr>
        <w:t> </w:t>
      </w:r>
      <w:r>
        <w:rPr>
          <w:spacing w:val="-62"/>
        </w:rPr>
      </w:r>
      <w:r>
        <w:rPr/>
        <w:t>度指挥中心工程等工程；</w:t>
      </w:r>
      <w:r>
        <w:rPr>
          <w:rFonts w:ascii="宋体" w:hAnsi="宋体" w:cs="宋体" w:eastAsia="宋体" w:hint="default"/>
        </w:rPr>
        <w:t>2016</w:t>
      </w:r>
      <w:r>
        <w:rPr>
          <w:rFonts w:ascii="宋体" w:hAnsi="宋体" w:cs="宋体" w:eastAsia="宋体" w:hint="default"/>
          <w:spacing w:val="-55"/>
        </w:rPr>
        <w:t> </w:t>
      </w:r>
      <w:r>
        <w:rPr/>
        <w:t>年，公司港建年度计划总投资额为</w:t>
      </w:r>
      <w:r>
        <w:rPr>
          <w:spacing w:val="-55"/>
        </w:rPr>
        <w:t> </w:t>
      </w:r>
      <w:r>
        <w:rPr>
          <w:rFonts w:ascii="宋体" w:hAnsi="宋体" w:cs="宋体" w:eastAsia="宋体" w:hint="default"/>
        </w:rPr>
        <w:t>83,586</w:t>
      </w:r>
      <w:r>
        <w:rPr>
          <w:rFonts w:ascii="宋体" w:hAnsi="宋体" w:cs="宋体" w:eastAsia="宋体" w:hint="default"/>
          <w:spacing w:val="-55"/>
        </w:rPr>
        <w:t> </w:t>
      </w:r>
      <w:r>
        <w:rPr/>
        <w:t>万元，其中：新建工程</w:t>
      </w:r>
      <w:r>
        <w:rPr>
          <w:w w:val="100"/>
        </w:rPr>
        <w:t> </w:t>
      </w:r>
      <w:r>
        <w:rPr/>
        <w:t>投资</w:t>
      </w:r>
      <w:r>
        <w:rPr>
          <w:spacing w:val="-53"/>
        </w:rPr>
        <w:t> </w:t>
      </w:r>
      <w:r>
        <w:rPr>
          <w:rFonts w:ascii="宋体" w:hAnsi="宋体" w:cs="宋体" w:eastAsia="宋体" w:hint="default"/>
        </w:rPr>
        <w:t>20,540</w:t>
      </w:r>
      <w:r>
        <w:rPr>
          <w:rFonts w:ascii="宋体" w:hAnsi="宋体" w:cs="宋体" w:eastAsia="宋体" w:hint="default"/>
          <w:spacing w:val="-53"/>
        </w:rPr>
        <w:t> </w:t>
      </w:r>
      <w:r>
        <w:rPr/>
        <w:t>万元；续建工程投资</w:t>
      </w:r>
      <w:r>
        <w:rPr>
          <w:spacing w:val="-52"/>
        </w:rPr>
        <w:t> </w:t>
      </w:r>
      <w:r>
        <w:rPr>
          <w:rFonts w:ascii="宋体" w:hAnsi="宋体" w:cs="宋体" w:eastAsia="宋体" w:hint="default"/>
        </w:rPr>
        <w:t>37,700</w:t>
      </w:r>
      <w:r>
        <w:rPr>
          <w:rFonts w:ascii="宋体" w:hAnsi="宋体" w:cs="宋体" w:eastAsia="宋体" w:hint="default"/>
          <w:spacing w:val="-55"/>
        </w:rPr>
        <w:t> </w:t>
      </w:r>
      <w:r>
        <w:rPr/>
        <w:t>万元；项目前期费</w:t>
      </w:r>
      <w:r>
        <w:rPr>
          <w:spacing w:val="-53"/>
        </w:rPr>
        <w:t> </w:t>
      </w:r>
      <w:r>
        <w:rPr>
          <w:rFonts w:ascii="宋体" w:hAnsi="宋体" w:cs="宋体" w:eastAsia="宋体" w:hint="default"/>
        </w:rPr>
        <w:t>700</w:t>
      </w:r>
      <w:r>
        <w:rPr>
          <w:rFonts w:ascii="宋体" w:hAnsi="宋体" w:cs="宋体" w:eastAsia="宋体" w:hint="default"/>
          <w:spacing w:val="-55"/>
        </w:rPr>
        <w:t> </w:t>
      </w:r>
      <w:r>
        <w:rPr/>
        <w:t>万元；备用金项目</w:t>
      </w:r>
      <w:r>
        <w:rPr>
          <w:spacing w:val="-52"/>
        </w:rPr>
        <w:t> </w:t>
      </w:r>
      <w:r>
        <w:rPr>
          <w:rFonts w:ascii="宋体" w:hAnsi="宋体" w:cs="宋体" w:eastAsia="宋体" w:hint="default"/>
        </w:rPr>
        <w:t>24,646</w:t>
      </w:r>
      <w:r>
        <w:rPr>
          <w:rFonts w:ascii="宋体" w:hAnsi="宋体" w:cs="宋体" w:eastAsia="宋体" w:hint="default"/>
          <w:spacing w:val="-50"/>
        </w:rPr>
        <w:t> </w:t>
      </w:r>
      <w:r>
        <w:rPr/>
        <w:t>万元。</w:t>
      </w:r>
    </w:p>
    <w:p>
      <w:pPr>
        <w:pStyle w:val="BodyText"/>
        <w:spacing w:line="237" w:lineRule="auto" w:before="1"/>
        <w:ind w:right="104"/>
        <w:jc w:val="left"/>
      </w:pPr>
      <w:r>
        <w:rPr>
          <w:rFonts w:ascii="宋体" w:hAnsi="宋体" w:cs="宋体" w:eastAsia="宋体" w:hint="default"/>
        </w:rPr>
        <w:t>2016</w:t>
      </w:r>
      <w:r>
        <w:rPr>
          <w:rFonts w:ascii="宋体" w:hAnsi="宋体" w:cs="宋体" w:eastAsia="宋体" w:hint="default"/>
          <w:spacing w:val="-38"/>
        </w:rPr>
        <w:t> </w:t>
      </w:r>
      <w:r>
        <w:rPr>
          <w:spacing w:val="-5"/>
        </w:rPr>
        <w:t>年新建项目主要包括：库场升级改造；</w:t>
      </w:r>
      <w:r>
        <w:rPr>
          <w:rFonts w:ascii="宋体" w:hAnsi="宋体" w:cs="宋体" w:eastAsia="宋体" w:hint="default"/>
          <w:spacing w:val="-5"/>
        </w:rPr>
        <w:t>105</w:t>
      </w:r>
      <w:r>
        <w:rPr>
          <w:spacing w:val="-5"/>
        </w:rPr>
        <w:t>、</w:t>
      </w:r>
      <w:r>
        <w:rPr>
          <w:rFonts w:ascii="宋体" w:hAnsi="宋体" w:cs="宋体" w:eastAsia="宋体" w:hint="default"/>
          <w:spacing w:val="-5"/>
        </w:rPr>
        <w:t>106</w:t>
      </w:r>
      <w:r>
        <w:rPr>
          <w:rFonts w:ascii="宋体" w:hAnsi="宋体" w:cs="宋体" w:eastAsia="宋体" w:hint="default"/>
          <w:spacing w:val="-34"/>
        </w:rPr>
        <w:t> </w:t>
      </w:r>
      <w:r>
        <w:rPr>
          <w:spacing w:val="-3"/>
        </w:rPr>
        <w:t>杂货码头改成油码头工程；锦州港保税物流</w:t>
      </w:r>
      <w:r>
        <w:rPr>
          <w:spacing w:val="-64"/>
        </w:rPr>
        <w:t> </w:t>
      </w:r>
      <w:r>
        <w:rPr>
          <w:spacing w:val="-64"/>
        </w:rPr>
      </w:r>
      <w:r>
        <w:rPr/>
        <w:t>中心建设项目。续建工程主要包括：西部海域；罐区（二期）工程。备用金项目主要包括：</w:t>
      </w:r>
      <w:r>
        <w:rPr>
          <w:rFonts w:ascii="宋体" w:hAnsi="宋体" w:cs="宋体" w:eastAsia="宋体" w:hint="default"/>
        </w:rPr>
        <w:t>502B</w:t>
      </w:r>
      <w:r>
        <w:rPr>
          <w:rFonts w:ascii="宋体" w:hAnsi="宋体" w:cs="宋体" w:eastAsia="宋体" w:hint="default"/>
          <w:w w:val="100"/>
        </w:rPr>
        <w:t> </w:t>
      </w:r>
      <w:r>
        <w:rPr/>
        <w:t>泊位升级；双向通航航标及</w:t>
      </w:r>
      <w:r>
        <w:rPr>
          <w:spacing w:val="-52"/>
        </w:rPr>
        <w:t> </w:t>
      </w:r>
      <w:r>
        <w:rPr>
          <w:rFonts w:ascii="宋体" w:hAnsi="宋体" w:cs="宋体" w:eastAsia="宋体" w:hint="default"/>
        </w:rPr>
        <w:t>15</w:t>
      </w:r>
      <w:r>
        <w:rPr>
          <w:rFonts w:ascii="宋体" w:hAnsi="宋体" w:cs="宋体" w:eastAsia="宋体" w:hint="default"/>
          <w:spacing w:val="-54"/>
        </w:rPr>
        <w:t> </w:t>
      </w:r>
      <w:r>
        <w:rPr/>
        <w:t>万吨级航道导助航设施；四港池南围堰；三港池东围堰补填项目；</w:t>
      </w:r>
      <w:r>
        <w:rPr>
          <w:w w:val="100"/>
        </w:rPr>
        <w:t> </w:t>
      </w:r>
      <w:r>
        <w:rPr/>
        <w:t>港二路与港三路贯通处、港三路道路工程；港二路港三路新增跨桥工程。</w:t>
      </w:r>
    </w:p>
    <w:p>
      <w:pPr>
        <w:pStyle w:val="BodyText"/>
        <w:spacing w:line="235" w:lineRule="auto" w:before="124"/>
        <w:ind w:right="207" w:firstLine="419"/>
        <w:jc w:val="both"/>
      </w:pPr>
      <w:r>
        <w:rPr>
          <w:rFonts w:ascii="宋体" w:hAnsi="宋体" w:cs="宋体" w:eastAsia="宋体" w:hint="default"/>
          <w:spacing w:val="-4"/>
        </w:rPr>
        <w:t>3</w:t>
      </w:r>
      <w:r>
        <w:rPr>
          <w:spacing w:val="-4"/>
        </w:rPr>
        <w:t>、继续夯实企业管理，努力实现由要素驱动向创新驱动转型。一是风控管理：管控风险、平</w:t>
      </w:r>
      <w:r>
        <w:rPr>
          <w:w w:val="100"/>
        </w:rPr>
        <w:t> </w:t>
      </w:r>
      <w:r>
        <w:rPr/>
        <w:t>安运行是公司</w:t>
      </w:r>
      <w:r>
        <w:rPr>
          <w:spacing w:val="-23"/>
        </w:rPr>
        <w:t> </w:t>
      </w:r>
      <w:r>
        <w:rPr>
          <w:rFonts w:ascii="宋体" w:hAnsi="宋体" w:cs="宋体" w:eastAsia="宋体" w:hint="default"/>
        </w:rPr>
        <w:t>2016</w:t>
      </w:r>
      <w:r>
        <w:rPr>
          <w:rFonts w:ascii="宋体" w:hAnsi="宋体" w:cs="宋体" w:eastAsia="宋体" w:hint="default"/>
          <w:spacing w:val="-26"/>
        </w:rPr>
        <w:t> </w:t>
      </w:r>
      <w:r>
        <w:rPr>
          <w:spacing w:val="-5"/>
        </w:rPr>
        <w:t>年管理工作第一要务；二是公司治理：要树立“合规创造价值”意识，强化公</w:t>
      </w:r>
      <w:r>
        <w:rPr>
          <w:spacing w:val="-93"/>
        </w:rPr>
        <w:t> </w:t>
      </w:r>
      <w:r>
        <w:rPr>
          <w:spacing w:val="-93"/>
        </w:rPr>
      </w:r>
      <w:r>
        <w:rPr>
          <w:spacing w:val="-2"/>
        </w:rPr>
        <w:t>司治理和内部控制建设，提高公司品牌价值，提升公司无形资产，增强持续竞争力；三是财务管</w:t>
      </w:r>
      <w:r>
        <w:rPr>
          <w:spacing w:val="-25"/>
        </w:rPr>
        <w:t> </w:t>
      </w:r>
      <w:r>
        <w:rPr>
          <w:spacing w:val="-25"/>
        </w:rPr>
      </w:r>
      <w:r>
        <w:rPr/>
        <w:t>理</w:t>
      </w:r>
      <w:r>
        <w:rPr>
          <w:rFonts w:ascii="宋体" w:hAnsi="宋体" w:cs="宋体" w:eastAsia="宋体" w:hint="default"/>
        </w:rPr>
        <w:t>:</w:t>
      </w:r>
      <w:r>
        <w:rPr>
          <w:rFonts w:ascii="宋体" w:hAnsi="宋体" w:cs="宋体" w:eastAsia="宋体" w:hint="default"/>
          <w:spacing w:val="-4"/>
        </w:rPr>
        <w:t> </w:t>
      </w:r>
      <w:r>
        <w:rPr/>
        <w:t>一方面要优化筹资方案，降低融资成本、改善债务结构；另一方面要加强风险管控，强化资</w:t>
      </w:r>
      <w:r>
        <w:rPr>
          <w:w w:val="100"/>
        </w:rPr>
        <w:t> </w:t>
      </w:r>
      <w:r>
        <w:rPr>
          <w:spacing w:val="-3"/>
        </w:rPr>
        <w:t>产管理、维护资产安全，</w:t>
      </w:r>
      <w:r>
        <w:rPr>
          <w:rFonts w:ascii="Times New Roman" w:hAnsi="Times New Roman" w:cs="Times New Roman" w:eastAsia="Times New Roman" w:hint="default"/>
          <w:spacing w:val="-3"/>
        </w:rPr>
        <w:t>2016 </w:t>
      </w:r>
      <w:r>
        <w:rPr>
          <w:spacing w:val="-3"/>
        </w:rPr>
        <w:t>年，公司将通过银行信贷、银行间市场融资等渠道，继续合理利用</w:t>
      </w:r>
      <w:r>
        <w:rPr>
          <w:spacing w:val="-73"/>
        </w:rPr>
        <w:t> </w:t>
      </w:r>
      <w:r>
        <w:rPr>
          <w:spacing w:val="-73"/>
        </w:rPr>
      </w:r>
      <w:r>
        <w:rPr>
          <w:spacing w:val="-2"/>
        </w:rPr>
        <w:t>资金，降低融资成本，满足公司发展的资金需求；四是信息化管理：在散杂货装船、卸船、站台</w:t>
      </w:r>
      <w:r>
        <w:rPr>
          <w:spacing w:val="-26"/>
        </w:rPr>
        <w:t> </w:t>
      </w:r>
      <w:r>
        <w:rPr>
          <w:spacing w:val="-26"/>
        </w:rPr>
      </w:r>
      <w:r>
        <w:rPr>
          <w:spacing w:val="-2"/>
        </w:rPr>
        <w:t>倒运实现无人理货的基础上，尝试实施件杂货非金属矿、散粮等不包装货物的无人理货，实施带</w:t>
      </w:r>
      <w:r>
        <w:rPr>
          <w:spacing w:val="-25"/>
        </w:rPr>
        <w:t> </w:t>
      </w:r>
      <w:r>
        <w:rPr>
          <w:spacing w:val="-25"/>
        </w:rPr>
      </w:r>
      <w:r>
        <w:rPr>
          <w:spacing w:val="-2"/>
        </w:rPr>
        <w:t>钢电子理货定线作业，助推港口从过去传统业务向贸易加工保税综合物流服务转型，实现智能港</w:t>
      </w:r>
      <w:r>
        <w:rPr>
          <w:spacing w:val="-25"/>
        </w:rPr>
        <w:t> </w:t>
      </w:r>
      <w:r>
        <w:rPr>
          <w:spacing w:val="-25"/>
        </w:rPr>
      </w:r>
      <w:r>
        <w:rPr/>
        <w:t>口。</w:t>
      </w:r>
    </w:p>
    <w:p>
      <w:pPr>
        <w:pStyle w:val="Heading2"/>
        <w:spacing w:line="312" w:lineRule="auto" w:before="117"/>
        <w:ind w:left="558" w:right="7132"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1"/>
        </w:rPr>
        <w:t> </w:t>
      </w:r>
      <w:r>
        <w:rPr/>
        <w:t>可能面对的风险</w:t>
      </w:r>
      <w:r>
        <w:rPr>
          <w:w w:val="100"/>
        </w:rPr>
        <w:t> </w:t>
      </w:r>
      <w:r>
        <w:rPr>
          <w:rFonts w:ascii="宋体" w:hAnsi="宋体" w:cs="宋体" w:eastAsia="宋体" w:hint="default"/>
          <w:b w:val="0"/>
          <w:bCs w:val="0"/>
        </w:rPr>
        <w:t>1</w:t>
      </w:r>
      <w:r>
        <w:rPr>
          <w:rFonts w:ascii="宋体" w:hAnsi="宋体" w:cs="宋体" w:eastAsia="宋体" w:hint="default"/>
          <w:b w:val="0"/>
          <w:bCs w:val="0"/>
        </w:rPr>
        <w:t>、</w:t>
      </w:r>
      <w:r>
        <w:rPr/>
        <w:t>风险</w:t>
      </w:r>
      <w:r>
        <w:rPr>
          <w:b w:val="0"/>
          <w:bCs w:val="0"/>
        </w:rPr>
      </w:r>
    </w:p>
    <w:p>
      <w:pPr>
        <w:pStyle w:val="BodyText"/>
        <w:spacing w:line="272" w:lineRule="exact" w:before="81"/>
        <w:ind w:right="208" w:firstLine="419"/>
        <w:jc w:val="both"/>
      </w:pPr>
      <w:r>
        <w:rPr>
          <w:spacing w:val="-4"/>
        </w:rPr>
        <w:t>（</w:t>
      </w:r>
      <w:r>
        <w:rPr>
          <w:rFonts w:ascii="宋体" w:hAnsi="宋体" w:cs="宋体" w:eastAsia="宋体" w:hint="default"/>
          <w:spacing w:val="-4"/>
        </w:rPr>
        <w:t>1</w:t>
      </w:r>
      <w:r>
        <w:rPr>
          <w:spacing w:val="-4"/>
        </w:rPr>
        <w:t>）周边港口竞争激烈。辽宁各港之间自然条件相近，经济腹地交叉，集疏运发达程度与港</w:t>
      </w:r>
      <w:r>
        <w:rPr>
          <w:w w:val="100"/>
        </w:rPr>
        <w:t> </w:t>
      </w:r>
      <w:r>
        <w:rPr/>
        <w:t>口硬件大体相似，面临有限的货源必将展开激烈的竞争。</w:t>
      </w:r>
    </w:p>
    <w:p>
      <w:pPr>
        <w:pStyle w:val="BodyText"/>
        <w:spacing w:line="272" w:lineRule="exact" w:before="121"/>
        <w:ind w:right="208" w:firstLine="419"/>
        <w:jc w:val="both"/>
      </w:pPr>
      <w:r>
        <w:rPr>
          <w:spacing w:val="-4"/>
        </w:rPr>
        <w:t>（</w:t>
      </w:r>
      <w:r>
        <w:rPr>
          <w:rFonts w:ascii="宋体" w:hAnsi="宋体" w:cs="宋体" w:eastAsia="宋体" w:hint="default"/>
          <w:spacing w:val="-4"/>
        </w:rPr>
        <w:t>2</w:t>
      </w:r>
      <w:r>
        <w:rPr>
          <w:spacing w:val="-4"/>
        </w:rPr>
        <w:t>）货源结构存在缺陷。受制于腹地经济发展滞后等因素，我港货源结构较为单调、货种相</w:t>
      </w:r>
      <w:r>
        <w:rPr>
          <w:w w:val="100"/>
        </w:rPr>
        <w:t> </w:t>
      </w:r>
      <w:r>
        <w:rPr>
          <w:spacing w:val="-2"/>
        </w:rPr>
        <w:t>对单一，粮食、煤炭、油品长期占据锦州港吞吐总量</w:t>
      </w:r>
      <w:r>
        <w:rPr>
          <w:spacing w:val="-5"/>
        </w:rPr>
        <w:t> </w:t>
      </w:r>
      <w:r>
        <w:rPr>
          <w:rFonts w:ascii="宋体" w:hAnsi="宋体" w:cs="宋体" w:eastAsia="宋体" w:hint="default"/>
          <w:spacing w:val="-1"/>
        </w:rPr>
        <w:t>75%</w:t>
      </w:r>
      <w:r>
        <w:rPr>
          <w:spacing w:val="-1"/>
        </w:rPr>
        <w:t>以上。</w:t>
      </w:r>
    </w:p>
    <w:p>
      <w:pPr>
        <w:pStyle w:val="BodyText"/>
        <w:spacing w:line="272" w:lineRule="exact" w:before="122"/>
        <w:ind w:right="208" w:firstLine="419"/>
        <w:jc w:val="both"/>
      </w:pPr>
      <w:r>
        <w:rPr>
          <w:spacing w:val="-4"/>
        </w:rPr>
        <w:t>（</w:t>
      </w:r>
      <w:r>
        <w:rPr>
          <w:rFonts w:ascii="宋体" w:hAnsi="宋体" w:cs="宋体" w:eastAsia="宋体" w:hint="default"/>
          <w:spacing w:val="-4"/>
        </w:rPr>
        <w:t>3</w:t>
      </w:r>
      <w:r>
        <w:rPr>
          <w:spacing w:val="-4"/>
        </w:rPr>
        <w:t>）辅营发展滞后，难成强力支撑。港口辅营板块发展目前尚处起步阶段，同时对公司发展</w:t>
      </w:r>
      <w:r>
        <w:rPr>
          <w:w w:val="100"/>
        </w:rPr>
        <w:t> </w:t>
      </w:r>
      <w:r>
        <w:rPr/>
        <w:t>起到长期拉动作用的重点临港产业项目尚需时间才能产生效益。</w:t>
      </w:r>
    </w:p>
    <w:p>
      <w:pPr>
        <w:pStyle w:val="BodyText"/>
        <w:spacing w:line="272" w:lineRule="exact" w:before="121"/>
        <w:ind w:right="207" w:firstLine="419"/>
        <w:jc w:val="both"/>
      </w:pPr>
      <w:r>
        <w:rPr>
          <w:spacing w:val="-4"/>
        </w:rPr>
        <w:t>（</w:t>
      </w:r>
      <w:r>
        <w:rPr>
          <w:rFonts w:ascii="宋体" w:hAnsi="宋体" w:cs="宋体" w:eastAsia="宋体" w:hint="default"/>
          <w:spacing w:val="-4"/>
        </w:rPr>
        <w:t>4</w:t>
      </w:r>
      <w:r>
        <w:rPr>
          <w:spacing w:val="-4"/>
        </w:rPr>
        <w:t>）设备设施老化，存在安全风险。虽然公司近年来在设备购置、技改、维检修方面有一定</w:t>
      </w:r>
      <w:r>
        <w:rPr>
          <w:w w:val="100"/>
        </w:rPr>
        <w:t> </w:t>
      </w:r>
      <w:r>
        <w:rPr/>
        <w:t>投入，但部分设备设施仍存在老化或效能锐减的情况，存在一定的安全风险。</w:t>
      </w:r>
    </w:p>
    <w:p>
      <w:pPr>
        <w:pStyle w:val="Heading2"/>
        <w:spacing w:line="240" w:lineRule="auto" w:before="94"/>
        <w:ind w:left="560" w:right="68"/>
        <w:jc w:val="left"/>
        <w:rPr>
          <w:b w:val="0"/>
          <w:bCs w:val="0"/>
        </w:rPr>
      </w:pPr>
      <w:r>
        <w:rPr>
          <w:rFonts w:ascii="宋体" w:hAnsi="宋体" w:cs="宋体" w:eastAsia="宋体" w:hint="default"/>
        </w:rPr>
        <w:t>2</w:t>
      </w:r>
      <w:r>
        <w:rPr/>
        <w:t>、对策</w:t>
      </w:r>
      <w:r>
        <w:rPr>
          <w:b w:val="0"/>
          <w:bCs w:val="0"/>
        </w:rPr>
      </w:r>
    </w:p>
    <w:p>
      <w:pPr>
        <w:pStyle w:val="BodyText"/>
        <w:spacing w:line="237" w:lineRule="auto" w:before="119"/>
        <w:ind w:right="208" w:firstLine="419"/>
        <w:jc w:val="both"/>
      </w:pPr>
      <w:r>
        <w:rPr>
          <w:spacing w:val="-4"/>
        </w:rPr>
        <w:t>（</w:t>
      </w:r>
      <w:r>
        <w:rPr>
          <w:rFonts w:ascii="宋体" w:hAnsi="宋体" w:cs="宋体" w:eastAsia="宋体" w:hint="default"/>
          <w:spacing w:val="-4"/>
        </w:rPr>
        <w:t>1</w:t>
      </w:r>
      <w:r>
        <w:rPr>
          <w:spacing w:val="-4"/>
        </w:rPr>
        <w:t>）生产营运：效益为先，做好“加减乘除”，努力实现由数量优先向质量优先转型。一是</w:t>
      </w:r>
      <w:r>
        <w:rPr>
          <w:w w:val="100"/>
        </w:rPr>
        <w:t> </w:t>
      </w:r>
      <w:r>
        <w:rPr>
          <w:spacing w:val="-2"/>
        </w:rPr>
        <w:t>做好“加”法：通过开拓市场、创新产品，发现和培育新的增长点；二是做好“减”法：下放权</w:t>
      </w:r>
      <w:r>
        <w:rPr>
          <w:spacing w:val="-25"/>
        </w:rPr>
        <w:t> </w:t>
      </w:r>
      <w:r>
        <w:rPr>
          <w:spacing w:val="-25"/>
        </w:rPr>
      </w:r>
      <w:r>
        <w:rPr>
          <w:spacing w:val="-7"/>
        </w:rPr>
        <w:t>限，打好“专业化”牌，降本增效；三是做好“乘法”，通过新方式、新模式、新技术、新管理，</w:t>
      </w:r>
      <w:r>
        <w:rPr>
          <w:spacing w:val="-15"/>
        </w:rPr>
        <w:t> </w:t>
      </w:r>
      <w:r>
        <w:rPr>
          <w:spacing w:val="-15"/>
        </w:rPr>
      </w:r>
      <w:r>
        <w:rPr/>
        <w:t>实现收益的倍数效应；四是做好“除法”，卸下“包袱”，排除干扰，轻装上阵。</w:t>
      </w:r>
    </w:p>
    <w:p>
      <w:pPr>
        <w:pStyle w:val="BodyText"/>
        <w:spacing w:line="237" w:lineRule="auto" w:before="119"/>
        <w:ind w:right="208" w:firstLine="419"/>
        <w:jc w:val="both"/>
      </w:pPr>
      <w:r>
        <w:rPr>
          <w:spacing w:val="-4"/>
        </w:rPr>
        <w:t>（</w:t>
      </w:r>
      <w:r>
        <w:rPr>
          <w:rFonts w:ascii="宋体" w:hAnsi="宋体" w:cs="宋体" w:eastAsia="宋体" w:hint="default"/>
          <w:spacing w:val="-4"/>
        </w:rPr>
        <w:t>2</w:t>
      </w:r>
      <w:r>
        <w:rPr>
          <w:spacing w:val="-4"/>
        </w:rPr>
        <w:t>）辅营板块：增值为先，管控风险，平安运行，努力实现由功能优先向效益优先转型。在</w:t>
      </w:r>
      <w:r>
        <w:rPr>
          <w:w w:val="100"/>
        </w:rPr>
        <w:t> </w:t>
      </w:r>
      <w:r>
        <w:rPr>
          <w:spacing w:val="-2"/>
        </w:rPr>
        <w:t>防控风险的前提下，辅营板块要想方设法增加产业链附加值，勇于介入“空白”领域，进一步做</w:t>
      </w:r>
      <w:r>
        <w:rPr>
          <w:spacing w:val="-25"/>
        </w:rPr>
        <w:t> </w:t>
      </w:r>
      <w:r>
        <w:rPr>
          <w:spacing w:val="-25"/>
        </w:rPr>
      </w:r>
      <w:r>
        <w:rPr/>
        <w:t>强物流、做大贸易、做活金融，改善盈利结构。</w:t>
      </w:r>
    </w:p>
    <w:p>
      <w:pPr>
        <w:pStyle w:val="BodyText"/>
        <w:spacing w:line="237" w:lineRule="auto" w:before="121"/>
        <w:ind w:right="208" w:firstLine="419"/>
        <w:jc w:val="both"/>
      </w:pPr>
      <w:r>
        <w:rPr>
          <w:spacing w:val="-4"/>
        </w:rPr>
        <w:t>（</w:t>
      </w:r>
      <w:r>
        <w:rPr>
          <w:rFonts w:ascii="宋体" w:hAnsi="宋体" w:cs="宋体" w:eastAsia="宋体" w:hint="default"/>
          <w:spacing w:val="-4"/>
        </w:rPr>
        <w:t>3</w:t>
      </w:r>
      <w:r>
        <w:rPr>
          <w:spacing w:val="-4"/>
        </w:rPr>
        <w:t>）港口建设和规划：功能为先，因势利导，努力实现由速度优先向效能优先转型。实施基</w:t>
      </w:r>
      <w:r>
        <w:rPr>
          <w:w w:val="100"/>
        </w:rPr>
        <w:t> </w:t>
      </w:r>
      <w:r>
        <w:rPr>
          <w:spacing w:val="-6"/>
        </w:rPr>
        <w:t>础设施与功能开发“两手抓，两促进”，前期工作方面优化存量与前期验收“两不误，两提高”，</w:t>
      </w:r>
      <w:r>
        <w:rPr>
          <w:spacing w:val="-53"/>
        </w:rPr>
        <w:t> </w:t>
      </w:r>
      <w:r>
        <w:rPr>
          <w:spacing w:val="-53"/>
        </w:rPr>
      </w:r>
      <w:r>
        <w:rPr/>
        <w:t>加强港口日常规划管理，充分利用港区现有资源，为港口招商引资做好技术服务。</w:t>
      </w:r>
    </w:p>
    <w:p>
      <w:pPr>
        <w:pStyle w:val="BodyText"/>
        <w:spacing w:line="240" w:lineRule="auto" w:before="116"/>
        <w:ind w:right="210" w:firstLine="419"/>
        <w:jc w:val="both"/>
      </w:pPr>
      <w:r>
        <w:rPr>
          <w:spacing w:val="-9"/>
        </w:rPr>
        <w:t>（</w:t>
      </w:r>
      <w:r>
        <w:rPr>
          <w:rFonts w:ascii="宋体" w:hAnsi="宋体" w:cs="宋体" w:eastAsia="宋体" w:hint="default"/>
          <w:spacing w:val="-9"/>
        </w:rPr>
        <w:t>4</w:t>
      </w:r>
      <w:r>
        <w:rPr>
          <w:spacing w:val="-9"/>
        </w:rPr>
        <w:t>）企业管理：精细为先，精益求精，努力实现由要素驱动向创新驱动转型。加强风控管理，</w:t>
      </w:r>
      <w:r>
        <w:rPr>
          <w:w w:val="100"/>
        </w:rPr>
        <w:t> </w:t>
      </w:r>
      <w:r>
        <w:rPr/>
        <w:t>强化公司治理和内部控制建设，提高公司品牌价值；降低融资成本、改善债务结构。</w:t>
      </w:r>
    </w:p>
    <w:p>
      <w:pPr>
        <w:pStyle w:val="Heading2"/>
        <w:spacing w:line="240" w:lineRule="auto" w:before="116"/>
        <w:ind w:left="138" w:right="68"/>
        <w:jc w:val="left"/>
        <w:rPr>
          <w:b w:val="0"/>
          <w:bCs w:val="0"/>
        </w:rPr>
      </w:pPr>
      <w:r>
        <w:rPr/>
        <w:t>四、公司因不适用准则规定或特殊原因，未按准则披露的情况和原因说明</w:t>
      </w:r>
      <w:r>
        <w:rPr>
          <w:b w:val="0"/>
          <w:bCs w:val="0"/>
        </w:rPr>
      </w:r>
    </w:p>
    <w:p>
      <w:pPr>
        <w:pStyle w:val="BodyText"/>
        <w:spacing w:line="240" w:lineRule="auto" w:before="116"/>
        <w:ind w:left="558" w:right="68"/>
        <w:jc w:val="left"/>
      </w:pPr>
      <w:r>
        <w:rPr/>
        <w:t>□适用 √不适用</w:t>
      </w:r>
    </w:p>
    <w:p>
      <w:pPr>
        <w:spacing w:after="0" w:line="240" w:lineRule="auto"/>
        <w:jc w:val="left"/>
        <w:sectPr>
          <w:pgSz w:w="11910" w:h="16840"/>
          <w:pgMar w:header="880" w:footer="1195" w:top="1120" w:bottom="1380" w:left="1660" w:right="1060"/>
        </w:sectPr>
      </w:pPr>
    </w:p>
    <w:p>
      <w:pPr>
        <w:spacing w:line="240" w:lineRule="auto" w:before="11"/>
        <w:rPr>
          <w:rFonts w:ascii="宋体" w:hAnsi="宋体" w:cs="宋体" w:eastAsia="宋体" w:hint="default"/>
          <w:sz w:val="25"/>
          <w:szCs w:val="25"/>
        </w:rPr>
      </w:pPr>
    </w:p>
    <w:p>
      <w:pPr>
        <w:pStyle w:val="Heading1"/>
        <w:tabs>
          <w:tab w:pos="5882" w:val="left" w:leader="none"/>
        </w:tabs>
        <w:spacing w:line="240" w:lineRule="auto"/>
        <w:ind w:left="4768" w:right="425"/>
        <w:jc w:val="left"/>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left="1398" w:right="425"/>
        <w:jc w:val="left"/>
        <w:rPr>
          <w:b w:val="0"/>
          <w:bCs w:val="0"/>
        </w:rPr>
      </w:pPr>
      <w:r>
        <w:rPr/>
        <w:t>一、普通股利润分配或资本公积金转增预案</w:t>
      </w:r>
      <w:r>
        <w:rPr>
          <w:b w:val="0"/>
          <w:bCs w:val="0"/>
        </w:rPr>
      </w:r>
    </w:p>
    <w:p>
      <w:pPr>
        <w:spacing w:line="312" w:lineRule="auto" w:before="58"/>
        <w:ind w:left="1398" w:right="425"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公司已根据中国证监会《关于进一步落实上市公司现金分红有关要求的通知》和上海证券交</w:t>
      </w:r>
    </w:p>
    <w:p>
      <w:pPr>
        <w:pStyle w:val="BodyText"/>
        <w:spacing w:line="209" w:lineRule="exact"/>
        <w:ind w:left="978" w:right="425"/>
        <w:jc w:val="left"/>
      </w:pPr>
      <w:r>
        <w:rPr/>
        <w:t>易所《上市公司定期报告工作备忘录第七号—关于年报工作中与现金分红相关的注意事项》相关</w:t>
      </w:r>
    </w:p>
    <w:p>
      <w:pPr>
        <w:pStyle w:val="BodyText"/>
        <w:spacing w:line="273" w:lineRule="exact"/>
        <w:ind w:left="978" w:right="425"/>
        <w:jc w:val="left"/>
      </w:pPr>
      <w:r>
        <w:rPr/>
        <w:t>要求，修改完善了</w:t>
      </w:r>
      <w:r>
        <w:rPr>
          <w:spacing w:val="-3"/>
        </w:rPr>
        <w:t> </w:t>
      </w:r>
      <w:r>
        <w:rPr/>
        <w:t>《公司章程》中有关利润分配政策的条款。</w:t>
      </w:r>
    </w:p>
    <w:p>
      <w:pPr>
        <w:pStyle w:val="BodyText"/>
        <w:spacing w:line="237" w:lineRule="auto" w:before="121"/>
        <w:ind w:left="978" w:right="648" w:firstLine="419"/>
        <w:jc w:val="both"/>
      </w:pPr>
      <w:r>
        <w:rPr>
          <w:spacing w:val="-4"/>
        </w:rPr>
        <w:t>报告期内，本公司于</w:t>
      </w:r>
      <w:r>
        <w:rPr>
          <w:rFonts w:ascii="宋体" w:hAnsi="宋体" w:cs="宋体" w:eastAsia="宋体" w:hint="default"/>
          <w:spacing w:val="-4"/>
        </w:rPr>
        <w:t>2015</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18</w:t>
      </w:r>
      <w:r>
        <w:rPr>
          <w:spacing w:val="-4"/>
        </w:rPr>
        <w:t>日召开公司</w:t>
      </w:r>
      <w:r>
        <w:rPr>
          <w:rFonts w:ascii="宋体" w:hAnsi="宋体" w:cs="宋体" w:eastAsia="宋体" w:hint="default"/>
          <w:spacing w:val="-4"/>
        </w:rPr>
        <w:t>2014</w:t>
      </w:r>
      <w:r>
        <w:rPr>
          <w:spacing w:val="-4"/>
        </w:rPr>
        <w:t>年年度股东大会，审议通过</w:t>
      </w:r>
      <w:r>
        <w:rPr>
          <w:rFonts w:ascii="宋体" w:hAnsi="宋体" w:cs="宋体" w:eastAsia="宋体" w:hint="default"/>
          <w:spacing w:val="-4"/>
        </w:rPr>
        <w:t>2014</w:t>
      </w:r>
      <w:r>
        <w:rPr>
          <w:spacing w:val="-4"/>
        </w:rPr>
        <w:t>年度利润分</w:t>
      </w:r>
      <w:r>
        <w:rPr>
          <w:w w:val="100"/>
        </w:rPr>
        <w:t> </w:t>
      </w:r>
      <w:r>
        <w:rPr>
          <w:spacing w:val="-3"/>
        </w:rPr>
        <w:t>配方案：以截至</w:t>
      </w:r>
      <w:r>
        <w:rPr>
          <w:rFonts w:ascii="宋体" w:hAnsi="宋体" w:cs="宋体" w:eastAsia="宋体" w:hint="default"/>
          <w:spacing w:val="-3"/>
        </w:rPr>
        <w:t>2014</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日总股本</w:t>
      </w:r>
      <w:r>
        <w:rPr>
          <w:rFonts w:ascii="宋体" w:hAnsi="宋体" w:cs="宋体" w:eastAsia="宋体" w:hint="default"/>
          <w:spacing w:val="-3"/>
        </w:rPr>
        <w:t>2,002,291,500</w:t>
      </w:r>
      <w:r>
        <w:rPr>
          <w:spacing w:val="-3"/>
        </w:rPr>
        <w:t>股为基数，向全体股东每</w:t>
      </w:r>
      <w:r>
        <w:rPr>
          <w:rFonts w:ascii="宋体" w:hAnsi="宋体" w:cs="宋体" w:eastAsia="宋体" w:hint="default"/>
          <w:spacing w:val="-3"/>
        </w:rPr>
        <w:t>10</w:t>
      </w:r>
      <w:r>
        <w:rPr>
          <w:spacing w:val="-3"/>
        </w:rPr>
        <w:t>股派发现金股利</w:t>
      </w:r>
      <w:r>
        <w:rPr>
          <w:spacing w:val="-49"/>
        </w:rPr>
        <w:t> </w:t>
      </w:r>
      <w:r>
        <w:rPr>
          <w:spacing w:val="-49"/>
        </w:rPr>
      </w:r>
      <w:r>
        <w:rPr>
          <w:spacing w:val="-4"/>
        </w:rPr>
        <w:t>人民币</w:t>
      </w:r>
      <w:r>
        <w:rPr>
          <w:rFonts w:ascii="宋体" w:hAnsi="宋体" w:cs="宋体" w:eastAsia="宋体" w:hint="default"/>
          <w:spacing w:val="-4"/>
        </w:rPr>
        <w:t>0.34</w:t>
      </w:r>
      <w:r>
        <w:rPr>
          <w:spacing w:val="-4"/>
        </w:rPr>
        <w:t>元（含税），共分配现金股利人民币</w:t>
      </w:r>
      <w:r>
        <w:rPr>
          <w:rFonts w:ascii="宋体" w:hAnsi="宋体" w:cs="宋体" w:eastAsia="宋体" w:hint="default"/>
          <w:spacing w:val="-4"/>
        </w:rPr>
        <w:t>68,077,911.00</w:t>
      </w:r>
      <w:r>
        <w:rPr>
          <w:spacing w:val="-4"/>
        </w:rPr>
        <w:t>元，此次分配后剩余可分配利润转</w:t>
      </w:r>
      <w:r>
        <w:rPr>
          <w:spacing w:val="-6"/>
        </w:rPr>
        <w:t> </w:t>
      </w:r>
      <w:r>
        <w:rPr>
          <w:spacing w:val="-6"/>
        </w:rPr>
      </w:r>
      <w:r>
        <w:rPr>
          <w:spacing w:val="-1"/>
        </w:rPr>
        <w:t>入下一年度，用于公司生产经营发展及以后年度分配。本年度不进行资本公积转增股本。上述利</w:t>
      </w:r>
      <w:r>
        <w:rPr>
          <w:spacing w:val="-54"/>
        </w:rPr>
        <w:t> </w:t>
      </w:r>
      <w:r>
        <w:rPr>
          <w:spacing w:val="-54"/>
        </w:rPr>
      </w:r>
      <w:r>
        <w:rPr/>
        <w:t>润分配方案已于</w:t>
      </w:r>
      <w:r>
        <w:rPr>
          <w:rFonts w:ascii="宋体" w:hAnsi="宋体" w:cs="宋体" w:eastAsia="宋体" w:hint="default"/>
        </w:rPr>
        <w:t>2015</w:t>
      </w:r>
      <w:r>
        <w:rPr/>
        <w:t>年</w:t>
      </w:r>
      <w:r>
        <w:rPr>
          <w:rFonts w:ascii="宋体" w:hAnsi="宋体" w:cs="宋体" w:eastAsia="宋体" w:hint="default"/>
        </w:rPr>
        <w:t>7</w:t>
      </w:r>
      <w:r>
        <w:rPr/>
        <w:t>月实施完毕。</w:t>
      </w:r>
    </w:p>
    <w:p>
      <w:pPr>
        <w:pStyle w:val="BodyText"/>
        <w:spacing w:line="237" w:lineRule="auto" w:before="119"/>
        <w:ind w:left="978" w:right="648" w:firstLine="419"/>
        <w:jc w:val="both"/>
      </w:pPr>
      <w:r>
        <w:rPr/>
        <w:t>报告期内，公司 </w:t>
      </w:r>
      <w:r>
        <w:rPr>
          <w:rFonts w:ascii="宋体" w:hAnsi="宋体" w:cs="宋体" w:eastAsia="宋体" w:hint="default"/>
        </w:rPr>
        <w:t>2014</w:t>
      </w:r>
      <w:r>
        <w:rPr>
          <w:rFonts w:ascii="宋体" w:hAnsi="宋体" w:cs="宋体" w:eastAsia="宋体" w:hint="default"/>
          <w:spacing w:val="5"/>
        </w:rPr>
        <w:t> </w:t>
      </w:r>
      <w:r>
        <w:rPr/>
        <w:t>年度利润分配预案的制定和审议程序严格按照《公司章程》和中国证</w:t>
      </w:r>
      <w:r>
        <w:rPr>
          <w:w w:val="100"/>
        </w:rPr>
        <w:t> </w:t>
      </w:r>
      <w:r>
        <w:rPr>
          <w:spacing w:val="-1"/>
        </w:rPr>
        <w:t>监会、上海证券交易所相关政策和通知文件要求执行，有明确的分红标准及分配比例，独立董事</w:t>
      </w:r>
      <w:r>
        <w:rPr>
          <w:spacing w:val="-56"/>
        </w:rPr>
        <w:t> </w:t>
      </w:r>
      <w:r>
        <w:rPr>
          <w:spacing w:val="-56"/>
        </w:rPr>
      </w:r>
      <w:r>
        <w:rPr/>
        <w:t>已尽职履责并发挥了应有的作用，充分保护了投资者的合法权益。</w:t>
      </w:r>
    </w:p>
    <w:p>
      <w:pPr>
        <w:spacing w:line="240" w:lineRule="auto" w:before="3"/>
        <w:rPr>
          <w:rFonts w:ascii="宋体" w:hAnsi="宋体" w:cs="宋体" w:eastAsia="宋体" w:hint="default"/>
          <w:sz w:val="25"/>
          <w:szCs w:val="25"/>
        </w:rPr>
      </w:pPr>
    </w:p>
    <w:p>
      <w:pPr>
        <w:pStyle w:val="Heading2"/>
        <w:spacing w:line="240" w:lineRule="auto" w:before="0"/>
        <w:ind w:left="978" w:right="42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公司近三年（含报告期）的普通股利润分配方案或预案、资本公积金转增股本方案或预案</w:t>
      </w:r>
      <w:r>
        <w:rPr>
          <w:b w:val="0"/>
          <w:bCs w:val="0"/>
        </w:rPr>
      </w:r>
    </w:p>
    <w:p>
      <w:pPr>
        <w:pStyle w:val="BodyText"/>
        <w:tabs>
          <w:tab w:pos="1051" w:val="left" w:leader="none"/>
        </w:tabs>
        <w:spacing w:line="240" w:lineRule="auto" w:before="32"/>
        <w:ind w:left="0" w:right="6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855" w:type="dxa"/>
        <w:tblLayout w:type="fixed"/>
        <w:tblCellMar>
          <w:top w:w="0" w:type="dxa"/>
          <w:left w:w="0" w:type="dxa"/>
          <w:bottom w:w="0" w:type="dxa"/>
          <w:right w:w="0" w:type="dxa"/>
        </w:tblCellMar>
        <w:tblLook w:val="01E0"/>
      </w:tblPr>
      <w:tblGrid>
        <w:gridCol w:w="948"/>
        <w:gridCol w:w="1150"/>
        <w:gridCol w:w="1114"/>
        <w:gridCol w:w="1150"/>
        <w:gridCol w:w="1582"/>
        <w:gridCol w:w="1685"/>
        <w:gridCol w:w="1421"/>
      </w:tblGrid>
      <w:tr>
        <w:trPr>
          <w:trHeight w:val="1385" w:hRule="exact"/>
        </w:trPr>
        <w:tc>
          <w:tcPr>
            <w:tcW w:w="94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49" w:right="252"/>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0" w:right="96"/>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8"/>
                <w:sz w:val="21"/>
                <w:szCs w:val="21"/>
              </w:rPr>
              <w:t>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9" w:lineRule="exact"/>
              <w:ind w:left="2"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30" w:right="96" w:hanging="2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6"/>
                <w:sz w:val="21"/>
                <w:szCs w:val="21"/>
              </w:rPr>
              <w:t> </w:t>
            </w:r>
            <w:r>
              <w:rPr>
                <w:rFonts w:ascii="宋体" w:hAnsi="宋体" w:cs="宋体" w:eastAsia="宋体" w:hint="default"/>
                <w:sz w:val="21"/>
                <w:szCs w:val="21"/>
              </w:rPr>
              <w:t>10</w:t>
            </w:r>
            <w:r>
              <w:rPr>
                <w:rFonts w:ascii="宋体" w:hAnsi="宋体" w:cs="宋体" w:eastAsia="宋体" w:hint="default"/>
                <w:spacing w:val="-78"/>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9" w:lineRule="exact"/>
              <w:ind w:left="130"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0" w:right="-8"/>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pacing w:val="-3"/>
                <w:sz w:val="21"/>
                <w:szCs w:val="21"/>
              </w:rPr>
              <w:t>股转</w:t>
            </w:r>
            <w:r>
              <w:rPr>
                <w:rFonts w:ascii="宋体" w:hAnsi="宋体" w:cs="宋体" w:eastAsia="宋体" w:hint="default"/>
                <w:spacing w:val="-3"/>
                <w:w w:val="100"/>
                <w:sz w:val="21"/>
                <w:szCs w:val="21"/>
              </w:rPr>
              <w:t> </w:t>
            </w:r>
            <w:r>
              <w:rPr>
                <w:rFonts w:ascii="宋体" w:hAnsi="宋体" w:cs="宋体" w:eastAsia="宋体" w:hint="default"/>
                <w:spacing w:val="-4"/>
                <w:sz w:val="21"/>
                <w:szCs w:val="21"/>
              </w:rPr>
              <w:t>增数（股）</w:t>
            </w:r>
          </w:p>
        </w:tc>
        <w:tc>
          <w:tcPr>
            <w:tcW w:w="15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53" w:right="149"/>
              <w:jc w:val="center"/>
              <w:rPr>
                <w:rFonts w:ascii="宋体" w:hAnsi="宋体" w:cs="宋体" w:eastAsia="宋体" w:hint="default"/>
                <w:sz w:val="21"/>
                <w:szCs w:val="21"/>
              </w:rPr>
            </w:pPr>
            <w:r>
              <w:rPr>
                <w:rFonts w:ascii="宋体" w:hAnsi="宋体" w:cs="宋体" w:eastAsia="宋体" w:hint="default"/>
                <w:sz w:val="21"/>
                <w:szCs w:val="21"/>
              </w:rPr>
              <w:t>现金分红的数</w:t>
            </w:r>
            <w:r>
              <w:rPr>
                <w:rFonts w:ascii="宋体" w:hAnsi="宋体" w:cs="宋体" w:eastAsia="宋体" w:hint="default"/>
                <w:w w:val="100"/>
                <w:sz w:val="21"/>
                <w:szCs w:val="21"/>
              </w:rPr>
              <w:t> </w:t>
            </w:r>
            <w:r>
              <w:rPr>
                <w:rFonts w:ascii="宋体" w:hAnsi="宋体" w:cs="宋体" w:eastAsia="宋体" w:hint="default"/>
                <w:sz w:val="21"/>
                <w:szCs w:val="21"/>
              </w:rPr>
              <w:t>额</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5" w:type="dxa"/>
            <w:tcBorders>
              <w:top w:val="single" w:sz="12" w:space="0" w:color="000000"/>
              <w:left w:val="single" w:sz="6" w:space="0" w:color="000000"/>
              <w:bottom w:val="single" w:sz="6" w:space="0" w:color="000000"/>
              <w:right w:val="single" w:sz="6" w:space="0" w:color="000000"/>
            </w:tcBorders>
          </w:tcPr>
          <w:p>
            <w:pPr>
              <w:pStyle w:val="TableParagraph"/>
              <w:spacing w:line="237" w:lineRule="auto" w:before="105"/>
              <w:ind w:left="100" w:right="94"/>
              <w:jc w:val="center"/>
              <w:rPr>
                <w:rFonts w:ascii="宋体" w:hAnsi="宋体" w:cs="宋体" w:eastAsia="宋体" w:hint="default"/>
                <w:sz w:val="21"/>
                <w:szCs w:val="21"/>
              </w:rPr>
            </w:pPr>
            <w:r>
              <w:rPr>
                <w:rFonts w:ascii="宋体" w:hAnsi="宋体" w:cs="宋体" w:eastAsia="宋体" w:hint="default"/>
                <w:sz w:val="21"/>
                <w:szCs w:val="21"/>
              </w:rPr>
              <w:t>分红年度合并报</w:t>
            </w:r>
            <w:r>
              <w:rPr>
                <w:rFonts w:ascii="宋体" w:hAnsi="宋体" w:cs="宋体" w:eastAsia="宋体" w:hint="default"/>
                <w:w w:val="100"/>
                <w:sz w:val="21"/>
                <w:szCs w:val="21"/>
              </w:rPr>
              <w:t> </w:t>
            </w:r>
            <w:r>
              <w:rPr>
                <w:rFonts w:ascii="宋体" w:hAnsi="宋体" w:cs="宋体" w:eastAsia="宋体" w:hint="default"/>
                <w:sz w:val="21"/>
                <w:szCs w:val="21"/>
              </w:rPr>
              <w:t>表中归属于上市</w:t>
            </w:r>
            <w:r>
              <w:rPr>
                <w:rFonts w:ascii="宋体" w:hAnsi="宋体" w:cs="宋体" w:eastAsia="宋体" w:hint="default"/>
                <w:w w:val="100"/>
                <w:sz w:val="21"/>
                <w:szCs w:val="21"/>
              </w:rPr>
              <w:t> </w:t>
            </w:r>
            <w:r>
              <w:rPr>
                <w:rFonts w:ascii="宋体" w:hAnsi="宋体" w:cs="宋体" w:eastAsia="宋体" w:hint="default"/>
                <w:sz w:val="21"/>
                <w:szCs w:val="21"/>
              </w:rPr>
              <w:t>公司股东的净利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421"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9"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before="2"/>
              <w:ind w:left="177" w:right="165"/>
              <w:jc w:val="center"/>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市公司股东</w:t>
            </w:r>
            <w:r>
              <w:rPr>
                <w:rFonts w:ascii="宋体" w:hAnsi="宋体" w:cs="宋体" w:eastAsia="宋体" w:hint="default"/>
                <w:w w:val="100"/>
                <w:sz w:val="21"/>
                <w:szCs w:val="21"/>
              </w:rPr>
              <w:t> </w:t>
            </w:r>
            <w:r>
              <w:rPr>
                <w:rFonts w:ascii="宋体" w:hAnsi="宋体" w:cs="宋体" w:eastAsia="宋体" w:hint="default"/>
                <w:sz w:val="21"/>
                <w:szCs w:val="21"/>
              </w:rPr>
              <w:t>的净利润的</w:t>
            </w:r>
            <w:r>
              <w:rPr>
                <w:rFonts w:ascii="宋体" w:hAnsi="宋体" w:cs="宋体" w:eastAsia="宋体" w:hint="default"/>
                <w:w w:val="100"/>
                <w:sz w:val="21"/>
                <w:szCs w:val="21"/>
              </w:rPr>
              <w:t> </w:t>
            </w:r>
            <w:r>
              <w:rPr>
                <w:rFonts w:ascii="宋体" w:hAnsi="宋体" w:cs="宋体" w:eastAsia="宋体" w:hint="default"/>
                <w:sz w:val="21"/>
                <w:szCs w:val="21"/>
              </w:rPr>
              <w:t>比率</w:t>
            </w:r>
            <w:r>
              <w:rPr>
                <w:rFonts w:ascii="宋体" w:hAnsi="宋体" w:cs="宋体" w:eastAsia="宋体" w:hint="default"/>
                <w:sz w:val="21"/>
                <w:szCs w:val="21"/>
              </w:rPr>
              <w:t>(%)</w:t>
            </w:r>
          </w:p>
        </w:tc>
      </w:tr>
      <w:tr>
        <w:trPr>
          <w:trHeight w:val="288" w:hRule="exact"/>
        </w:trPr>
        <w:tc>
          <w:tcPr>
            <w:tcW w:w="94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0.20</w:t>
            </w:r>
          </w:p>
        </w:tc>
        <w:tc>
          <w:tcPr>
            <w:tcW w:w="115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40,045,830.00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129,065,845.77</w:t>
            </w:r>
          </w:p>
        </w:tc>
        <w:tc>
          <w:tcPr>
            <w:tcW w:w="14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31.03</w:t>
            </w:r>
          </w:p>
        </w:tc>
      </w:tr>
      <w:tr>
        <w:trPr>
          <w:trHeight w:val="286" w:hRule="exact"/>
        </w:trPr>
        <w:tc>
          <w:tcPr>
            <w:tcW w:w="94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0.34</w:t>
            </w:r>
          </w:p>
        </w:tc>
        <w:tc>
          <w:tcPr>
            <w:tcW w:w="115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68,077,911.00</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220,825,148.69</w:t>
            </w:r>
          </w:p>
        </w:tc>
        <w:tc>
          <w:tcPr>
            <w:tcW w:w="14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30.83</w:t>
            </w:r>
          </w:p>
        </w:tc>
      </w:tr>
      <w:tr>
        <w:trPr>
          <w:trHeight w:val="295" w:hRule="exact"/>
        </w:trPr>
        <w:tc>
          <w:tcPr>
            <w:tcW w:w="948" w:type="dxa"/>
            <w:tcBorders>
              <w:top w:val="single" w:sz="6" w:space="0" w:color="000000"/>
              <w:left w:val="single" w:sz="12" w:space="0" w:color="000000"/>
              <w:bottom w:val="single" w:sz="12"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single" w:sz="6" w:space="0" w:color="000000"/>
              <w:left w:val="single" w:sz="6" w:space="0" w:color="000000"/>
              <w:bottom w:val="single" w:sz="12" w:space="0" w:color="000000"/>
              <w:right w:val="single" w:sz="6" w:space="0" w:color="000000"/>
            </w:tcBorders>
          </w:tcPr>
          <w:p>
            <w:pPr/>
          </w:p>
        </w:tc>
        <w:tc>
          <w:tcPr>
            <w:tcW w:w="1114"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0.25</w:t>
            </w:r>
          </w:p>
        </w:tc>
        <w:tc>
          <w:tcPr>
            <w:tcW w:w="1150" w:type="dxa"/>
            <w:tcBorders>
              <w:top w:val="single" w:sz="6" w:space="0" w:color="000000"/>
              <w:left w:val="single" w:sz="6" w:space="0" w:color="000000"/>
              <w:bottom w:val="single" w:sz="12" w:space="0" w:color="000000"/>
              <w:right w:val="single" w:sz="6" w:space="0" w:color="000000"/>
            </w:tcBorders>
          </w:tcPr>
          <w:p>
            <w:pP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50,057,287.50</w:t>
            </w:r>
          </w:p>
        </w:tc>
        <w:tc>
          <w:tcPr>
            <w:tcW w:w="1685"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155,522,880.86</w:t>
            </w:r>
          </w:p>
        </w:tc>
        <w:tc>
          <w:tcPr>
            <w:tcW w:w="1421" w:type="dxa"/>
            <w:tcBorders>
              <w:top w:val="single" w:sz="6" w:space="0" w:color="000000"/>
              <w:left w:val="single" w:sz="6" w:space="0" w:color="000000"/>
              <w:bottom w:val="single" w:sz="12"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z w:val="21"/>
              </w:rPr>
              <w:t>32.19</w:t>
            </w:r>
          </w:p>
        </w:tc>
      </w:tr>
    </w:tbl>
    <w:p>
      <w:pPr>
        <w:spacing w:line="240" w:lineRule="auto" w:before="2"/>
        <w:rPr>
          <w:rFonts w:ascii="宋体" w:hAnsi="宋体" w:cs="宋体" w:eastAsia="宋体" w:hint="default"/>
          <w:sz w:val="20"/>
          <w:szCs w:val="20"/>
        </w:rPr>
      </w:pPr>
    </w:p>
    <w:p>
      <w:pPr>
        <w:pStyle w:val="Heading2"/>
        <w:spacing w:line="274" w:lineRule="exact" w:before="62"/>
        <w:ind w:left="978" w:right="42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10"/>
        </w:rPr>
        <w:t> </w:t>
      </w:r>
      <w:r>
        <w:rPr/>
        <w:t>报告期内盈利且母公司可供普通股股东分配利润为正，但未提出普通股现金利润分配预案的，</w:t>
      </w:r>
      <w:r>
        <w:rPr>
          <w:w w:val="100"/>
        </w:rPr>
        <w:t> </w:t>
      </w:r>
      <w:r>
        <w:rPr/>
        <w:t>公司应当详细披露原因以及未分配利润的用途和使用计划</w:t>
      </w:r>
      <w:r>
        <w:rPr>
          <w:b w:val="0"/>
          <w:bCs w:val="0"/>
        </w:rPr>
      </w:r>
    </w:p>
    <w:p>
      <w:pPr>
        <w:spacing w:line="290" w:lineRule="auto" w:before="31"/>
        <w:ind w:left="978" w:right="7360" w:firstLine="419"/>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BodyText"/>
        <w:spacing w:line="240" w:lineRule="auto" w:before="14"/>
        <w:ind w:left="1398" w:right="425"/>
        <w:jc w:val="left"/>
      </w:pPr>
      <w:r>
        <w:rPr/>
        <w:t>√适用 □不适用</w:t>
      </w:r>
    </w:p>
    <w:p>
      <w:pPr>
        <w:pStyle w:val="Heading2"/>
        <w:spacing w:line="274" w:lineRule="exact" w:before="83"/>
        <w:ind w:left="978" w:right="63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0"/>
        </w:rPr>
        <w:t> </w:t>
      </w:r>
      <w:r>
        <w:rPr/>
        <w:t>公司、股东、实际控制人、收购人、董事、监事、高级管理人员或其他关联方在报告期内或</w:t>
      </w:r>
      <w:r>
        <w:rPr>
          <w:w w:val="100"/>
        </w:rPr>
        <w:t> </w:t>
      </w:r>
      <w:r>
        <w:rPr/>
        <w:t>持续到报告期内的承诺事项</w:t>
      </w:r>
      <w:r>
        <w:rPr>
          <w:b w:val="0"/>
          <w:bCs w:val="0"/>
        </w:rPr>
      </w:r>
    </w:p>
    <w:p>
      <w:pPr>
        <w:spacing w:line="240" w:lineRule="auto" w:before="13"/>
        <w:rPr>
          <w:rFonts w:ascii="宋体" w:hAnsi="宋体" w:cs="宋体" w:eastAsia="宋体" w:hint="default"/>
          <w:b/>
          <w:bCs/>
          <w:sz w:val="4"/>
          <w:szCs w:val="4"/>
        </w:rPr>
      </w:pPr>
    </w:p>
    <w:tbl>
      <w:tblPr>
        <w:tblW w:w="0" w:type="auto"/>
        <w:jc w:val="left"/>
        <w:tblInd w:w="111" w:type="dxa"/>
        <w:tblLayout w:type="fixed"/>
        <w:tblCellMar>
          <w:top w:w="0" w:type="dxa"/>
          <w:left w:w="0" w:type="dxa"/>
          <w:bottom w:w="0" w:type="dxa"/>
          <w:right w:w="0" w:type="dxa"/>
        </w:tblCellMar>
        <w:tblLook w:val="01E0"/>
      </w:tblPr>
      <w:tblGrid>
        <w:gridCol w:w="1692"/>
        <w:gridCol w:w="720"/>
        <w:gridCol w:w="1419"/>
        <w:gridCol w:w="3968"/>
        <w:gridCol w:w="1277"/>
        <w:gridCol w:w="569"/>
        <w:gridCol w:w="554"/>
      </w:tblGrid>
      <w:tr>
        <w:trPr>
          <w:trHeight w:val="922" w:hRule="exact"/>
        </w:trPr>
        <w:tc>
          <w:tcPr>
            <w:tcW w:w="169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30" w:right="0"/>
              <w:jc w:val="left"/>
              <w:rPr>
                <w:rFonts w:ascii="宋体" w:hAnsi="宋体" w:cs="宋体" w:eastAsia="宋体" w:hint="default"/>
                <w:sz w:val="15"/>
                <w:szCs w:val="15"/>
              </w:rPr>
            </w:pPr>
            <w:r>
              <w:rPr>
                <w:rFonts w:ascii="宋体" w:hAnsi="宋体" w:cs="宋体" w:eastAsia="宋体" w:hint="default"/>
                <w:sz w:val="15"/>
                <w:szCs w:val="15"/>
              </w:rPr>
              <w:t>承诺背景</w:t>
            </w:r>
          </w:p>
        </w:tc>
        <w:tc>
          <w:tcPr>
            <w:tcW w:w="7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384" w:lineRule="auto"/>
              <w:ind w:left="201" w:right="199"/>
              <w:jc w:val="left"/>
              <w:rPr>
                <w:rFonts w:ascii="宋体" w:hAnsi="宋体" w:cs="宋体" w:eastAsia="宋体" w:hint="default"/>
                <w:sz w:val="15"/>
                <w:szCs w:val="15"/>
              </w:rPr>
            </w:pPr>
            <w:r>
              <w:rPr>
                <w:rFonts w:ascii="宋体" w:hAnsi="宋体" w:cs="宋体" w:eastAsia="宋体" w:hint="default"/>
                <w:sz w:val="15"/>
                <w:szCs w:val="15"/>
              </w:rPr>
              <w:t>承诺</w:t>
            </w:r>
            <w:r>
              <w:rPr>
                <w:rFonts w:ascii="宋体" w:hAnsi="宋体" w:cs="宋体" w:eastAsia="宋体" w:hint="default"/>
                <w:spacing w:val="-73"/>
                <w:sz w:val="15"/>
                <w:szCs w:val="15"/>
              </w:rPr>
              <w:t> </w:t>
            </w:r>
            <w:r>
              <w:rPr>
                <w:rFonts w:ascii="宋体" w:hAnsi="宋体" w:cs="宋体" w:eastAsia="宋体" w:hint="default"/>
                <w:sz w:val="15"/>
                <w:szCs w:val="15"/>
              </w:rPr>
              <w:t>类型</w:t>
            </w:r>
          </w:p>
        </w:tc>
        <w:tc>
          <w:tcPr>
            <w:tcW w:w="14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承诺方</w:t>
            </w:r>
          </w:p>
        </w:tc>
        <w:tc>
          <w:tcPr>
            <w:tcW w:w="39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384" w:lineRule="auto"/>
              <w:ind w:left="1826" w:right="1823"/>
              <w:jc w:val="center"/>
              <w:rPr>
                <w:rFonts w:ascii="宋体" w:hAnsi="宋体" w:cs="宋体" w:eastAsia="宋体" w:hint="default"/>
                <w:sz w:val="15"/>
                <w:szCs w:val="15"/>
              </w:rPr>
            </w:pPr>
            <w:r>
              <w:rPr>
                <w:rFonts w:ascii="宋体" w:hAnsi="宋体" w:cs="宋体" w:eastAsia="宋体" w:hint="default"/>
                <w:sz w:val="15"/>
                <w:szCs w:val="15"/>
              </w:rPr>
              <w:t>承诺</w:t>
            </w:r>
            <w:r>
              <w:rPr>
                <w:rFonts w:ascii="宋体" w:hAnsi="宋体" w:cs="宋体" w:eastAsia="宋体" w:hint="default"/>
                <w:w w:val="100"/>
                <w:sz w:val="15"/>
                <w:szCs w:val="15"/>
              </w:rPr>
              <w:t> </w:t>
            </w:r>
            <w:r>
              <w:rPr>
                <w:rFonts w:ascii="宋体" w:hAnsi="宋体" w:cs="宋体" w:eastAsia="宋体" w:hint="default"/>
                <w:sz w:val="15"/>
                <w:szCs w:val="15"/>
              </w:rPr>
              <w:t>内容</w:t>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承诺时间及期限</w:t>
            </w:r>
          </w:p>
        </w:tc>
        <w:tc>
          <w:tcPr>
            <w:tcW w:w="5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8"/>
              <w:ind w:left="124" w:right="125"/>
              <w:jc w:val="both"/>
              <w:rPr>
                <w:rFonts w:ascii="宋体" w:hAnsi="宋体" w:cs="宋体" w:eastAsia="宋体" w:hint="default"/>
                <w:sz w:val="15"/>
                <w:szCs w:val="15"/>
              </w:rPr>
            </w:pPr>
            <w:r>
              <w:rPr>
                <w:rFonts w:ascii="宋体" w:hAnsi="宋体" w:cs="宋体" w:eastAsia="宋体" w:hint="default"/>
                <w:sz w:val="15"/>
                <w:szCs w:val="15"/>
              </w:rPr>
              <w:t>是否</w:t>
            </w:r>
            <w:r>
              <w:rPr>
                <w:rFonts w:ascii="宋体" w:hAnsi="宋体" w:cs="宋体" w:eastAsia="宋体" w:hint="default"/>
                <w:spacing w:val="-73"/>
                <w:sz w:val="15"/>
                <w:szCs w:val="15"/>
              </w:rPr>
              <w:t> </w:t>
            </w:r>
            <w:r>
              <w:rPr>
                <w:rFonts w:ascii="宋体" w:hAnsi="宋体" w:cs="宋体" w:eastAsia="宋体" w:hint="default"/>
                <w:sz w:val="15"/>
                <w:szCs w:val="15"/>
              </w:rPr>
              <w:t>有履</w:t>
            </w:r>
            <w:r>
              <w:rPr>
                <w:rFonts w:ascii="宋体" w:hAnsi="宋体" w:cs="宋体" w:eastAsia="宋体" w:hint="default"/>
                <w:spacing w:val="-73"/>
                <w:sz w:val="15"/>
                <w:szCs w:val="15"/>
              </w:rPr>
              <w:t> </w:t>
            </w:r>
            <w:r>
              <w:rPr>
                <w:rFonts w:ascii="宋体" w:hAnsi="宋体" w:cs="宋体" w:eastAsia="宋体" w:hint="default"/>
                <w:sz w:val="15"/>
                <w:szCs w:val="15"/>
              </w:rPr>
              <w:t>行期</w:t>
            </w:r>
            <w:r>
              <w:rPr>
                <w:rFonts w:ascii="宋体" w:hAnsi="宋体" w:cs="宋体" w:eastAsia="宋体" w:hint="default"/>
                <w:spacing w:val="-73"/>
                <w:sz w:val="15"/>
                <w:szCs w:val="15"/>
              </w:rPr>
              <w:t> </w:t>
            </w:r>
            <w:r>
              <w:rPr>
                <w:rFonts w:ascii="宋体" w:hAnsi="宋体" w:cs="宋体" w:eastAsia="宋体" w:hint="default"/>
                <w:sz w:val="15"/>
                <w:szCs w:val="15"/>
              </w:rPr>
              <w:t>限</w:t>
            </w:r>
          </w:p>
        </w:tc>
        <w:tc>
          <w:tcPr>
            <w:tcW w:w="55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8"/>
              <w:ind w:left="117" w:right="110"/>
              <w:jc w:val="both"/>
              <w:rPr>
                <w:rFonts w:ascii="宋体" w:hAnsi="宋体" w:cs="宋体" w:eastAsia="宋体" w:hint="default"/>
                <w:sz w:val="15"/>
                <w:szCs w:val="15"/>
              </w:rPr>
            </w:pPr>
            <w:r>
              <w:rPr>
                <w:rFonts w:ascii="宋体" w:hAnsi="宋体" w:cs="宋体" w:eastAsia="宋体" w:hint="default"/>
                <w:sz w:val="15"/>
                <w:szCs w:val="15"/>
              </w:rPr>
              <w:t>是否</w:t>
            </w:r>
            <w:r>
              <w:rPr>
                <w:rFonts w:ascii="宋体" w:hAnsi="宋体" w:cs="宋体" w:eastAsia="宋体" w:hint="default"/>
                <w:spacing w:val="-73"/>
                <w:sz w:val="15"/>
                <w:szCs w:val="15"/>
              </w:rPr>
              <w:t> </w:t>
            </w:r>
            <w:r>
              <w:rPr>
                <w:rFonts w:ascii="宋体" w:hAnsi="宋体" w:cs="宋体" w:eastAsia="宋体" w:hint="default"/>
                <w:sz w:val="15"/>
                <w:szCs w:val="15"/>
              </w:rPr>
              <w:t>及时</w:t>
            </w:r>
            <w:r>
              <w:rPr>
                <w:rFonts w:ascii="宋体" w:hAnsi="宋体" w:cs="宋体" w:eastAsia="宋体" w:hint="default"/>
                <w:spacing w:val="-73"/>
                <w:sz w:val="15"/>
                <w:szCs w:val="15"/>
              </w:rPr>
              <w:t> </w:t>
            </w:r>
            <w:r>
              <w:rPr>
                <w:rFonts w:ascii="宋体" w:hAnsi="宋体" w:cs="宋体" w:eastAsia="宋体" w:hint="default"/>
                <w:sz w:val="15"/>
                <w:szCs w:val="15"/>
              </w:rPr>
              <w:t>严格</w:t>
            </w:r>
            <w:r>
              <w:rPr>
                <w:rFonts w:ascii="宋体" w:hAnsi="宋体" w:cs="宋体" w:eastAsia="宋体" w:hint="default"/>
                <w:spacing w:val="-73"/>
                <w:sz w:val="15"/>
                <w:szCs w:val="15"/>
              </w:rPr>
              <w:t> </w:t>
            </w:r>
            <w:r>
              <w:rPr>
                <w:rFonts w:ascii="宋体" w:hAnsi="宋体" w:cs="宋体" w:eastAsia="宋体" w:hint="default"/>
                <w:sz w:val="15"/>
                <w:szCs w:val="15"/>
              </w:rPr>
              <w:t>履行</w:t>
            </w:r>
          </w:p>
        </w:tc>
      </w:tr>
      <w:tr>
        <w:trPr>
          <w:trHeight w:val="1303" w:hRule="exact"/>
        </w:trPr>
        <w:tc>
          <w:tcPr>
            <w:tcW w:w="16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8"/>
              <w:ind w:left="93" w:right="221"/>
              <w:jc w:val="left"/>
              <w:rPr>
                <w:rFonts w:ascii="宋体" w:hAnsi="宋体" w:cs="宋体" w:eastAsia="宋体" w:hint="default"/>
                <w:sz w:val="15"/>
                <w:szCs w:val="15"/>
              </w:rPr>
            </w:pPr>
            <w:r>
              <w:rPr>
                <w:rFonts w:ascii="宋体" w:hAnsi="宋体" w:cs="宋体" w:eastAsia="宋体" w:hint="default"/>
                <w:sz w:val="15"/>
                <w:szCs w:val="15"/>
              </w:rPr>
              <w:t>收购报告书或权益变</w:t>
            </w:r>
            <w:r>
              <w:rPr>
                <w:rFonts w:ascii="宋体" w:hAnsi="宋体" w:cs="宋体" w:eastAsia="宋体" w:hint="default"/>
                <w:w w:val="100"/>
                <w:sz w:val="15"/>
                <w:szCs w:val="15"/>
              </w:rPr>
              <w:t> </w:t>
            </w:r>
            <w:r>
              <w:rPr>
                <w:rFonts w:ascii="宋体" w:hAnsi="宋体" w:cs="宋体" w:eastAsia="宋体" w:hint="default"/>
                <w:sz w:val="15"/>
                <w:szCs w:val="15"/>
              </w:rPr>
              <w:t>动报告书中所作承诺</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98" w:right="151"/>
              <w:jc w:val="left"/>
              <w:rPr>
                <w:rFonts w:ascii="宋体" w:hAnsi="宋体" w:cs="宋体" w:eastAsia="宋体" w:hint="default"/>
                <w:sz w:val="15"/>
                <w:szCs w:val="15"/>
              </w:rPr>
            </w:pPr>
            <w:r>
              <w:rPr>
                <w:rFonts w:ascii="宋体" w:hAnsi="宋体" w:cs="宋体" w:eastAsia="宋体" w:hint="default"/>
                <w:sz w:val="15"/>
                <w:szCs w:val="15"/>
              </w:rPr>
              <w:t>解决关</w:t>
            </w:r>
            <w:r>
              <w:rPr>
                <w:rFonts w:ascii="宋体" w:hAnsi="宋体" w:cs="宋体" w:eastAsia="宋体" w:hint="default"/>
                <w:spacing w:val="-72"/>
                <w:sz w:val="15"/>
                <w:szCs w:val="15"/>
              </w:rPr>
              <w:t> </w:t>
            </w:r>
            <w:r>
              <w:rPr>
                <w:rFonts w:ascii="宋体" w:hAnsi="宋体" w:cs="宋体" w:eastAsia="宋体" w:hint="default"/>
                <w:sz w:val="15"/>
                <w:szCs w:val="15"/>
              </w:rPr>
              <w:t>联交易</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0" w:right="99"/>
              <w:jc w:val="left"/>
              <w:rPr>
                <w:rFonts w:ascii="宋体" w:hAnsi="宋体" w:cs="宋体" w:eastAsia="宋体" w:hint="default"/>
                <w:sz w:val="15"/>
                <w:szCs w:val="15"/>
              </w:rPr>
            </w:pPr>
            <w:r>
              <w:rPr>
                <w:rFonts w:ascii="宋体" w:hAnsi="宋体" w:cs="宋体" w:eastAsia="宋体" w:hint="default"/>
                <w:sz w:val="15"/>
                <w:szCs w:val="15"/>
              </w:rPr>
              <w:t>大连港集团有限公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0" w:right="97"/>
              <w:jc w:val="both"/>
              <w:rPr>
                <w:rFonts w:ascii="宋体" w:hAnsi="宋体" w:cs="宋体" w:eastAsia="宋体" w:hint="default"/>
                <w:sz w:val="15"/>
                <w:szCs w:val="15"/>
              </w:rPr>
            </w:pPr>
            <w:r>
              <w:rPr>
                <w:rFonts w:ascii="宋体" w:hAnsi="宋体" w:cs="宋体" w:eastAsia="宋体" w:hint="default"/>
                <w:spacing w:val="-2"/>
                <w:sz w:val="15"/>
                <w:szCs w:val="15"/>
              </w:rPr>
              <w:t>本次交易完成后，公司将尽量避免与锦州港股份之间的关</w:t>
            </w:r>
            <w:r>
              <w:rPr>
                <w:rFonts w:ascii="宋体" w:hAnsi="宋体" w:cs="宋体" w:eastAsia="宋体" w:hint="default"/>
                <w:spacing w:val="-28"/>
                <w:sz w:val="15"/>
                <w:szCs w:val="15"/>
              </w:rPr>
              <w:t> </w:t>
            </w:r>
            <w:r>
              <w:rPr>
                <w:rFonts w:ascii="宋体" w:hAnsi="宋体" w:cs="宋体" w:eastAsia="宋体" w:hint="default"/>
                <w:spacing w:val="-28"/>
                <w:sz w:val="15"/>
                <w:szCs w:val="15"/>
              </w:rPr>
            </w:r>
            <w:r>
              <w:rPr>
                <w:rFonts w:ascii="宋体" w:hAnsi="宋体" w:cs="宋体" w:eastAsia="宋体" w:hint="default"/>
                <w:spacing w:val="-2"/>
                <w:sz w:val="15"/>
                <w:szCs w:val="15"/>
              </w:rPr>
              <w:t>联交易；对于确有必要的关联交易，本公司将按照相关法</w:t>
            </w:r>
            <w:r>
              <w:rPr>
                <w:rFonts w:ascii="宋体" w:hAnsi="宋体" w:cs="宋体" w:eastAsia="宋体" w:hint="default"/>
                <w:spacing w:val="-28"/>
                <w:sz w:val="15"/>
                <w:szCs w:val="15"/>
              </w:rPr>
              <w:t> </w:t>
            </w:r>
            <w:r>
              <w:rPr>
                <w:rFonts w:ascii="宋体" w:hAnsi="宋体" w:cs="宋体" w:eastAsia="宋体" w:hint="default"/>
                <w:spacing w:val="-28"/>
                <w:sz w:val="15"/>
                <w:szCs w:val="15"/>
              </w:rPr>
            </w:r>
            <w:r>
              <w:rPr>
                <w:rFonts w:ascii="宋体" w:hAnsi="宋体" w:cs="宋体" w:eastAsia="宋体" w:hint="default"/>
                <w:spacing w:val="-2"/>
                <w:sz w:val="15"/>
                <w:szCs w:val="15"/>
              </w:rPr>
              <w:t>律法规、规范性文件以及公司章程的相关规定履行交易决</w:t>
            </w:r>
            <w:r>
              <w:rPr>
                <w:rFonts w:ascii="宋体" w:hAnsi="宋体" w:cs="宋体" w:eastAsia="宋体" w:hint="default"/>
                <w:spacing w:val="-28"/>
                <w:sz w:val="15"/>
                <w:szCs w:val="15"/>
              </w:rPr>
              <w:t> </w:t>
            </w:r>
            <w:r>
              <w:rPr>
                <w:rFonts w:ascii="宋体" w:hAnsi="宋体" w:cs="宋体" w:eastAsia="宋体" w:hint="default"/>
                <w:spacing w:val="-28"/>
                <w:sz w:val="15"/>
                <w:szCs w:val="15"/>
              </w:rPr>
            </w:r>
            <w:r>
              <w:rPr>
                <w:rFonts w:ascii="宋体" w:hAnsi="宋体" w:cs="宋体" w:eastAsia="宋体" w:hint="default"/>
                <w:spacing w:val="-2"/>
                <w:sz w:val="15"/>
                <w:szCs w:val="15"/>
              </w:rPr>
              <w:t>策程序及信息披露义务，并保证按市场化原则和公允价格</w:t>
            </w:r>
            <w:r>
              <w:rPr>
                <w:rFonts w:ascii="宋体" w:hAnsi="宋体" w:cs="宋体" w:eastAsia="宋体" w:hint="default"/>
                <w:spacing w:val="-28"/>
                <w:sz w:val="15"/>
                <w:szCs w:val="15"/>
              </w:rPr>
              <w:t> </w:t>
            </w:r>
            <w:r>
              <w:rPr>
                <w:rFonts w:ascii="宋体" w:hAnsi="宋体" w:cs="宋体" w:eastAsia="宋体" w:hint="default"/>
                <w:spacing w:val="-28"/>
                <w:sz w:val="15"/>
                <w:szCs w:val="15"/>
              </w:rPr>
            </w:r>
            <w:r>
              <w:rPr>
                <w:rFonts w:ascii="宋体" w:hAnsi="宋体" w:cs="宋体" w:eastAsia="宋体" w:hint="default"/>
                <w:spacing w:val="-2"/>
                <w:sz w:val="15"/>
                <w:szCs w:val="15"/>
              </w:rPr>
              <w:t>进行公平操作，不通过关联交易损害锦州港股份及其他股</w:t>
            </w:r>
            <w:r>
              <w:rPr>
                <w:rFonts w:ascii="宋体" w:hAnsi="宋体" w:cs="宋体" w:eastAsia="宋体" w:hint="default"/>
                <w:spacing w:val="-28"/>
                <w:sz w:val="15"/>
                <w:szCs w:val="15"/>
              </w:rPr>
              <w:t> </w:t>
            </w:r>
            <w:r>
              <w:rPr>
                <w:rFonts w:ascii="宋体" w:hAnsi="宋体" w:cs="宋体" w:eastAsia="宋体" w:hint="default"/>
                <w:spacing w:val="-28"/>
                <w:sz w:val="15"/>
                <w:szCs w:val="15"/>
              </w:rPr>
            </w:r>
            <w:r>
              <w:rPr>
                <w:rFonts w:ascii="宋体" w:hAnsi="宋体" w:cs="宋体" w:eastAsia="宋体" w:hint="default"/>
                <w:sz w:val="15"/>
                <w:szCs w:val="15"/>
              </w:rPr>
              <w:t>东的合法权益。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0" w:right="0"/>
              <w:jc w:val="left"/>
              <w:rPr>
                <w:rFonts w:ascii="宋体" w:hAnsi="宋体" w:cs="宋体" w:eastAsia="宋体" w:hint="default"/>
                <w:sz w:val="15"/>
                <w:szCs w:val="15"/>
              </w:rPr>
            </w:pPr>
            <w:r>
              <w:rPr>
                <w:rFonts w:ascii="宋体"/>
                <w:sz w:val="15"/>
              </w:rPr>
              <w:t>2013-12-30</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5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left="98" w:right="0"/>
              <w:jc w:val="left"/>
              <w:rPr>
                <w:rFonts w:ascii="宋体" w:hAnsi="宋体" w:cs="宋体" w:eastAsia="宋体" w:hint="default"/>
                <w:sz w:val="15"/>
                <w:szCs w:val="15"/>
              </w:rPr>
            </w:pPr>
            <w:r>
              <w:rPr>
                <w:rFonts w:ascii="宋体" w:hAnsi="宋体" w:cs="宋体" w:eastAsia="宋体" w:hint="default"/>
                <w:w w:val="100"/>
                <w:sz w:val="15"/>
                <w:szCs w:val="15"/>
              </w:rPr>
              <w:t>是</w:t>
            </w:r>
          </w:p>
        </w:tc>
      </w:tr>
      <w:tr>
        <w:trPr>
          <w:trHeight w:val="1160" w:hRule="exact"/>
        </w:trPr>
        <w:tc>
          <w:tcPr>
            <w:tcW w:w="169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93" w:right="221"/>
              <w:jc w:val="left"/>
              <w:rPr>
                <w:rFonts w:ascii="宋体" w:hAnsi="宋体" w:cs="宋体" w:eastAsia="宋体" w:hint="default"/>
                <w:sz w:val="15"/>
                <w:szCs w:val="15"/>
              </w:rPr>
            </w:pPr>
            <w:r>
              <w:rPr>
                <w:rFonts w:ascii="宋体" w:hAnsi="宋体" w:cs="宋体" w:eastAsia="宋体" w:hint="default"/>
                <w:sz w:val="15"/>
                <w:szCs w:val="15"/>
              </w:rPr>
              <w:t>收购报告书或权益变</w:t>
            </w:r>
            <w:r>
              <w:rPr>
                <w:rFonts w:ascii="宋体" w:hAnsi="宋体" w:cs="宋体" w:eastAsia="宋体" w:hint="default"/>
                <w:w w:val="100"/>
                <w:sz w:val="15"/>
                <w:szCs w:val="15"/>
              </w:rPr>
              <w:t> </w:t>
            </w:r>
            <w:r>
              <w:rPr>
                <w:rFonts w:ascii="宋体" w:hAnsi="宋体" w:cs="宋体" w:eastAsia="宋体" w:hint="default"/>
                <w:sz w:val="15"/>
                <w:szCs w:val="15"/>
              </w:rPr>
              <w:t>动报告书中所作承诺</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left="98" w:right="151"/>
              <w:jc w:val="left"/>
              <w:rPr>
                <w:rFonts w:ascii="宋体" w:hAnsi="宋体" w:cs="宋体" w:eastAsia="宋体" w:hint="default"/>
                <w:sz w:val="15"/>
                <w:szCs w:val="15"/>
              </w:rPr>
            </w:pPr>
            <w:r>
              <w:rPr>
                <w:rFonts w:ascii="宋体" w:hAnsi="宋体" w:cs="宋体" w:eastAsia="宋体" w:hint="default"/>
                <w:sz w:val="15"/>
                <w:szCs w:val="15"/>
              </w:rPr>
              <w:t>解决同</w:t>
            </w:r>
            <w:r>
              <w:rPr>
                <w:rFonts w:ascii="宋体" w:hAnsi="宋体" w:cs="宋体" w:eastAsia="宋体" w:hint="default"/>
                <w:spacing w:val="-72"/>
                <w:sz w:val="15"/>
                <w:szCs w:val="15"/>
              </w:rPr>
              <w:t> </w:t>
            </w:r>
            <w:r>
              <w:rPr>
                <w:rFonts w:ascii="宋体" w:hAnsi="宋体" w:cs="宋体" w:eastAsia="宋体" w:hint="default"/>
                <w:sz w:val="15"/>
                <w:szCs w:val="15"/>
              </w:rPr>
              <w:t>业竞争</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left="100" w:right="99"/>
              <w:jc w:val="left"/>
              <w:rPr>
                <w:rFonts w:ascii="宋体" w:hAnsi="宋体" w:cs="宋体" w:eastAsia="宋体" w:hint="default"/>
                <w:sz w:val="15"/>
                <w:szCs w:val="15"/>
              </w:rPr>
            </w:pPr>
            <w:r>
              <w:rPr>
                <w:rFonts w:ascii="宋体" w:hAnsi="宋体" w:cs="宋体" w:eastAsia="宋体" w:hint="default"/>
                <w:sz w:val="15"/>
                <w:szCs w:val="15"/>
              </w:rPr>
              <w:t>大连港集团有限公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39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left="100" w:right="94"/>
              <w:jc w:val="both"/>
              <w:rPr>
                <w:rFonts w:ascii="宋体" w:hAnsi="宋体" w:cs="宋体" w:eastAsia="宋体" w:hint="default"/>
                <w:sz w:val="15"/>
                <w:szCs w:val="15"/>
              </w:rPr>
            </w:pPr>
            <w:r>
              <w:rPr>
                <w:rFonts w:ascii="宋体" w:hAnsi="宋体" w:cs="宋体" w:eastAsia="宋体" w:hint="default"/>
                <w:spacing w:val="-5"/>
                <w:sz w:val="15"/>
                <w:szCs w:val="15"/>
              </w:rPr>
              <w:t>1</w:t>
            </w:r>
            <w:r>
              <w:rPr>
                <w:rFonts w:ascii="宋体" w:hAnsi="宋体" w:cs="宋体" w:eastAsia="宋体" w:hint="default"/>
                <w:spacing w:val="-5"/>
                <w:sz w:val="15"/>
                <w:szCs w:val="15"/>
              </w:rPr>
              <w:t>、截至本报告书签署之日，本公司及控股子公司未直接在</w:t>
            </w:r>
            <w:r>
              <w:rPr>
                <w:rFonts w:ascii="宋体" w:hAnsi="宋体" w:cs="宋体" w:eastAsia="宋体" w:hint="default"/>
                <w:spacing w:val="-22"/>
                <w:sz w:val="15"/>
                <w:szCs w:val="15"/>
              </w:rPr>
              <w:t> </w:t>
            </w:r>
            <w:r>
              <w:rPr>
                <w:rFonts w:ascii="宋体" w:hAnsi="宋体" w:cs="宋体" w:eastAsia="宋体" w:hint="default"/>
                <w:spacing w:val="-22"/>
                <w:sz w:val="15"/>
                <w:szCs w:val="15"/>
              </w:rPr>
            </w:r>
            <w:r>
              <w:rPr>
                <w:rFonts w:ascii="宋体" w:hAnsi="宋体" w:cs="宋体" w:eastAsia="宋体" w:hint="default"/>
                <w:spacing w:val="-2"/>
                <w:sz w:val="15"/>
                <w:szCs w:val="15"/>
              </w:rPr>
              <w:t>锦州地区经营港口业务，不存在与锦州港股份所经营的业</w:t>
            </w:r>
            <w:r>
              <w:rPr>
                <w:rFonts w:ascii="宋体" w:hAnsi="宋体" w:cs="宋体" w:eastAsia="宋体" w:hint="default"/>
                <w:spacing w:val="-28"/>
                <w:sz w:val="15"/>
                <w:szCs w:val="15"/>
              </w:rPr>
              <w:t> </w:t>
            </w:r>
            <w:r>
              <w:rPr>
                <w:rFonts w:ascii="宋体" w:hAnsi="宋体" w:cs="宋体" w:eastAsia="宋体" w:hint="default"/>
                <w:spacing w:val="-28"/>
                <w:sz w:val="15"/>
                <w:szCs w:val="15"/>
              </w:rPr>
            </w:r>
            <w:r>
              <w:rPr>
                <w:rFonts w:ascii="宋体" w:hAnsi="宋体" w:cs="宋体" w:eastAsia="宋体" w:hint="default"/>
                <w:spacing w:val="-2"/>
                <w:sz w:val="15"/>
                <w:szCs w:val="15"/>
              </w:rPr>
              <w:t>务构成直接竞争的情况；本公司在大连地区所经营的港口</w:t>
            </w:r>
            <w:r>
              <w:rPr>
                <w:rFonts w:ascii="宋体" w:hAnsi="宋体" w:cs="宋体" w:eastAsia="宋体" w:hint="default"/>
                <w:spacing w:val="-28"/>
                <w:sz w:val="15"/>
                <w:szCs w:val="15"/>
              </w:rPr>
              <w:t> </w:t>
            </w:r>
            <w:r>
              <w:rPr>
                <w:rFonts w:ascii="宋体" w:hAnsi="宋体" w:cs="宋体" w:eastAsia="宋体" w:hint="default"/>
                <w:spacing w:val="-28"/>
                <w:sz w:val="15"/>
                <w:szCs w:val="15"/>
              </w:rPr>
            </w:r>
            <w:r>
              <w:rPr>
                <w:rFonts w:ascii="宋体" w:hAnsi="宋体" w:cs="宋体" w:eastAsia="宋体" w:hint="default"/>
                <w:spacing w:val="-2"/>
                <w:sz w:val="15"/>
                <w:szCs w:val="15"/>
              </w:rPr>
              <w:t>业务，因地理位置、腹地、客户等差异，与锦州港股份不</w:t>
            </w:r>
            <w:r>
              <w:rPr>
                <w:rFonts w:ascii="宋体" w:hAnsi="宋体" w:cs="宋体" w:eastAsia="宋体" w:hint="default"/>
                <w:spacing w:val="-28"/>
                <w:sz w:val="15"/>
                <w:szCs w:val="15"/>
              </w:rPr>
              <w:t> </w:t>
            </w:r>
            <w:r>
              <w:rPr>
                <w:rFonts w:ascii="宋体" w:hAnsi="宋体" w:cs="宋体" w:eastAsia="宋体" w:hint="default"/>
                <w:spacing w:val="-28"/>
                <w:sz w:val="15"/>
                <w:szCs w:val="15"/>
              </w:rPr>
            </w:r>
            <w:r>
              <w:rPr>
                <w:rFonts w:ascii="宋体" w:hAnsi="宋体" w:cs="宋体" w:eastAsia="宋体" w:hint="default"/>
                <w:sz w:val="15"/>
                <w:szCs w:val="15"/>
              </w:rPr>
              <w:t>存在同业竞争的情况。</w:t>
            </w:r>
            <w:r>
              <w:rPr>
                <w:rFonts w:ascii="宋体" w:hAnsi="宋体" w:cs="宋体" w:eastAsia="宋体" w:hint="default"/>
                <w:spacing w:val="-4"/>
                <w:sz w:val="15"/>
                <w:szCs w:val="15"/>
              </w:rPr>
              <w:t> </w:t>
            </w:r>
            <w:r>
              <w:rPr>
                <w:rFonts w:ascii="宋体" w:hAnsi="宋体" w:cs="宋体" w:eastAsia="宋体" w:hint="default"/>
                <w:sz w:val="15"/>
                <w:szCs w:val="15"/>
              </w:rPr>
              <w:t>2</w:t>
            </w:r>
            <w:r>
              <w:rPr>
                <w:rFonts w:ascii="宋体" w:hAnsi="宋体" w:cs="宋体" w:eastAsia="宋体" w:hint="default"/>
                <w:sz w:val="15"/>
                <w:szCs w:val="15"/>
              </w:rPr>
              <w:t>、未来，本公司将尽职、勤勉地</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left="100" w:right="0"/>
              <w:jc w:val="left"/>
              <w:rPr>
                <w:rFonts w:ascii="宋体" w:hAnsi="宋体" w:cs="宋体" w:eastAsia="宋体" w:hint="default"/>
                <w:sz w:val="15"/>
                <w:szCs w:val="15"/>
              </w:rPr>
            </w:pPr>
            <w:r>
              <w:rPr>
                <w:rFonts w:ascii="宋体"/>
                <w:sz w:val="15"/>
              </w:rPr>
              <w:t>2013-12-30</w:t>
            </w:r>
          </w:p>
        </w:tc>
        <w:tc>
          <w:tcPr>
            <w:tcW w:w="5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5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6"/>
              <w:ind w:left="98" w:right="0"/>
              <w:jc w:val="left"/>
              <w:rPr>
                <w:rFonts w:ascii="宋体" w:hAnsi="宋体" w:cs="宋体" w:eastAsia="宋体" w:hint="default"/>
                <w:sz w:val="15"/>
                <w:szCs w:val="15"/>
              </w:rPr>
            </w:pPr>
            <w:r>
              <w:rPr>
                <w:rFonts w:ascii="宋体" w:hAnsi="宋体" w:cs="宋体" w:eastAsia="宋体" w:hint="default"/>
                <w:w w:val="100"/>
                <w:sz w:val="15"/>
                <w:szCs w:val="15"/>
              </w:rPr>
              <w:t>是</w:t>
            </w:r>
          </w:p>
        </w:tc>
      </w:tr>
    </w:tbl>
    <w:p>
      <w:pPr>
        <w:spacing w:after="0" w:line="240" w:lineRule="auto"/>
        <w:jc w:val="left"/>
        <w:rPr>
          <w:rFonts w:ascii="宋体" w:hAnsi="宋体" w:cs="宋体" w:eastAsia="宋体" w:hint="default"/>
          <w:sz w:val="15"/>
          <w:szCs w:val="15"/>
        </w:rPr>
        <w:sectPr>
          <w:pgSz w:w="11910" w:h="16840"/>
          <w:pgMar w:header="880" w:footer="1195" w:top="1120" w:bottom="1380" w:left="820" w:right="62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11" w:type="dxa"/>
        <w:tblLayout w:type="fixed"/>
        <w:tblCellMar>
          <w:top w:w="0" w:type="dxa"/>
          <w:left w:w="0" w:type="dxa"/>
          <w:bottom w:w="0" w:type="dxa"/>
          <w:right w:w="0" w:type="dxa"/>
        </w:tblCellMar>
        <w:tblLook w:val="01E0"/>
      </w:tblPr>
      <w:tblGrid>
        <w:gridCol w:w="1692"/>
        <w:gridCol w:w="720"/>
        <w:gridCol w:w="1419"/>
        <w:gridCol w:w="3968"/>
        <w:gridCol w:w="1277"/>
        <w:gridCol w:w="569"/>
        <w:gridCol w:w="554"/>
      </w:tblGrid>
      <w:tr>
        <w:trPr>
          <w:trHeight w:val="1164" w:hRule="exact"/>
        </w:trPr>
        <w:tc>
          <w:tcPr>
            <w:tcW w:w="1692" w:type="dxa"/>
            <w:tcBorders>
              <w:top w:val="single" w:sz="12" w:space="0" w:color="000000"/>
              <w:left w:val="single" w:sz="12" w:space="0" w:color="000000"/>
              <w:bottom w:val="single" w:sz="6" w:space="0" w:color="000000"/>
              <w:right w:val="single" w:sz="6" w:space="0" w:color="000000"/>
            </w:tcBorders>
          </w:tcPr>
          <w:p>
            <w:pPr/>
          </w:p>
        </w:tc>
        <w:tc>
          <w:tcPr>
            <w:tcW w:w="720" w:type="dxa"/>
            <w:tcBorders>
              <w:top w:val="single" w:sz="12" w:space="0" w:color="000000"/>
              <w:left w:val="single" w:sz="6" w:space="0" w:color="000000"/>
              <w:bottom w:val="single" w:sz="6" w:space="0" w:color="000000"/>
              <w:right w:val="single" w:sz="6" w:space="0" w:color="000000"/>
            </w:tcBorders>
          </w:tcPr>
          <w:p>
            <w:pPr/>
          </w:p>
        </w:tc>
        <w:tc>
          <w:tcPr>
            <w:tcW w:w="1419" w:type="dxa"/>
            <w:tcBorders>
              <w:top w:val="single" w:sz="12" w:space="0" w:color="000000"/>
              <w:left w:val="single" w:sz="6" w:space="0" w:color="000000"/>
              <w:bottom w:val="single" w:sz="6" w:space="0" w:color="000000"/>
              <w:right w:val="single" w:sz="6" w:space="0" w:color="000000"/>
            </w:tcBorders>
          </w:tcPr>
          <w:p>
            <w:pPr/>
          </w:p>
        </w:tc>
        <w:tc>
          <w:tcPr>
            <w:tcW w:w="3968" w:type="dxa"/>
            <w:tcBorders>
              <w:top w:val="single" w:sz="12" w:space="0" w:color="000000"/>
              <w:left w:val="single" w:sz="6" w:space="0" w:color="000000"/>
              <w:bottom w:val="single" w:sz="6" w:space="0" w:color="000000"/>
              <w:right w:val="single" w:sz="6" w:space="0" w:color="000000"/>
            </w:tcBorders>
          </w:tcPr>
          <w:p>
            <w:pPr>
              <w:pStyle w:val="TableParagraph"/>
              <w:spacing w:line="174" w:lineRule="exact"/>
              <w:ind w:left="100" w:right="0"/>
              <w:jc w:val="both"/>
              <w:rPr>
                <w:rFonts w:ascii="宋体" w:hAnsi="宋体" w:cs="宋体" w:eastAsia="宋体" w:hint="default"/>
                <w:sz w:val="15"/>
                <w:szCs w:val="15"/>
              </w:rPr>
            </w:pPr>
            <w:r>
              <w:rPr>
                <w:rFonts w:ascii="宋体" w:hAnsi="宋体" w:cs="宋体" w:eastAsia="宋体" w:hint="default"/>
                <w:sz w:val="15"/>
                <w:szCs w:val="15"/>
              </w:rPr>
              <w:t>履行《公司法》、《锦州港股份有限公司章程》所规定的</w:t>
            </w:r>
          </w:p>
          <w:p>
            <w:pPr>
              <w:pStyle w:val="TableParagraph"/>
              <w:spacing w:line="240" w:lineRule="auto"/>
              <w:ind w:left="100" w:right="97"/>
              <w:jc w:val="both"/>
              <w:rPr>
                <w:rFonts w:ascii="宋体" w:hAnsi="宋体" w:cs="宋体" w:eastAsia="宋体" w:hint="default"/>
                <w:sz w:val="15"/>
                <w:szCs w:val="15"/>
              </w:rPr>
            </w:pPr>
            <w:r>
              <w:rPr>
                <w:rFonts w:ascii="宋体" w:hAnsi="宋体" w:cs="宋体" w:eastAsia="宋体" w:hint="default"/>
                <w:spacing w:val="-2"/>
                <w:sz w:val="15"/>
                <w:szCs w:val="15"/>
              </w:rPr>
              <w:t>股东职责，维护锦州港股份业务运营的独立性，严格避免</w:t>
            </w:r>
            <w:r>
              <w:rPr>
                <w:rFonts w:ascii="宋体" w:hAnsi="宋体" w:cs="宋体" w:eastAsia="宋体" w:hint="default"/>
                <w:spacing w:val="-28"/>
                <w:sz w:val="15"/>
                <w:szCs w:val="15"/>
              </w:rPr>
              <w:t> </w:t>
            </w:r>
            <w:r>
              <w:rPr>
                <w:rFonts w:ascii="宋体" w:hAnsi="宋体" w:cs="宋体" w:eastAsia="宋体" w:hint="default"/>
                <w:spacing w:val="-28"/>
                <w:sz w:val="15"/>
                <w:szCs w:val="15"/>
              </w:rPr>
            </w:r>
            <w:r>
              <w:rPr>
                <w:rFonts w:ascii="宋体" w:hAnsi="宋体" w:cs="宋体" w:eastAsia="宋体" w:hint="default"/>
                <w:spacing w:val="-2"/>
                <w:sz w:val="15"/>
                <w:szCs w:val="15"/>
              </w:rPr>
              <w:t>同业竞争，不利用本公司的股东地位或身份损害锦州港股</w:t>
            </w:r>
            <w:r>
              <w:rPr>
                <w:rFonts w:ascii="宋体" w:hAnsi="宋体" w:cs="宋体" w:eastAsia="宋体" w:hint="default"/>
                <w:spacing w:val="-28"/>
                <w:sz w:val="15"/>
                <w:szCs w:val="15"/>
              </w:rPr>
              <w:t> </w:t>
            </w:r>
            <w:r>
              <w:rPr>
                <w:rFonts w:ascii="宋体" w:hAnsi="宋体" w:cs="宋体" w:eastAsia="宋体" w:hint="default"/>
                <w:spacing w:val="-28"/>
                <w:sz w:val="15"/>
                <w:szCs w:val="15"/>
              </w:rPr>
            </w:r>
            <w:r>
              <w:rPr>
                <w:rFonts w:ascii="宋体" w:hAnsi="宋体" w:cs="宋体" w:eastAsia="宋体" w:hint="default"/>
                <w:sz w:val="15"/>
                <w:szCs w:val="15"/>
              </w:rPr>
              <w:t>份及锦州港股份其它股东、债权人的合法权益。</w:t>
            </w:r>
          </w:p>
        </w:tc>
        <w:tc>
          <w:tcPr>
            <w:tcW w:w="1277" w:type="dxa"/>
            <w:tcBorders>
              <w:top w:val="single" w:sz="12" w:space="0" w:color="000000"/>
              <w:left w:val="single" w:sz="6" w:space="0" w:color="000000"/>
              <w:bottom w:val="single" w:sz="6" w:space="0" w:color="000000"/>
              <w:right w:val="single" w:sz="6" w:space="0" w:color="000000"/>
            </w:tcBorders>
          </w:tcPr>
          <w:p>
            <w:pPr/>
          </w:p>
        </w:tc>
        <w:tc>
          <w:tcPr>
            <w:tcW w:w="569" w:type="dxa"/>
            <w:tcBorders>
              <w:top w:val="single" w:sz="12" w:space="0" w:color="000000"/>
              <w:left w:val="single" w:sz="6" w:space="0" w:color="000000"/>
              <w:bottom w:val="single" w:sz="6" w:space="0" w:color="000000"/>
              <w:right w:val="single" w:sz="6" w:space="0" w:color="000000"/>
            </w:tcBorders>
          </w:tcPr>
          <w:p>
            <w:pPr/>
          </w:p>
        </w:tc>
        <w:tc>
          <w:tcPr>
            <w:tcW w:w="554" w:type="dxa"/>
            <w:tcBorders>
              <w:top w:val="single" w:sz="12" w:space="0" w:color="000000"/>
              <w:left w:val="single" w:sz="6" w:space="0" w:color="000000"/>
              <w:bottom w:val="single" w:sz="6" w:space="0" w:color="000000"/>
              <w:right w:val="single" w:sz="12" w:space="0" w:color="000000"/>
            </w:tcBorders>
          </w:tcPr>
          <w:p>
            <w:pPr/>
          </w:p>
        </w:tc>
      </w:tr>
      <w:tr>
        <w:trPr>
          <w:trHeight w:val="1154" w:hRule="exact"/>
        </w:trPr>
        <w:tc>
          <w:tcPr>
            <w:tcW w:w="16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93" w:right="221"/>
              <w:jc w:val="left"/>
              <w:rPr>
                <w:rFonts w:ascii="宋体" w:hAnsi="宋体" w:cs="宋体" w:eastAsia="宋体" w:hint="default"/>
                <w:sz w:val="15"/>
                <w:szCs w:val="15"/>
              </w:rPr>
            </w:pPr>
            <w:r>
              <w:rPr>
                <w:rFonts w:ascii="宋体" w:hAnsi="宋体" w:cs="宋体" w:eastAsia="宋体" w:hint="default"/>
                <w:sz w:val="15"/>
                <w:szCs w:val="15"/>
              </w:rPr>
              <w:t>收购报告书或权益变</w:t>
            </w:r>
            <w:r>
              <w:rPr>
                <w:rFonts w:ascii="宋体" w:hAnsi="宋体" w:cs="宋体" w:eastAsia="宋体" w:hint="default"/>
                <w:w w:val="100"/>
                <w:sz w:val="15"/>
                <w:szCs w:val="15"/>
              </w:rPr>
              <w:t> </w:t>
            </w:r>
            <w:r>
              <w:rPr>
                <w:rFonts w:ascii="宋体" w:hAnsi="宋体" w:cs="宋体" w:eastAsia="宋体" w:hint="default"/>
                <w:sz w:val="15"/>
                <w:szCs w:val="15"/>
              </w:rPr>
              <w:t>动报告书中所作承诺</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9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0" w:right="99"/>
              <w:jc w:val="left"/>
              <w:rPr>
                <w:rFonts w:ascii="宋体" w:hAnsi="宋体" w:cs="宋体" w:eastAsia="宋体" w:hint="default"/>
                <w:sz w:val="15"/>
                <w:szCs w:val="15"/>
              </w:rPr>
            </w:pPr>
            <w:r>
              <w:rPr>
                <w:rFonts w:ascii="宋体" w:hAnsi="宋体" w:cs="宋体" w:eastAsia="宋体" w:hint="default"/>
                <w:sz w:val="15"/>
                <w:szCs w:val="15"/>
              </w:rPr>
              <w:t>大连港集团有限公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0" w:right="20"/>
              <w:jc w:val="left"/>
              <w:rPr>
                <w:rFonts w:ascii="宋体" w:hAnsi="宋体" w:cs="宋体" w:eastAsia="宋体" w:hint="default"/>
                <w:sz w:val="15"/>
                <w:szCs w:val="15"/>
              </w:rPr>
            </w:pPr>
            <w:r>
              <w:rPr>
                <w:rFonts w:ascii="宋体" w:hAnsi="宋体" w:cs="宋体" w:eastAsia="宋体" w:hint="default"/>
                <w:sz w:val="15"/>
                <w:szCs w:val="15"/>
              </w:rPr>
              <w:t>本次股份受让完成后，本公司与锦州港股份之间将保持人</w:t>
            </w:r>
            <w:r>
              <w:rPr>
                <w:rFonts w:ascii="宋体" w:hAnsi="宋体" w:cs="宋体" w:eastAsia="宋体" w:hint="default"/>
                <w:w w:val="100"/>
                <w:sz w:val="15"/>
                <w:szCs w:val="15"/>
              </w:rPr>
              <w:t> </w:t>
            </w:r>
            <w:r>
              <w:rPr>
                <w:rFonts w:ascii="宋体" w:hAnsi="宋体" w:cs="宋体" w:eastAsia="宋体" w:hint="default"/>
                <w:sz w:val="15"/>
                <w:szCs w:val="15"/>
              </w:rPr>
              <w:t>员独立、资产完整、业务独立、机构独立和财务独立。锦</w:t>
            </w:r>
            <w:r>
              <w:rPr>
                <w:rFonts w:ascii="宋体" w:hAnsi="宋体" w:cs="宋体" w:eastAsia="宋体" w:hint="default"/>
                <w:w w:val="100"/>
                <w:sz w:val="15"/>
                <w:szCs w:val="15"/>
              </w:rPr>
              <w:t> </w:t>
            </w:r>
            <w:r>
              <w:rPr>
                <w:rFonts w:ascii="宋体" w:hAnsi="宋体" w:cs="宋体" w:eastAsia="宋体" w:hint="default"/>
                <w:spacing w:val="-5"/>
                <w:sz w:val="15"/>
                <w:szCs w:val="15"/>
              </w:rPr>
              <w:t>州港股份将继续拥有独立经营能力，在采购、生产、销售、</w:t>
            </w:r>
            <w:r>
              <w:rPr>
                <w:rFonts w:ascii="宋体" w:hAnsi="宋体" w:cs="宋体" w:eastAsia="宋体" w:hint="default"/>
                <w:spacing w:val="-23"/>
                <w:sz w:val="15"/>
                <w:szCs w:val="15"/>
              </w:rPr>
              <w:t> </w:t>
            </w:r>
            <w:r>
              <w:rPr>
                <w:rFonts w:ascii="宋体" w:hAnsi="宋体" w:cs="宋体" w:eastAsia="宋体" w:hint="default"/>
                <w:spacing w:val="-23"/>
                <w:sz w:val="15"/>
                <w:szCs w:val="15"/>
              </w:rPr>
            </w:r>
            <w:r>
              <w:rPr>
                <w:rFonts w:ascii="宋体" w:hAnsi="宋体" w:cs="宋体" w:eastAsia="宋体" w:hint="default"/>
                <w:spacing w:val="-5"/>
                <w:sz w:val="15"/>
                <w:szCs w:val="15"/>
              </w:rPr>
              <w:t>知识产权等方面保持独立，与本公司在人员、财务、资产、</w:t>
            </w:r>
            <w:r>
              <w:rPr>
                <w:rFonts w:ascii="宋体" w:hAnsi="宋体" w:cs="宋体" w:eastAsia="宋体" w:hint="default"/>
                <w:spacing w:val="-23"/>
                <w:sz w:val="15"/>
                <w:szCs w:val="15"/>
              </w:rPr>
              <w:t> </w:t>
            </w:r>
            <w:r>
              <w:rPr>
                <w:rFonts w:ascii="宋体" w:hAnsi="宋体" w:cs="宋体" w:eastAsia="宋体" w:hint="default"/>
                <w:spacing w:val="-23"/>
                <w:sz w:val="15"/>
                <w:szCs w:val="15"/>
              </w:rPr>
            </w:r>
            <w:r>
              <w:rPr>
                <w:rFonts w:ascii="宋体" w:hAnsi="宋体" w:cs="宋体" w:eastAsia="宋体" w:hint="default"/>
                <w:sz w:val="15"/>
                <w:szCs w:val="15"/>
              </w:rPr>
              <w:t>机构、业务方面做到“五分开”。</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0" w:right="0"/>
              <w:jc w:val="left"/>
              <w:rPr>
                <w:rFonts w:ascii="宋体" w:hAnsi="宋体" w:cs="宋体" w:eastAsia="宋体" w:hint="default"/>
                <w:sz w:val="15"/>
                <w:szCs w:val="15"/>
              </w:rPr>
            </w:pPr>
            <w:r>
              <w:rPr>
                <w:rFonts w:ascii="宋体"/>
                <w:sz w:val="15"/>
              </w:rPr>
              <w:t>2013-12-30</w:t>
            </w:r>
          </w:p>
        </w:tc>
        <w:tc>
          <w:tcPr>
            <w:tcW w:w="569" w:type="dxa"/>
            <w:tcBorders>
              <w:top w:val="single" w:sz="6" w:space="0" w:color="000000"/>
              <w:left w:val="single" w:sz="6" w:space="0" w:color="000000"/>
              <w:bottom w:val="single" w:sz="6" w:space="0" w:color="000000"/>
              <w:right w:val="single" w:sz="6" w:space="0" w:color="000000"/>
            </w:tcBorders>
          </w:tcPr>
          <w:p>
            <w:pPr/>
          </w:p>
        </w:tc>
        <w:tc>
          <w:tcPr>
            <w:tcW w:w="554" w:type="dxa"/>
            <w:tcBorders>
              <w:top w:val="single" w:sz="6" w:space="0" w:color="000000"/>
              <w:left w:val="single" w:sz="6" w:space="0" w:color="000000"/>
              <w:bottom w:val="single" w:sz="6" w:space="0" w:color="000000"/>
              <w:right w:val="single" w:sz="12" w:space="0" w:color="000000"/>
            </w:tcBorders>
          </w:tcPr>
          <w:p>
            <w:pPr/>
          </w:p>
        </w:tc>
      </w:tr>
      <w:tr>
        <w:trPr>
          <w:trHeight w:val="1304" w:hRule="exact"/>
        </w:trPr>
        <w:tc>
          <w:tcPr>
            <w:tcW w:w="16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与再融资相关的承诺</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98" w:right="151"/>
              <w:jc w:val="left"/>
              <w:rPr>
                <w:rFonts w:ascii="宋体" w:hAnsi="宋体" w:cs="宋体" w:eastAsia="宋体" w:hint="default"/>
                <w:sz w:val="15"/>
                <w:szCs w:val="15"/>
              </w:rPr>
            </w:pPr>
            <w:r>
              <w:rPr>
                <w:rFonts w:ascii="宋体" w:hAnsi="宋体" w:cs="宋体" w:eastAsia="宋体" w:hint="default"/>
                <w:sz w:val="15"/>
                <w:szCs w:val="15"/>
              </w:rPr>
              <w:t>解决同</w:t>
            </w:r>
            <w:r>
              <w:rPr>
                <w:rFonts w:ascii="宋体" w:hAnsi="宋体" w:cs="宋体" w:eastAsia="宋体" w:hint="default"/>
                <w:spacing w:val="-72"/>
                <w:sz w:val="15"/>
                <w:szCs w:val="15"/>
              </w:rPr>
              <w:t> </w:t>
            </w:r>
            <w:r>
              <w:rPr>
                <w:rFonts w:ascii="宋体" w:hAnsi="宋体" w:cs="宋体" w:eastAsia="宋体" w:hint="default"/>
                <w:sz w:val="15"/>
                <w:szCs w:val="15"/>
              </w:rPr>
              <w:t>业竞争</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0" w:right="99"/>
              <w:jc w:val="left"/>
              <w:rPr>
                <w:rFonts w:ascii="宋体" w:hAnsi="宋体" w:cs="宋体" w:eastAsia="宋体" w:hint="default"/>
                <w:sz w:val="15"/>
                <w:szCs w:val="15"/>
              </w:rPr>
            </w:pPr>
            <w:r>
              <w:rPr>
                <w:rFonts w:ascii="宋体" w:hAnsi="宋体" w:cs="宋体" w:eastAsia="宋体" w:hint="default"/>
                <w:sz w:val="15"/>
                <w:szCs w:val="15"/>
              </w:rPr>
              <w:t>大连港集团有限公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0" w:right="97"/>
              <w:jc w:val="both"/>
              <w:rPr>
                <w:rFonts w:ascii="宋体" w:hAnsi="宋体" w:cs="宋体" w:eastAsia="宋体" w:hint="default"/>
                <w:sz w:val="15"/>
                <w:szCs w:val="15"/>
              </w:rPr>
            </w:pPr>
            <w:r>
              <w:rPr>
                <w:rFonts w:ascii="宋体" w:hAnsi="宋体" w:cs="宋体" w:eastAsia="宋体" w:hint="default"/>
                <w:spacing w:val="-2"/>
                <w:sz w:val="15"/>
                <w:szCs w:val="15"/>
              </w:rPr>
              <w:t>截至承诺函签署之日，大连港集团未直接在锦州地区经营</w:t>
            </w:r>
            <w:r>
              <w:rPr>
                <w:rFonts w:ascii="宋体" w:hAnsi="宋体" w:cs="宋体" w:eastAsia="宋体" w:hint="default"/>
                <w:spacing w:val="-28"/>
                <w:sz w:val="15"/>
                <w:szCs w:val="15"/>
              </w:rPr>
              <w:t> </w:t>
            </w:r>
            <w:r>
              <w:rPr>
                <w:rFonts w:ascii="宋体" w:hAnsi="宋体" w:cs="宋体" w:eastAsia="宋体" w:hint="default"/>
                <w:spacing w:val="-28"/>
                <w:sz w:val="15"/>
                <w:szCs w:val="15"/>
              </w:rPr>
            </w:r>
            <w:r>
              <w:rPr>
                <w:rFonts w:ascii="宋体" w:hAnsi="宋体" w:cs="宋体" w:eastAsia="宋体" w:hint="default"/>
                <w:spacing w:val="-2"/>
                <w:sz w:val="15"/>
                <w:szCs w:val="15"/>
              </w:rPr>
              <w:t>港口业务，不存在与锦州港所经营的业务构成直接竞争的</w:t>
            </w:r>
            <w:r>
              <w:rPr>
                <w:rFonts w:ascii="宋体" w:hAnsi="宋体" w:cs="宋体" w:eastAsia="宋体" w:hint="default"/>
                <w:spacing w:val="-28"/>
                <w:sz w:val="15"/>
                <w:szCs w:val="15"/>
              </w:rPr>
              <w:t> </w:t>
            </w:r>
            <w:r>
              <w:rPr>
                <w:rFonts w:ascii="宋体" w:hAnsi="宋体" w:cs="宋体" w:eastAsia="宋体" w:hint="default"/>
                <w:spacing w:val="-28"/>
                <w:sz w:val="15"/>
                <w:szCs w:val="15"/>
              </w:rPr>
            </w:r>
            <w:r>
              <w:rPr>
                <w:rFonts w:ascii="宋体" w:hAnsi="宋体" w:cs="宋体" w:eastAsia="宋体" w:hint="default"/>
                <w:spacing w:val="-2"/>
                <w:sz w:val="15"/>
                <w:szCs w:val="15"/>
              </w:rPr>
              <w:t>情况。大连港集团在大连地区所经营的港口业务，因地理</w:t>
            </w:r>
            <w:r>
              <w:rPr>
                <w:rFonts w:ascii="宋体" w:hAnsi="宋体" w:cs="宋体" w:eastAsia="宋体" w:hint="default"/>
                <w:spacing w:val="-28"/>
                <w:sz w:val="15"/>
                <w:szCs w:val="15"/>
              </w:rPr>
              <w:t> </w:t>
            </w:r>
            <w:r>
              <w:rPr>
                <w:rFonts w:ascii="宋体" w:hAnsi="宋体" w:cs="宋体" w:eastAsia="宋体" w:hint="default"/>
                <w:spacing w:val="-28"/>
                <w:sz w:val="15"/>
                <w:szCs w:val="15"/>
              </w:rPr>
            </w:r>
            <w:r>
              <w:rPr>
                <w:rFonts w:ascii="宋体" w:hAnsi="宋体" w:cs="宋体" w:eastAsia="宋体" w:hint="default"/>
                <w:spacing w:val="-2"/>
                <w:sz w:val="15"/>
                <w:szCs w:val="15"/>
              </w:rPr>
              <w:t>位置、腹地等差异，与锦州港不存在实质性竞争。大连港</w:t>
            </w:r>
            <w:r>
              <w:rPr>
                <w:rFonts w:ascii="宋体" w:hAnsi="宋体" w:cs="宋体" w:eastAsia="宋体" w:hint="default"/>
                <w:spacing w:val="-28"/>
                <w:sz w:val="15"/>
                <w:szCs w:val="15"/>
              </w:rPr>
              <w:t> </w:t>
            </w:r>
            <w:r>
              <w:rPr>
                <w:rFonts w:ascii="宋体" w:hAnsi="宋体" w:cs="宋体" w:eastAsia="宋体" w:hint="default"/>
                <w:spacing w:val="-28"/>
                <w:sz w:val="15"/>
                <w:szCs w:val="15"/>
              </w:rPr>
            </w:r>
            <w:r>
              <w:rPr>
                <w:rFonts w:ascii="宋体" w:hAnsi="宋体" w:cs="宋体" w:eastAsia="宋体" w:hint="default"/>
                <w:spacing w:val="-2"/>
                <w:sz w:val="15"/>
                <w:szCs w:val="15"/>
              </w:rPr>
              <w:t>集团将根据上市公司规范运作的要求，避免与锦州港形成</w:t>
            </w:r>
            <w:r>
              <w:rPr>
                <w:rFonts w:ascii="宋体" w:hAnsi="宋体" w:cs="宋体" w:eastAsia="宋体" w:hint="default"/>
                <w:spacing w:val="-28"/>
                <w:sz w:val="15"/>
                <w:szCs w:val="15"/>
              </w:rPr>
              <w:t> </w:t>
            </w:r>
            <w:r>
              <w:rPr>
                <w:rFonts w:ascii="宋体" w:hAnsi="宋体" w:cs="宋体" w:eastAsia="宋体" w:hint="default"/>
                <w:spacing w:val="-28"/>
                <w:sz w:val="15"/>
                <w:szCs w:val="15"/>
              </w:rPr>
            </w:r>
            <w:r>
              <w:rPr>
                <w:rFonts w:ascii="宋体" w:hAnsi="宋体" w:cs="宋体" w:eastAsia="宋体" w:hint="default"/>
                <w:sz w:val="15"/>
                <w:szCs w:val="15"/>
              </w:rPr>
              <w:t>实质性同业竞争的情况。</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0" w:right="0"/>
              <w:jc w:val="left"/>
              <w:rPr>
                <w:rFonts w:ascii="宋体" w:hAnsi="宋体" w:cs="宋体" w:eastAsia="宋体" w:hint="default"/>
                <w:sz w:val="15"/>
                <w:szCs w:val="15"/>
              </w:rPr>
            </w:pPr>
            <w:r>
              <w:rPr>
                <w:rFonts w:ascii="宋体"/>
                <w:sz w:val="15"/>
              </w:rPr>
              <w:t>2014-2-13</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5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left="98" w:right="0"/>
              <w:jc w:val="left"/>
              <w:rPr>
                <w:rFonts w:ascii="宋体" w:hAnsi="宋体" w:cs="宋体" w:eastAsia="宋体" w:hint="default"/>
                <w:sz w:val="15"/>
                <w:szCs w:val="15"/>
              </w:rPr>
            </w:pPr>
            <w:r>
              <w:rPr>
                <w:rFonts w:ascii="宋体" w:hAnsi="宋体" w:cs="宋体" w:eastAsia="宋体" w:hint="default"/>
                <w:w w:val="100"/>
                <w:sz w:val="15"/>
                <w:szCs w:val="15"/>
              </w:rPr>
              <w:t>是</w:t>
            </w:r>
          </w:p>
        </w:tc>
      </w:tr>
      <w:tr>
        <w:trPr>
          <w:trHeight w:val="523" w:hRule="exact"/>
        </w:trPr>
        <w:tc>
          <w:tcPr>
            <w:tcW w:w="16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与再融资相关的承诺</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98" w:right="151"/>
              <w:jc w:val="left"/>
              <w:rPr>
                <w:rFonts w:ascii="宋体" w:hAnsi="宋体" w:cs="宋体" w:eastAsia="宋体" w:hint="default"/>
                <w:sz w:val="15"/>
                <w:szCs w:val="15"/>
              </w:rPr>
            </w:pPr>
            <w:r>
              <w:rPr>
                <w:rFonts w:ascii="宋体" w:hAnsi="宋体" w:cs="宋体" w:eastAsia="宋体" w:hint="default"/>
                <w:sz w:val="15"/>
                <w:szCs w:val="15"/>
              </w:rPr>
              <w:t>股份限</w:t>
            </w:r>
            <w:r>
              <w:rPr>
                <w:rFonts w:ascii="宋体" w:hAnsi="宋体" w:cs="宋体" w:eastAsia="宋体" w:hint="default"/>
                <w:spacing w:val="-72"/>
                <w:sz w:val="15"/>
                <w:szCs w:val="15"/>
              </w:rPr>
              <w:t> </w:t>
            </w:r>
            <w:r>
              <w:rPr>
                <w:rFonts w:ascii="宋体" w:hAnsi="宋体" w:cs="宋体" w:eastAsia="宋体" w:hint="default"/>
                <w:sz w:val="15"/>
                <w:szCs w:val="15"/>
              </w:rPr>
              <w:t>售</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0" w:right="99"/>
              <w:jc w:val="left"/>
              <w:rPr>
                <w:rFonts w:ascii="宋体" w:hAnsi="宋体" w:cs="宋体" w:eastAsia="宋体" w:hint="default"/>
                <w:sz w:val="15"/>
                <w:szCs w:val="15"/>
              </w:rPr>
            </w:pPr>
            <w:r>
              <w:rPr>
                <w:rFonts w:ascii="宋体" w:hAnsi="宋体" w:cs="宋体" w:eastAsia="宋体" w:hint="default"/>
                <w:sz w:val="15"/>
                <w:szCs w:val="15"/>
              </w:rPr>
              <w:t>西藏海涵交通发展</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0" w:right="0"/>
              <w:jc w:val="left"/>
              <w:rPr>
                <w:rFonts w:ascii="宋体" w:hAnsi="宋体" w:cs="宋体" w:eastAsia="宋体" w:hint="default"/>
                <w:sz w:val="15"/>
                <w:szCs w:val="15"/>
              </w:rPr>
            </w:pPr>
            <w:r>
              <w:rPr>
                <w:rFonts w:ascii="宋体" w:hAnsi="宋体" w:cs="宋体" w:eastAsia="宋体" w:hint="default"/>
                <w:sz w:val="15"/>
                <w:szCs w:val="15"/>
              </w:rPr>
              <w:t>自本次发行结束之日起</w:t>
            </w:r>
            <w:r>
              <w:rPr>
                <w:rFonts w:ascii="宋体" w:hAnsi="宋体" w:cs="宋体" w:eastAsia="宋体" w:hint="default"/>
                <w:spacing w:val="-39"/>
                <w:sz w:val="15"/>
                <w:szCs w:val="15"/>
              </w:rPr>
              <w:t> </w:t>
            </w:r>
            <w:r>
              <w:rPr>
                <w:rFonts w:ascii="宋体" w:hAnsi="宋体" w:cs="宋体" w:eastAsia="宋体" w:hint="default"/>
                <w:sz w:val="15"/>
                <w:szCs w:val="15"/>
              </w:rPr>
              <w:t>36</w:t>
            </w:r>
            <w:r>
              <w:rPr>
                <w:rFonts w:ascii="宋体" w:hAnsi="宋体" w:cs="宋体" w:eastAsia="宋体" w:hint="default"/>
                <w:spacing w:val="-38"/>
                <w:sz w:val="15"/>
                <w:szCs w:val="15"/>
              </w:rPr>
              <w:t> </w:t>
            </w:r>
            <w:r>
              <w:rPr>
                <w:rFonts w:ascii="宋体" w:hAnsi="宋体" w:cs="宋体" w:eastAsia="宋体" w:hint="default"/>
                <w:sz w:val="15"/>
                <w:szCs w:val="15"/>
              </w:rPr>
              <w:t>个月内不得上市交易</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before="96"/>
              <w:ind w:left="100" w:right="0"/>
              <w:jc w:val="left"/>
              <w:rPr>
                <w:rFonts w:ascii="宋体" w:hAnsi="宋体" w:cs="宋体" w:eastAsia="宋体" w:hint="default"/>
                <w:sz w:val="15"/>
                <w:szCs w:val="15"/>
              </w:rPr>
            </w:pPr>
            <w:r>
              <w:rPr>
                <w:rFonts w:ascii="宋体" w:hAnsi="宋体" w:cs="宋体" w:eastAsia="宋体" w:hint="default"/>
                <w:sz w:val="15"/>
                <w:szCs w:val="15"/>
              </w:rPr>
              <w:t>2013-12-19</w:t>
            </w:r>
            <w:r>
              <w:rPr>
                <w:rFonts w:ascii="宋体" w:hAnsi="宋体" w:cs="宋体" w:eastAsia="宋体" w:hint="default"/>
                <w:spacing w:val="-40"/>
                <w:sz w:val="15"/>
                <w:szCs w:val="15"/>
              </w:rPr>
              <w:t> </w:t>
            </w:r>
            <w:r>
              <w:rPr>
                <w:rFonts w:ascii="宋体" w:hAnsi="宋体" w:cs="宋体" w:eastAsia="宋体" w:hint="default"/>
                <w:sz w:val="15"/>
                <w:szCs w:val="15"/>
              </w:rPr>
              <w:t>至</w:t>
            </w:r>
          </w:p>
          <w:p>
            <w:pPr>
              <w:pStyle w:val="TableParagraph"/>
              <w:spacing w:line="195" w:lineRule="exact"/>
              <w:ind w:left="100" w:right="0"/>
              <w:jc w:val="left"/>
              <w:rPr>
                <w:rFonts w:ascii="宋体" w:hAnsi="宋体" w:cs="宋体" w:eastAsia="宋体" w:hint="default"/>
                <w:sz w:val="15"/>
                <w:szCs w:val="15"/>
              </w:rPr>
            </w:pPr>
            <w:r>
              <w:rPr>
                <w:rFonts w:ascii="宋体"/>
                <w:sz w:val="15"/>
              </w:rPr>
              <w:t>2016-12-20</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5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left="98" w:right="0"/>
              <w:jc w:val="left"/>
              <w:rPr>
                <w:rFonts w:ascii="宋体" w:hAnsi="宋体" w:cs="宋体" w:eastAsia="宋体" w:hint="default"/>
                <w:sz w:val="15"/>
                <w:szCs w:val="15"/>
              </w:rPr>
            </w:pPr>
            <w:r>
              <w:rPr>
                <w:rFonts w:ascii="宋体" w:hAnsi="宋体" w:cs="宋体" w:eastAsia="宋体" w:hint="default"/>
                <w:w w:val="100"/>
                <w:sz w:val="15"/>
                <w:szCs w:val="15"/>
              </w:rPr>
              <w:t>是</w:t>
            </w:r>
          </w:p>
        </w:tc>
      </w:tr>
      <w:tr>
        <w:trPr>
          <w:trHeight w:val="523" w:hRule="exact"/>
        </w:trPr>
        <w:tc>
          <w:tcPr>
            <w:tcW w:w="16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与再融资相关的承诺</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98" w:right="151"/>
              <w:jc w:val="left"/>
              <w:rPr>
                <w:rFonts w:ascii="宋体" w:hAnsi="宋体" w:cs="宋体" w:eastAsia="宋体" w:hint="default"/>
                <w:sz w:val="15"/>
                <w:szCs w:val="15"/>
              </w:rPr>
            </w:pPr>
            <w:r>
              <w:rPr>
                <w:rFonts w:ascii="宋体" w:hAnsi="宋体" w:cs="宋体" w:eastAsia="宋体" w:hint="default"/>
                <w:sz w:val="15"/>
                <w:szCs w:val="15"/>
              </w:rPr>
              <w:t>股份限</w:t>
            </w:r>
            <w:r>
              <w:rPr>
                <w:rFonts w:ascii="宋体" w:hAnsi="宋体" w:cs="宋体" w:eastAsia="宋体" w:hint="default"/>
                <w:spacing w:val="-72"/>
                <w:sz w:val="15"/>
                <w:szCs w:val="15"/>
              </w:rPr>
              <w:t> </w:t>
            </w:r>
            <w:r>
              <w:rPr>
                <w:rFonts w:ascii="宋体" w:hAnsi="宋体" w:cs="宋体" w:eastAsia="宋体" w:hint="default"/>
                <w:sz w:val="15"/>
                <w:szCs w:val="15"/>
              </w:rPr>
              <w:t>售</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0" w:right="99"/>
              <w:jc w:val="left"/>
              <w:rPr>
                <w:rFonts w:ascii="宋体" w:hAnsi="宋体" w:cs="宋体" w:eastAsia="宋体" w:hint="default"/>
                <w:sz w:val="15"/>
                <w:szCs w:val="15"/>
              </w:rPr>
            </w:pPr>
            <w:r>
              <w:rPr>
                <w:rFonts w:ascii="宋体" w:hAnsi="宋体" w:cs="宋体" w:eastAsia="宋体" w:hint="default"/>
                <w:sz w:val="15"/>
                <w:szCs w:val="15"/>
              </w:rPr>
              <w:t>西藏天圣交通发展</w:t>
            </w:r>
            <w:r>
              <w:rPr>
                <w:rFonts w:ascii="宋体" w:hAnsi="宋体" w:cs="宋体" w:eastAsia="宋体" w:hint="default"/>
                <w:w w:val="100"/>
                <w:sz w:val="15"/>
                <w:szCs w:val="15"/>
              </w:rPr>
              <w:t> </w:t>
            </w:r>
            <w:r>
              <w:rPr>
                <w:rFonts w:ascii="宋体" w:hAnsi="宋体" w:cs="宋体" w:eastAsia="宋体" w:hint="default"/>
                <w:sz w:val="15"/>
                <w:szCs w:val="15"/>
              </w:rPr>
              <w:t>投资有限公司</w:t>
            </w:r>
          </w:p>
        </w:tc>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0" w:right="0"/>
              <w:jc w:val="left"/>
              <w:rPr>
                <w:rFonts w:ascii="宋体" w:hAnsi="宋体" w:cs="宋体" w:eastAsia="宋体" w:hint="default"/>
                <w:sz w:val="15"/>
                <w:szCs w:val="15"/>
              </w:rPr>
            </w:pPr>
            <w:r>
              <w:rPr>
                <w:rFonts w:ascii="宋体" w:hAnsi="宋体" w:cs="宋体" w:eastAsia="宋体" w:hint="default"/>
                <w:sz w:val="15"/>
                <w:szCs w:val="15"/>
              </w:rPr>
              <w:t>自本次发行结束之日起</w:t>
            </w:r>
            <w:r>
              <w:rPr>
                <w:rFonts w:ascii="宋体" w:hAnsi="宋体" w:cs="宋体" w:eastAsia="宋体" w:hint="default"/>
                <w:spacing w:val="-39"/>
                <w:sz w:val="15"/>
                <w:szCs w:val="15"/>
              </w:rPr>
              <w:t> </w:t>
            </w:r>
            <w:r>
              <w:rPr>
                <w:rFonts w:ascii="宋体" w:hAnsi="宋体" w:cs="宋体" w:eastAsia="宋体" w:hint="default"/>
                <w:sz w:val="15"/>
                <w:szCs w:val="15"/>
              </w:rPr>
              <w:t>36</w:t>
            </w:r>
            <w:r>
              <w:rPr>
                <w:rFonts w:ascii="宋体" w:hAnsi="宋体" w:cs="宋体" w:eastAsia="宋体" w:hint="default"/>
                <w:spacing w:val="-38"/>
                <w:sz w:val="15"/>
                <w:szCs w:val="15"/>
              </w:rPr>
              <w:t> </w:t>
            </w:r>
            <w:r>
              <w:rPr>
                <w:rFonts w:ascii="宋体" w:hAnsi="宋体" w:cs="宋体" w:eastAsia="宋体" w:hint="default"/>
                <w:sz w:val="15"/>
                <w:szCs w:val="15"/>
              </w:rPr>
              <w:t>个月内不得上市交易</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before="96"/>
              <w:ind w:left="100" w:right="0"/>
              <w:jc w:val="left"/>
              <w:rPr>
                <w:rFonts w:ascii="宋体" w:hAnsi="宋体" w:cs="宋体" w:eastAsia="宋体" w:hint="default"/>
                <w:sz w:val="15"/>
                <w:szCs w:val="15"/>
              </w:rPr>
            </w:pPr>
            <w:r>
              <w:rPr>
                <w:rFonts w:ascii="宋体" w:hAnsi="宋体" w:cs="宋体" w:eastAsia="宋体" w:hint="default"/>
                <w:sz w:val="15"/>
                <w:szCs w:val="15"/>
              </w:rPr>
              <w:t>2013-12-19</w:t>
            </w:r>
            <w:r>
              <w:rPr>
                <w:rFonts w:ascii="宋体" w:hAnsi="宋体" w:cs="宋体" w:eastAsia="宋体" w:hint="default"/>
                <w:spacing w:val="-40"/>
                <w:sz w:val="15"/>
                <w:szCs w:val="15"/>
              </w:rPr>
              <w:t> </w:t>
            </w:r>
            <w:r>
              <w:rPr>
                <w:rFonts w:ascii="宋体" w:hAnsi="宋体" w:cs="宋体" w:eastAsia="宋体" w:hint="default"/>
                <w:sz w:val="15"/>
                <w:szCs w:val="15"/>
              </w:rPr>
              <w:t>至</w:t>
            </w:r>
          </w:p>
          <w:p>
            <w:pPr>
              <w:pStyle w:val="TableParagraph"/>
              <w:spacing w:line="195" w:lineRule="exact"/>
              <w:ind w:left="100" w:right="0"/>
              <w:jc w:val="left"/>
              <w:rPr>
                <w:rFonts w:ascii="宋体" w:hAnsi="宋体" w:cs="宋体" w:eastAsia="宋体" w:hint="default"/>
                <w:sz w:val="15"/>
                <w:szCs w:val="15"/>
              </w:rPr>
            </w:pPr>
            <w:r>
              <w:rPr>
                <w:rFonts w:ascii="宋体"/>
                <w:sz w:val="15"/>
              </w:rPr>
              <w:t>2016-12-20</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5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left="98" w:right="0"/>
              <w:jc w:val="left"/>
              <w:rPr>
                <w:rFonts w:ascii="宋体" w:hAnsi="宋体" w:cs="宋体" w:eastAsia="宋体" w:hint="default"/>
                <w:sz w:val="15"/>
                <w:szCs w:val="15"/>
              </w:rPr>
            </w:pPr>
            <w:r>
              <w:rPr>
                <w:rFonts w:ascii="宋体" w:hAnsi="宋体" w:cs="宋体" w:eastAsia="宋体" w:hint="default"/>
                <w:w w:val="100"/>
                <w:sz w:val="15"/>
                <w:szCs w:val="15"/>
              </w:rPr>
              <w:t>是</w:t>
            </w:r>
          </w:p>
        </w:tc>
      </w:tr>
      <w:tr>
        <w:trPr>
          <w:trHeight w:val="720" w:hRule="exact"/>
        </w:trPr>
        <w:tc>
          <w:tcPr>
            <w:tcW w:w="16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9"/>
              <w:ind w:left="93" w:right="0"/>
              <w:jc w:val="left"/>
              <w:rPr>
                <w:rFonts w:ascii="宋体" w:hAnsi="宋体" w:cs="宋体" w:eastAsia="宋体" w:hint="default"/>
                <w:sz w:val="15"/>
                <w:szCs w:val="15"/>
              </w:rPr>
            </w:pPr>
            <w:r>
              <w:rPr>
                <w:rFonts w:ascii="宋体" w:hAnsi="宋体" w:cs="宋体" w:eastAsia="宋体" w:hint="default"/>
                <w:sz w:val="15"/>
                <w:szCs w:val="15"/>
              </w:rPr>
              <w:t>其他承诺</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9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99"/>
              <w:jc w:val="left"/>
              <w:rPr>
                <w:rFonts w:ascii="宋体" w:hAnsi="宋体" w:cs="宋体" w:eastAsia="宋体" w:hint="default"/>
                <w:sz w:val="15"/>
                <w:szCs w:val="15"/>
              </w:rPr>
            </w:pPr>
            <w:r>
              <w:rPr>
                <w:rFonts w:ascii="宋体" w:hAnsi="宋体" w:cs="宋体" w:eastAsia="宋体" w:hint="default"/>
                <w:sz w:val="15"/>
                <w:szCs w:val="15"/>
              </w:rPr>
              <w:t>大连港集团有限公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20"/>
              <w:jc w:val="left"/>
              <w:rPr>
                <w:rFonts w:ascii="宋体" w:hAnsi="宋体" w:cs="宋体" w:eastAsia="宋体" w:hint="default"/>
                <w:sz w:val="15"/>
                <w:szCs w:val="15"/>
              </w:rPr>
            </w:pPr>
            <w:r>
              <w:rPr>
                <w:rFonts w:ascii="宋体" w:hAnsi="宋体" w:cs="宋体" w:eastAsia="宋体" w:hint="default"/>
                <w:spacing w:val="-1"/>
                <w:w w:val="100"/>
                <w:sz w:val="15"/>
                <w:szCs w:val="15"/>
              </w:rPr>
              <w:t>从即日起</w:t>
            </w:r>
            <w:r>
              <w:rPr>
                <w:rFonts w:ascii="宋体" w:hAnsi="宋体" w:cs="宋体" w:eastAsia="宋体" w:hint="default"/>
                <w:spacing w:val="-39"/>
                <w:w w:val="100"/>
                <w:sz w:val="15"/>
                <w:szCs w:val="15"/>
              </w:rPr>
              <w:t> </w:t>
            </w:r>
            <w:r>
              <w:rPr>
                <w:rFonts w:ascii="宋体" w:hAnsi="宋体" w:cs="宋体" w:eastAsia="宋体" w:hint="default"/>
                <w:w w:val="100"/>
                <w:sz w:val="15"/>
                <w:szCs w:val="15"/>
              </w:rPr>
              <w:t>6</w:t>
            </w:r>
            <w:r>
              <w:rPr>
                <w:rFonts w:ascii="宋体" w:hAnsi="宋体" w:cs="宋体" w:eastAsia="宋体" w:hint="default"/>
                <w:spacing w:val="-37"/>
                <w:w w:val="100"/>
                <w:sz w:val="15"/>
                <w:szCs w:val="15"/>
              </w:rPr>
              <w:t> </w:t>
            </w:r>
            <w:r>
              <w:rPr>
                <w:rFonts w:ascii="宋体" w:hAnsi="宋体" w:cs="宋体" w:eastAsia="宋体" w:hint="default"/>
                <w:spacing w:val="-5"/>
                <w:w w:val="100"/>
                <w:sz w:val="15"/>
                <w:szCs w:val="15"/>
              </w:rPr>
              <w:t>个月内，不通过二级市场减持所持我公司股份；</w:t>
            </w:r>
            <w:r>
              <w:rPr>
                <w:rFonts w:ascii="宋体" w:hAnsi="宋体" w:cs="宋体" w:eastAsia="宋体" w:hint="default"/>
                <w:w w:val="100"/>
                <w:sz w:val="15"/>
                <w:szCs w:val="15"/>
              </w:rPr>
              <w:t> </w:t>
            </w:r>
            <w:r>
              <w:rPr>
                <w:rFonts w:ascii="宋体" w:hAnsi="宋体" w:cs="宋体" w:eastAsia="宋体" w:hint="default"/>
                <w:sz w:val="15"/>
                <w:szCs w:val="15"/>
              </w:rPr>
              <w:t>履行大股东职责，着力提高上市公司质量，推动公司建立</w:t>
            </w:r>
            <w:r>
              <w:rPr>
                <w:rFonts w:ascii="宋体" w:hAnsi="宋体" w:cs="宋体" w:eastAsia="宋体" w:hint="default"/>
                <w:w w:val="100"/>
                <w:sz w:val="15"/>
                <w:szCs w:val="15"/>
              </w:rPr>
              <w:t> </w:t>
            </w:r>
            <w:r>
              <w:rPr>
                <w:rFonts w:ascii="宋体" w:hAnsi="宋体" w:cs="宋体" w:eastAsia="宋体" w:hint="default"/>
                <w:sz w:val="15"/>
                <w:szCs w:val="15"/>
              </w:rPr>
              <w:t>健全投资者汇报长效机制，不断提高投资者回报水平。</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5"/>
                <w:szCs w:val="15"/>
              </w:rPr>
            </w:pPr>
            <w:r>
              <w:rPr>
                <w:rFonts w:ascii="宋体"/>
                <w:sz w:val="15"/>
              </w:rPr>
              <w:t>2015-7-9</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5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8"/>
              <w:ind w:left="98" w:right="0"/>
              <w:jc w:val="left"/>
              <w:rPr>
                <w:rFonts w:ascii="宋体" w:hAnsi="宋体" w:cs="宋体" w:eastAsia="宋体" w:hint="default"/>
                <w:sz w:val="15"/>
                <w:szCs w:val="15"/>
              </w:rPr>
            </w:pPr>
            <w:r>
              <w:rPr>
                <w:rFonts w:ascii="宋体" w:hAnsi="宋体" w:cs="宋体" w:eastAsia="宋体" w:hint="default"/>
                <w:w w:val="100"/>
                <w:sz w:val="15"/>
                <w:szCs w:val="15"/>
              </w:rPr>
              <w:t>是</w:t>
            </w:r>
          </w:p>
        </w:tc>
      </w:tr>
      <w:tr>
        <w:trPr>
          <w:trHeight w:val="718" w:hRule="exact"/>
        </w:trPr>
        <w:tc>
          <w:tcPr>
            <w:tcW w:w="16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7"/>
              <w:ind w:left="93" w:right="0"/>
              <w:jc w:val="left"/>
              <w:rPr>
                <w:rFonts w:ascii="宋体" w:hAnsi="宋体" w:cs="宋体" w:eastAsia="宋体" w:hint="default"/>
                <w:sz w:val="15"/>
                <w:szCs w:val="15"/>
              </w:rPr>
            </w:pPr>
            <w:r>
              <w:rPr>
                <w:rFonts w:ascii="宋体" w:hAnsi="宋体" w:cs="宋体" w:eastAsia="宋体" w:hint="default"/>
                <w:sz w:val="15"/>
                <w:szCs w:val="15"/>
              </w:rPr>
              <w:t>其他承诺</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9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0" w:right="99"/>
              <w:jc w:val="left"/>
              <w:rPr>
                <w:rFonts w:ascii="宋体" w:hAnsi="宋体" w:cs="宋体" w:eastAsia="宋体" w:hint="default"/>
                <w:sz w:val="15"/>
                <w:szCs w:val="15"/>
              </w:rPr>
            </w:pPr>
            <w:r>
              <w:rPr>
                <w:rFonts w:ascii="宋体" w:hAnsi="宋体" w:cs="宋体" w:eastAsia="宋体" w:hint="default"/>
                <w:sz w:val="15"/>
                <w:szCs w:val="15"/>
              </w:rPr>
              <w:t>东方集团股份有限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0" w:right="20"/>
              <w:jc w:val="left"/>
              <w:rPr>
                <w:rFonts w:ascii="宋体" w:hAnsi="宋体" w:cs="宋体" w:eastAsia="宋体" w:hint="default"/>
                <w:sz w:val="15"/>
                <w:szCs w:val="15"/>
              </w:rPr>
            </w:pPr>
            <w:r>
              <w:rPr>
                <w:rFonts w:ascii="宋体" w:hAnsi="宋体" w:cs="宋体" w:eastAsia="宋体" w:hint="default"/>
                <w:spacing w:val="-1"/>
                <w:w w:val="100"/>
                <w:sz w:val="15"/>
                <w:szCs w:val="15"/>
              </w:rPr>
              <w:t>从即日起</w:t>
            </w:r>
            <w:r>
              <w:rPr>
                <w:rFonts w:ascii="宋体" w:hAnsi="宋体" w:cs="宋体" w:eastAsia="宋体" w:hint="default"/>
                <w:spacing w:val="-39"/>
                <w:w w:val="100"/>
                <w:sz w:val="15"/>
                <w:szCs w:val="15"/>
              </w:rPr>
              <w:t> </w:t>
            </w:r>
            <w:r>
              <w:rPr>
                <w:rFonts w:ascii="宋体" w:hAnsi="宋体" w:cs="宋体" w:eastAsia="宋体" w:hint="default"/>
                <w:w w:val="100"/>
                <w:sz w:val="15"/>
                <w:szCs w:val="15"/>
              </w:rPr>
              <w:t>6</w:t>
            </w:r>
            <w:r>
              <w:rPr>
                <w:rFonts w:ascii="宋体" w:hAnsi="宋体" w:cs="宋体" w:eastAsia="宋体" w:hint="default"/>
                <w:spacing w:val="-37"/>
                <w:w w:val="100"/>
                <w:sz w:val="15"/>
                <w:szCs w:val="15"/>
              </w:rPr>
              <w:t> </w:t>
            </w:r>
            <w:r>
              <w:rPr>
                <w:rFonts w:ascii="宋体" w:hAnsi="宋体" w:cs="宋体" w:eastAsia="宋体" w:hint="default"/>
                <w:spacing w:val="-5"/>
                <w:w w:val="100"/>
                <w:sz w:val="15"/>
                <w:szCs w:val="15"/>
              </w:rPr>
              <w:t>个月内，不通过二级市场减持所持我公司股份；</w:t>
            </w:r>
            <w:r>
              <w:rPr>
                <w:rFonts w:ascii="宋体" w:hAnsi="宋体" w:cs="宋体" w:eastAsia="宋体" w:hint="default"/>
                <w:w w:val="100"/>
                <w:sz w:val="15"/>
                <w:szCs w:val="15"/>
              </w:rPr>
              <w:t> </w:t>
            </w:r>
            <w:r>
              <w:rPr>
                <w:rFonts w:ascii="宋体" w:hAnsi="宋体" w:cs="宋体" w:eastAsia="宋体" w:hint="default"/>
                <w:sz w:val="15"/>
                <w:szCs w:val="15"/>
              </w:rPr>
              <w:t>履行大股东职责，着力提高上市公司质量，推动公司建立</w:t>
            </w:r>
            <w:r>
              <w:rPr>
                <w:rFonts w:ascii="宋体" w:hAnsi="宋体" w:cs="宋体" w:eastAsia="宋体" w:hint="default"/>
                <w:w w:val="100"/>
                <w:sz w:val="15"/>
                <w:szCs w:val="15"/>
              </w:rPr>
              <w:t> </w:t>
            </w:r>
            <w:r>
              <w:rPr>
                <w:rFonts w:ascii="宋体" w:hAnsi="宋体" w:cs="宋体" w:eastAsia="宋体" w:hint="default"/>
                <w:sz w:val="15"/>
                <w:szCs w:val="15"/>
              </w:rPr>
              <w:t>健全投资者汇报长效机制，不断提高投资者回报水平。</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0" w:right="0"/>
              <w:jc w:val="left"/>
              <w:rPr>
                <w:rFonts w:ascii="宋体" w:hAnsi="宋体" w:cs="宋体" w:eastAsia="宋体" w:hint="default"/>
                <w:sz w:val="15"/>
                <w:szCs w:val="15"/>
              </w:rPr>
            </w:pPr>
            <w:r>
              <w:rPr>
                <w:rFonts w:ascii="宋体"/>
                <w:sz w:val="15"/>
              </w:rPr>
              <w:t>2015-7-9</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5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left="98" w:right="0"/>
              <w:jc w:val="left"/>
              <w:rPr>
                <w:rFonts w:ascii="宋体" w:hAnsi="宋体" w:cs="宋体" w:eastAsia="宋体" w:hint="default"/>
                <w:sz w:val="15"/>
                <w:szCs w:val="15"/>
              </w:rPr>
            </w:pPr>
            <w:r>
              <w:rPr>
                <w:rFonts w:ascii="宋体" w:hAnsi="宋体" w:cs="宋体" w:eastAsia="宋体" w:hint="default"/>
                <w:w w:val="100"/>
                <w:sz w:val="15"/>
                <w:szCs w:val="15"/>
              </w:rPr>
              <w:t>是</w:t>
            </w:r>
          </w:p>
        </w:tc>
      </w:tr>
      <w:tr>
        <w:trPr>
          <w:trHeight w:val="720" w:hRule="exact"/>
        </w:trPr>
        <w:tc>
          <w:tcPr>
            <w:tcW w:w="16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9"/>
              <w:ind w:left="93" w:right="0"/>
              <w:jc w:val="left"/>
              <w:rPr>
                <w:rFonts w:ascii="宋体" w:hAnsi="宋体" w:cs="宋体" w:eastAsia="宋体" w:hint="default"/>
                <w:sz w:val="15"/>
                <w:szCs w:val="15"/>
              </w:rPr>
            </w:pPr>
            <w:r>
              <w:rPr>
                <w:rFonts w:ascii="宋体" w:hAnsi="宋体" w:cs="宋体" w:eastAsia="宋体" w:hint="default"/>
                <w:sz w:val="15"/>
                <w:szCs w:val="15"/>
              </w:rPr>
              <w:t>其他承诺</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9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99"/>
              <w:jc w:val="left"/>
              <w:rPr>
                <w:rFonts w:ascii="宋体" w:hAnsi="宋体" w:cs="宋体" w:eastAsia="宋体" w:hint="default"/>
                <w:sz w:val="15"/>
                <w:szCs w:val="15"/>
              </w:rPr>
            </w:pPr>
            <w:r>
              <w:rPr>
                <w:rFonts w:ascii="宋体" w:hAnsi="宋体" w:cs="宋体" w:eastAsia="宋体" w:hint="default"/>
                <w:sz w:val="15"/>
                <w:szCs w:val="15"/>
              </w:rPr>
              <w:t>西藏海涵交通发展</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20"/>
              <w:jc w:val="left"/>
              <w:rPr>
                <w:rFonts w:ascii="宋体" w:hAnsi="宋体" w:cs="宋体" w:eastAsia="宋体" w:hint="default"/>
                <w:sz w:val="15"/>
                <w:szCs w:val="15"/>
              </w:rPr>
            </w:pPr>
            <w:r>
              <w:rPr>
                <w:rFonts w:ascii="宋体" w:hAnsi="宋体" w:cs="宋体" w:eastAsia="宋体" w:hint="default"/>
                <w:spacing w:val="-1"/>
                <w:w w:val="100"/>
                <w:sz w:val="15"/>
                <w:szCs w:val="15"/>
              </w:rPr>
              <w:t>从即日起</w:t>
            </w:r>
            <w:r>
              <w:rPr>
                <w:rFonts w:ascii="宋体" w:hAnsi="宋体" w:cs="宋体" w:eastAsia="宋体" w:hint="default"/>
                <w:spacing w:val="-39"/>
                <w:w w:val="100"/>
                <w:sz w:val="15"/>
                <w:szCs w:val="15"/>
              </w:rPr>
              <w:t> </w:t>
            </w:r>
            <w:r>
              <w:rPr>
                <w:rFonts w:ascii="宋体" w:hAnsi="宋体" w:cs="宋体" w:eastAsia="宋体" w:hint="default"/>
                <w:w w:val="100"/>
                <w:sz w:val="15"/>
                <w:szCs w:val="15"/>
              </w:rPr>
              <w:t>6</w:t>
            </w:r>
            <w:r>
              <w:rPr>
                <w:rFonts w:ascii="宋体" w:hAnsi="宋体" w:cs="宋体" w:eastAsia="宋体" w:hint="default"/>
                <w:spacing w:val="-37"/>
                <w:w w:val="100"/>
                <w:sz w:val="15"/>
                <w:szCs w:val="15"/>
              </w:rPr>
              <w:t> </w:t>
            </w:r>
            <w:r>
              <w:rPr>
                <w:rFonts w:ascii="宋体" w:hAnsi="宋体" w:cs="宋体" w:eastAsia="宋体" w:hint="default"/>
                <w:spacing w:val="-5"/>
                <w:w w:val="100"/>
                <w:sz w:val="15"/>
                <w:szCs w:val="15"/>
              </w:rPr>
              <w:t>个月内，不通过二级市场减持所持我公司股份；</w:t>
            </w:r>
            <w:r>
              <w:rPr>
                <w:rFonts w:ascii="宋体" w:hAnsi="宋体" w:cs="宋体" w:eastAsia="宋体" w:hint="default"/>
                <w:w w:val="100"/>
                <w:sz w:val="15"/>
                <w:szCs w:val="15"/>
              </w:rPr>
              <w:t> </w:t>
            </w:r>
            <w:r>
              <w:rPr>
                <w:rFonts w:ascii="宋体" w:hAnsi="宋体" w:cs="宋体" w:eastAsia="宋体" w:hint="default"/>
                <w:sz w:val="15"/>
                <w:szCs w:val="15"/>
              </w:rPr>
              <w:t>履行大股东职责，着力提高上市公司质量，推动公司建立</w:t>
            </w:r>
            <w:r>
              <w:rPr>
                <w:rFonts w:ascii="宋体" w:hAnsi="宋体" w:cs="宋体" w:eastAsia="宋体" w:hint="default"/>
                <w:w w:val="100"/>
                <w:sz w:val="15"/>
                <w:szCs w:val="15"/>
              </w:rPr>
              <w:t> </w:t>
            </w:r>
            <w:r>
              <w:rPr>
                <w:rFonts w:ascii="宋体" w:hAnsi="宋体" w:cs="宋体" w:eastAsia="宋体" w:hint="default"/>
                <w:sz w:val="15"/>
                <w:szCs w:val="15"/>
              </w:rPr>
              <w:t>健全投资者汇报长效机制，不断提高投资者回报水平。</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5"/>
                <w:szCs w:val="15"/>
              </w:rPr>
            </w:pPr>
            <w:r>
              <w:rPr>
                <w:rFonts w:ascii="宋体"/>
                <w:sz w:val="15"/>
              </w:rPr>
              <w:t>2015-7-9</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5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8"/>
              <w:ind w:left="98" w:right="0"/>
              <w:jc w:val="left"/>
              <w:rPr>
                <w:rFonts w:ascii="宋体" w:hAnsi="宋体" w:cs="宋体" w:eastAsia="宋体" w:hint="default"/>
                <w:sz w:val="15"/>
                <w:szCs w:val="15"/>
              </w:rPr>
            </w:pPr>
            <w:r>
              <w:rPr>
                <w:rFonts w:ascii="宋体" w:hAnsi="宋体" w:cs="宋体" w:eastAsia="宋体" w:hint="default"/>
                <w:w w:val="100"/>
                <w:sz w:val="15"/>
                <w:szCs w:val="15"/>
              </w:rPr>
              <w:t>是</w:t>
            </w:r>
          </w:p>
        </w:tc>
      </w:tr>
      <w:tr>
        <w:trPr>
          <w:trHeight w:val="718" w:hRule="exact"/>
        </w:trPr>
        <w:tc>
          <w:tcPr>
            <w:tcW w:w="16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7"/>
              <w:ind w:left="93" w:right="0"/>
              <w:jc w:val="left"/>
              <w:rPr>
                <w:rFonts w:ascii="宋体" w:hAnsi="宋体" w:cs="宋体" w:eastAsia="宋体" w:hint="default"/>
                <w:sz w:val="15"/>
                <w:szCs w:val="15"/>
              </w:rPr>
            </w:pPr>
            <w:r>
              <w:rPr>
                <w:rFonts w:ascii="宋体" w:hAnsi="宋体" w:cs="宋体" w:eastAsia="宋体" w:hint="default"/>
                <w:sz w:val="15"/>
                <w:szCs w:val="15"/>
              </w:rPr>
              <w:t>其他承诺</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9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0" w:right="99"/>
              <w:jc w:val="left"/>
              <w:rPr>
                <w:rFonts w:ascii="宋体" w:hAnsi="宋体" w:cs="宋体" w:eastAsia="宋体" w:hint="default"/>
                <w:sz w:val="15"/>
                <w:szCs w:val="15"/>
              </w:rPr>
            </w:pPr>
            <w:r>
              <w:rPr>
                <w:rFonts w:ascii="宋体" w:hAnsi="宋体" w:cs="宋体" w:eastAsia="宋体" w:hint="default"/>
                <w:sz w:val="15"/>
                <w:szCs w:val="15"/>
              </w:rPr>
              <w:t>西藏天圣交通发展</w:t>
            </w:r>
            <w:r>
              <w:rPr>
                <w:rFonts w:ascii="宋体" w:hAnsi="宋体" w:cs="宋体" w:eastAsia="宋体" w:hint="default"/>
                <w:w w:val="100"/>
                <w:sz w:val="15"/>
                <w:szCs w:val="15"/>
              </w:rPr>
              <w:t> </w:t>
            </w:r>
            <w:r>
              <w:rPr>
                <w:rFonts w:ascii="宋体" w:hAnsi="宋体" w:cs="宋体" w:eastAsia="宋体" w:hint="default"/>
                <w:sz w:val="15"/>
                <w:szCs w:val="15"/>
              </w:rPr>
              <w:t>投资有限公司</w:t>
            </w:r>
          </w:p>
        </w:tc>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0" w:right="20"/>
              <w:jc w:val="left"/>
              <w:rPr>
                <w:rFonts w:ascii="宋体" w:hAnsi="宋体" w:cs="宋体" w:eastAsia="宋体" w:hint="default"/>
                <w:sz w:val="15"/>
                <w:szCs w:val="15"/>
              </w:rPr>
            </w:pPr>
            <w:r>
              <w:rPr>
                <w:rFonts w:ascii="宋体" w:hAnsi="宋体" w:cs="宋体" w:eastAsia="宋体" w:hint="default"/>
                <w:spacing w:val="-1"/>
                <w:w w:val="100"/>
                <w:sz w:val="15"/>
                <w:szCs w:val="15"/>
              </w:rPr>
              <w:t>从即日起</w:t>
            </w:r>
            <w:r>
              <w:rPr>
                <w:rFonts w:ascii="宋体" w:hAnsi="宋体" w:cs="宋体" w:eastAsia="宋体" w:hint="default"/>
                <w:spacing w:val="-39"/>
                <w:w w:val="100"/>
                <w:sz w:val="15"/>
                <w:szCs w:val="15"/>
              </w:rPr>
              <w:t> </w:t>
            </w:r>
            <w:r>
              <w:rPr>
                <w:rFonts w:ascii="宋体" w:hAnsi="宋体" w:cs="宋体" w:eastAsia="宋体" w:hint="default"/>
                <w:w w:val="100"/>
                <w:sz w:val="15"/>
                <w:szCs w:val="15"/>
              </w:rPr>
              <w:t>6</w:t>
            </w:r>
            <w:r>
              <w:rPr>
                <w:rFonts w:ascii="宋体" w:hAnsi="宋体" w:cs="宋体" w:eastAsia="宋体" w:hint="default"/>
                <w:spacing w:val="-37"/>
                <w:w w:val="100"/>
                <w:sz w:val="15"/>
                <w:szCs w:val="15"/>
              </w:rPr>
              <w:t> </w:t>
            </w:r>
            <w:r>
              <w:rPr>
                <w:rFonts w:ascii="宋体" w:hAnsi="宋体" w:cs="宋体" w:eastAsia="宋体" w:hint="default"/>
                <w:spacing w:val="-5"/>
                <w:w w:val="100"/>
                <w:sz w:val="15"/>
                <w:szCs w:val="15"/>
              </w:rPr>
              <w:t>个月内，不通过二级市场减持所持我公司股份；</w:t>
            </w:r>
            <w:r>
              <w:rPr>
                <w:rFonts w:ascii="宋体" w:hAnsi="宋体" w:cs="宋体" w:eastAsia="宋体" w:hint="default"/>
                <w:w w:val="100"/>
                <w:sz w:val="15"/>
                <w:szCs w:val="15"/>
              </w:rPr>
              <w:t> </w:t>
            </w:r>
            <w:r>
              <w:rPr>
                <w:rFonts w:ascii="宋体" w:hAnsi="宋体" w:cs="宋体" w:eastAsia="宋体" w:hint="default"/>
                <w:sz w:val="15"/>
                <w:szCs w:val="15"/>
              </w:rPr>
              <w:t>履行大股东职责，着力提高上市公司质量，推动公司建立</w:t>
            </w:r>
            <w:r>
              <w:rPr>
                <w:rFonts w:ascii="宋体" w:hAnsi="宋体" w:cs="宋体" w:eastAsia="宋体" w:hint="default"/>
                <w:w w:val="100"/>
                <w:sz w:val="15"/>
                <w:szCs w:val="15"/>
              </w:rPr>
              <w:t> </w:t>
            </w:r>
            <w:r>
              <w:rPr>
                <w:rFonts w:ascii="宋体" w:hAnsi="宋体" w:cs="宋体" w:eastAsia="宋体" w:hint="default"/>
                <w:sz w:val="15"/>
                <w:szCs w:val="15"/>
              </w:rPr>
              <w:t>健全投资者汇报长效机制，不断提高投资者回报水平。</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0" w:right="0"/>
              <w:jc w:val="left"/>
              <w:rPr>
                <w:rFonts w:ascii="宋体" w:hAnsi="宋体" w:cs="宋体" w:eastAsia="宋体" w:hint="default"/>
                <w:sz w:val="15"/>
                <w:szCs w:val="15"/>
              </w:rPr>
            </w:pPr>
            <w:r>
              <w:rPr>
                <w:rFonts w:ascii="宋体"/>
                <w:sz w:val="15"/>
              </w:rPr>
              <w:t>2015-7-9</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5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left="98" w:right="0"/>
              <w:jc w:val="left"/>
              <w:rPr>
                <w:rFonts w:ascii="宋体" w:hAnsi="宋体" w:cs="宋体" w:eastAsia="宋体" w:hint="default"/>
                <w:sz w:val="15"/>
                <w:szCs w:val="15"/>
              </w:rPr>
            </w:pPr>
            <w:r>
              <w:rPr>
                <w:rFonts w:ascii="宋体" w:hAnsi="宋体" w:cs="宋体" w:eastAsia="宋体" w:hint="default"/>
                <w:w w:val="100"/>
                <w:sz w:val="15"/>
                <w:szCs w:val="15"/>
              </w:rPr>
              <w:t>是</w:t>
            </w:r>
          </w:p>
        </w:tc>
      </w:tr>
      <w:tr>
        <w:trPr>
          <w:trHeight w:val="720" w:hRule="exact"/>
        </w:trPr>
        <w:tc>
          <w:tcPr>
            <w:tcW w:w="169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7"/>
              <w:ind w:left="93" w:right="0"/>
              <w:jc w:val="left"/>
              <w:rPr>
                <w:rFonts w:ascii="宋体" w:hAnsi="宋体" w:cs="宋体" w:eastAsia="宋体" w:hint="default"/>
                <w:sz w:val="15"/>
                <w:szCs w:val="15"/>
              </w:rPr>
            </w:pPr>
            <w:r>
              <w:rPr>
                <w:rFonts w:ascii="宋体" w:hAnsi="宋体" w:cs="宋体" w:eastAsia="宋体" w:hint="default"/>
                <w:sz w:val="15"/>
                <w:szCs w:val="15"/>
              </w:rPr>
              <w:t>其他承诺</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9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0" w:right="99"/>
              <w:jc w:val="left"/>
              <w:rPr>
                <w:rFonts w:ascii="宋体" w:hAnsi="宋体" w:cs="宋体" w:eastAsia="宋体" w:hint="default"/>
                <w:sz w:val="15"/>
                <w:szCs w:val="15"/>
              </w:rPr>
            </w:pPr>
            <w:r>
              <w:rPr>
                <w:rFonts w:ascii="宋体" w:hAnsi="宋体" w:cs="宋体" w:eastAsia="宋体" w:hint="default"/>
                <w:sz w:val="15"/>
                <w:szCs w:val="15"/>
              </w:rPr>
              <w:t>中国石油天然气集</w:t>
            </w:r>
            <w:r>
              <w:rPr>
                <w:rFonts w:ascii="宋体" w:hAnsi="宋体" w:cs="宋体" w:eastAsia="宋体" w:hint="default"/>
                <w:w w:val="100"/>
                <w:sz w:val="15"/>
                <w:szCs w:val="15"/>
              </w:rPr>
              <w:t> </w:t>
            </w:r>
            <w:r>
              <w:rPr>
                <w:rFonts w:ascii="宋体" w:hAnsi="宋体" w:cs="宋体" w:eastAsia="宋体" w:hint="default"/>
                <w:sz w:val="15"/>
                <w:szCs w:val="15"/>
              </w:rPr>
              <w:t>团公司</w:t>
            </w:r>
          </w:p>
        </w:tc>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0" w:right="20"/>
              <w:jc w:val="left"/>
              <w:rPr>
                <w:rFonts w:ascii="宋体" w:hAnsi="宋体" w:cs="宋体" w:eastAsia="宋体" w:hint="default"/>
                <w:sz w:val="15"/>
                <w:szCs w:val="15"/>
              </w:rPr>
            </w:pPr>
            <w:r>
              <w:rPr>
                <w:rFonts w:ascii="宋体" w:hAnsi="宋体" w:cs="宋体" w:eastAsia="宋体" w:hint="default"/>
                <w:spacing w:val="-1"/>
                <w:w w:val="100"/>
                <w:sz w:val="15"/>
                <w:szCs w:val="15"/>
              </w:rPr>
              <w:t>从即日起</w:t>
            </w:r>
            <w:r>
              <w:rPr>
                <w:rFonts w:ascii="宋体" w:hAnsi="宋体" w:cs="宋体" w:eastAsia="宋体" w:hint="default"/>
                <w:spacing w:val="-39"/>
                <w:w w:val="100"/>
                <w:sz w:val="15"/>
                <w:szCs w:val="15"/>
              </w:rPr>
              <w:t> </w:t>
            </w:r>
            <w:r>
              <w:rPr>
                <w:rFonts w:ascii="宋体" w:hAnsi="宋体" w:cs="宋体" w:eastAsia="宋体" w:hint="default"/>
                <w:w w:val="100"/>
                <w:sz w:val="15"/>
                <w:szCs w:val="15"/>
              </w:rPr>
              <w:t>6</w:t>
            </w:r>
            <w:r>
              <w:rPr>
                <w:rFonts w:ascii="宋体" w:hAnsi="宋体" w:cs="宋体" w:eastAsia="宋体" w:hint="default"/>
                <w:spacing w:val="-37"/>
                <w:w w:val="100"/>
                <w:sz w:val="15"/>
                <w:szCs w:val="15"/>
              </w:rPr>
              <w:t> </w:t>
            </w:r>
            <w:r>
              <w:rPr>
                <w:rFonts w:ascii="宋体" w:hAnsi="宋体" w:cs="宋体" w:eastAsia="宋体" w:hint="default"/>
                <w:spacing w:val="-5"/>
                <w:w w:val="100"/>
                <w:sz w:val="15"/>
                <w:szCs w:val="15"/>
              </w:rPr>
              <w:t>个月内，不通过二级市场减持所持我公司股份；</w:t>
            </w:r>
            <w:r>
              <w:rPr>
                <w:rFonts w:ascii="宋体" w:hAnsi="宋体" w:cs="宋体" w:eastAsia="宋体" w:hint="default"/>
                <w:w w:val="100"/>
                <w:sz w:val="15"/>
                <w:szCs w:val="15"/>
              </w:rPr>
              <w:t> </w:t>
            </w:r>
            <w:r>
              <w:rPr>
                <w:rFonts w:ascii="宋体" w:hAnsi="宋体" w:cs="宋体" w:eastAsia="宋体" w:hint="default"/>
                <w:sz w:val="15"/>
                <w:szCs w:val="15"/>
              </w:rPr>
              <w:t>履行大股东职责，着力提高上市公司质量，推动公司建立</w:t>
            </w:r>
            <w:r>
              <w:rPr>
                <w:rFonts w:ascii="宋体" w:hAnsi="宋体" w:cs="宋体" w:eastAsia="宋体" w:hint="default"/>
                <w:w w:val="100"/>
                <w:sz w:val="15"/>
                <w:szCs w:val="15"/>
              </w:rPr>
              <w:t> </w:t>
            </w:r>
            <w:r>
              <w:rPr>
                <w:rFonts w:ascii="宋体" w:hAnsi="宋体" w:cs="宋体" w:eastAsia="宋体" w:hint="default"/>
                <w:sz w:val="15"/>
                <w:szCs w:val="15"/>
              </w:rPr>
              <w:t>健全投资者汇报长效机制，不断提高投资者回报水平。</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0" w:right="0"/>
              <w:jc w:val="left"/>
              <w:rPr>
                <w:rFonts w:ascii="宋体" w:hAnsi="宋体" w:cs="宋体" w:eastAsia="宋体" w:hint="default"/>
                <w:sz w:val="15"/>
                <w:szCs w:val="15"/>
              </w:rPr>
            </w:pPr>
            <w:r>
              <w:rPr>
                <w:rFonts w:ascii="宋体"/>
                <w:sz w:val="15"/>
              </w:rPr>
              <w:t>2015-7-9</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5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left="98" w:right="0"/>
              <w:jc w:val="left"/>
              <w:rPr>
                <w:rFonts w:ascii="宋体" w:hAnsi="宋体" w:cs="宋体" w:eastAsia="宋体" w:hint="default"/>
                <w:sz w:val="15"/>
                <w:szCs w:val="15"/>
              </w:rPr>
            </w:pPr>
            <w:r>
              <w:rPr>
                <w:rFonts w:ascii="宋体" w:hAnsi="宋体" w:cs="宋体" w:eastAsia="宋体" w:hint="default"/>
                <w:w w:val="100"/>
                <w:sz w:val="15"/>
                <w:szCs w:val="15"/>
              </w:rPr>
              <w:t>是</w:t>
            </w:r>
          </w:p>
        </w:tc>
      </w:tr>
      <w:tr>
        <w:trPr>
          <w:trHeight w:val="722" w:hRule="exact"/>
        </w:trPr>
        <w:tc>
          <w:tcPr>
            <w:tcW w:w="169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7"/>
              <w:ind w:left="93" w:right="0"/>
              <w:jc w:val="left"/>
              <w:rPr>
                <w:rFonts w:ascii="宋体" w:hAnsi="宋体" w:cs="宋体" w:eastAsia="宋体" w:hint="default"/>
                <w:sz w:val="15"/>
                <w:szCs w:val="15"/>
              </w:rPr>
            </w:pPr>
            <w:r>
              <w:rPr>
                <w:rFonts w:ascii="宋体" w:hAnsi="宋体" w:cs="宋体" w:eastAsia="宋体" w:hint="default"/>
                <w:sz w:val="15"/>
                <w:szCs w:val="15"/>
              </w:rPr>
              <w:t>其他承诺</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left="9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left="100" w:right="99"/>
              <w:jc w:val="left"/>
              <w:rPr>
                <w:rFonts w:ascii="宋体" w:hAnsi="宋体" w:cs="宋体" w:eastAsia="宋体" w:hint="default"/>
                <w:sz w:val="15"/>
                <w:szCs w:val="15"/>
              </w:rPr>
            </w:pPr>
            <w:r>
              <w:rPr>
                <w:rFonts w:ascii="宋体" w:hAnsi="宋体" w:cs="宋体" w:eastAsia="宋体" w:hint="default"/>
                <w:sz w:val="15"/>
                <w:szCs w:val="15"/>
              </w:rPr>
              <w:t>锦州港国有资产经</w:t>
            </w:r>
            <w:r>
              <w:rPr>
                <w:rFonts w:ascii="宋体" w:hAnsi="宋体" w:cs="宋体" w:eastAsia="宋体" w:hint="default"/>
                <w:w w:val="100"/>
                <w:sz w:val="15"/>
                <w:szCs w:val="15"/>
              </w:rPr>
              <w:t> </w:t>
            </w:r>
            <w:r>
              <w:rPr>
                <w:rFonts w:ascii="宋体" w:hAnsi="宋体" w:cs="宋体" w:eastAsia="宋体" w:hint="default"/>
                <w:sz w:val="15"/>
                <w:szCs w:val="15"/>
              </w:rPr>
              <w:t>营管理有限公司</w:t>
            </w:r>
          </w:p>
        </w:tc>
        <w:tc>
          <w:tcPr>
            <w:tcW w:w="39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left="100" w:right="20"/>
              <w:jc w:val="left"/>
              <w:rPr>
                <w:rFonts w:ascii="宋体" w:hAnsi="宋体" w:cs="宋体" w:eastAsia="宋体" w:hint="default"/>
                <w:sz w:val="15"/>
                <w:szCs w:val="15"/>
              </w:rPr>
            </w:pPr>
            <w:r>
              <w:rPr>
                <w:rFonts w:ascii="宋体" w:hAnsi="宋体" w:cs="宋体" w:eastAsia="宋体" w:hint="default"/>
                <w:spacing w:val="-1"/>
                <w:w w:val="100"/>
                <w:sz w:val="15"/>
                <w:szCs w:val="15"/>
              </w:rPr>
              <w:t>从即日起</w:t>
            </w:r>
            <w:r>
              <w:rPr>
                <w:rFonts w:ascii="宋体" w:hAnsi="宋体" w:cs="宋体" w:eastAsia="宋体" w:hint="default"/>
                <w:spacing w:val="-39"/>
                <w:w w:val="100"/>
                <w:sz w:val="15"/>
                <w:szCs w:val="15"/>
              </w:rPr>
              <w:t> </w:t>
            </w:r>
            <w:r>
              <w:rPr>
                <w:rFonts w:ascii="宋体" w:hAnsi="宋体" w:cs="宋体" w:eastAsia="宋体" w:hint="default"/>
                <w:w w:val="100"/>
                <w:sz w:val="15"/>
                <w:szCs w:val="15"/>
              </w:rPr>
              <w:t>6</w:t>
            </w:r>
            <w:r>
              <w:rPr>
                <w:rFonts w:ascii="宋体" w:hAnsi="宋体" w:cs="宋体" w:eastAsia="宋体" w:hint="default"/>
                <w:spacing w:val="-37"/>
                <w:w w:val="100"/>
                <w:sz w:val="15"/>
                <w:szCs w:val="15"/>
              </w:rPr>
              <w:t> </w:t>
            </w:r>
            <w:r>
              <w:rPr>
                <w:rFonts w:ascii="宋体" w:hAnsi="宋体" w:cs="宋体" w:eastAsia="宋体" w:hint="default"/>
                <w:spacing w:val="-5"/>
                <w:w w:val="100"/>
                <w:sz w:val="15"/>
                <w:szCs w:val="15"/>
              </w:rPr>
              <w:t>个月内，不通过二级市场减持所持我公司股份；</w:t>
            </w:r>
            <w:r>
              <w:rPr>
                <w:rFonts w:ascii="宋体" w:hAnsi="宋体" w:cs="宋体" w:eastAsia="宋体" w:hint="default"/>
                <w:w w:val="100"/>
                <w:sz w:val="15"/>
                <w:szCs w:val="15"/>
              </w:rPr>
              <w:t> </w:t>
            </w:r>
            <w:r>
              <w:rPr>
                <w:rFonts w:ascii="宋体" w:hAnsi="宋体" w:cs="宋体" w:eastAsia="宋体" w:hint="default"/>
                <w:sz w:val="15"/>
                <w:szCs w:val="15"/>
              </w:rPr>
              <w:t>履行大股东职责，着力提高上市公司质量，推动公司建立</w:t>
            </w:r>
            <w:r>
              <w:rPr>
                <w:rFonts w:ascii="宋体" w:hAnsi="宋体" w:cs="宋体" w:eastAsia="宋体" w:hint="default"/>
                <w:w w:val="100"/>
                <w:sz w:val="15"/>
                <w:szCs w:val="15"/>
              </w:rPr>
              <w:t> </w:t>
            </w:r>
            <w:r>
              <w:rPr>
                <w:rFonts w:ascii="宋体" w:hAnsi="宋体" w:cs="宋体" w:eastAsia="宋体" w:hint="default"/>
                <w:sz w:val="15"/>
                <w:szCs w:val="15"/>
              </w:rPr>
              <w:t>健全投资者汇报长效机制，不断提高投资者回报水平。</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left="100" w:right="0"/>
              <w:jc w:val="left"/>
              <w:rPr>
                <w:rFonts w:ascii="宋体" w:hAnsi="宋体" w:cs="宋体" w:eastAsia="宋体" w:hint="default"/>
                <w:sz w:val="15"/>
                <w:szCs w:val="15"/>
              </w:rPr>
            </w:pPr>
            <w:r>
              <w:rPr>
                <w:rFonts w:ascii="宋体"/>
                <w:sz w:val="15"/>
              </w:rPr>
              <w:t>2015-7-9</w:t>
            </w:r>
          </w:p>
        </w:tc>
        <w:tc>
          <w:tcPr>
            <w:tcW w:w="5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left="100"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5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6"/>
              <w:ind w:left="98" w:right="0"/>
              <w:jc w:val="left"/>
              <w:rPr>
                <w:rFonts w:ascii="宋体" w:hAnsi="宋体" w:cs="宋体" w:eastAsia="宋体" w:hint="default"/>
                <w:sz w:val="15"/>
                <w:szCs w:val="15"/>
              </w:rPr>
            </w:pPr>
            <w:r>
              <w:rPr>
                <w:rFonts w:ascii="宋体" w:hAnsi="宋体" w:cs="宋体" w:eastAsia="宋体" w:hint="default"/>
                <w:w w:val="100"/>
                <w:sz w:val="15"/>
                <w:szCs w:val="15"/>
              </w:rPr>
              <w:t>是</w:t>
            </w:r>
          </w:p>
        </w:tc>
      </w:tr>
    </w:tbl>
    <w:p>
      <w:pPr>
        <w:spacing w:line="240" w:lineRule="auto" w:before="4"/>
        <w:rPr>
          <w:rFonts w:ascii="宋体" w:hAnsi="宋体" w:cs="宋体" w:eastAsia="宋体" w:hint="default"/>
          <w:b/>
          <w:bCs/>
          <w:sz w:val="20"/>
          <w:szCs w:val="20"/>
        </w:rPr>
      </w:pPr>
    </w:p>
    <w:p>
      <w:pPr>
        <w:pStyle w:val="Heading2"/>
        <w:spacing w:line="272" w:lineRule="exact" w:before="64"/>
        <w:ind w:left="978" w:right="425" w:firstLine="41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17"/>
        </w:rPr>
        <w:t> </w:t>
      </w:r>
      <w:r>
        <w:rPr>
          <w:spacing w:val="9"/>
        </w:rPr>
        <w:t>公司资产或项目存在盈利预测，且报告期仍处在盈利预测期间，公司就资产或项目</w:t>
      </w:r>
      <w:r>
        <w:rPr>
          <w:w w:val="100"/>
        </w:rPr>
        <w:t> </w:t>
      </w:r>
      <w:r>
        <w:rPr/>
        <w:t>达到原盈利预测及其原因作出说明</w:t>
      </w:r>
      <w:r>
        <w:rPr>
          <w:b w:val="0"/>
          <w:bCs w:val="0"/>
        </w:rPr>
      </w:r>
    </w:p>
    <w:p>
      <w:pPr>
        <w:pStyle w:val="BodyText"/>
        <w:spacing w:line="240" w:lineRule="auto" w:before="34"/>
        <w:ind w:left="1398" w:right="425"/>
        <w:jc w:val="left"/>
      </w:pPr>
      <w:r>
        <w:rPr/>
        <w:t>报告期内，公司资产或项目不存在盈利预测的情况。</w:t>
      </w:r>
    </w:p>
    <w:p>
      <w:pPr>
        <w:spacing w:line="240" w:lineRule="auto" w:before="3"/>
        <w:rPr>
          <w:rFonts w:ascii="宋体" w:hAnsi="宋体" w:cs="宋体" w:eastAsia="宋体" w:hint="default"/>
          <w:sz w:val="25"/>
          <w:szCs w:val="25"/>
        </w:rPr>
      </w:pPr>
    </w:p>
    <w:p>
      <w:pPr>
        <w:pStyle w:val="Heading2"/>
        <w:spacing w:line="240" w:lineRule="auto" w:before="0"/>
        <w:ind w:left="1398" w:right="425"/>
        <w:jc w:val="left"/>
        <w:rPr>
          <w:b w:val="0"/>
          <w:bCs w:val="0"/>
        </w:rPr>
      </w:pPr>
      <w:r>
        <w:rPr/>
        <w:t>三、报告期内资金被占用情况及清欠进展情况</w:t>
      </w:r>
      <w:r>
        <w:rPr>
          <w:b w:val="0"/>
          <w:bCs w:val="0"/>
        </w:rPr>
      </w:r>
    </w:p>
    <w:p>
      <w:pPr>
        <w:spacing w:line="290" w:lineRule="auto" w:before="56"/>
        <w:ind w:left="1398" w:right="26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四、董事会对会计师事务所</w:t>
      </w:r>
      <w:r>
        <w:rPr>
          <w:rFonts w:ascii="Arial" w:hAnsi="Arial" w:cs="Arial" w:eastAsia="Arial" w:hint="default"/>
          <w:b/>
          <w:bCs/>
          <w:spacing w:val="-1"/>
          <w:sz w:val="21"/>
          <w:szCs w:val="21"/>
        </w:rPr>
        <w:t>“</w:t>
      </w:r>
      <w:r>
        <w:rPr>
          <w:rFonts w:ascii="宋体" w:hAnsi="宋体" w:cs="宋体" w:eastAsia="宋体" w:hint="default"/>
          <w:b/>
          <w:bCs/>
          <w:spacing w:val="-1"/>
          <w:sz w:val="21"/>
          <w:szCs w:val="21"/>
        </w:rPr>
        <w:t>非标准审计报告</w:t>
      </w:r>
      <w:r>
        <w:rPr>
          <w:rFonts w:ascii="Arial" w:hAnsi="Arial" w:cs="Arial" w:eastAsia="Arial" w:hint="default"/>
          <w:b/>
          <w:bCs/>
          <w:spacing w:val="-1"/>
          <w:sz w:val="21"/>
          <w:szCs w:val="21"/>
        </w:rPr>
        <w:t>”</w:t>
      </w:r>
      <w:r>
        <w:rPr>
          <w:rFonts w:ascii="宋体" w:hAnsi="宋体" w:cs="宋体" w:eastAsia="宋体" w:hint="default"/>
          <w:b/>
          <w:bCs/>
          <w:spacing w:val="-1"/>
          <w:sz w:val="21"/>
          <w:szCs w:val="21"/>
        </w:rPr>
        <w:t>的说明</w:t>
      </w:r>
      <w:r>
        <w:rPr>
          <w:rFonts w:ascii="宋体" w:hAnsi="宋体" w:cs="宋体" w:eastAsia="宋体" w:hint="default"/>
          <w:spacing w:val="-1"/>
          <w:sz w:val="21"/>
          <w:szCs w:val="21"/>
        </w:rPr>
      </w:r>
    </w:p>
    <w:p>
      <w:pPr>
        <w:pStyle w:val="Heading2"/>
        <w:spacing w:line="294" w:lineRule="exact" w:before="0"/>
        <w:ind w:left="1340" w:right="425"/>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7"/>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32"/>
        <w:ind w:left="1398" w:right="425"/>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340" w:right="425"/>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9"/>
        </w:rPr>
        <w:t> </w:t>
      </w:r>
      <w:r>
        <w:rPr/>
        <w:t>董事会对会计政策、会计估计或核算方法变更的原因和影响的分析说明</w:t>
      </w:r>
      <w:r>
        <w:rPr>
          <w:b w:val="0"/>
          <w:bCs w:val="0"/>
        </w:rPr>
      </w:r>
    </w:p>
    <w:p>
      <w:pPr>
        <w:pStyle w:val="BodyText"/>
        <w:spacing w:line="240" w:lineRule="auto" w:before="29"/>
        <w:ind w:left="1398" w:right="425"/>
        <w:jc w:val="left"/>
      </w:pPr>
      <w:r>
        <w:rPr/>
        <w:t>□适用 √不适用</w:t>
      </w:r>
    </w:p>
    <w:p>
      <w:pPr>
        <w:spacing w:after="0" w:line="240" w:lineRule="auto"/>
        <w:jc w:val="left"/>
        <w:sectPr>
          <w:pgSz w:w="11910" w:h="16840"/>
          <w:pgMar w:header="880" w:footer="1195" w:top="1120" w:bottom="1380" w:left="820" w:right="620"/>
        </w:sectPr>
      </w:pPr>
    </w:p>
    <w:p>
      <w:pPr>
        <w:spacing w:line="240" w:lineRule="auto" w:before="4"/>
        <w:rPr>
          <w:rFonts w:ascii="宋体" w:hAnsi="宋体" w:cs="宋体" w:eastAsia="宋体" w:hint="default"/>
          <w:sz w:val="25"/>
          <w:szCs w:val="25"/>
        </w:rPr>
      </w:pPr>
    </w:p>
    <w:p>
      <w:pPr>
        <w:pStyle w:val="Heading2"/>
        <w:spacing w:line="240" w:lineRule="auto"/>
        <w:ind w:left="600" w:right="0"/>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6"/>
        </w:rPr>
        <w:t> </w:t>
      </w:r>
      <w:r>
        <w:rPr/>
        <w:t>董事会对重要前期差错更正的原因及影响的分析说明</w:t>
      </w:r>
      <w:r>
        <w:rPr>
          <w:b w:val="0"/>
          <w:bCs w:val="0"/>
        </w:rPr>
      </w:r>
    </w:p>
    <w:p>
      <w:pPr>
        <w:pStyle w:val="BodyText"/>
        <w:spacing w:line="240" w:lineRule="auto" w:before="32"/>
        <w:ind w:left="658" w:right="0"/>
        <w:jc w:val="left"/>
      </w:pPr>
      <w:r>
        <w:rPr/>
        <w:t>□适用 √不适用</w:t>
      </w:r>
    </w:p>
    <w:p>
      <w:pPr>
        <w:spacing w:line="240" w:lineRule="auto" w:before="6"/>
        <w:rPr>
          <w:rFonts w:ascii="宋体" w:hAnsi="宋体" w:cs="宋体" w:eastAsia="宋体" w:hint="default"/>
          <w:sz w:val="22"/>
          <w:szCs w:val="22"/>
        </w:rPr>
      </w:pPr>
    </w:p>
    <w:p>
      <w:pPr>
        <w:pStyle w:val="Heading2"/>
        <w:spacing w:line="240" w:lineRule="auto"/>
        <w:ind w:left="658" w:right="0"/>
        <w:jc w:val="left"/>
        <w:rPr>
          <w:b w:val="0"/>
          <w:bCs w:val="0"/>
        </w:rPr>
      </w:pPr>
      <w:r>
        <w:rPr/>
        <w:t>五、聘任、解聘会计师事务所情况</w:t>
      </w:r>
      <w:r>
        <w:rPr>
          <w:b w:val="0"/>
          <w:bCs w:val="0"/>
        </w:rPr>
      </w:r>
    </w:p>
    <w:p>
      <w:pPr>
        <w:pStyle w:val="BodyText"/>
        <w:spacing w:line="240" w:lineRule="auto" w:before="56"/>
        <w:ind w:left="0" w:right="250"/>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085"/>
        <w:gridCol w:w="2979"/>
        <w:gridCol w:w="2986"/>
      </w:tblGrid>
      <w:tr>
        <w:trPr>
          <w:trHeight w:val="295" w:hRule="exact"/>
        </w:trPr>
        <w:tc>
          <w:tcPr>
            <w:tcW w:w="3085" w:type="dxa"/>
            <w:tcBorders>
              <w:top w:val="single" w:sz="12" w:space="0" w:color="000000"/>
              <w:left w:val="single" w:sz="12" w:space="0" w:color="000000"/>
              <w:bottom w:val="single" w:sz="6" w:space="0" w:color="000000"/>
              <w:right w:val="single" w:sz="6" w:space="0" w:color="000000"/>
            </w:tcBorders>
          </w:tcPr>
          <w:p>
            <w:pPr/>
          </w:p>
        </w:tc>
        <w:tc>
          <w:tcPr>
            <w:tcW w:w="2979"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原聘任</w:t>
            </w:r>
          </w:p>
        </w:tc>
        <w:tc>
          <w:tcPr>
            <w:tcW w:w="2986"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559" w:hRule="exact"/>
        </w:trPr>
        <w:tc>
          <w:tcPr>
            <w:tcW w:w="308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华普天健会计师事务所（特殊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普通合伙）</w:t>
            </w:r>
          </w:p>
        </w:tc>
        <w:tc>
          <w:tcPr>
            <w:tcW w:w="2986"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w:t>
            </w:r>
          </w:p>
        </w:tc>
      </w:tr>
      <w:tr>
        <w:trPr>
          <w:trHeight w:val="288" w:hRule="exact"/>
        </w:trPr>
        <w:tc>
          <w:tcPr>
            <w:tcW w:w="308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700,000</w:t>
            </w:r>
          </w:p>
        </w:tc>
        <w:tc>
          <w:tcPr>
            <w:tcW w:w="298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6"/>
              <w:jc w:val="right"/>
              <w:rPr>
                <w:rFonts w:ascii="宋体" w:hAnsi="宋体" w:cs="宋体" w:eastAsia="宋体" w:hint="default"/>
                <w:sz w:val="21"/>
                <w:szCs w:val="21"/>
              </w:rPr>
            </w:pPr>
            <w:r>
              <w:rPr>
                <w:rFonts w:ascii="宋体"/>
                <w:spacing w:val="-1"/>
                <w:sz w:val="21"/>
              </w:rPr>
              <w:t>630,000</w:t>
            </w:r>
          </w:p>
        </w:tc>
      </w:tr>
      <w:tr>
        <w:trPr>
          <w:trHeight w:val="293" w:hRule="exact"/>
        </w:trPr>
        <w:tc>
          <w:tcPr>
            <w:tcW w:w="3085"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297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86"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8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12"/>
        <w:rPr>
          <w:rFonts w:ascii="宋体" w:hAnsi="宋体" w:cs="宋体" w:eastAsia="宋体" w:hint="default"/>
          <w:sz w:val="20"/>
          <w:szCs w:val="20"/>
        </w:rPr>
      </w:pPr>
    </w:p>
    <w:tbl>
      <w:tblPr>
        <w:tblW w:w="0" w:type="auto"/>
        <w:jc w:val="left"/>
        <w:tblInd w:w="115" w:type="dxa"/>
        <w:tblLayout w:type="fixed"/>
        <w:tblCellMar>
          <w:top w:w="0" w:type="dxa"/>
          <w:left w:w="0" w:type="dxa"/>
          <w:bottom w:w="0" w:type="dxa"/>
          <w:right w:w="0" w:type="dxa"/>
        </w:tblCellMar>
        <w:tblLook w:val="01E0"/>
      </w:tblPr>
      <w:tblGrid>
        <w:gridCol w:w="3085"/>
        <w:gridCol w:w="2979"/>
        <w:gridCol w:w="2986"/>
      </w:tblGrid>
      <w:tr>
        <w:trPr>
          <w:trHeight w:val="296" w:hRule="exact"/>
        </w:trPr>
        <w:tc>
          <w:tcPr>
            <w:tcW w:w="3085" w:type="dxa"/>
            <w:tcBorders>
              <w:top w:val="single" w:sz="12" w:space="0" w:color="000000"/>
              <w:left w:val="single" w:sz="12" w:space="0" w:color="000000"/>
              <w:bottom w:val="single" w:sz="6" w:space="0" w:color="000000"/>
              <w:right w:val="single" w:sz="6" w:space="0" w:color="000000"/>
            </w:tcBorders>
          </w:tcPr>
          <w:p>
            <w:pPr/>
          </w:p>
        </w:tc>
        <w:tc>
          <w:tcPr>
            <w:tcW w:w="2979" w:type="dxa"/>
            <w:tcBorders>
              <w:top w:val="single" w:sz="12"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986" w:type="dxa"/>
            <w:tcBorders>
              <w:top w:val="single" w:sz="12" w:space="0" w:color="000000"/>
              <w:left w:val="single" w:sz="6" w:space="0" w:color="000000"/>
              <w:bottom w:val="single" w:sz="6" w:space="0" w:color="000000"/>
              <w:right w:val="single" w:sz="12" w:space="0" w:color="000000"/>
            </w:tcBorders>
          </w:tcPr>
          <w:p>
            <w:pPr>
              <w:pStyle w:val="TableParagraph"/>
              <w:spacing w:line="244" w:lineRule="exact"/>
              <w:ind w:left="12"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62" w:hRule="exact"/>
        </w:trPr>
        <w:tc>
          <w:tcPr>
            <w:tcW w:w="3085"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2986"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86"/>
              <w:jc w:val="right"/>
              <w:rPr>
                <w:rFonts w:ascii="宋体" w:hAnsi="宋体" w:cs="宋体" w:eastAsia="宋体" w:hint="default"/>
                <w:sz w:val="21"/>
                <w:szCs w:val="21"/>
              </w:rPr>
            </w:pPr>
            <w:r>
              <w:rPr>
                <w:rFonts w:ascii="宋体"/>
                <w:spacing w:val="-1"/>
                <w:sz w:val="21"/>
              </w:rPr>
              <w:t>180,000</w:t>
            </w:r>
          </w:p>
        </w:tc>
      </w:tr>
      <w:tr>
        <w:trPr>
          <w:trHeight w:val="293" w:hRule="exact"/>
        </w:trPr>
        <w:tc>
          <w:tcPr>
            <w:tcW w:w="3085"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297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国泰君安证券股份有限公司</w:t>
            </w:r>
          </w:p>
        </w:tc>
        <w:tc>
          <w:tcPr>
            <w:tcW w:w="2986"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7"/>
        <w:rPr>
          <w:rFonts w:ascii="宋体" w:hAnsi="宋体" w:cs="宋体" w:eastAsia="宋体" w:hint="default"/>
          <w:sz w:val="15"/>
          <w:szCs w:val="15"/>
        </w:rPr>
      </w:pPr>
    </w:p>
    <w:p>
      <w:pPr>
        <w:pStyle w:val="BodyText"/>
        <w:spacing w:line="274" w:lineRule="exact" w:before="36"/>
        <w:ind w:left="718" w:right="0"/>
        <w:jc w:val="left"/>
      </w:pPr>
      <w:r>
        <w:rPr/>
        <w:t>聘任、解聘会计师事务所的情况说明</w:t>
      </w:r>
    </w:p>
    <w:p>
      <w:pPr>
        <w:pStyle w:val="BodyText"/>
        <w:spacing w:line="272" w:lineRule="exact" w:before="27"/>
        <w:ind w:left="823" w:right="0" w:hanging="166"/>
        <w:jc w:val="left"/>
      </w:pPr>
      <w:r>
        <w:rPr/>
        <w:t>√适用</w:t>
      </w:r>
      <w:r>
        <w:rPr>
          <w:spacing w:val="-2"/>
        </w:rPr>
        <w:t> </w:t>
      </w:r>
      <w:r>
        <w:rPr/>
        <w:t>□不适用</w:t>
      </w:r>
      <w:r>
        <w:rPr>
          <w:spacing w:val="-103"/>
        </w:rPr>
        <w:t> </w:t>
      </w:r>
      <w:r>
        <w:rPr>
          <w:spacing w:val="-103"/>
        </w:rPr>
      </w:r>
      <w:r>
        <w:rPr>
          <w:spacing w:val="-2"/>
        </w:rPr>
        <w:t>鉴于华普天健会计师事务所（特殊普通合伙）为公司提供审计服务的年限较长，为保证审</w:t>
      </w:r>
    </w:p>
    <w:p>
      <w:pPr>
        <w:pStyle w:val="BodyText"/>
        <w:spacing w:line="272" w:lineRule="exact" w:before="1"/>
        <w:ind w:left="238" w:right="0"/>
        <w:jc w:val="left"/>
      </w:pPr>
      <w:r>
        <w:rPr>
          <w:spacing w:val="-4"/>
        </w:rPr>
        <w:t>计服务的独立性和客观性，公司董事会同意不再续聘。</w:t>
      </w:r>
      <w:r>
        <w:rPr>
          <w:rFonts w:ascii="宋体" w:hAnsi="宋体" w:cs="宋体" w:eastAsia="宋体" w:hint="default"/>
          <w:spacing w:val="-4"/>
        </w:rPr>
        <w:t>2015</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18</w:t>
      </w:r>
      <w:r>
        <w:rPr>
          <w:spacing w:val="-4"/>
        </w:rPr>
        <w:t>日，公司召开的</w:t>
      </w:r>
      <w:r>
        <w:rPr>
          <w:rFonts w:ascii="宋体" w:hAnsi="宋体" w:cs="宋体" w:eastAsia="宋体" w:hint="default"/>
          <w:spacing w:val="-4"/>
        </w:rPr>
        <w:t>2014</w:t>
      </w:r>
      <w:r>
        <w:rPr>
          <w:spacing w:val="-4"/>
        </w:rPr>
        <w:t>年年度股</w:t>
      </w:r>
      <w:r>
        <w:rPr>
          <w:spacing w:val="-13"/>
        </w:rPr>
        <w:t> </w:t>
      </w:r>
      <w:r>
        <w:rPr>
          <w:spacing w:val="-13"/>
        </w:rPr>
      </w:r>
      <w:r>
        <w:rPr>
          <w:spacing w:val="-2"/>
        </w:rPr>
        <w:t>东大会同意聘任致同会计师事务所（特殊普通合伙）为公司</w:t>
      </w:r>
      <w:r>
        <w:rPr>
          <w:rFonts w:ascii="宋体" w:hAnsi="宋体" w:cs="宋体" w:eastAsia="宋体" w:hint="default"/>
          <w:spacing w:val="-2"/>
        </w:rPr>
        <w:t>2015</w:t>
      </w:r>
      <w:r>
        <w:rPr>
          <w:spacing w:val="-2"/>
        </w:rPr>
        <w:t>年度审计机构。根据双方签订的</w:t>
      </w:r>
    </w:p>
    <w:p>
      <w:pPr>
        <w:pStyle w:val="BodyText"/>
        <w:spacing w:line="272" w:lineRule="exact" w:before="1"/>
        <w:ind w:left="238" w:right="0"/>
        <w:jc w:val="left"/>
      </w:pPr>
      <w:r>
        <w:rPr>
          <w:spacing w:val="-2"/>
        </w:rPr>
        <w:t>审计业务约定书，年度审计费用合计</w:t>
      </w:r>
      <w:r>
        <w:rPr>
          <w:rFonts w:ascii="宋体" w:hAnsi="宋体" w:cs="宋体" w:eastAsia="宋体" w:hint="default"/>
          <w:spacing w:val="-2"/>
        </w:rPr>
        <w:t>81</w:t>
      </w:r>
      <w:r>
        <w:rPr>
          <w:spacing w:val="-2"/>
        </w:rPr>
        <w:t>万元，其中财务报告审计费用</w:t>
      </w:r>
      <w:r>
        <w:rPr>
          <w:rFonts w:ascii="宋体" w:hAnsi="宋体" w:cs="宋体" w:eastAsia="宋体" w:hint="default"/>
          <w:spacing w:val="-2"/>
        </w:rPr>
        <w:t>63</w:t>
      </w:r>
      <w:r>
        <w:rPr>
          <w:spacing w:val="-2"/>
        </w:rPr>
        <w:t>万元，内部控制审计费用</w:t>
      </w:r>
      <w:r>
        <w:rPr>
          <w:spacing w:val="-23"/>
        </w:rPr>
        <w:t> </w:t>
      </w:r>
      <w:r>
        <w:rPr>
          <w:spacing w:val="-23"/>
        </w:rPr>
      </w:r>
      <w:r>
        <w:rPr>
          <w:rFonts w:ascii="宋体" w:hAnsi="宋体" w:cs="宋体" w:eastAsia="宋体" w:hint="default"/>
        </w:rPr>
        <w:t>18</w:t>
      </w:r>
      <w:r>
        <w:rPr/>
        <w:t>万元，在上述两项审计过程中发生的差旅费及其他工作费用另行支付。</w:t>
      </w:r>
    </w:p>
    <w:p>
      <w:pPr>
        <w:pStyle w:val="Heading2"/>
        <w:spacing w:line="240" w:lineRule="auto" w:before="34"/>
        <w:ind w:left="658" w:right="0"/>
        <w:jc w:val="left"/>
        <w:rPr>
          <w:b w:val="0"/>
          <w:bCs w:val="0"/>
        </w:rPr>
      </w:pPr>
      <w:r>
        <w:rPr/>
        <w:t>六、面临暂停上市风险的情况</w:t>
      </w:r>
      <w:r>
        <w:rPr>
          <w:b w:val="0"/>
          <w:bCs w:val="0"/>
        </w:rPr>
      </w:r>
    </w:p>
    <w:p>
      <w:pPr>
        <w:pStyle w:val="Heading2"/>
        <w:spacing w:line="266" w:lineRule="auto" w:before="56"/>
        <w:ind w:left="658" w:right="2540"/>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导致暂停上市的原因以及公司采取的消除暂停上市情形的措施</w:t>
      </w:r>
      <w:r>
        <w:rPr>
          <w:w w:val="100"/>
        </w:rPr>
        <w:t> </w:t>
      </w:r>
      <w:r>
        <w:rPr>
          <w:rFonts w:ascii="宋体" w:hAnsi="宋体" w:cs="宋体" w:eastAsia="宋体" w:hint="default"/>
          <w:b w:val="0"/>
          <w:bCs w:val="0"/>
        </w:rPr>
        <w:t>无</w:t>
      </w:r>
    </w:p>
    <w:p>
      <w:pPr>
        <w:pStyle w:val="Heading2"/>
        <w:spacing w:line="240" w:lineRule="auto" w:before="33"/>
        <w:ind w:left="658" w:right="0"/>
        <w:jc w:val="left"/>
        <w:rPr>
          <w:b w:val="0"/>
          <w:bCs w:val="0"/>
        </w:rPr>
      </w:pPr>
      <w:r>
        <w:rPr/>
        <w:t>七、破产重整相关事项</w:t>
      </w:r>
      <w:r>
        <w:rPr>
          <w:b w:val="0"/>
          <w:bCs w:val="0"/>
        </w:rPr>
      </w:r>
    </w:p>
    <w:p>
      <w:pPr>
        <w:spacing w:line="290" w:lineRule="auto" w:before="58"/>
        <w:ind w:left="658" w:right="632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八、重大诉讼、仲裁事项</w:t>
      </w:r>
      <w:r>
        <w:rPr>
          <w:rFonts w:ascii="宋体" w:hAnsi="宋体" w:cs="宋体" w:eastAsia="宋体" w:hint="default"/>
          <w:sz w:val="21"/>
          <w:szCs w:val="21"/>
        </w:rPr>
      </w:r>
    </w:p>
    <w:p>
      <w:pPr>
        <w:pStyle w:val="BodyText"/>
        <w:spacing w:line="240" w:lineRule="auto" w:before="12"/>
        <w:ind w:left="658" w:right="0"/>
        <w:jc w:val="left"/>
      </w:pPr>
      <w:r>
        <w:rPr/>
        <w:t>□适用 √不适用</w:t>
      </w:r>
    </w:p>
    <w:p>
      <w:pPr>
        <w:pStyle w:val="Heading2"/>
        <w:spacing w:line="272" w:lineRule="exact" w:before="86"/>
        <w:ind w:left="658" w:right="0"/>
        <w:jc w:val="left"/>
        <w:rPr>
          <w:b w:val="0"/>
          <w:bCs w:val="0"/>
        </w:rPr>
      </w:pPr>
      <w:r>
        <w:rPr>
          <w:spacing w:val="-1"/>
        </w:rPr>
        <w:t>九、上市公司及其董事、监事、高级管理人员、控股股东、实际控制人、收购人处罚及整改</w:t>
      </w:r>
      <w:r>
        <w:rPr>
          <w:spacing w:val="-84"/>
        </w:rPr>
        <w:t> </w:t>
      </w:r>
      <w:r>
        <w:rPr>
          <w:spacing w:val="-84"/>
        </w:rPr>
      </w:r>
      <w:r>
        <w:rPr/>
        <w:t>情况</w:t>
      </w:r>
      <w:r>
        <w:rPr>
          <w:b w:val="0"/>
          <w:bCs w:val="0"/>
        </w:rPr>
      </w:r>
    </w:p>
    <w:p>
      <w:pPr>
        <w:spacing w:line="290" w:lineRule="auto" w:before="34"/>
        <w:ind w:left="658" w:right="25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十、报告期内公司及其控股股东、实际控制人诚信状况的说明</w:t>
      </w:r>
      <w:r>
        <w:rPr>
          <w:rFonts w:ascii="宋体" w:hAnsi="宋体" w:cs="宋体" w:eastAsia="宋体" w:hint="default"/>
          <w:spacing w:val="-1"/>
          <w:sz w:val="21"/>
          <w:szCs w:val="21"/>
        </w:rPr>
      </w:r>
    </w:p>
    <w:p>
      <w:pPr>
        <w:spacing w:line="290" w:lineRule="auto" w:before="14"/>
        <w:ind w:left="658" w:right="0" w:firstLine="0"/>
        <w:jc w:val="left"/>
        <w:rPr>
          <w:rFonts w:ascii="宋体" w:hAnsi="宋体" w:cs="宋体" w:eastAsia="宋体" w:hint="default"/>
          <w:sz w:val="21"/>
          <w:szCs w:val="21"/>
        </w:rPr>
      </w:pPr>
      <w:r>
        <w:rPr>
          <w:rFonts w:ascii="宋体" w:hAnsi="宋体" w:cs="宋体" w:eastAsia="宋体" w:hint="default"/>
          <w:spacing w:val="-2"/>
          <w:sz w:val="21"/>
          <w:szCs w:val="21"/>
        </w:rPr>
        <w:t>报告期内，公司不存在未履行法院生效判决、所负数额较大的债务到期未清偿等情况。</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b/>
          <w:bCs/>
          <w:sz w:val="21"/>
          <w:szCs w:val="21"/>
        </w:rPr>
        <w:t>十一、公司股权激励计划、员工持股计划或其他员工激励情况及其影响</w:t>
      </w:r>
      <w:r>
        <w:rPr>
          <w:rFonts w:ascii="宋体" w:hAnsi="宋体" w:cs="宋体" w:eastAsia="宋体" w:hint="default"/>
          <w:sz w:val="21"/>
          <w:szCs w:val="21"/>
        </w:rPr>
      </w:r>
    </w:p>
    <w:p>
      <w:pPr>
        <w:spacing w:line="290" w:lineRule="auto" w:before="14"/>
        <w:ind w:left="658" w:right="67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十二、重大关联交易</w:t>
      </w:r>
      <w:r>
        <w:rPr>
          <w:rFonts w:ascii="宋体" w:hAnsi="宋体" w:cs="宋体" w:eastAsia="宋体" w:hint="default"/>
          <w:sz w:val="21"/>
          <w:szCs w:val="21"/>
        </w:rPr>
      </w:r>
    </w:p>
    <w:p>
      <w:pPr>
        <w:pStyle w:val="BodyText"/>
        <w:spacing w:line="240" w:lineRule="auto" w:before="14"/>
        <w:ind w:left="658" w:right="0"/>
        <w:jc w:val="left"/>
      </w:pPr>
      <w:r>
        <w:rPr/>
        <w:t>√适用 □不适用</w:t>
      </w:r>
    </w:p>
    <w:p>
      <w:pPr>
        <w:pStyle w:val="Heading2"/>
        <w:spacing w:line="240" w:lineRule="auto" w:before="56"/>
        <w:ind w:left="65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32"/>
        <w:ind w:left="238" w:right="0"/>
        <w:jc w:val="left"/>
        <w:rPr>
          <w:b w:val="0"/>
          <w:bCs w:val="0"/>
        </w:rPr>
      </w:pPr>
      <w:r>
        <w:rPr>
          <w:rFonts w:ascii="宋体" w:hAnsi="宋体" w:cs="宋体" w:eastAsia="宋体" w:hint="default"/>
        </w:rPr>
        <w:t>1</w:t>
      </w:r>
      <w:r>
        <w:rPr/>
        <w:t>、</w:t>
      </w:r>
      <w:r>
        <w:rPr>
          <w:spacing w:val="-6"/>
        </w:rPr>
        <w:t> </w:t>
      </w:r>
      <w:r>
        <w:rPr/>
        <w:t>已在临时公告披露，但有后续实施的进展或变化的事项</w:t>
      </w:r>
      <w:r>
        <w:rPr>
          <w:b w:val="0"/>
          <w:bCs w:val="0"/>
        </w:rPr>
      </w:r>
    </w:p>
    <w:p>
      <w:pPr>
        <w:pStyle w:val="BodyText"/>
        <w:spacing w:line="240" w:lineRule="auto" w:before="56"/>
        <w:ind w:left="238" w:right="0" w:firstLine="419"/>
        <w:jc w:val="left"/>
      </w:pPr>
      <w:r>
        <w:rPr>
          <w:spacing w:val="-1"/>
          <w:w w:val="100"/>
        </w:rPr>
        <w:t>公司已于</w:t>
      </w:r>
      <w:r>
        <w:rPr>
          <w:spacing w:val="-52"/>
          <w:w w:val="100"/>
        </w:rPr>
        <w:t> </w:t>
      </w:r>
      <w:r>
        <w:rPr>
          <w:rFonts w:ascii="宋体" w:hAnsi="宋体" w:cs="宋体" w:eastAsia="宋体" w:hint="default"/>
          <w:spacing w:val="-1"/>
          <w:w w:val="100"/>
        </w:rPr>
        <w:t>2015</w:t>
      </w:r>
      <w:r>
        <w:rPr>
          <w:rFonts w:ascii="宋体" w:hAnsi="宋体" w:cs="宋体" w:eastAsia="宋体" w:hint="default"/>
          <w:spacing w:val="-54"/>
          <w:w w:val="100"/>
        </w:rPr>
        <w:t> </w:t>
      </w:r>
      <w:r>
        <w:rPr>
          <w:w w:val="100"/>
        </w:rPr>
        <w:t>年</w:t>
      </w:r>
      <w:r>
        <w:rPr>
          <w:spacing w:val="-51"/>
          <w:w w:val="100"/>
        </w:rPr>
        <w:t> </w:t>
      </w:r>
      <w:r>
        <w:rPr>
          <w:rFonts w:ascii="宋体" w:hAnsi="宋体" w:cs="宋体" w:eastAsia="宋体" w:hint="default"/>
          <w:w w:val="100"/>
        </w:rPr>
        <w:t>4</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w w:val="100"/>
        </w:rPr>
        <w:t>28</w:t>
      </w:r>
      <w:r>
        <w:rPr>
          <w:rFonts w:ascii="宋体" w:hAnsi="宋体" w:cs="宋体" w:eastAsia="宋体" w:hint="default"/>
          <w:spacing w:val="-54"/>
          <w:w w:val="100"/>
        </w:rPr>
        <w:t> </w:t>
      </w:r>
      <w:r>
        <w:rPr>
          <w:spacing w:val="-10"/>
          <w:w w:val="100"/>
        </w:rPr>
        <w:t>日披露了《关于日常关联交易的公告》（临</w:t>
      </w:r>
      <w:r>
        <w:rPr>
          <w:spacing w:val="-52"/>
          <w:w w:val="100"/>
        </w:rPr>
        <w:t> </w:t>
      </w:r>
      <w:r>
        <w:rPr>
          <w:rFonts w:ascii="宋体" w:hAnsi="宋体" w:cs="宋体" w:eastAsia="宋体" w:hint="default"/>
          <w:spacing w:val="-8"/>
          <w:w w:val="100"/>
        </w:rPr>
        <w:t>2015-018</w:t>
      </w:r>
      <w:r>
        <w:rPr>
          <w:spacing w:val="-8"/>
          <w:w w:val="100"/>
        </w:rPr>
        <w:t>）。报告期内，</w:t>
      </w:r>
      <w:r>
        <w:rPr>
          <w:w w:val="100"/>
        </w:rPr>
        <w:t> </w:t>
      </w:r>
      <w:r>
        <w:rPr/>
        <w:t>公司日常关联交易事项进展情况详见财务报表附注：关联方及关联交易。</w:t>
      </w:r>
    </w:p>
    <w:p>
      <w:pPr>
        <w:spacing w:after="0" w:line="240" w:lineRule="auto"/>
        <w:jc w:val="left"/>
        <w:sectPr>
          <w:pgSz w:w="11910" w:h="16840"/>
          <w:pgMar w:header="880" w:footer="1195" w:top="1120" w:bottom="1380" w:left="1560" w:right="1020"/>
        </w:sectPr>
      </w:pPr>
    </w:p>
    <w:p>
      <w:pPr>
        <w:spacing w:line="240" w:lineRule="auto" w:before="4"/>
        <w:rPr>
          <w:rFonts w:ascii="宋体" w:hAnsi="宋体" w:cs="宋体" w:eastAsia="宋体" w:hint="default"/>
          <w:sz w:val="25"/>
          <w:szCs w:val="25"/>
        </w:rPr>
      </w:pPr>
    </w:p>
    <w:p>
      <w:pPr>
        <w:pStyle w:val="Heading2"/>
        <w:spacing w:line="240" w:lineRule="auto"/>
        <w:ind w:left="1258" w:right="0"/>
        <w:jc w:val="both"/>
        <w:rPr>
          <w:b w:val="0"/>
          <w:bCs w:val="0"/>
        </w:rPr>
      </w:pPr>
      <w:r>
        <w:rPr>
          <w:rFonts w:ascii="宋体" w:hAnsi="宋体" w:cs="宋体" w:eastAsia="宋体" w:hint="default"/>
        </w:rPr>
        <w:t>2</w:t>
      </w:r>
      <w:r>
        <w:rPr/>
        <w:t>、</w:t>
      </w:r>
      <w:r>
        <w:rPr>
          <w:spacing w:val="-3"/>
        </w:rPr>
        <w:t> </w:t>
      </w:r>
      <w:r>
        <w:rPr/>
        <w:t>临时公告未披露的事项</w:t>
      </w:r>
      <w:r>
        <w:rPr>
          <w:b w:val="0"/>
          <w:bCs w:val="0"/>
        </w:rPr>
      </w:r>
    </w:p>
    <w:p>
      <w:pPr>
        <w:pStyle w:val="BodyText"/>
        <w:spacing w:line="240" w:lineRule="auto" w:before="58"/>
        <w:ind w:left="1678" w:right="0"/>
        <w:jc w:val="left"/>
      </w:pPr>
      <w:r>
        <w:rPr/>
        <w:t>□适用 √不适用</w:t>
      </w:r>
    </w:p>
    <w:p>
      <w:pPr>
        <w:pStyle w:val="Heading2"/>
        <w:spacing w:line="240" w:lineRule="auto" w:before="56"/>
        <w:ind w:left="1680"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共同对外投资的重大关联交易</w:t>
      </w:r>
      <w:r>
        <w:rPr>
          <w:b w:val="0"/>
          <w:bCs w:val="0"/>
        </w:rPr>
      </w:r>
    </w:p>
    <w:p>
      <w:pPr>
        <w:pStyle w:val="Heading2"/>
        <w:spacing w:line="240" w:lineRule="auto" w:before="32"/>
        <w:ind w:left="1678" w:right="0"/>
        <w:jc w:val="left"/>
        <w:rPr>
          <w:b w:val="0"/>
          <w:bCs w:val="0"/>
        </w:rPr>
      </w:pPr>
      <w:r>
        <w:rPr>
          <w:rFonts w:ascii="宋体" w:hAnsi="宋体" w:cs="宋体" w:eastAsia="宋体" w:hint="default"/>
        </w:rPr>
        <w:t>1</w:t>
      </w:r>
      <w:r>
        <w:rPr/>
        <w:t>、</w:t>
      </w:r>
      <w:r>
        <w:rPr>
          <w:spacing w:val="-6"/>
        </w:rPr>
        <w:t> </w:t>
      </w:r>
      <w:r>
        <w:rPr/>
        <w:t>已在临时公告披露，但有后续实施的进展或变化的事项</w:t>
      </w:r>
      <w:r>
        <w:rPr>
          <w:b w:val="0"/>
          <w:bCs w:val="0"/>
        </w:rPr>
      </w:r>
    </w:p>
    <w:p>
      <w:pPr>
        <w:pStyle w:val="BodyText"/>
        <w:spacing w:line="237" w:lineRule="auto" w:before="119"/>
        <w:ind w:left="1258" w:right="908" w:firstLine="419"/>
        <w:jc w:val="both"/>
      </w:pPr>
      <w:r>
        <w:rPr>
          <w:spacing w:val="-2"/>
        </w:rPr>
        <w:t>公司的全资子公司锦港国贸与公司关联法人大连港集团的控股子公司大连港投融资控股集团</w:t>
      </w:r>
      <w:r>
        <w:rPr>
          <w:w w:val="100"/>
        </w:rPr>
        <w:t> </w:t>
      </w:r>
      <w:r>
        <w:rPr>
          <w:spacing w:val="-1"/>
        </w:rPr>
        <w:t>有限公司拟投资设立辽港大宗商品交易有限公司（以下简称“辽港公司”）。拟成立的合资公司</w:t>
      </w:r>
      <w:r>
        <w:rPr>
          <w:spacing w:val="-55"/>
        </w:rPr>
        <w:t> </w:t>
      </w:r>
      <w:r>
        <w:rPr>
          <w:spacing w:val="-55"/>
        </w:rPr>
      </w:r>
      <w:r>
        <w:rPr/>
        <w:t>注册资本为人民币</w:t>
      </w:r>
      <w:r>
        <w:rPr>
          <w:spacing w:val="-43"/>
        </w:rPr>
        <w:t> </w:t>
      </w:r>
      <w:r>
        <w:rPr>
          <w:rFonts w:ascii="宋体" w:hAnsi="宋体" w:cs="宋体" w:eastAsia="宋体" w:hint="default"/>
        </w:rPr>
        <w:t>5</w:t>
      </w:r>
      <w:r>
        <w:rPr>
          <w:rFonts w:ascii="宋体" w:hAnsi="宋体" w:cs="宋体" w:eastAsia="宋体" w:hint="default"/>
          <w:spacing w:val="-45"/>
        </w:rPr>
        <w:t> </w:t>
      </w:r>
      <w:r>
        <w:rPr>
          <w:spacing w:val="-3"/>
        </w:rPr>
        <w:t>亿元，大连港投融资控股集团有限公司出资</w:t>
      </w:r>
      <w:r>
        <w:rPr>
          <w:spacing w:val="-41"/>
        </w:rPr>
        <w:t> </w:t>
      </w:r>
      <w:r>
        <w:rPr>
          <w:rFonts w:ascii="宋体" w:hAnsi="宋体" w:cs="宋体" w:eastAsia="宋体" w:hint="default"/>
        </w:rPr>
        <w:t>15,000</w:t>
      </w:r>
      <w:r>
        <w:rPr>
          <w:rFonts w:ascii="宋体" w:hAnsi="宋体" w:cs="宋体" w:eastAsia="宋体" w:hint="default"/>
          <w:spacing w:val="-43"/>
        </w:rPr>
        <w:t> </w:t>
      </w:r>
      <w:r>
        <w:rPr>
          <w:spacing w:val="-4"/>
        </w:rPr>
        <w:t>万元，出资比例</w:t>
      </w:r>
      <w:r>
        <w:rPr>
          <w:spacing w:val="-41"/>
        </w:rPr>
        <w:t> </w:t>
      </w:r>
      <w:r>
        <w:rPr>
          <w:rFonts w:ascii="宋体" w:hAnsi="宋体" w:cs="宋体" w:eastAsia="宋体" w:hint="default"/>
          <w:spacing w:val="-6"/>
        </w:rPr>
        <w:t>30%</w:t>
      </w:r>
      <w:r>
        <w:rPr>
          <w:spacing w:val="-6"/>
        </w:rPr>
        <w:t>，为</w:t>
      </w:r>
      <w:r>
        <w:rPr/>
      </w:r>
    </w:p>
    <w:p>
      <w:pPr>
        <w:pStyle w:val="BodyText"/>
        <w:spacing w:line="237" w:lineRule="auto" w:before="1"/>
        <w:ind w:left="1258" w:right="908"/>
        <w:jc w:val="both"/>
      </w:pPr>
      <w:r>
        <w:rPr/>
        <w:t>辽港公司第一大股东；锦港国贸出资</w:t>
      </w:r>
      <w:r>
        <w:rPr>
          <w:spacing w:val="-46"/>
        </w:rPr>
        <w:t> </w:t>
      </w:r>
      <w:r>
        <w:rPr>
          <w:rFonts w:ascii="宋体" w:hAnsi="宋体" w:cs="宋体" w:eastAsia="宋体" w:hint="default"/>
        </w:rPr>
        <w:t>5,000</w:t>
      </w:r>
      <w:r>
        <w:rPr>
          <w:rFonts w:ascii="宋体" w:hAnsi="宋体" w:cs="宋体" w:eastAsia="宋体" w:hint="default"/>
          <w:spacing w:val="-47"/>
        </w:rPr>
        <w:t> </w:t>
      </w:r>
      <w:r>
        <w:rPr/>
        <w:t>万元，出资比例</w:t>
      </w:r>
      <w:r>
        <w:rPr>
          <w:spacing w:val="-46"/>
        </w:rPr>
        <w:t> </w:t>
      </w:r>
      <w:r>
        <w:rPr>
          <w:rFonts w:ascii="宋体" w:hAnsi="宋体" w:cs="宋体" w:eastAsia="宋体" w:hint="default"/>
        </w:rPr>
        <w:t>10%</w:t>
      </w:r>
      <w:r>
        <w:rPr/>
        <w:t>。详见公司于</w:t>
      </w:r>
      <w:r>
        <w:rPr>
          <w:spacing w:val="-46"/>
        </w:rPr>
        <w:t> </w:t>
      </w:r>
      <w:r>
        <w:rPr>
          <w:rFonts w:ascii="宋体" w:hAnsi="宋体" w:cs="宋体" w:eastAsia="宋体" w:hint="default"/>
        </w:rPr>
        <w:t>2015</w:t>
      </w:r>
      <w:r>
        <w:rPr>
          <w:rFonts w:ascii="宋体" w:hAnsi="宋体" w:cs="宋体" w:eastAsia="宋体" w:hint="default"/>
          <w:spacing w:val="-47"/>
        </w:rPr>
        <w:t> </w:t>
      </w:r>
      <w:r>
        <w:rPr/>
        <w:t>年</w:t>
      </w:r>
      <w:r>
        <w:rPr>
          <w:spacing w:val="-49"/>
        </w:rPr>
        <w:t> </w:t>
      </w:r>
      <w:r>
        <w:rPr>
          <w:rFonts w:ascii="宋体" w:hAnsi="宋体" w:cs="宋体" w:eastAsia="宋体" w:hint="default"/>
        </w:rPr>
        <w:t>9</w:t>
      </w:r>
      <w:r>
        <w:rPr>
          <w:rFonts w:ascii="宋体" w:hAnsi="宋体" w:cs="宋体" w:eastAsia="宋体" w:hint="default"/>
          <w:spacing w:val="-46"/>
        </w:rPr>
        <w:t> </w:t>
      </w:r>
      <w:r>
        <w:rPr/>
        <w:t>月</w:t>
      </w:r>
      <w:r>
        <w:rPr>
          <w:spacing w:val="-46"/>
        </w:rPr>
        <w:t> </w:t>
      </w:r>
      <w:r>
        <w:rPr>
          <w:rFonts w:ascii="宋体" w:hAnsi="宋体" w:cs="宋体" w:eastAsia="宋体" w:hint="default"/>
        </w:rPr>
        <w:t>26</w:t>
      </w:r>
      <w:r>
        <w:rPr>
          <w:rFonts w:ascii="宋体" w:hAnsi="宋体" w:cs="宋体" w:eastAsia="宋体" w:hint="default"/>
          <w:spacing w:val="-49"/>
        </w:rPr>
        <w:t> </w:t>
      </w:r>
      <w:r>
        <w:rPr/>
        <w:t>日</w:t>
      </w:r>
      <w:r>
        <w:rPr>
          <w:w w:val="100"/>
        </w:rPr>
        <w:t> </w:t>
      </w:r>
      <w:r>
        <w:rPr>
          <w:spacing w:val="-6"/>
        </w:rPr>
        <w:t>在《中国证券报》、《上海证券报》、香港《大公报》及上海证券交易所网站（</w:t>
      </w:r>
      <w:hyperlink r:id="rId10">
        <w:r>
          <w:rPr>
            <w:rFonts w:ascii="宋体" w:hAnsi="宋体" w:cs="宋体" w:eastAsia="宋体" w:hint="default"/>
            <w:spacing w:val="-6"/>
          </w:rPr>
          <w:t>www.sse.com.cn</w:t>
        </w:r>
      </w:hyperlink>
      <w:r>
        <w:rPr>
          <w:spacing w:val="-6"/>
        </w:rPr>
        <w:t>）</w:t>
      </w:r>
      <w:r>
        <w:rPr>
          <w:spacing w:val="-15"/>
        </w:rPr>
        <w:t> </w:t>
      </w:r>
      <w:r>
        <w:rPr>
          <w:spacing w:val="-2"/>
        </w:rPr>
        <w:t>刊登的《关于子公司拟参股辽港大宗交易有限公司的公告》（临</w:t>
      </w:r>
      <w:r>
        <w:rPr>
          <w:spacing w:val="12"/>
        </w:rPr>
        <w:t> </w:t>
      </w:r>
      <w:r>
        <w:rPr>
          <w:rFonts w:ascii="宋体" w:hAnsi="宋体" w:cs="宋体" w:eastAsia="宋体" w:hint="default"/>
          <w:spacing w:val="-2"/>
        </w:rPr>
        <w:t>2015-042</w:t>
      </w:r>
      <w:r>
        <w:rPr>
          <w:spacing w:val="-2"/>
        </w:rPr>
        <w:t>）。</w:t>
      </w:r>
      <w:r>
        <w:rPr/>
      </w:r>
    </w:p>
    <w:p>
      <w:pPr>
        <w:pStyle w:val="BodyText"/>
        <w:spacing w:line="240" w:lineRule="auto" w:before="116"/>
        <w:ind w:left="1678" w:right="0"/>
        <w:jc w:val="left"/>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20</w:t>
      </w:r>
      <w:r>
        <w:rPr>
          <w:rFonts w:ascii="宋体" w:hAnsi="宋体" w:cs="宋体" w:eastAsia="宋体" w:hint="default"/>
          <w:spacing w:val="-53"/>
        </w:rPr>
        <w:t> </w:t>
      </w:r>
      <w:r>
        <w:rPr/>
        <w:t>日，辽港公司在大连注册成立。</w:t>
      </w:r>
    </w:p>
    <w:p>
      <w:pPr>
        <w:pStyle w:val="Heading2"/>
        <w:spacing w:line="240" w:lineRule="auto" w:before="59"/>
        <w:ind w:left="1678" w:right="0"/>
        <w:jc w:val="left"/>
        <w:rPr>
          <w:b w:val="0"/>
          <w:bCs w:val="0"/>
        </w:rPr>
      </w:pPr>
      <w:r>
        <w:rPr>
          <w:rFonts w:ascii="宋体" w:hAnsi="宋体" w:cs="宋体" w:eastAsia="宋体" w:hint="default"/>
        </w:rPr>
        <w:t>2</w:t>
      </w:r>
      <w:r>
        <w:rPr/>
        <w:t>、</w:t>
      </w:r>
      <w:r>
        <w:rPr>
          <w:spacing w:val="-3"/>
        </w:rPr>
        <w:t> </w:t>
      </w:r>
      <w:r>
        <w:rPr/>
        <w:t>临时公告未披露的事项</w:t>
      </w:r>
      <w:r>
        <w:rPr>
          <w:b w:val="0"/>
          <w:bCs w:val="0"/>
        </w:rPr>
      </w:r>
    </w:p>
    <w:p>
      <w:pPr>
        <w:tabs>
          <w:tab w:pos="2517" w:val="left" w:leader="none"/>
        </w:tabs>
        <w:spacing w:line="290" w:lineRule="auto" w:before="56"/>
        <w:ind w:left="1678" w:right="637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十三、重大合同及其履行情况</w:t>
      </w:r>
      <w:r>
        <w:rPr>
          <w:rFonts w:ascii="宋体" w:hAnsi="宋体" w:cs="宋体" w:eastAsia="宋体" w:hint="default"/>
          <w:b/>
          <w:bCs/>
          <w:w w:val="100"/>
          <w:sz w:val="21"/>
          <w:szCs w:val="21"/>
        </w:rPr>
        <w:t> </w:t>
      </w:r>
      <w:r>
        <w:rPr>
          <w:rFonts w:ascii="宋体" w:hAnsi="宋体" w:cs="宋体" w:eastAsia="宋体" w:hint="default"/>
          <w:b/>
          <w:bCs/>
          <w:w w:val="95"/>
          <w:sz w:val="21"/>
          <w:szCs w:val="21"/>
        </w:rPr>
        <w:t>(</w:t>
      </w:r>
      <w:r>
        <w:rPr>
          <w:rFonts w:ascii="宋体" w:hAnsi="宋体" w:cs="宋体" w:eastAsia="宋体" w:hint="default"/>
          <w:b/>
          <w:bCs/>
          <w:w w:val="95"/>
          <w:sz w:val="21"/>
          <w:szCs w:val="21"/>
        </w:rPr>
        <w:t>一</w:t>
      </w:r>
      <w:r>
        <w:rPr>
          <w:rFonts w:ascii="宋体" w:hAnsi="宋体" w:cs="宋体" w:eastAsia="宋体" w:hint="default"/>
          <w:b/>
          <w:bCs/>
          <w:w w:val="95"/>
          <w:sz w:val="21"/>
          <w:szCs w:val="21"/>
        </w:rPr>
        <w:t>)</w:t>
        <w:tab/>
      </w:r>
      <w:r>
        <w:rPr>
          <w:rFonts w:ascii="宋体" w:hAnsi="宋体" w:cs="宋体" w:eastAsia="宋体" w:hint="default"/>
          <w:b/>
          <w:bCs/>
          <w:sz w:val="21"/>
          <w:szCs w:val="21"/>
        </w:rPr>
        <w:t>托管、承包、租赁事项</w:t>
      </w:r>
      <w:r>
        <w:rPr>
          <w:rFonts w:ascii="宋体" w:hAnsi="宋体" w:cs="宋体" w:eastAsia="宋体" w:hint="default"/>
          <w:sz w:val="21"/>
          <w:szCs w:val="21"/>
        </w:rPr>
      </w:r>
    </w:p>
    <w:p>
      <w:pPr>
        <w:spacing w:line="290" w:lineRule="auto" w:before="14"/>
        <w:ind w:left="1678" w:right="773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托管情况</w:t>
      </w:r>
      <w:r>
        <w:rPr>
          <w:rFonts w:ascii="宋体" w:hAnsi="宋体" w:cs="宋体" w:eastAsia="宋体" w:hint="default"/>
          <w:sz w:val="21"/>
          <w:szCs w:val="21"/>
        </w:rPr>
      </w:r>
    </w:p>
    <w:p>
      <w:pPr>
        <w:pStyle w:val="BodyText"/>
        <w:spacing w:line="240" w:lineRule="auto" w:before="14"/>
        <w:ind w:left="1678" w:right="0"/>
        <w:jc w:val="left"/>
      </w:pPr>
      <w:r>
        <w:rPr/>
        <w:t>√适用 □不适用</w:t>
      </w:r>
    </w:p>
    <w:p>
      <w:pPr>
        <w:pStyle w:val="BodyText"/>
        <w:tabs>
          <w:tab w:pos="1157" w:val="left" w:leader="none"/>
        </w:tabs>
        <w:spacing w:line="271" w:lineRule="exact"/>
        <w:ind w:left="0" w:right="910"/>
        <w:jc w:val="right"/>
      </w:pPr>
      <w:r>
        <w:rPr>
          <w:spacing w:val="-1"/>
        </w:rPr>
        <w:t>单位</w:t>
      </w:r>
      <w:r>
        <w:rPr>
          <w:rFonts w:ascii="宋体" w:hAnsi="宋体" w:cs="宋体" w:eastAsia="宋体" w:hint="default"/>
          <w:spacing w:val="-1"/>
        </w:rPr>
        <w:t>:</w:t>
      </w:r>
      <w:r>
        <w:rPr>
          <w:spacing w:val="-1"/>
        </w:rPr>
        <w:t>万元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277"/>
        <w:gridCol w:w="1560"/>
        <w:gridCol w:w="807"/>
        <w:gridCol w:w="1034"/>
        <w:gridCol w:w="994"/>
        <w:gridCol w:w="994"/>
        <w:gridCol w:w="989"/>
        <w:gridCol w:w="514"/>
        <w:gridCol w:w="1052"/>
        <w:gridCol w:w="588"/>
        <w:gridCol w:w="794"/>
      </w:tblGrid>
      <w:tr>
        <w:trPr>
          <w:trHeight w:val="958" w:hRule="exact"/>
        </w:trPr>
        <w:tc>
          <w:tcPr>
            <w:tcW w:w="127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委托方名称</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受托方名称</w:t>
            </w:r>
          </w:p>
        </w:tc>
        <w:tc>
          <w:tcPr>
            <w:tcW w:w="8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38" w:hanging="180"/>
              <w:jc w:val="left"/>
              <w:rPr>
                <w:rFonts w:ascii="宋体" w:hAnsi="宋体" w:cs="宋体" w:eastAsia="宋体" w:hint="default"/>
                <w:sz w:val="18"/>
                <w:szCs w:val="18"/>
              </w:rPr>
            </w:pPr>
            <w:r>
              <w:rPr>
                <w:rFonts w:ascii="宋体" w:hAnsi="宋体" w:cs="宋体" w:eastAsia="宋体" w:hint="default"/>
                <w:sz w:val="18"/>
                <w:szCs w:val="18"/>
              </w:rPr>
              <w:t>托管资产 情况</w:t>
            </w:r>
          </w:p>
        </w:tc>
        <w:tc>
          <w:tcPr>
            <w:tcW w:w="10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托管资产涉 及金额</w:t>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托管起始日</w:t>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托管终止日</w:t>
            </w:r>
          </w:p>
        </w:tc>
        <w:tc>
          <w:tcPr>
            <w:tcW w:w="9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305"/>
              <w:jc w:val="left"/>
              <w:rPr>
                <w:rFonts w:ascii="宋体" w:hAnsi="宋体" w:cs="宋体" w:eastAsia="宋体" w:hint="default"/>
                <w:sz w:val="18"/>
                <w:szCs w:val="18"/>
              </w:rPr>
            </w:pPr>
            <w:r>
              <w:rPr>
                <w:rFonts w:ascii="宋体" w:hAnsi="宋体" w:cs="宋体" w:eastAsia="宋体" w:hint="default"/>
                <w:sz w:val="18"/>
                <w:szCs w:val="18"/>
              </w:rPr>
              <w:t>托管 收益</w:t>
            </w:r>
          </w:p>
        </w:tc>
        <w:tc>
          <w:tcPr>
            <w:tcW w:w="514"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left="69" w:right="0"/>
              <w:jc w:val="both"/>
              <w:rPr>
                <w:rFonts w:ascii="宋体" w:hAnsi="宋体" w:cs="宋体" w:eastAsia="宋体" w:hint="default"/>
                <w:sz w:val="18"/>
                <w:szCs w:val="18"/>
              </w:rPr>
            </w:pPr>
            <w:r>
              <w:rPr>
                <w:rFonts w:ascii="宋体" w:hAnsi="宋体" w:cs="宋体" w:eastAsia="宋体" w:hint="default"/>
                <w:sz w:val="18"/>
                <w:szCs w:val="18"/>
              </w:rPr>
              <w:t>托管</w:t>
            </w:r>
          </w:p>
          <w:p>
            <w:pPr>
              <w:pStyle w:val="TableParagraph"/>
              <w:spacing w:line="237" w:lineRule="auto"/>
              <w:ind w:left="69" w:right="67"/>
              <w:jc w:val="both"/>
              <w:rPr>
                <w:rFonts w:ascii="宋体" w:hAnsi="宋体" w:cs="宋体" w:eastAsia="宋体" w:hint="default"/>
                <w:sz w:val="18"/>
                <w:szCs w:val="18"/>
              </w:rPr>
            </w:pPr>
            <w:r>
              <w:rPr>
                <w:rFonts w:ascii="宋体" w:hAnsi="宋体" w:cs="宋体" w:eastAsia="宋体" w:hint="default"/>
                <w:sz w:val="18"/>
                <w:szCs w:val="18"/>
              </w:rPr>
              <w:t>收益 确定 依据</w:t>
            </w:r>
          </w:p>
        </w:tc>
        <w:tc>
          <w:tcPr>
            <w:tcW w:w="10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6" w:right="67" w:hanging="89"/>
              <w:jc w:val="left"/>
              <w:rPr>
                <w:rFonts w:ascii="宋体" w:hAnsi="宋体" w:cs="宋体" w:eastAsia="宋体" w:hint="default"/>
                <w:sz w:val="18"/>
                <w:szCs w:val="18"/>
              </w:rPr>
            </w:pPr>
            <w:r>
              <w:rPr>
                <w:rFonts w:ascii="宋体" w:hAnsi="宋体" w:cs="宋体" w:eastAsia="宋体" w:hint="default"/>
                <w:sz w:val="18"/>
                <w:szCs w:val="18"/>
              </w:rPr>
              <w:t>托管收益对 公司影响</w:t>
            </w:r>
          </w:p>
        </w:tc>
        <w:tc>
          <w:tcPr>
            <w:tcW w:w="588" w:type="dxa"/>
            <w:tcBorders>
              <w:top w:val="single" w:sz="12" w:space="0" w:color="000000"/>
              <w:left w:val="single" w:sz="6" w:space="0" w:color="000000"/>
              <w:bottom w:val="single" w:sz="6" w:space="0" w:color="000000"/>
              <w:right w:val="single" w:sz="6" w:space="0" w:color="000000"/>
            </w:tcBorders>
          </w:tcPr>
          <w:p>
            <w:pPr>
              <w:pStyle w:val="TableParagraph"/>
              <w:spacing w:line="234" w:lineRule="exact" w:before="112"/>
              <w:ind w:left="105" w:right="107"/>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79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203"/>
              <w:jc w:val="left"/>
              <w:rPr>
                <w:rFonts w:ascii="宋体" w:hAnsi="宋体" w:cs="宋体" w:eastAsia="宋体" w:hint="default"/>
                <w:sz w:val="18"/>
                <w:szCs w:val="18"/>
              </w:rPr>
            </w:pPr>
            <w:r>
              <w:rPr>
                <w:rFonts w:ascii="宋体" w:hAnsi="宋体" w:cs="宋体" w:eastAsia="宋体" w:hint="default"/>
                <w:sz w:val="18"/>
                <w:szCs w:val="18"/>
              </w:rPr>
              <w:t>关联 关系</w:t>
            </w:r>
          </w:p>
        </w:tc>
      </w:tr>
      <w:tr>
        <w:trPr>
          <w:trHeight w:val="487" w:hRule="exact"/>
        </w:trPr>
        <w:tc>
          <w:tcPr>
            <w:tcW w:w="1277"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pacing w:val="21"/>
                <w:sz w:val="18"/>
                <w:szCs w:val="18"/>
              </w:rPr>
              <w:t>锦州港股份有</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pacing w:val="7"/>
                <w:sz w:val="18"/>
                <w:szCs w:val="18"/>
              </w:rPr>
              <w:t>西藏海涵交通发展</w:t>
            </w: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07"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股权托管</w:t>
            </w:r>
          </w:p>
        </w:tc>
        <w:tc>
          <w:tcPr>
            <w:tcW w:w="1034"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50,000.00</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115"/>
              <w:jc w:val="center"/>
              <w:rPr>
                <w:rFonts w:ascii="宋体" w:hAnsi="宋体" w:cs="宋体" w:eastAsia="宋体" w:hint="default"/>
                <w:sz w:val="18"/>
                <w:szCs w:val="18"/>
              </w:rPr>
            </w:pPr>
            <w:r>
              <w:rPr>
                <w:rFonts w:ascii="宋体"/>
                <w:sz w:val="18"/>
              </w:rPr>
              <w:t>2014-6-18</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115"/>
              <w:jc w:val="center"/>
              <w:rPr>
                <w:rFonts w:ascii="宋体" w:hAnsi="宋体" w:cs="宋体" w:eastAsia="宋体" w:hint="default"/>
                <w:sz w:val="18"/>
                <w:szCs w:val="18"/>
              </w:rPr>
            </w:pPr>
            <w:r>
              <w:rPr>
                <w:rFonts w:ascii="宋体"/>
                <w:sz w:val="18"/>
              </w:rPr>
              <w:t>2017-6-17</w:t>
            </w:r>
          </w:p>
        </w:tc>
        <w:tc>
          <w:tcPr>
            <w:tcW w:w="989"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sz w:val="18"/>
              </w:rPr>
              <w:t>2,091.02</w:t>
            </w:r>
          </w:p>
        </w:tc>
        <w:tc>
          <w:tcPr>
            <w:tcW w:w="514"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合同</w:t>
            </w:r>
          </w:p>
        </w:tc>
        <w:tc>
          <w:tcPr>
            <w:tcW w:w="1052"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增加净利润</w:t>
            </w:r>
          </w:p>
        </w:tc>
        <w:tc>
          <w:tcPr>
            <w:tcW w:w="588"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4" w:type="dxa"/>
            <w:tcBorders>
              <w:top w:val="single" w:sz="6" w:space="0" w:color="000000"/>
              <w:left w:val="single" w:sz="6" w:space="0" w:color="000000"/>
              <w:bottom w:val="single" w:sz="12" w:space="0" w:color="000000"/>
              <w:right w:val="single" w:sz="12"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参股股东</w:t>
            </w:r>
          </w:p>
        </w:tc>
      </w:tr>
    </w:tbl>
    <w:p>
      <w:pPr>
        <w:pStyle w:val="BodyText"/>
        <w:spacing w:line="243" w:lineRule="exact"/>
        <w:ind w:left="1678" w:right="0"/>
        <w:jc w:val="left"/>
      </w:pPr>
      <w:r>
        <w:rPr/>
        <w:t>托管情况说明</w:t>
      </w:r>
    </w:p>
    <w:p>
      <w:pPr>
        <w:pStyle w:val="BodyText"/>
        <w:spacing w:line="273" w:lineRule="exact" w:before="118"/>
        <w:ind w:left="1678" w:right="0"/>
        <w:jc w:val="left"/>
      </w:pPr>
      <w:r>
        <w:rPr>
          <w:rFonts w:ascii="宋体" w:hAnsi="宋体" w:cs="宋体" w:eastAsia="宋体" w:hint="default"/>
        </w:rPr>
        <w:t>2014</w:t>
      </w:r>
      <w:r>
        <w:rPr>
          <w:rFonts w:ascii="宋体" w:hAnsi="宋体" w:cs="宋体" w:eastAsia="宋体" w:hint="default"/>
          <w:spacing w:val="-46"/>
        </w:rPr>
        <w:t> </w:t>
      </w:r>
      <w:r>
        <w:rPr/>
        <w:t>年</w:t>
      </w:r>
      <w:r>
        <w:rPr>
          <w:spacing w:val="-44"/>
        </w:rPr>
        <w:t> </w:t>
      </w:r>
      <w:r>
        <w:rPr>
          <w:rFonts w:ascii="宋体" w:hAnsi="宋体" w:cs="宋体" w:eastAsia="宋体" w:hint="default"/>
        </w:rPr>
        <w:t>4</w:t>
      </w:r>
      <w:r>
        <w:rPr>
          <w:rFonts w:ascii="宋体" w:hAnsi="宋体" w:cs="宋体" w:eastAsia="宋体" w:hint="default"/>
          <w:spacing w:val="-46"/>
        </w:rPr>
        <w:t> </w:t>
      </w:r>
      <w:r>
        <w:rPr/>
        <w:t>月</w:t>
      </w:r>
      <w:r>
        <w:rPr>
          <w:spacing w:val="-46"/>
        </w:rPr>
        <w:t> </w:t>
      </w:r>
      <w:r>
        <w:rPr>
          <w:rFonts w:ascii="宋体" w:hAnsi="宋体" w:cs="宋体" w:eastAsia="宋体" w:hint="default"/>
        </w:rPr>
        <w:t>3</w:t>
      </w:r>
      <w:r>
        <w:rPr>
          <w:rFonts w:ascii="宋体" w:hAnsi="宋体" w:cs="宋体" w:eastAsia="宋体" w:hint="default"/>
          <w:spacing w:val="-44"/>
        </w:rPr>
        <w:t> </w:t>
      </w:r>
      <w:r>
        <w:rPr/>
        <w:t>日召开的公司</w:t>
      </w:r>
      <w:r>
        <w:rPr>
          <w:spacing w:val="-44"/>
        </w:rPr>
        <w:t> </w:t>
      </w:r>
      <w:r>
        <w:rPr>
          <w:rFonts w:ascii="宋体" w:hAnsi="宋体" w:cs="宋体" w:eastAsia="宋体" w:hint="default"/>
        </w:rPr>
        <w:t>2013</w:t>
      </w:r>
      <w:r>
        <w:rPr>
          <w:rFonts w:ascii="宋体" w:hAnsi="宋体" w:cs="宋体" w:eastAsia="宋体" w:hint="default"/>
          <w:spacing w:val="-44"/>
        </w:rPr>
        <w:t> </w:t>
      </w:r>
      <w:r>
        <w:rPr/>
        <w:t>年年度股东大会审议通过了《关于成立全资子公司并委托</w:t>
      </w:r>
    </w:p>
    <w:p>
      <w:pPr>
        <w:pStyle w:val="BodyText"/>
        <w:spacing w:line="237" w:lineRule="auto"/>
        <w:ind w:left="1258" w:right="907"/>
        <w:jc w:val="both"/>
      </w:pPr>
      <w:r>
        <w:rPr>
          <w:spacing w:val="-4"/>
        </w:rPr>
        <w:t>经营的议案》。公司注册成立全资子公司</w:t>
      </w:r>
      <w:r>
        <w:rPr>
          <w:rFonts w:ascii="宋体" w:hAnsi="宋体" w:cs="宋体" w:eastAsia="宋体" w:hint="default"/>
          <w:spacing w:val="-4"/>
        </w:rPr>
        <w:t>--</w:t>
      </w:r>
      <w:r>
        <w:rPr>
          <w:spacing w:val="-4"/>
        </w:rPr>
        <w:t>锦港国际贸易发展有限公司，并于</w:t>
      </w:r>
      <w:r>
        <w:rPr>
          <w:spacing w:val="-43"/>
        </w:rPr>
        <w:t> </w:t>
      </w:r>
      <w:r>
        <w:rPr>
          <w:rFonts w:ascii="宋体" w:hAnsi="宋体" w:cs="宋体" w:eastAsia="宋体" w:hint="default"/>
        </w:rPr>
        <w:t>2014</w:t>
      </w:r>
      <w:r>
        <w:rPr>
          <w:rFonts w:ascii="宋体" w:hAnsi="宋体" w:cs="宋体" w:eastAsia="宋体" w:hint="default"/>
          <w:spacing w:val="-44"/>
        </w:rPr>
        <w:t> </w:t>
      </w:r>
      <w:r>
        <w:rPr/>
        <w:t>年</w:t>
      </w:r>
      <w:r>
        <w:rPr>
          <w:spacing w:val="-47"/>
        </w:rPr>
        <w:t> </w:t>
      </w:r>
      <w:r>
        <w:rPr>
          <w:rFonts w:ascii="宋体" w:hAnsi="宋体" w:cs="宋体" w:eastAsia="宋体" w:hint="default"/>
        </w:rPr>
        <w:t>6</w:t>
      </w:r>
      <w:r>
        <w:rPr>
          <w:rFonts w:ascii="宋体" w:hAnsi="宋体" w:cs="宋体" w:eastAsia="宋体" w:hint="default"/>
          <w:spacing w:val="-44"/>
        </w:rPr>
        <w:t> </w:t>
      </w:r>
      <w:r>
        <w:rPr/>
        <w:t>月与公司</w:t>
      </w:r>
      <w:r>
        <w:rPr>
          <w:spacing w:val="-102"/>
        </w:rPr>
        <w:t> </w:t>
      </w:r>
      <w:r>
        <w:rPr>
          <w:spacing w:val="-102"/>
        </w:rPr>
      </w:r>
      <w:r>
        <w:rPr>
          <w:spacing w:val="-1"/>
        </w:rPr>
        <w:t>股东西藏海涵签订了《委托经营管理锦港国际贸易发展有限公司合同》，委托股东西藏海涵进行</w:t>
      </w:r>
      <w:r>
        <w:rPr>
          <w:spacing w:val="-55"/>
        </w:rPr>
        <w:t> </w:t>
      </w:r>
      <w:r>
        <w:rPr>
          <w:spacing w:val="-55"/>
        </w:rPr>
      </w:r>
      <w:r>
        <w:rPr/>
        <w:t>运营锦港国贸。</w:t>
      </w:r>
    </w:p>
    <w:p>
      <w:pPr>
        <w:pStyle w:val="Heading2"/>
        <w:spacing w:line="240" w:lineRule="auto" w:before="59"/>
        <w:ind w:left="1678" w:right="0"/>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6"/>
        <w:ind w:left="1678"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678" w:right="0"/>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8"/>
        <w:ind w:left="1678"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540" w:right="360"/>
        </w:sectPr>
      </w:pPr>
    </w:p>
    <w:p>
      <w:pPr>
        <w:pStyle w:val="Heading2"/>
        <w:tabs>
          <w:tab w:pos="2517" w:val="left" w:leader="none"/>
        </w:tabs>
        <w:spacing w:line="240" w:lineRule="auto"/>
        <w:ind w:left="1678" w:right="-18"/>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担保情况</w:t>
      </w:r>
      <w:r>
        <w:rPr>
          <w:b w:val="0"/>
          <w:bCs w:val="0"/>
        </w:rPr>
      </w:r>
    </w:p>
    <w:p>
      <w:pPr>
        <w:pStyle w:val="BodyText"/>
        <w:spacing w:line="240" w:lineRule="auto" w:before="56"/>
        <w:ind w:left="167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940" w:val="left" w:leader="none"/>
        </w:tabs>
        <w:spacing w:line="240" w:lineRule="auto"/>
        <w:ind w:left="1677" w:right="0"/>
        <w:jc w:val="left"/>
      </w:pPr>
      <w:r>
        <w:rPr/>
        <w:t>单位</w:t>
      </w:r>
      <w:r>
        <w:rPr>
          <w:rFonts w:ascii="宋体" w:hAnsi="宋体" w:cs="宋体" w:eastAsia="宋体" w:hint="default"/>
        </w:rPr>
        <w:t>:</w:t>
      </w:r>
      <w:r>
        <w:rPr>
          <w:rFonts w:ascii="宋体" w:hAnsi="宋体" w:cs="宋体" w:eastAsia="宋体" w:hint="default"/>
          <w:spacing w:val="3"/>
        </w:rPr>
        <w:t> </w:t>
      </w:r>
      <w:r>
        <w:rPr/>
        <w:t>万元</w:t>
        <w:tab/>
        <w:t>币种</w:t>
      </w:r>
      <w:r>
        <w:rPr>
          <w:rFonts w:ascii="宋体" w:hAnsi="宋体" w:cs="宋体" w:eastAsia="宋体" w:hint="default"/>
        </w:rPr>
        <w:t>:</w:t>
      </w:r>
      <w:r>
        <w:rPr>
          <w:rFonts w:ascii="宋体" w:hAnsi="宋体" w:cs="宋体" w:eastAsia="宋体" w:hint="default"/>
          <w:spacing w:val="-2"/>
        </w:rPr>
        <w:t> </w:t>
      </w:r>
      <w:r>
        <w:rPr/>
        <w:t>人民币</w:t>
      </w:r>
    </w:p>
    <w:p>
      <w:pPr>
        <w:spacing w:after="0" w:line="240" w:lineRule="auto"/>
        <w:jc w:val="left"/>
        <w:sectPr>
          <w:type w:val="continuous"/>
          <w:pgSz w:w="11910" w:h="16840"/>
          <w:pgMar w:top="1120" w:bottom="1380" w:left="540" w:right="360"/>
          <w:cols w:num="2" w:equalWidth="0">
            <w:col w:w="3363" w:space="2844"/>
            <w:col w:w="4803"/>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994"/>
        <w:gridCol w:w="703"/>
        <w:gridCol w:w="994"/>
        <w:gridCol w:w="853"/>
        <w:gridCol w:w="926"/>
        <w:gridCol w:w="996"/>
        <w:gridCol w:w="994"/>
        <w:gridCol w:w="701"/>
        <w:gridCol w:w="686"/>
        <w:gridCol w:w="704"/>
        <w:gridCol w:w="703"/>
        <w:gridCol w:w="511"/>
        <w:gridCol w:w="562"/>
        <w:gridCol w:w="427"/>
      </w:tblGrid>
      <w:tr>
        <w:trPr>
          <w:trHeight w:val="317" w:hRule="exact"/>
        </w:trPr>
        <w:tc>
          <w:tcPr>
            <w:tcW w:w="10754" w:type="dxa"/>
            <w:gridSpan w:val="14"/>
            <w:tcBorders>
              <w:top w:val="single" w:sz="12" w:space="0" w:color="000000"/>
              <w:left w:val="single" w:sz="12" w:space="0" w:color="000000"/>
              <w:bottom w:val="single" w:sz="6" w:space="0" w:color="000000"/>
              <w:right w:val="single" w:sz="12" w:space="0" w:color="000000"/>
            </w:tcBorders>
          </w:tcPr>
          <w:p>
            <w:pPr>
              <w:pStyle w:val="TableParagraph"/>
              <w:spacing w:line="240" w:lineRule="auto" w:before="1"/>
              <w:ind w:left="3562"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948"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2" w:right="0"/>
              <w:jc w:val="both"/>
              <w:rPr>
                <w:rFonts w:ascii="宋体" w:hAnsi="宋体" w:cs="宋体" w:eastAsia="宋体" w:hint="default"/>
                <w:sz w:val="18"/>
                <w:szCs w:val="18"/>
              </w:rPr>
            </w:pPr>
            <w:r>
              <w:rPr>
                <w:rFonts w:ascii="宋体" w:hAnsi="宋体" w:cs="宋体" w:eastAsia="宋体" w:hint="default"/>
                <w:sz w:val="18"/>
                <w:szCs w:val="18"/>
              </w:rPr>
              <w:t>担保方</w:t>
            </w:r>
          </w:p>
          <w:p>
            <w:pPr>
              <w:pStyle w:val="TableParagraph"/>
              <w:spacing w:line="237" w:lineRule="auto"/>
              <w:ind w:left="72" w:right="74"/>
              <w:jc w:val="both"/>
              <w:rPr>
                <w:rFonts w:ascii="宋体" w:hAnsi="宋体" w:cs="宋体" w:eastAsia="宋体" w:hint="default"/>
                <w:sz w:val="18"/>
                <w:szCs w:val="18"/>
              </w:rPr>
            </w:pPr>
            <w:r>
              <w:rPr>
                <w:rFonts w:ascii="宋体" w:hAnsi="宋体" w:cs="宋体" w:eastAsia="宋体" w:hint="default"/>
                <w:sz w:val="18"/>
                <w:szCs w:val="18"/>
              </w:rPr>
              <w:t>与上市 公司的 关系</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7"/>
              <w:ind w:left="50" w:right="48" w:firstLine="45"/>
              <w:jc w:val="both"/>
              <w:rPr>
                <w:rFonts w:ascii="宋体" w:hAnsi="宋体" w:cs="宋体" w:eastAsia="宋体" w:hint="default"/>
                <w:sz w:val="18"/>
                <w:szCs w:val="18"/>
              </w:rPr>
            </w:pPr>
            <w:r>
              <w:rPr>
                <w:rFonts w:ascii="宋体" w:hAnsi="宋体" w:cs="宋体" w:eastAsia="宋体" w:hint="default"/>
                <w:sz w:val="18"/>
                <w:szCs w:val="18"/>
              </w:rPr>
              <w:t>担保发生 日期</w:t>
            </w:r>
            <w:r>
              <w:rPr>
                <w:rFonts w:ascii="宋体" w:hAnsi="宋体" w:cs="宋体" w:eastAsia="宋体" w:hint="default"/>
                <w:sz w:val="18"/>
                <w:szCs w:val="18"/>
              </w:rPr>
              <w:t>(</w:t>
            </w:r>
            <w:r>
              <w:rPr>
                <w:rFonts w:ascii="宋体" w:hAnsi="宋体" w:cs="宋体" w:eastAsia="宋体" w:hint="default"/>
                <w:sz w:val="18"/>
                <w:szCs w:val="18"/>
              </w:rPr>
              <w:t>协议 签署日</w:t>
            </w:r>
            <w:r>
              <w:rPr>
                <w:rFonts w:ascii="宋体" w:hAnsi="宋体" w:cs="宋体" w:eastAsia="宋体" w:hint="default"/>
                <w:sz w:val="18"/>
                <w:szCs w:val="18"/>
              </w:rPr>
              <w:t>)</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18" w:right="221" w:firstLine="91"/>
              <w:jc w:val="left"/>
              <w:rPr>
                <w:rFonts w:ascii="宋体" w:hAnsi="宋体" w:cs="宋体" w:eastAsia="宋体" w:hint="default"/>
                <w:sz w:val="18"/>
                <w:szCs w:val="18"/>
              </w:rPr>
            </w:pPr>
            <w:r>
              <w:rPr>
                <w:rFonts w:ascii="宋体" w:hAnsi="宋体" w:cs="宋体" w:eastAsia="宋体" w:hint="default"/>
                <w:sz w:val="18"/>
                <w:szCs w:val="18"/>
              </w:rPr>
              <w:t>担保 起始日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18" w:right="218" w:firstLine="88"/>
              <w:jc w:val="left"/>
              <w:rPr>
                <w:rFonts w:ascii="宋体" w:hAnsi="宋体" w:cs="宋体" w:eastAsia="宋体" w:hint="default"/>
                <w:sz w:val="18"/>
                <w:szCs w:val="18"/>
              </w:rPr>
            </w:pPr>
            <w:r>
              <w:rPr>
                <w:rFonts w:ascii="宋体" w:hAnsi="宋体" w:cs="宋体" w:eastAsia="宋体" w:hint="default"/>
                <w:sz w:val="18"/>
                <w:szCs w:val="18"/>
              </w:rPr>
              <w:t>担保 到期日</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51" w:right="72" w:hanging="180"/>
              <w:jc w:val="left"/>
              <w:rPr>
                <w:rFonts w:ascii="宋体" w:hAnsi="宋体" w:cs="宋体" w:eastAsia="宋体" w:hint="default"/>
                <w:sz w:val="18"/>
                <w:szCs w:val="18"/>
              </w:rPr>
            </w:pPr>
            <w:r>
              <w:rPr>
                <w:rFonts w:ascii="宋体" w:hAnsi="宋体" w:cs="宋体" w:eastAsia="宋体" w:hint="default"/>
                <w:sz w:val="18"/>
                <w:szCs w:val="18"/>
              </w:rPr>
              <w:t>担保类 型</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担保是</w:t>
            </w:r>
          </w:p>
          <w:p>
            <w:pPr>
              <w:pStyle w:val="TableParagraph"/>
              <w:spacing w:line="237" w:lineRule="auto"/>
              <w:ind w:left="67" w:right="62"/>
              <w:jc w:val="center"/>
              <w:rPr>
                <w:rFonts w:ascii="宋体" w:hAnsi="宋体" w:cs="宋体" w:eastAsia="宋体" w:hint="default"/>
                <w:sz w:val="18"/>
                <w:szCs w:val="18"/>
              </w:rPr>
            </w:pPr>
            <w:r>
              <w:rPr>
                <w:rFonts w:ascii="宋体" w:hAnsi="宋体" w:cs="宋体" w:eastAsia="宋体" w:hint="default"/>
                <w:sz w:val="18"/>
                <w:szCs w:val="18"/>
              </w:rPr>
              <w:t>否已经 履行完 毕</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74" w:right="74"/>
              <w:jc w:val="left"/>
              <w:rPr>
                <w:rFonts w:ascii="宋体" w:hAnsi="宋体" w:cs="宋体" w:eastAsia="宋体" w:hint="default"/>
                <w:sz w:val="18"/>
                <w:szCs w:val="18"/>
              </w:rPr>
            </w:pPr>
            <w:r>
              <w:rPr>
                <w:rFonts w:ascii="宋体" w:hAnsi="宋体" w:cs="宋体" w:eastAsia="宋体" w:hint="default"/>
                <w:sz w:val="18"/>
                <w:szCs w:val="18"/>
              </w:rPr>
              <w:t>担保是 否逾期</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71" w:right="74"/>
              <w:jc w:val="left"/>
              <w:rPr>
                <w:rFonts w:ascii="宋体" w:hAnsi="宋体" w:cs="宋体" w:eastAsia="宋体" w:hint="default"/>
                <w:sz w:val="18"/>
                <w:szCs w:val="18"/>
              </w:rPr>
            </w:pPr>
            <w:r>
              <w:rPr>
                <w:rFonts w:ascii="宋体" w:hAnsi="宋体" w:cs="宋体" w:eastAsia="宋体" w:hint="default"/>
                <w:sz w:val="18"/>
                <w:szCs w:val="18"/>
              </w:rPr>
              <w:t>担保逾 期金额</w:t>
            </w:r>
          </w:p>
        </w:tc>
        <w:tc>
          <w:tcPr>
            <w:tcW w:w="51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7" w:right="0"/>
              <w:jc w:val="both"/>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7" w:lineRule="auto"/>
              <w:ind w:left="67" w:right="67"/>
              <w:jc w:val="both"/>
              <w:rPr>
                <w:rFonts w:ascii="宋体" w:hAnsi="宋体" w:cs="宋体" w:eastAsia="宋体" w:hint="default"/>
                <w:sz w:val="18"/>
                <w:szCs w:val="18"/>
              </w:rPr>
            </w:pPr>
            <w:r>
              <w:rPr>
                <w:rFonts w:ascii="宋体" w:hAnsi="宋体" w:cs="宋体" w:eastAsia="宋体" w:hint="default"/>
                <w:sz w:val="18"/>
                <w:szCs w:val="18"/>
              </w:rPr>
              <w:t>存在 反担 保</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93" w:right="0"/>
              <w:jc w:val="both"/>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7" w:lineRule="auto"/>
              <w:ind w:left="93" w:right="91"/>
              <w:jc w:val="both"/>
              <w:rPr>
                <w:rFonts w:ascii="宋体" w:hAnsi="宋体" w:cs="宋体" w:eastAsia="宋体" w:hint="default"/>
                <w:sz w:val="18"/>
                <w:szCs w:val="18"/>
              </w:rPr>
            </w:pPr>
            <w:r>
              <w:rPr>
                <w:rFonts w:ascii="宋体" w:hAnsi="宋体" w:cs="宋体" w:eastAsia="宋体" w:hint="default"/>
                <w:sz w:val="18"/>
                <w:szCs w:val="18"/>
              </w:rPr>
              <w:t>为关 联方 担保</w:t>
            </w:r>
          </w:p>
        </w:tc>
        <w:tc>
          <w:tcPr>
            <w:tcW w:w="4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4" w:right="19"/>
              <w:jc w:val="left"/>
              <w:rPr>
                <w:rFonts w:ascii="宋体" w:hAnsi="宋体" w:cs="宋体" w:eastAsia="宋体" w:hint="default"/>
                <w:sz w:val="18"/>
                <w:szCs w:val="18"/>
              </w:rPr>
            </w:pPr>
            <w:r>
              <w:rPr>
                <w:rFonts w:ascii="宋体" w:hAnsi="宋体" w:cs="宋体" w:eastAsia="宋体" w:hint="default"/>
                <w:sz w:val="18"/>
                <w:szCs w:val="18"/>
              </w:rPr>
              <w:t>关联 关系</w:t>
            </w:r>
          </w:p>
        </w:tc>
      </w:tr>
      <w:tr>
        <w:trPr>
          <w:trHeight w:val="720" w:hRule="exact"/>
        </w:trPr>
        <w:tc>
          <w:tcPr>
            <w:tcW w:w="994" w:type="dxa"/>
            <w:tcBorders>
              <w:top w:val="single" w:sz="6" w:space="0" w:color="000000"/>
              <w:left w:val="single" w:sz="12" w:space="0" w:color="000000"/>
              <w:bottom w:val="single" w:sz="12" w:space="0" w:color="000000"/>
              <w:right w:val="single" w:sz="6" w:space="0" w:color="000000"/>
            </w:tcBorders>
          </w:tcPr>
          <w:p>
            <w:pPr>
              <w:pStyle w:val="TableParagraph"/>
              <w:spacing w:line="204" w:lineRule="exact"/>
              <w:ind w:left="16" w:right="0"/>
              <w:jc w:val="left"/>
              <w:rPr>
                <w:rFonts w:ascii="宋体" w:hAnsi="宋体" w:cs="宋体" w:eastAsia="宋体" w:hint="default"/>
                <w:sz w:val="18"/>
                <w:szCs w:val="18"/>
              </w:rPr>
            </w:pPr>
            <w:r>
              <w:rPr>
                <w:rFonts w:ascii="宋体" w:hAnsi="宋体" w:cs="宋体" w:eastAsia="宋体" w:hint="default"/>
                <w:sz w:val="18"/>
                <w:szCs w:val="18"/>
              </w:rPr>
              <w:t>锦州港股份</w:t>
            </w:r>
          </w:p>
          <w:p>
            <w:pPr>
              <w:pStyle w:val="TableParagraph"/>
              <w:spacing w:line="234" w:lineRule="exact"/>
              <w:ind w:left="1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03" w:type="dxa"/>
            <w:tcBorders>
              <w:top w:val="single" w:sz="6" w:space="0" w:color="000000"/>
              <w:left w:val="single" w:sz="6" w:space="0" w:color="000000"/>
              <w:bottom w:val="single" w:sz="12" w:space="0" w:color="000000"/>
              <w:right w:val="single" w:sz="6"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公司本</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部</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中丝锦州化</w:t>
            </w:r>
          </w:p>
          <w:p>
            <w:pPr>
              <w:pStyle w:val="TableParagraph"/>
              <w:spacing w:line="240" w:lineRule="auto"/>
              <w:ind w:left="21" w:right="55"/>
              <w:jc w:val="left"/>
              <w:rPr>
                <w:rFonts w:ascii="宋体" w:hAnsi="宋体" w:cs="宋体" w:eastAsia="宋体" w:hint="default"/>
                <w:sz w:val="18"/>
                <w:szCs w:val="18"/>
              </w:rPr>
            </w:pPr>
            <w:r>
              <w:rPr>
                <w:rFonts w:ascii="宋体" w:hAnsi="宋体" w:cs="宋体" w:eastAsia="宋体" w:hint="default"/>
                <w:sz w:val="18"/>
                <w:szCs w:val="18"/>
              </w:rPr>
              <w:t>工品港储有 限公司</w:t>
            </w:r>
          </w:p>
        </w:tc>
        <w:tc>
          <w:tcPr>
            <w:tcW w:w="853"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left="74" w:right="0"/>
              <w:jc w:val="center"/>
              <w:rPr>
                <w:rFonts w:ascii="宋体" w:hAnsi="宋体" w:cs="宋体" w:eastAsia="宋体" w:hint="default"/>
                <w:sz w:val="18"/>
                <w:szCs w:val="18"/>
              </w:rPr>
            </w:pPr>
            <w:r>
              <w:rPr>
                <w:rFonts w:ascii="宋体"/>
                <w:sz w:val="18"/>
              </w:rPr>
              <w:t>6,767.39</w:t>
            </w:r>
          </w:p>
        </w:tc>
        <w:tc>
          <w:tcPr>
            <w:tcW w:w="926"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sz w:val="18"/>
              </w:rPr>
              <w:t>2015-9-24</w:t>
            </w:r>
          </w:p>
        </w:tc>
        <w:tc>
          <w:tcPr>
            <w:tcW w:w="996"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sz w:val="18"/>
              </w:rPr>
              <w:t>2015-9-24</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sz w:val="18"/>
              </w:rPr>
              <w:t>2018-9-11</w:t>
            </w:r>
          </w:p>
        </w:tc>
        <w:tc>
          <w:tcPr>
            <w:tcW w:w="701" w:type="dxa"/>
            <w:tcBorders>
              <w:top w:val="single" w:sz="6" w:space="0" w:color="000000"/>
              <w:left w:val="single" w:sz="6" w:space="0" w:color="000000"/>
              <w:bottom w:val="single" w:sz="12" w:space="0" w:color="000000"/>
              <w:right w:val="single" w:sz="6"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连带责</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任担保</w:t>
            </w:r>
          </w:p>
        </w:tc>
        <w:tc>
          <w:tcPr>
            <w:tcW w:w="686"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4"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3" w:type="dxa"/>
            <w:tcBorders>
              <w:top w:val="single" w:sz="6" w:space="0" w:color="000000"/>
              <w:left w:val="single" w:sz="6" w:space="0" w:color="000000"/>
              <w:bottom w:val="single" w:sz="12" w:space="0" w:color="000000"/>
              <w:right w:val="single" w:sz="6" w:space="0" w:color="000000"/>
            </w:tcBorders>
          </w:tcPr>
          <w:p>
            <w:pPr/>
          </w:p>
        </w:tc>
        <w:tc>
          <w:tcPr>
            <w:tcW w:w="511"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2"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7" w:type="dxa"/>
            <w:tcBorders>
              <w:top w:val="single" w:sz="6" w:space="0" w:color="000000"/>
              <w:left w:val="single" w:sz="6" w:space="0" w:color="000000"/>
              <w:bottom w:val="single" w:sz="12" w:space="0" w:color="000000"/>
              <w:right w:val="single" w:sz="12"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联营</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r>
    </w:tbl>
    <w:p>
      <w:pPr>
        <w:spacing w:after="0" w:line="234" w:lineRule="exact"/>
        <w:jc w:val="left"/>
        <w:rPr>
          <w:rFonts w:ascii="宋体" w:hAnsi="宋体" w:cs="宋体" w:eastAsia="宋体" w:hint="default"/>
          <w:sz w:val="18"/>
          <w:szCs w:val="18"/>
        </w:rPr>
        <w:sectPr>
          <w:type w:val="continuous"/>
          <w:pgSz w:w="11910" w:h="16840"/>
          <w:pgMar w:top="1120" w:bottom="1380" w:left="540" w:right="3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4095"/>
        <w:gridCol w:w="6659"/>
      </w:tblGrid>
      <w:tr>
        <w:trPr>
          <w:trHeight w:val="332" w:hRule="exact"/>
        </w:trPr>
        <w:tc>
          <w:tcPr>
            <w:tcW w:w="4095" w:type="dxa"/>
            <w:tcBorders>
              <w:top w:val="single" w:sz="12" w:space="0" w:color="000000"/>
              <w:left w:val="single" w:sz="12" w:space="0" w:color="000000"/>
              <w:bottom w:val="single" w:sz="6" w:space="0" w:color="000000"/>
              <w:right w:val="single" w:sz="6" w:space="0" w:color="000000"/>
            </w:tcBorders>
          </w:tcPr>
          <w:p>
            <w:pPr>
              <w:pStyle w:val="TableParagraph"/>
              <w:spacing w:line="208" w:lineRule="exact"/>
              <w:ind w:left="16" w:right="0"/>
              <w:jc w:val="left"/>
              <w:rPr>
                <w:rFonts w:ascii="宋体" w:hAnsi="宋体" w:cs="宋体" w:eastAsia="宋体" w:hint="default"/>
                <w:sz w:val="18"/>
                <w:szCs w:val="18"/>
              </w:rPr>
            </w:pPr>
            <w:r>
              <w:rPr>
                <w:rFonts w:ascii="宋体" w:hAnsi="宋体" w:cs="宋体" w:eastAsia="宋体" w:hint="default"/>
                <w:sz w:val="18"/>
                <w:szCs w:val="18"/>
              </w:rPr>
              <w:t>报告期内担保发生额合计（不包括对子公司的担保</w:t>
            </w:r>
          </w:p>
        </w:tc>
        <w:tc>
          <w:tcPr>
            <w:tcW w:w="6659" w:type="dxa"/>
            <w:tcBorders>
              <w:top w:val="single" w:sz="12" w:space="0" w:color="000000"/>
              <w:left w:val="single" w:sz="6" w:space="0" w:color="000000"/>
              <w:bottom w:val="single" w:sz="6" w:space="0" w:color="000000"/>
              <w:right w:val="single" w:sz="12" w:space="0" w:color="000000"/>
            </w:tcBorders>
          </w:tcPr>
          <w:p>
            <w:pPr>
              <w:pStyle w:val="TableParagraph"/>
              <w:tabs>
                <w:tab w:pos="5900" w:val="left" w:leader="none"/>
              </w:tabs>
              <w:spacing w:line="208" w:lineRule="exact"/>
              <w:ind w:left="-129" w:right="14"/>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pacing w:val="-1"/>
                <w:sz w:val="18"/>
                <w:szCs w:val="18"/>
              </w:rPr>
              <w:t>6,767.39</w:t>
            </w:r>
          </w:p>
        </w:tc>
      </w:tr>
      <w:tr>
        <w:trPr>
          <w:trHeight w:val="482" w:hRule="exact"/>
        </w:trPr>
        <w:tc>
          <w:tcPr>
            <w:tcW w:w="4095"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报告期末担保余额合计（</w:t>
            </w:r>
            <w:r>
              <w:rPr>
                <w:rFonts w:ascii="宋体" w:hAnsi="宋体" w:cs="宋体" w:eastAsia="宋体" w:hint="default"/>
                <w:sz w:val="18"/>
                <w:szCs w:val="18"/>
              </w:rPr>
              <w:t>A</w:t>
            </w:r>
            <w:r>
              <w:rPr>
                <w:rFonts w:ascii="宋体" w:hAnsi="宋体" w:cs="宋体" w:eastAsia="宋体" w:hint="default"/>
                <w:sz w:val="18"/>
                <w:szCs w:val="18"/>
              </w:rPr>
              <w:t>）（不包括对子公司的担</w:t>
            </w: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保）</w:t>
            </w:r>
          </w:p>
        </w:tc>
        <w:tc>
          <w:tcPr>
            <w:tcW w:w="6659"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right="14"/>
              <w:jc w:val="right"/>
              <w:rPr>
                <w:rFonts w:ascii="宋体" w:hAnsi="宋体" w:cs="宋体" w:eastAsia="宋体" w:hint="default"/>
                <w:sz w:val="18"/>
                <w:szCs w:val="18"/>
              </w:rPr>
            </w:pPr>
            <w:r>
              <w:rPr>
                <w:rFonts w:ascii="宋体"/>
                <w:spacing w:val="-1"/>
                <w:sz w:val="18"/>
              </w:rPr>
              <w:t>6,767.39</w:t>
            </w:r>
          </w:p>
        </w:tc>
      </w:tr>
      <w:tr>
        <w:trPr>
          <w:trHeight w:val="324" w:hRule="exact"/>
        </w:trPr>
        <w:tc>
          <w:tcPr>
            <w:tcW w:w="10754"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公司及其子公司对子公司的担保情况</w:t>
            </w:r>
          </w:p>
        </w:tc>
      </w:tr>
      <w:tr>
        <w:trPr>
          <w:trHeight w:val="322" w:hRule="exact"/>
        </w:trPr>
        <w:tc>
          <w:tcPr>
            <w:tcW w:w="4095"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报告期内对子公司担保发生额合计</w:t>
            </w:r>
          </w:p>
        </w:tc>
        <w:tc>
          <w:tcPr>
            <w:tcW w:w="6659"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3,100.00</w:t>
            </w:r>
          </w:p>
        </w:tc>
      </w:tr>
      <w:tr>
        <w:trPr>
          <w:trHeight w:val="324" w:hRule="exact"/>
        </w:trPr>
        <w:tc>
          <w:tcPr>
            <w:tcW w:w="4095"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报告期末对子公司担保余额合计（</w:t>
            </w:r>
            <w:r>
              <w:rPr>
                <w:rFonts w:ascii="宋体" w:hAnsi="宋体" w:cs="宋体" w:eastAsia="宋体" w:hint="default"/>
                <w:sz w:val="18"/>
                <w:szCs w:val="18"/>
              </w:rPr>
              <w:t>B</w:t>
            </w:r>
            <w:r>
              <w:rPr>
                <w:rFonts w:ascii="宋体" w:hAnsi="宋体" w:cs="宋体" w:eastAsia="宋体" w:hint="default"/>
                <w:sz w:val="18"/>
                <w:szCs w:val="18"/>
              </w:rPr>
              <w:t>）</w:t>
            </w:r>
          </w:p>
        </w:tc>
        <w:tc>
          <w:tcPr>
            <w:tcW w:w="6659"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0</w:t>
            </w:r>
          </w:p>
        </w:tc>
      </w:tr>
      <w:tr>
        <w:trPr>
          <w:trHeight w:val="322" w:hRule="exact"/>
        </w:trPr>
        <w:tc>
          <w:tcPr>
            <w:tcW w:w="10754"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公司担保总额情况（包括对子公司的担保）</w:t>
            </w:r>
          </w:p>
        </w:tc>
      </w:tr>
      <w:tr>
        <w:trPr>
          <w:trHeight w:val="300" w:hRule="exact"/>
        </w:trPr>
        <w:tc>
          <w:tcPr>
            <w:tcW w:w="4095" w:type="dxa"/>
            <w:tcBorders>
              <w:top w:val="single" w:sz="6" w:space="0" w:color="000000"/>
              <w:left w:val="single" w:sz="12" w:space="0" w:color="000000"/>
              <w:bottom w:val="single" w:sz="6" w:space="0" w:color="000000"/>
              <w:right w:val="single" w:sz="6" w:space="0" w:color="000000"/>
            </w:tcBorders>
          </w:tcPr>
          <w:p>
            <w:pPr>
              <w:pStyle w:val="TableParagraph"/>
              <w:spacing w:line="208" w:lineRule="exact"/>
              <w:ind w:left="16" w:right="0"/>
              <w:jc w:val="left"/>
              <w:rPr>
                <w:rFonts w:ascii="宋体" w:hAnsi="宋体" w:cs="宋体" w:eastAsia="宋体" w:hint="default"/>
                <w:sz w:val="18"/>
                <w:szCs w:val="18"/>
              </w:rPr>
            </w:pPr>
            <w:r>
              <w:rPr>
                <w:rFonts w:ascii="宋体" w:hAnsi="宋体" w:cs="宋体" w:eastAsia="宋体" w:hint="default"/>
                <w:sz w:val="18"/>
                <w:szCs w:val="18"/>
              </w:rPr>
              <w:t>担保总额（</w:t>
            </w:r>
            <w:r>
              <w:rPr>
                <w:rFonts w:ascii="宋体" w:hAnsi="宋体" w:cs="宋体" w:eastAsia="宋体" w:hint="default"/>
                <w:sz w:val="18"/>
                <w:szCs w:val="18"/>
              </w:rPr>
              <w:t>A+B</w:t>
            </w:r>
            <w:r>
              <w:rPr>
                <w:rFonts w:ascii="宋体" w:hAnsi="宋体" w:cs="宋体" w:eastAsia="宋体" w:hint="default"/>
                <w:sz w:val="18"/>
                <w:szCs w:val="18"/>
              </w:rPr>
              <w:t>）</w:t>
            </w:r>
          </w:p>
        </w:tc>
        <w:tc>
          <w:tcPr>
            <w:tcW w:w="6659" w:type="dxa"/>
            <w:tcBorders>
              <w:top w:val="single" w:sz="6" w:space="0" w:color="000000"/>
              <w:left w:val="single" w:sz="6" w:space="0" w:color="000000"/>
              <w:bottom w:val="single" w:sz="6" w:space="0" w:color="000000"/>
              <w:right w:val="single" w:sz="12"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6,767.39</w:t>
            </w:r>
          </w:p>
        </w:tc>
      </w:tr>
      <w:tr>
        <w:trPr>
          <w:trHeight w:val="322" w:hRule="exact"/>
        </w:trPr>
        <w:tc>
          <w:tcPr>
            <w:tcW w:w="4095"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担保总额占公司净资产的比例</w:t>
            </w:r>
            <w:r>
              <w:rPr>
                <w:rFonts w:ascii="宋体" w:hAnsi="宋体" w:cs="宋体" w:eastAsia="宋体" w:hint="default"/>
                <w:sz w:val="18"/>
                <w:szCs w:val="18"/>
              </w:rPr>
              <w:t>(%)</w:t>
            </w:r>
          </w:p>
        </w:tc>
        <w:tc>
          <w:tcPr>
            <w:tcW w:w="6659"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1.15</w:t>
            </w:r>
          </w:p>
        </w:tc>
      </w:tr>
      <w:tr>
        <w:trPr>
          <w:trHeight w:val="2360" w:hRule="exact"/>
        </w:trPr>
        <w:tc>
          <w:tcPr>
            <w:tcW w:w="4095"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担保情况说明</w:t>
            </w:r>
          </w:p>
        </w:tc>
        <w:tc>
          <w:tcPr>
            <w:tcW w:w="6659" w:type="dxa"/>
            <w:tcBorders>
              <w:top w:val="single" w:sz="6" w:space="0" w:color="000000"/>
              <w:left w:val="single" w:sz="6" w:space="0" w:color="000000"/>
              <w:bottom w:val="single" w:sz="12" w:space="0" w:color="000000"/>
              <w:right w:val="single" w:sz="12"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、公司第八届董事会第十五次会议审议通过了《关于按照股比为参股公司中丝锦州</w:t>
            </w:r>
          </w:p>
          <w:p>
            <w:pPr>
              <w:pStyle w:val="TableParagraph"/>
              <w:spacing w:line="237" w:lineRule="auto" w:before="2"/>
              <w:ind w:left="21" w:right="15"/>
              <w:jc w:val="left"/>
              <w:rPr>
                <w:rFonts w:ascii="宋体" w:hAnsi="宋体" w:cs="宋体" w:eastAsia="宋体" w:hint="default"/>
                <w:sz w:val="18"/>
                <w:szCs w:val="18"/>
              </w:rPr>
            </w:pPr>
            <w:r>
              <w:rPr>
                <w:rFonts w:ascii="宋体" w:hAnsi="宋体" w:cs="宋体" w:eastAsia="宋体" w:hint="default"/>
                <w:spacing w:val="-2"/>
                <w:sz w:val="18"/>
                <w:szCs w:val="18"/>
              </w:rPr>
              <w:t>化工品港储有限公司提供担保的议案》，报告期内，中丝锦州化工品港储有限公司通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过中国民生银行股份有限公司融资</w:t>
            </w:r>
            <w:r>
              <w:rPr>
                <w:rFonts w:ascii="宋体" w:hAnsi="宋体" w:cs="宋体" w:eastAsia="宋体" w:hint="default"/>
                <w:sz w:val="18"/>
                <w:szCs w:val="18"/>
              </w:rPr>
              <w:t>13,811</w:t>
            </w:r>
            <w:r>
              <w:rPr>
                <w:rFonts w:ascii="宋体" w:hAnsi="宋体" w:cs="宋体" w:eastAsia="宋体" w:hint="default"/>
                <w:sz w:val="18"/>
                <w:szCs w:val="18"/>
              </w:rPr>
              <w:t>万元，期限自</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日起至</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9 </w:t>
            </w: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日止。公司按</w:t>
            </w:r>
            <w:r>
              <w:rPr>
                <w:rFonts w:ascii="宋体" w:hAnsi="宋体" w:cs="宋体" w:eastAsia="宋体" w:hint="default"/>
                <w:sz w:val="18"/>
                <w:szCs w:val="18"/>
              </w:rPr>
              <w:t>49%</w:t>
            </w:r>
            <w:r>
              <w:rPr>
                <w:rFonts w:ascii="宋体" w:hAnsi="宋体" w:cs="宋体" w:eastAsia="宋体" w:hint="default"/>
                <w:sz w:val="18"/>
                <w:szCs w:val="18"/>
              </w:rPr>
              <w:t>的持股比例为此项融资提供了连带保证担保。 </w:t>
            </w:r>
            <w:r>
              <w:rPr>
                <w:rFonts w:ascii="宋体" w:hAnsi="宋体" w:cs="宋体" w:eastAsia="宋体" w:hint="default"/>
                <w:spacing w:val="-2"/>
                <w:sz w:val="18"/>
                <w:szCs w:val="18"/>
              </w:rPr>
              <w:t>2</w:t>
            </w:r>
            <w:r>
              <w:rPr>
                <w:rFonts w:ascii="宋体" w:hAnsi="宋体" w:cs="宋体" w:eastAsia="宋体" w:hint="default"/>
                <w:spacing w:val="-2"/>
                <w:sz w:val="18"/>
                <w:szCs w:val="18"/>
              </w:rPr>
              <w:t>、公司</w:t>
            </w:r>
            <w:r>
              <w:rPr>
                <w:rFonts w:ascii="宋体" w:hAnsi="宋体" w:cs="宋体" w:eastAsia="宋体" w:hint="default"/>
                <w:spacing w:val="-2"/>
                <w:sz w:val="18"/>
                <w:szCs w:val="18"/>
              </w:rPr>
              <w:t>2015</w:t>
            </w:r>
            <w:r>
              <w:rPr>
                <w:rFonts w:ascii="宋体" w:hAnsi="宋体" w:cs="宋体" w:eastAsia="宋体" w:hint="default"/>
                <w:spacing w:val="-2"/>
                <w:sz w:val="18"/>
                <w:szCs w:val="18"/>
              </w:rPr>
              <w:t>年</w:t>
            </w:r>
            <w:r>
              <w:rPr>
                <w:rFonts w:ascii="宋体" w:hAnsi="宋体" w:cs="宋体" w:eastAsia="宋体" w:hint="default"/>
                <w:spacing w:val="-2"/>
                <w:sz w:val="18"/>
                <w:szCs w:val="18"/>
              </w:rPr>
              <w:t>7</w:t>
            </w:r>
            <w:r>
              <w:rPr>
                <w:rFonts w:ascii="宋体" w:hAnsi="宋体" w:cs="宋体" w:eastAsia="宋体" w:hint="default"/>
                <w:spacing w:val="-2"/>
                <w:sz w:val="18"/>
                <w:szCs w:val="18"/>
              </w:rPr>
              <w:t>月</w:t>
            </w:r>
            <w:r>
              <w:rPr>
                <w:rFonts w:ascii="宋体" w:hAnsi="宋体" w:cs="宋体" w:eastAsia="宋体" w:hint="default"/>
                <w:spacing w:val="-2"/>
                <w:sz w:val="18"/>
                <w:szCs w:val="18"/>
              </w:rPr>
              <w:t>29</w:t>
            </w:r>
            <w:r>
              <w:rPr>
                <w:rFonts w:ascii="宋体" w:hAnsi="宋体" w:cs="宋体" w:eastAsia="宋体" w:hint="default"/>
                <w:spacing w:val="-2"/>
                <w:sz w:val="18"/>
                <w:szCs w:val="18"/>
              </w:rPr>
              <w:t>日第八届董事会第二十次会议审议通过了《关于为全资子公司锦</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州港物流发展有限公司拟使用公司在民生银行信用额度提供担保的议案》，同意全资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子公司锦州港物流发展有限公司使用公司已获得的中国民生银行股份有限公司沈阳</w:t>
            </w:r>
            <w:r>
              <w:rPr>
                <w:rFonts w:ascii="宋体" w:hAnsi="宋体" w:cs="宋体" w:eastAsia="宋体" w:hint="default"/>
                <w:sz w:val="18"/>
                <w:szCs w:val="18"/>
              </w:rPr>
              <w:t> 分行不超过</w:t>
            </w:r>
            <w:r>
              <w:rPr>
                <w:rFonts w:ascii="宋体" w:hAnsi="宋体" w:cs="宋体" w:eastAsia="宋体" w:hint="default"/>
                <w:sz w:val="18"/>
                <w:szCs w:val="18"/>
              </w:rPr>
              <w:t>45,000</w:t>
            </w:r>
            <w:r>
              <w:rPr>
                <w:rFonts w:ascii="宋体" w:hAnsi="宋体" w:cs="宋体" w:eastAsia="宋体" w:hint="default"/>
                <w:sz w:val="18"/>
                <w:szCs w:val="18"/>
              </w:rPr>
              <w:t>万元（含</w:t>
            </w:r>
            <w:r>
              <w:rPr>
                <w:rFonts w:ascii="宋体" w:hAnsi="宋体" w:cs="宋体" w:eastAsia="宋体" w:hint="default"/>
                <w:sz w:val="18"/>
                <w:szCs w:val="18"/>
              </w:rPr>
              <w:t>45000</w:t>
            </w:r>
            <w:r>
              <w:rPr>
                <w:rFonts w:ascii="宋体" w:hAnsi="宋体" w:cs="宋体" w:eastAsia="宋体" w:hint="default"/>
                <w:sz w:val="18"/>
                <w:szCs w:val="18"/>
              </w:rPr>
              <w:t>万元）授信额度，并为其提供担保，担保期限为</w:t>
            </w: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z w:val="18"/>
                <w:szCs w:val="18"/>
              </w:rPr>
              <w:t>个月。报告期内，锦州港物流发展有限公司上述担保项下发生的主债务</w:t>
            </w:r>
            <w:r>
              <w:rPr>
                <w:rFonts w:ascii="宋体" w:hAnsi="宋体" w:cs="宋体" w:eastAsia="宋体" w:hint="default"/>
                <w:sz w:val="18"/>
                <w:szCs w:val="18"/>
              </w:rPr>
              <w:t>3,100</w:t>
            </w:r>
            <w:r>
              <w:rPr>
                <w:rFonts w:ascii="宋体" w:hAnsi="宋体" w:cs="宋体" w:eastAsia="宋体" w:hint="default"/>
                <w:sz w:val="18"/>
                <w:szCs w:val="18"/>
              </w:rPr>
              <w:t>万元已</w:t>
            </w:r>
            <w:r>
              <w:rPr>
                <w:rFonts w:ascii="宋体" w:hAnsi="宋体" w:cs="宋体" w:eastAsia="宋体" w:hint="default"/>
                <w:spacing w:val="-87"/>
                <w:sz w:val="18"/>
                <w:szCs w:val="18"/>
              </w:rPr>
              <w:t> </w:t>
            </w:r>
            <w:r>
              <w:rPr>
                <w:rFonts w:ascii="宋体" w:hAnsi="宋体" w:cs="宋体" w:eastAsia="宋体" w:hint="default"/>
                <w:sz w:val="18"/>
                <w:szCs w:val="18"/>
              </w:rPr>
              <w:t>还清。</w:t>
            </w:r>
          </w:p>
        </w:tc>
      </w:tr>
    </w:tbl>
    <w:p>
      <w:pPr>
        <w:spacing w:after="0" w:line="237" w:lineRule="auto"/>
        <w:jc w:val="left"/>
        <w:rPr>
          <w:rFonts w:ascii="宋体" w:hAnsi="宋体" w:cs="宋体" w:eastAsia="宋体" w:hint="default"/>
          <w:sz w:val="18"/>
          <w:szCs w:val="18"/>
        </w:rPr>
        <w:sectPr>
          <w:pgSz w:w="11910" w:h="16840"/>
          <w:pgMar w:header="880" w:footer="1195" w:top="1120" w:bottom="1380" w:left="540" w:right="320"/>
        </w:sectPr>
      </w:pPr>
    </w:p>
    <w:p>
      <w:pPr>
        <w:pStyle w:val="Heading2"/>
        <w:tabs>
          <w:tab w:pos="2517" w:val="left" w:leader="none"/>
        </w:tabs>
        <w:spacing w:line="290" w:lineRule="auto" w:before="26"/>
        <w:ind w:left="1678"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spacing w:line="290" w:lineRule="auto" w:before="12"/>
        <w:ind w:left="1678" w:right="229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委托贷款情况</w:t>
      </w:r>
      <w:r>
        <w:rPr>
          <w:rFonts w:ascii="宋体" w:hAnsi="宋体" w:cs="宋体" w:eastAsia="宋体" w:hint="default"/>
          <w:sz w:val="21"/>
          <w:szCs w:val="21"/>
        </w:rPr>
      </w:r>
    </w:p>
    <w:p>
      <w:pPr>
        <w:pStyle w:val="BodyText"/>
        <w:spacing w:line="240" w:lineRule="auto" w:before="12"/>
        <w:ind w:left="167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tabs>
          <w:tab w:pos="2835" w:val="left" w:leader="none"/>
        </w:tabs>
        <w:spacing w:line="240" w:lineRule="auto"/>
        <w:ind w:left="1677" w:right="0"/>
        <w:jc w:val="left"/>
      </w:pPr>
      <w:r>
        <w:rPr>
          <w:spacing w:val="-1"/>
        </w:rPr>
        <w:t>单位</w:t>
      </w:r>
      <w:r>
        <w:rPr>
          <w:rFonts w:ascii="宋体" w:hAnsi="宋体" w:cs="宋体" w:eastAsia="宋体" w:hint="default"/>
          <w:spacing w:val="-1"/>
        </w:rPr>
        <w:t>:</w:t>
      </w:r>
      <w:r>
        <w:rPr>
          <w:spacing w:val="-1"/>
        </w:rPr>
        <w:t>万元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540" w:right="320"/>
          <w:cols w:num="2" w:equalWidth="0">
            <w:col w:w="5682" w:space="420"/>
            <w:col w:w="4948"/>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640"/>
        <w:gridCol w:w="922"/>
        <w:gridCol w:w="891"/>
        <w:gridCol w:w="698"/>
        <w:gridCol w:w="830"/>
        <w:gridCol w:w="1371"/>
        <w:gridCol w:w="694"/>
        <w:gridCol w:w="703"/>
        <w:gridCol w:w="685"/>
        <w:gridCol w:w="703"/>
        <w:gridCol w:w="706"/>
        <w:gridCol w:w="936"/>
      </w:tblGrid>
      <w:tr>
        <w:trPr>
          <w:trHeight w:val="725" w:hRule="exact"/>
        </w:trPr>
        <w:tc>
          <w:tcPr>
            <w:tcW w:w="164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借款方名称</w:t>
            </w:r>
          </w:p>
        </w:tc>
        <w:tc>
          <w:tcPr>
            <w:tcW w:w="922"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4"/>
              <w:ind w:left="100" w:right="264"/>
              <w:jc w:val="left"/>
              <w:rPr>
                <w:rFonts w:ascii="宋体" w:hAnsi="宋体" w:cs="宋体" w:eastAsia="宋体" w:hint="default"/>
                <w:sz w:val="18"/>
                <w:szCs w:val="18"/>
              </w:rPr>
            </w:pPr>
            <w:r>
              <w:rPr>
                <w:rFonts w:ascii="宋体" w:hAnsi="宋体" w:cs="宋体" w:eastAsia="宋体" w:hint="default"/>
                <w:sz w:val="18"/>
                <w:szCs w:val="18"/>
              </w:rPr>
              <w:t>委托贷 款金额</w:t>
            </w:r>
          </w:p>
        </w:tc>
        <w:tc>
          <w:tcPr>
            <w:tcW w:w="891"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4"/>
              <w:ind w:left="100" w:right="233"/>
              <w:jc w:val="left"/>
              <w:rPr>
                <w:rFonts w:ascii="宋体" w:hAnsi="宋体" w:cs="宋体" w:eastAsia="宋体" w:hint="default"/>
                <w:sz w:val="18"/>
                <w:szCs w:val="18"/>
              </w:rPr>
            </w:pPr>
            <w:r>
              <w:rPr>
                <w:rFonts w:ascii="宋体" w:hAnsi="宋体" w:cs="宋体" w:eastAsia="宋体" w:hint="default"/>
                <w:sz w:val="18"/>
                <w:szCs w:val="18"/>
              </w:rPr>
              <w:t>贷款期 限</w:t>
            </w:r>
          </w:p>
        </w:tc>
        <w:tc>
          <w:tcPr>
            <w:tcW w:w="698"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4"/>
              <w:ind w:left="100" w:right="221"/>
              <w:jc w:val="left"/>
              <w:rPr>
                <w:rFonts w:ascii="宋体" w:hAnsi="宋体" w:cs="宋体" w:eastAsia="宋体" w:hint="default"/>
                <w:sz w:val="18"/>
                <w:szCs w:val="18"/>
              </w:rPr>
            </w:pPr>
            <w:r>
              <w:rPr>
                <w:rFonts w:ascii="宋体" w:hAnsi="宋体" w:cs="宋体" w:eastAsia="宋体" w:hint="default"/>
                <w:sz w:val="18"/>
                <w:szCs w:val="18"/>
              </w:rPr>
              <w:t>贷款 利率</w:t>
            </w:r>
          </w:p>
        </w:tc>
        <w:tc>
          <w:tcPr>
            <w:tcW w:w="830"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4"/>
              <w:ind w:left="100" w:right="173"/>
              <w:jc w:val="left"/>
              <w:rPr>
                <w:rFonts w:ascii="宋体" w:hAnsi="宋体" w:cs="宋体" w:eastAsia="宋体" w:hint="default"/>
                <w:sz w:val="18"/>
                <w:szCs w:val="18"/>
              </w:rPr>
            </w:pPr>
            <w:r>
              <w:rPr>
                <w:rFonts w:ascii="宋体" w:hAnsi="宋体" w:cs="宋体" w:eastAsia="宋体" w:hint="default"/>
                <w:sz w:val="18"/>
                <w:szCs w:val="18"/>
              </w:rPr>
              <w:t>借款用 途</w:t>
            </w:r>
          </w:p>
        </w:tc>
        <w:tc>
          <w:tcPr>
            <w:tcW w:w="1371"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4"/>
              <w:ind w:left="98" w:right="177"/>
              <w:jc w:val="left"/>
              <w:rPr>
                <w:rFonts w:ascii="宋体" w:hAnsi="宋体" w:cs="宋体" w:eastAsia="宋体" w:hint="default"/>
                <w:sz w:val="18"/>
                <w:szCs w:val="18"/>
              </w:rPr>
            </w:pPr>
            <w:r>
              <w:rPr>
                <w:rFonts w:ascii="宋体" w:hAnsi="宋体" w:cs="宋体" w:eastAsia="宋体" w:hint="default"/>
                <w:sz w:val="18"/>
                <w:szCs w:val="18"/>
              </w:rPr>
              <w:t>抵押物或担保 人</w:t>
            </w:r>
          </w:p>
        </w:tc>
        <w:tc>
          <w:tcPr>
            <w:tcW w:w="694"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4"/>
              <w:ind w:left="98" w:right="218"/>
              <w:jc w:val="left"/>
              <w:rPr>
                <w:rFonts w:ascii="宋体" w:hAnsi="宋体" w:cs="宋体" w:eastAsia="宋体" w:hint="default"/>
                <w:sz w:val="18"/>
                <w:szCs w:val="18"/>
              </w:rPr>
            </w:pPr>
            <w:r>
              <w:rPr>
                <w:rFonts w:ascii="宋体" w:hAnsi="宋体" w:cs="宋体" w:eastAsia="宋体" w:hint="default"/>
                <w:sz w:val="18"/>
                <w:szCs w:val="18"/>
              </w:rPr>
              <w:t>是否 逾期</w:t>
            </w:r>
          </w:p>
        </w:tc>
        <w:tc>
          <w:tcPr>
            <w:tcW w:w="703"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2" w:lineRule="exact" w:before="23"/>
              <w:ind w:left="98" w:right="228"/>
              <w:jc w:val="left"/>
              <w:rPr>
                <w:rFonts w:ascii="宋体" w:hAnsi="宋体" w:cs="宋体" w:eastAsia="宋体" w:hint="default"/>
                <w:sz w:val="18"/>
                <w:szCs w:val="18"/>
              </w:rPr>
            </w:pPr>
            <w:r>
              <w:rPr>
                <w:rFonts w:ascii="宋体" w:hAnsi="宋体" w:cs="宋体" w:eastAsia="宋体" w:hint="default"/>
                <w:sz w:val="18"/>
                <w:szCs w:val="18"/>
              </w:rPr>
              <w:t>关联 交易</w:t>
            </w:r>
          </w:p>
        </w:tc>
        <w:tc>
          <w:tcPr>
            <w:tcW w:w="685"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4"/>
              <w:ind w:left="100" w:right="207"/>
              <w:jc w:val="left"/>
              <w:rPr>
                <w:rFonts w:ascii="宋体" w:hAnsi="宋体" w:cs="宋体" w:eastAsia="宋体" w:hint="default"/>
                <w:sz w:val="18"/>
                <w:szCs w:val="18"/>
              </w:rPr>
            </w:pPr>
            <w:r>
              <w:rPr>
                <w:rFonts w:ascii="宋体" w:hAnsi="宋体" w:cs="宋体" w:eastAsia="宋体" w:hint="default"/>
                <w:sz w:val="18"/>
                <w:szCs w:val="18"/>
              </w:rPr>
              <w:t>是否 展期</w:t>
            </w:r>
          </w:p>
        </w:tc>
        <w:tc>
          <w:tcPr>
            <w:tcW w:w="703"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4"/>
              <w:ind w:left="100" w:right="227"/>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706"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4"/>
              <w:ind w:left="100" w:right="228"/>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93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投资盈亏</w:t>
            </w:r>
          </w:p>
        </w:tc>
      </w:tr>
      <w:tr>
        <w:trPr>
          <w:trHeight w:val="715" w:hRule="exact"/>
        </w:trPr>
        <w:tc>
          <w:tcPr>
            <w:tcW w:w="1640"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hAnsi="宋体" w:cs="宋体" w:eastAsia="宋体" w:hint="default"/>
                <w:sz w:val="18"/>
                <w:szCs w:val="18"/>
              </w:rPr>
              <w:t>辽宁锦港宝地置</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8,100</w:t>
            </w:r>
          </w:p>
        </w:tc>
        <w:tc>
          <w:tcPr>
            <w:tcW w:w="8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6"/>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3"/>
                <w:sz w:val="18"/>
                <w:szCs w:val="18"/>
              </w:rPr>
              <w:t> </w:t>
            </w:r>
            <w:r>
              <w:rPr>
                <w:rFonts w:ascii="宋体" w:hAnsi="宋体" w:cs="宋体" w:eastAsia="宋体" w:hint="default"/>
                <w:sz w:val="18"/>
                <w:szCs w:val="18"/>
              </w:rPr>
              <w:t>个月</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12%</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阜新宝</w:t>
            </w:r>
          </w:p>
          <w:p>
            <w:pPr>
              <w:pStyle w:val="TableParagraph"/>
              <w:spacing w:line="232" w:lineRule="exact" w:before="23"/>
              <w:ind w:left="100" w:right="173"/>
              <w:jc w:val="left"/>
              <w:rPr>
                <w:rFonts w:ascii="宋体" w:hAnsi="宋体" w:cs="宋体" w:eastAsia="宋体" w:hint="default"/>
                <w:sz w:val="18"/>
                <w:szCs w:val="18"/>
              </w:rPr>
            </w:pPr>
            <w:r>
              <w:rPr>
                <w:rFonts w:ascii="宋体" w:hAnsi="宋体" w:cs="宋体" w:eastAsia="宋体" w:hint="default"/>
                <w:sz w:val="18"/>
                <w:szCs w:val="18"/>
              </w:rPr>
              <w:t>地城项 目开发</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在建房产</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7"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8"/>
              <w:jc w:val="righ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7"/>
              <w:jc w:val="right"/>
              <w:rPr>
                <w:rFonts w:ascii="宋体" w:hAnsi="宋体" w:cs="宋体" w:eastAsia="宋体" w:hint="default"/>
                <w:sz w:val="18"/>
                <w:szCs w:val="18"/>
              </w:rPr>
            </w:pPr>
            <w:r>
              <w:rPr>
                <w:rFonts w:ascii="宋体" w:hAnsi="宋体" w:cs="宋体" w:eastAsia="宋体" w:hint="default"/>
                <w:sz w:val="18"/>
                <w:szCs w:val="18"/>
              </w:rPr>
              <w:t>否</w:t>
            </w:r>
          </w:p>
        </w:tc>
        <w:tc>
          <w:tcPr>
            <w:tcW w:w="703"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合营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36"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93" w:right="0"/>
              <w:jc w:val="center"/>
              <w:rPr>
                <w:rFonts w:ascii="宋体" w:hAnsi="宋体" w:cs="宋体" w:eastAsia="宋体" w:hint="default"/>
                <w:sz w:val="18"/>
                <w:szCs w:val="18"/>
              </w:rPr>
            </w:pPr>
            <w:r>
              <w:rPr>
                <w:rFonts w:ascii="宋体"/>
                <w:sz w:val="18"/>
              </w:rPr>
              <w:t>985.5</w:t>
            </w:r>
          </w:p>
        </w:tc>
      </w:tr>
      <w:tr>
        <w:trPr>
          <w:trHeight w:val="487" w:hRule="exact"/>
        </w:trPr>
        <w:tc>
          <w:tcPr>
            <w:tcW w:w="1640" w:type="dxa"/>
            <w:tcBorders>
              <w:top w:val="single" w:sz="6" w:space="0" w:color="000000"/>
              <w:left w:val="single" w:sz="12" w:space="0" w:color="000000"/>
              <w:bottom w:val="single" w:sz="12" w:space="0" w:color="000000"/>
              <w:right w:val="single" w:sz="6"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hAnsi="宋体" w:cs="宋体" w:eastAsia="宋体" w:hint="default"/>
                <w:sz w:val="18"/>
                <w:szCs w:val="18"/>
              </w:rPr>
              <w:t>北京盛通华诚投</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资有限责任公司</w:t>
            </w:r>
          </w:p>
        </w:tc>
        <w:tc>
          <w:tcPr>
            <w:tcW w:w="922"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50,000</w:t>
            </w:r>
          </w:p>
        </w:tc>
        <w:tc>
          <w:tcPr>
            <w:tcW w:w="891"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86"/>
              <w:jc w:val="center"/>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个月</w:t>
            </w:r>
          </w:p>
        </w:tc>
        <w:tc>
          <w:tcPr>
            <w:tcW w:w="698"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10%</w:t>
            </w:r>
          </w:p>
        </w:tc>
        <w:tc>
          <w:tcPr>
            <w:tcW w:w="830" w:type="dxa"/>
            <w:tcBorders>
              <w:top w:val="single" w:sz="6" w:space="0" w:color="000000"/>
              <w:left w:val="single" w:sz="6" w:space="0" w:color="000000"/>
              <w:bottom w:val="single" w:sz="12"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补充流</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动资金</w:t>
            </w:r>
          </w:p>
        </w:tc>
        <w:tc>
          <w:tcPr>
            <w:tcW w:w="1371" w:type="dxa"/>
            <w:tcBorders>
              <w:top w:val="single" w:sz="6" w:space="0" w:color="000000"/>
              <w:left w:val="single" w:sz="6" w:space="0" w:color="000000"/>
              <w:bottom w:val="single" w:sz="12" w:space="0" w:color="000000"/>
              <w:right w:val="single" w:sz="6"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东方集团实业</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57"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3"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228"/>
              <w:jc w:val="right"/>
              <w:rPr>
                <w:rFonts w:ascii="宋体" w:hAnsi="宋体" w:cs="宋体" w:eastAsia="宋体" w:hint="default"/>
                <w:sz w:val="18"/>
                <w:szCs w:val="18"/>
              </w:rPr>
            </w:pPr>
            <w:r>
              <w:rPr>
                <w:rFonts w:ascii="宋体" w:hAnsi="宋体" w:cs="宋体" w:eastAsia="宋体" w:hint="default"/>
                <w:sz w:val="18"/>
                <w:szCs w:val="18"/>
              </w:rPr>
              <w:t>否</w:t>
            </w:r>
          </w:p>
        </w:tc>
        <w:tc>
          <w:tcPr>
            <w:tcW w:w="685"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207"/>
              <w:jc w:val="right"/>
              <w:rPr>
                <w:rFonts w:ascii="宋体" w:hAnsi="宋体" w:cs="宋体" w:eastAsia="宋体" w:hint="default"/>
                <w:sz w:val="18"/>
                <w:szCs w:val="18"/>
              </w:rPr>
            </w:pPr>
            <w:r>
              <w:rPr>
                <w:rFonts w:ascii="宋体" w:hAnsi="宋体" w:cs="宋体" w:eastAsia="宋体" w:hint="default"/>
                <w:sz w:val="18"/>
                <w:szCs w:val="18"/>
              </w:rPr>
              <w:t>否</w:t>
            </w:r>
          </w:p>
        </w:tc>
        <w:tc>
          <w:tcPr>
            <w:tcW w:w="703" w:type="dxa"/>
            <w:tcBorders>
              <w:top w:val="single" w:sz="6" w:space="0" w:color="000000"/>
              <w:left w:val="single" w:sz="6" w:space="0" w:color="000000"/>
              <w:bottom w:val="single" w:sz="12" w:space="0" w:color="000000"/>
              <w:right w:val="single" w:sz="6" w:space="0" w:color="000000"/>
            </w:tcBorders>
          </w:tcPr>
          <w:p>
            <w:pPr/>
          </w:p>
        </w:tc>
        <w:tc>
          <w:tcPr>
            <w:tcW w:w="706" w:type="dxa"/>
            <w:tcBorders>
              <w:top w:val="single" w:sz="6" w:space="0" w:color="000000"/>
              <w:left w:val="single" w:sz="6" w:space="0" w:color="000000"/>
              <w:bottom w:val="single" w:sz="12" w:space="0" w:color="000000"/>
              <w:right w:val="single" w:sz="6" w:space="0" w:color="000000"/>
            </w:tcBorders>
          </w:tcPr>
          <w:p>
            <w:pPr/>
          </w:p>
        </w:tc>
        <w:tc>
          <w:tcPr>
            <w:tcW w:w="936" w:type="dxa"/>
            <w:tcBorders>
              <w:top w:val="single" w:sz="6" w:space="0" w:color="000000"/>
              <w:left w:val="single" w:sz="6" w:space="0" w:color="000000"/>
              <w:bottom w:val="single" w:sz="12" w:space="0" w:color="000000"/>
              <w:right w:val="single" w:sz="12"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4,958.33</w:t>
            </w:r>
          </w:p>
        </w:tc>
      </w:tr>
    </w:tbl>
    <w:p>
      <w:pPr>
        <w:pStyle w:val="BodyText"/>
        <w:spacing w:line="392" w:lineRule="exact" w:before="20"/>
        <w:ind w:left="1678" w:right="946"/>
        <w:jc w:val="left"/>
      </w:pPr>
      <w:r>
        <w:rPr/>
        <w:t>委托贷款情况说明</w:t>
      </w:r>
      <w:r>
        <w:rPr>
          <w:w w:val="100"/>
        </w:rPr>
        <w:t> </w:t>
      </w:r>
      <w:r>
        <w:rPr>
          <w:rFonts w:ascii="宋体" w:hAnsi="宋体" w:cs="宋体" w:eastAsia="宋体" w:hint="default"/>
          <w:spacing w:val="-13"/>
          <w:w w:val="100"/>
        </w:rPr>
        <w:t>1</w:t>
      </w:r>
      <w:r>
        <w:rPr>
          <w:spacing w:val="-13"/>
          <w:w w:val="100"/>
        </w:rPr>
        <w:t>、为有效拓宽经营领域，扶持合资公司业务发展，获得稳定的投资回报，</w:t>
      </w:r>
      <w:r>
        <w:rPr>
          <w:rFonts w:ascii="宋体" w:hAnsi="宋体" w:cs="宋体" w:eastAsia="宋体" w:hint="default"/>
          <w:spacing w:val="-13"/>
          <w:w w:val="100"/>
        </w:rPr>
        <w:t>2014</w:t>
      </w:r>
      <w:r>
        <w:rPr>
          <w:rFonts w:ascii="宋体" w:hAnsi="宋体" w:cs="宋体" w:eastAsia="宋体" w:hint="default"/>
          <w:spacing w:val="-51"/>
          <w:w w:val="100"/>
        </w:rPr>
        <w:t> </w:t>
      </w:r>
      <w:r>
        <w:rPr>
          <w:w w:val="100"/>
        </w:rPr>
        <w:t>年</w:t>
      </w:r>
      <w:r>
        <w:rPr>
          <w:spacing w:val="-49"/>
          <w:w w:val="100"/>
        </w:rPr>
        <w:t> </w:t>
      </w:r>
      <w:r>
        <w:rPr>
          <w:rFonts w:ascii="宋体" w:hAnsi="宋体" w:cs="宋体" w:eastAsia="宋体" w:hint="default"/>
          <w:spacing w:val="-2"/>
          <w:w w:val="100"/>
        </w:rPr>
        <w:t>12</w:t>
      </w:r>
      <w:r>
        <w:rPr>
          <w:rFonts w:ascii="宋体" w:hAnsi="宋体" w:cs="宋体" w:eastAsia="宋体" w:hint="default"/>
          <w:spacing w:val="-49"/>
          <w:w w:val="100"/>
        </w:rPr>
        <w:t> </w:t>
      </w:r>
      <w:r>
        <w:rPr>
          <w:w w:val="100"/>
        </w:rPr>
        <w:t>月</w:t>
      </w:r>
      <w:r>
        <w:rPr>
          <w:spacing w:val="-49"/>
          <w:w w:val="100"/>
        </w:rPr>
        <w:t> </w:t>
      </w:r>
      <w:r>
        <w:rPr>
          <w:rFonts w:ascii="宋体" w:hAnsi="宋体" w:cs="宋体" w:eastAsia="宋体" w:hint="default"/>
          <w:w w:val="100"/>
        </w:rPr>
        <w:t>10</w:t>
      </w:r>
      <w:r>
        <w:rPr>
          <w:rFonts w:ascii="宋体" w:hAnsi="宋体" w:cs="宋体" w:eastAsia="宋体" w:hint="default"/>
          <w:spacing w:val="7"/>
          <w:w w:val="100"/>
        </w:rPr>
        <w:t> </w:t>
      </w:r>
      <w:r>
        <w:rPr>
          <w:spacing w:val="-2"/>
          <w:w w:val="100"/>
        </w:rPr>
        <w:t>日，</w:t>
      </w:r>
    </w:p>
    <w:p>
      <w:pPr>
        <w:pStyle w:val="BodyText"/>
        <w:spacing w:line="224" w:lineRule="exact"/>
        <w:ind w:left="1258" w:right="0"/>
        <w:jc w:val="left"/>
      </w:pPr>
      <w:r>
        <w:rPr/>
        <w:t>公司第八届董事会第十次会议同意公司再次向参股公司辽宁锦港宝地置业有限公司发放</w:t>
      </w:r>
      <w:r>
        <w:rPr>
          <w:spacing w:val="-54"/>
        </w:rPr>
        <w:t> </w:t>
      </w:r>
      <w:r>
        <w:rPr>
          <w:rFonts w:ascii="宋体" w:hAnsi="宋体" w:cs="宋体" w:eastAsia="宋体" w:hint="default"/>
        </w:rPr>
        <w:t>8,100</w:t>
      </w:r>
      <w:r>
        <w:rPr>
          <w:rFonts w:ascii="宋体" w:hAnsi="宋体" w:cs="宋体" w:eastAsia="宋体" w:hint="default"/>
          <w:spacing w:val="-55"/>
        </w:rPr>
        <w:t> </w:t>
      </w:r>
      <w:r>
        <w:rPr/>
        <w:t>万</w:t>
      </w:r>
    </w:p>
    <w:p>
      <w:pPr>
        <w:pStyle w:val="BodyText"/>
        <w:spacing w:line="273" w:lineRule="exact"/>
        <w:ind w:left="1258" w:right="946"/>
        <w:jc w:val="left"/>
      </w:pPr>
      <w:r>
        <w:rPr/>
        <w:t>元委托贷款，借款期限</w:t>
      </w:r>
      <w:r>
        <w:rPr>
          <w:spacing w:val="-53"/>
        </w:rPr>
        <w:t> </w:t>
      </w:r>
      <w:r>
        <w:rPr>
          <w:rFonts w:ascii="宋体" w:hAnsi="宋体" w:cs="宋体" w:eastAsia="宋体" w:hint="default"/>
        </w:rPr>
        <w:t>3</w:t>
      </w:r>
      <w:r>
        <w:rPr>
          <w:rFonts w:ascii="宋体" w:hAnsi="宋体" w:cs="宋体" w:eastAsia="宋体" w:hint="default"/>
          <w:spacing w:val="-56"/>
        </w:rPr>
        <w:t> </w:t>
      </w:r>
      <w:r>
        <w:rPr/>
        <w:t>年，年利率为</w:t>
      </w:r>
      <w:r>
        <w:rPr>
          <w:spacing w:val="-54"/>
        </w:rPr>
        <w:t> </w:t>
      </w:r>
      <w:r>
        <w:rPr>
          <w:rFonts w:ascii="宋体" w:hAnsi="宋体" w:cs="宋体" w:eastAsia="宋体" w:hint="default"/>
        </w:rPr>
        <w:t>12%</w:t>
      </w:r>
      <w:r>
        <w:rPr/>
        <w:t>，锦港宝地承担该项贷款利息及一切相关费用。</w:t>
      </w:r>
    </w:p>
    <w:p>
      <w:pPr>
        <w:pStyle w:val="BodyText"/>
        <w:spacing w:line="273" w:lineRule="exact" w:before="118"/>
        <w:ind w:left="1678" w:right="946"/>
        <w:jc w:val="left"/>
      </w:pPr>
      <w:r>
        <w:rPr>
          <w:rFonts w:ascii="宋体" w:hAnsi="宋体" w:cs="宋体" w:eastAsia="宋体" w:hint="default"/>
        </w:rPr>
        <w:t>2</w:t>
      </w:r>
      <w:r>
        <w:rPr/>
        <w:t>、根据公司</w:t>
      </w:r>
      <w:r>
        <w:rPr>
          <w:spacing w:val="-54"/>
        </w:rPr>
        <w:t> </w:t>
      </w:r>
      <w:r>
        <w:rPr>
          <w:rFonts w:ascii="宋体" w:hAnsi="宋体" w:cs="宋体" w:eastAsia="宋体" w:hint="default"/>
        </w:rPr>
        <w:t>2013</w:t>
      </w:r>
      <w:r>
        <w:rPr>
          <w:rFonts w:ascii="宋体" w:hAnsi="宋体" w:cs="宋体" w:eastAsia="宋体" w:hint="default"/>
          <w:spacing w:val="-53"/>
        </w:rPr>
        <w:t> </w:t>
      </w:r>
      <w:r>
        <w:rPr/>
        <w:t>年年度股东大会决议，</w:t>
      </w:r>
      <w:r>
        <w:rPr>
          <w:rFonts w:ascii="宋体" w:hAnsi="宋体" w:cs="宋体" w:eastAsia="宋体" w:hint="default"/>
        </w:rPr>
        <w:t>2014</w:t>
      </w:r>
      <w:r>
        <w:rPr>
          <w:rFonts w:ascii="宋体" w:hAnsi="宋体" w:cs="宋体" w:eastAsia="宋体" w:hint="default"/>
          <w:spacing w:val="-53"/>
        </w:rPr>
        <w:t> </w:t>
      </w:r>
      <w:r>
        <w:rPr/>
        <w:t>年</w:t>
      </w:r>
      <w:r>
        <w:rPr>
          <w:spacing w:val="-56"/>
        </w:rPr>
        <w:t> </w:t>
      </w:r>
      <w:r>
        <w:rPr>
          <w:rFonts w:ascii="宋体" w:hAnsi="宋体" w:cs="宋体" w:eastAsia="宋体" w:hint="default"/>
        </w:rPr>
        <w:t>5</w:t>
      </w:r>
      <w:r>
        <w:rPr>
          <w:rFonts w:ascii="宋体" w:hAnsi="宋体" w:cs="宋体" w:eastAsia="宋体" w:hint="default"/>
          <w:spacing w:val="-56"/>
        </w:rPr>
        <w:t> </w:t>
      </w:r>
      <w:r>
        <w:rPr/>
        <w:t>月</w:t>
      </w:r>
      <w:r>
        <w:rPr>
          <w:spacing w:val="-54"/>
        </w:rPr>
        <w:t> </w:t>
      </w:r>
      <w:r>
        <w:rPr>
          <w:rFonts w:ascii="宋体" w:hAnsi="宋体" w:cs="宋体" w:eastAsia="宋体" w:hint="default"/>
        </w:rPr>
        <w:t>13</w:t>
      </w:r>
      <w:r>
        <w:rPr>
          <w:rFonts w:ascii="宋体" w:hAnsi="宋体" w:cs="宋体" w:eastAsia="宋体" w:hint="default"/>
          <w:spacing w:val="-56"/>
        </w:rPr>
        <w:t> </w:t>
      </w:r>
      <w:r>
        <w:rPr/>
        <w:t>日，公司通过中国民生银行股份有</w:t>
      </w:r>
    </w:p>
    <w:p>
      <w:pPr>
        <w:pStyle w:val="BodyText"/>
        <w:spacing w:line="272" w:lineRule="exact"/>
        <w:ind w:left="1258" w:right="0"/>
        <w:jc w:val="left"/>
        <w:rPr>
          <w:rFonts w:ascii="宋体" w:hAnsi="宋体" w:cs="宋体" w:eastAsia="宋体" w:hint="default"/>
        </w:rPr>
      </w:pPr>
      <w:r>
        <w:rPr/>
        <w:t>限公司总行营业部向北京盛通华诚投资有限责任公司提供了</w:t>
      </w:r>
      <w:r>
        <w:rPr>
          <w:spacing w:val="-49"/>
        </w:rPr>
        <w:t> </w:t>
      </w:r>
      <w:r>
        <w:rPr>
          <w:rFonts w:ascii="宋体" w:hAnsi="宋体" w:cs="宋体" w:eastAsia="宋体" w:hint="default"/>
        </w:rPr>
        <w:t>50,000</w:t>
      </w:r>
      <w:r>
        <w:rPr>
          <w:rFonts w:ascii="宋体" w:hAnsi="宋体" w:cs="宋体" w:eastAsia="宋体" w:hint="default"/>
          <w:spacing w:val="-49"/>
        </w:rPr>
        <w:t> </w:t>
      </w:r>
      <w:r>
        <w:rPr>
          <w:spacing w:val="-5"/>
        </w:rPr>
        <w:t>万元的委托贷款，贷款期限</w:t>
      </w:r>
      <w:r>
        <w:rPr>
          <w:spacing w:val="-48"/>
        </w:rPr>
        <w:t> </w:t>
      </w:r>
      <w:r>
        <w:rPr>
          <w:rFonts w:ascii="宋体" w:hAnsi="宋体" w:cs="宋体" w:eastAsia="宋体" w:hint="default"/>
        </w:rPr>
        <w:t>3</w:t>
      </w:r>
    </w:p>
    <w:p>
      <w:pPr>
        <w:pStyle w:val="BodyText"/>
        <w:spacing w:line="272" w:lineRule="exact" w:before="27"/>
        <w:ind w:left="1258" w:right="946"/>
        <w:jc w:val="left"/>
      </w:pPr>
      <w:r>
        <w:rPr/>
        <w:t>年，自</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13</w:t>
      </w:r>
      <w:r>
        <w:rPr>
          <w:rFonts w:ascii="宋体" w:hAnsi="宋体" w:cs="宋体" w:eastAsia="宋体" w:hint="default"/>
          <w:spacing w:val="-52"/>
        </w:rPr>
        <w:t> </w:t>
      </w:r>
      <w:r>
        <w:rPr/>
        <w:t>日起至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13</w:t>
      </w:r>
      <w:r>
        <w:rPr>
          <w:rFonts w:ascii="宋体" w:hAnsi="宋体" w:cs="宋体" w:eastAsia="宋体" w:hint="default"/>
          <w:spacing w:val="-55"/>
        </w:rPr>
        <w:t> </w:t>
      </w:r>
      <w:r>
        <w:rPr/>
        <w:t>日止，年利率为</w:t>
      </w:r>
      <w:r>
        <w:rPr>
          <w:spacing w:val="-53"/>
        </w:rPr>
        <w:t> </w:t>
      </w:r>
      <w:r>
        <w:rPr>
          <w:rFonts w:ascii="宋体" w:hAnsi="宋体" w:cs="宋体" w:eastAsia="宋体" w:hint="default"/>
        </w:rPr>
        <w:t>10%</w:t>
      </w:r>
      <w:r>
        <w:rPr/>
        <w:t>，该委托贷款由东方集团实业</w:t>
      </w:r>
      <w:r>
        <w:rPr>
          <w:w w:val="100"/>
        </w:rPr>
        <w:t> </w:t>
      </w:r>
      <w:r>
        <w:rPr/>
        <w:t>股份有限公司提供担保。</w:t>
      </w:r>
    </w:p>
    <w:p>
      <w:pPr>
        <w:spacing w:line="240" w:lineRule="auto" w:before="4"/>
        <w:rPr>
          <w:rFonts w:ascii="宋体" w:hAnsi="宋体" w:cs="宋体" w:eastAsia="宋体" w:hint="default"/>
          <w:sz w:val="23"/>
          <w:szCs w:val="23"/>
        </w:rPr>
      </w:pPr>
    </w:p>
    <w:p>
      <w:pPr>
        <w:pStyle w:val="Heading2"/>
        <w:spacing w:line="240" w:lineRule="auto" w:before="0"/>
        <w:ind w:left="1678" w:right="946"/>
        <w:jc w:val="left"/>
        <w:rPr>
          <w:b w:val="0"/>
          <w:bCs w:val="0"/>
        </w:rPr>
      </w:pPr>
      <w:r>
        <w:rPr>
          <w:rFonts w:ascii="宋体" w:hAnsi="宋体" w:cs="宋体" w:eastAsia="宋体" w:hint="default"/>
        </w:rPr>
        <w:t>3</w:t>
      </w:r>
      <w:r>
        <w:rPr/>
        <w:t>、</w:t>
      </w:r>
      <w:r>
        <w:rPr>
          <w:spacing w:val="-4"/>
        </w:rPr>
        <w:t> </w:t>
      </w:r>
      <w:r>
        <w:rPr/>
        <w:t>其他投资理财及衍生品投资情况</w:t>
      </w:r>
      <w:r>
        <w:rPr>
          <w:b w:val="0"/>
          <w:bCs w:val="0"/>
        </w:rPr>
      </w:r>
    </w:p>
    <w:p>
      <w:pPr>
        <w:pStyle w:val="BodyText"/>
        <w:spacing w:line="240" w:lineRule="auto" w:before="58"/>
        <w:ind w:left="1258" w:right="946" w:firstLine="419"/>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258" w:right="946"/>
        <w:jc w:val="left"/>
        <w:rPr>
          <w:b w:val="0"/>
          <w:bCs w:val="0"/>
        </w:rPr>
      </w:pPr>
      <w:r>
        <w:rPr/>
        <w:t>十四、其他重大事项的说明</w:t>
      </w:r>
      <w:r>
        <w:rPr>
          <w:b w:val="0"/>
          <w:bCs w:val="0"/>
        </w:rPr>
      </w:r>
    </w:p>
    <w:p>
      <w:pPr>
        <w:pStyle w:val="BodyText"/>
        <w:spacing w:line="343" w:lineRule="auto" w:before="56"/>
        <w:ind w:left="1678" w:right="6260" w:hanging="420"/>
        <w:jc w:val="left"/>
      </w:pPr>
      <w:r>
        <w:rPr/>
        <w:t>√适用</w:t>
      </w:r>
      <w:r>
        <w:rPr>
          <w:spacing w:val="-2"/>
        </w:rPr>
        <w:t> </w:t>
      </w:r>
      <w:r>
        <w:rPr/>
        <w:t>□不适用</w:t>
      </w:r>
      <w:r>
        <w:rPr>
          <w:w w:val="100"/>
        </w:rPr>
        <w:t> </w:t>
      </w:r>
      <w:r>
        <w:rPr>
          <w:rFonts w:ascii="宋体" w:hAnsi="宋体" w:cs="宋体" w:eastAsia="宋体" w:hint="default"/>
          <w:spacing w:val="-2"/>
        </w:rPr>
        <w:t>1</w:t>
      </w:r>
      <w:r>
        <w:rPr>
          <w:spacing w:val="-2"/>
        </w:rPr>
        <w:t>、公司处理拖船资产</w:t>
      </w:r>
    </w:p>
    <w:p>
      <w:pPr>
        <w:spacing w:after="0" w:line="343" w:lineRule="auto"/>
        <w:jc w:val="left"/>
        <w:sectPr>
          <w:type w:val="continuous"/>
          <w:pgSz w:w="11910" w:h="16840"/>
          <w:pgMar w:top="1120" w:bottom="1380" w:left="540" w:right="320"/>
        </w:sectPr>
      </w:pPr>
    </w:p>
    <w:p>
      <w:pPr>
        <w:spacing w:line="240" w:lineRule="auto" w:before="4"/>
        <w:rPr>
          <w:rFonts w:ascii="宋体" w:hAnsi="宋体" w:cs="宋体" w:eastAsia="宋体" w:hint="default"/>
          <w:sz w:val="25"/>
          <w:szCs w:val="25"/>
        </w:rPr>
      </w:pPr>
    </w:p>
    <w:p>
      <w:pPr>
        <w:pStyle w:val="BodyText"/>
        <w:spacing w:line="237" w:lineRule="auto" w:before="38"/>
        <w:ind w:right="209" w:firstLine="419"/>
        <w:jc w:val="both"/>
      </w:pPr>
      <w:r>
        <w:rPr/>
        <w:t>公司第八届董事会第十九次会议于</w:t>
      </w:r>
      <w:r>
        <w:rPr>
          <w:spacing w:val="-50"/>
        </w:rPr>
        <w:t> </w:t>
      </w:r>
      <w:r>
        <w:rPr>
          <w:rFonts w:ascii="宋体" w:hAnsi="宋体" w:cs="宋体" w:eastAsia="宋体" w:hint="default"/>
        </w:rPr>
        <w:t>2015</w:t>
      </w:r>
      <w:r>
        <w:rPr>
          <w:rFonts w:ascii="宋体" w:hAnsi="宋体" w:cs="宋体" w:eastAsia="宋体" w:hint="default"/>
          <w:spacing w:val="-53"/>
        </w:rPr>
        <w:t> </w:t>
      </w:r>
      <w:r>
        <w:rPr/>
        <w:t>年</w:t>
      </w:r>
      <w:r>
        <w:rPr>
          <w:spacing w:val="-53"/>
        </w:rPr>
        <w:t> </w:t>
      </w:r>
      <w:r>
        <w:rPr>
          <w:rFonts w:ascii="宋体" w:hAnsi="宋体" w:cs="宋体" w:eastAsia="宋体" w:hint="default"/>
        </w:rPr>
        <w:t>6</w:t>
      </w:r>
      <w:r>
        <w:rPr>
          <w:rFonts w:ascii="宋体" w:hAnsi="宋体" w:cs="宋体" w:eastAsia="宋体" w:hint="default"/>
          <w:spacing w:val="-50"/>
        </w:rPr>
        <w:t> </w:t>
      </w:r>
      <w:r>
        <w:rPr/>
        <w:t>月</w:t>
      </w:r>
      <w:r>
        <w:rPr>
          <w:spacing w:val="-52"/>
        </w:rPr>
        <w:t> </w:t>
      </w:r>
      <w:r>
        <w:rPr>
          <w:rFonts w:ascii="宋体" w:hAnsi="宋体" w:cs="宋体" w:eastAsia="宋体" w:hint="default"/>
        </w:rPr>
        <w:t>29</w:t>
      </w:r>
      <w:r>
        <w:rPr>
          <w:rFonts w:ascii="宋体" w:hAnsi="宋体" w:cs="宋体" w:eastAsia="宋体" w:hint="default"/>
          <w:spacing w:val="-53"/>
        </w:rPr>
        <w:t> </w:t>
      </w:r>
      <w:r>
        <w:rPr/>
        <w:t>日以通讯表决方式审议通过《关于对公司</w:t>
      </w:r>
      <w:r>
        <w:rPr>
          <w:w w:val="100"/>
        </w:rPr>
        <w:t> </w:t>
      </w:r>
      <w:r>
        <w:rPr>
          <w:spacing w:val="-1"/>
        </w:rPr>
        <w:t>拖船资产进行处置的议案》，同意将公司拥有的“锦港六号”拖船出售给中交一航局第五工程有</w:t>
      </w:r>
      <w:r>
        <w:rPr>
          <w:spacing w:val="-55"/>
        </w:rPr>
        <w:t> </w:t>
      </w:r>
      <w:r>
        <w:rPr>
          <w:spacing w:val="-55"/>
        </w:rPr>
      </w:r>
      <w:r>
        <w:rPr/>
        <w:t>限公司，出售价格为</w:t>
      </w:r>
      <w:r>
        <w:rPr>
          <w:spacing w:val="-56"/>
        </w:rPr>
        <w:t> </w:t>
      </w:r>
      <w:r>
        <w:rPr>
          <w:rFonts w:ascii="宋体" w:hAnsi="宋体" w:cs="宋体" w:eastAsia="宋体" w:hint="default"/>
        </w:rPr>
        <w:t>1,980</w:t>
      </w:r>
      <w:r>
        <w:rPr>
          <w:rFonts w:ascii="宋体" w:hAnsi="宋体" w:cs="宋体" w:eastAsia="宋体" w:hint="default"/>
          <w:spacing w:val="-55"/>
        </w:rPr>
        <w:t> </w:t>
      </w:r>
      <w:r>
        <w:rPr/>
        <w:t>万元人民币。目前该笔交易已经实施完毕。</w:t>
      </w:r>
    </w:p>
    <w:p>
      <w:pPr>
        <w:pStyle w:val="BodyText"/>
        <w:spacing w:line="240" w:lineRule="auto" w:before="119"/>
        <w:ind w:left="558" w:right="68"/>
        <w:jc w:val="left"/>
      </w:pPr>
      <w:r>
        <w:rPr>
          <w:rFonts w:ascii="宋体" w:hAnsi="宋体" w:cs="宋体" w:eastAsia="宋体" w:hint="default"/>
        </w:rPr>
        <w:t>2</w:t>
      </w:r>
      <w:r>
        <w:rPr/>
        <w:t>、公司获得工程建设资金补助事宜</w:t>
      </w:r>
    </w:p>
    <w:p>
      <w:pPr>
        <w:pStyle w:val="BodyText"/>
        <w:spacing w:line="237" w:lineRule="auto" w:before="119"/>
        <w:ind w:right="208" w:firstLine="419"/>
        <w:jc w:val="both"/>
      </w:pPr>
      <w:r>
        <w:rPr/>
        <w:t>根据交函规划</w:t>
      </w:r>
      <w:r>
        <w:rPr>
          <w:rFonts w:ascii="宋体" w:hAnsi="宋体" w:cs="宋体" w:eastAsia="宋体" w:hint="default"/>
        </w:rPr>
        <w:t>[2013]268</w:t>
      </w:r>
      <w:r>
        <w:rPr>
          <w:rFonts w:ascii="宋体" w:hAnsi="宋体" w:cs="宋体" w:eastAsia="宋体" w:hint="default"/>
          <w:spacing w:val="4"/>
        </w:rPr>
        <w:t> </w:t>
      </w:r>
      <w:r>
        <w:rPr/>
        <w:t>号《交通运输部关于安排锦州港航道扩建工程资金的函》、交规划</w:t>
      </w:r>
      <w:r>
        <w:rPr>
          <w:w w:val="100"/>
        </w:rPr>
        <w:t> </w:t>
      </w:r>
      <w:r>
        <w:rPr/>
        <w:t>函</w:t>
      </w:r>
      <w:r>
        <w:rPr>
          <w:rFonts w:ascii="宋体" w:hAnsi="宋体" w:cs="宋体" w:eastAsia="宋体" w:hint="default"/>
        </w:rPr>
        <w:t>[2014]904</w:t>
      </w:r>
      <w:r>
        <w:rPr>
          <w:rFonts w:ascii="宋体" w:hAnsi="宋体" w:cs="宋体" w:eastAsia="宋体" w:hint="default"/>
          <w:spacing w:val="-51"/>
        </w:rPr>
        <w:t> </w:t>
      </w:r>
      <w:r>
        <w:rPr/>
        <w:t>号《交通运输部关于安排锦州港第四港池西南防波堤工程建设资金的函》，</w:t>
      </w:r>
      <w:r>
        <w:rPr>
          <w:rFonts w:ascii="宋体" w:hAnsi="宋体" w:cs="宋体" w:eastAsia="宋体" w:hint="default"/>
        </w:rPr>
        <w:t>2015</w:t>
      </w:r>
      <w:r>
        <w:rPr>
          <w:rFonts w:ascii="宋体" w:hAnsi="宋体" w:cs="宋体" w:eastAsia="宋体" w:hint="default"/>
          <w:spacing w:val="-51"/>
        </w:rPr>
        <w:t> </w:t>
      </w:r>
      <w:r>
        <w:rPr/>
        <w:t>年</w:t>
      </w:r>
      <w:r>
        <w:rPr>
          <w:w w:val="100"/>
        </w:rPr>
        <w:t> </w:t>
      </w:r>
      <w:r>
        <w:rPr>
          <w:rFonts w:ascii="宋体" w:hAnsi="宋体" w:cs="宋体" w:eastAsia="宋体" w:hint="default"/>
        </w:rPr>
        <w:t>6</w:t>
      </w:r>
      <w:r>
        <w:rPr>
          <w:rFonts w:ascii="宋体" w:hAnsi="宋体" w:cs="宋体" w:eastAsia="宋体" w:hint="default"/>
          <w:spacing w:val="-45"/>
        </w:rPr>
        <w:t> </w:t>
      </w:r>
      <w:r>
        <w:rPr/>
        <w:t>月</w:t>
      </w:r>
      <w:r>
        <w:rPr>
          <w:spacing w:val="-45"/>
        </w:rPr>
        <w:t> </w:t>
      </w:r>
      <w:r>
        <w:rPr>
          <w:rFonts w:ascii="宋体" w:hAnsi="宋体" w:cs="宋体" w:eastAsia="宋体" w:hint="default"/>
        </w:rPr>
        <w:t>11</w:t>
      </w:r>
      <w:r>
        <w:rPr>
          <w:rFonts w:ascii="宋体" w:hAnsi="宋体" w:cs="宋体" w:eastAsia="宋体" w:hint="default"/>
          <w:spacing w:val="-45"/>
        </w:rPr>
        <w:t> </w:t>
      </w:r>
      <w:r>
        <w:rPr>
          <w:spacing w:val="-4"/>
        </w:rPr>
        <w:t>日，辽宁省财政厅下发了辽财指流</w:t>
      </w:r>
      <w:r>
        <w:rPr>
          <w:rFonts w:ascii="宋体" w:hAnsi="宋体" w:cs="宋体" w:eastAsia="宋体" w:hint="default"/>
          <w:spacing w:val="-4"/>
        </w:rPr>
        <w:t>[2015]289</w:t>
      </w:r>
      <w:r>
        <w:rPr>
          <w:rFonts w:ascii="宋体" w:hAnsi="宋体" w:cs="宋体" w:eastAsia="宋体" w:hint="default"/>
          <w:spacing w:val="-44"/>
        </w:rPr>
        <w:t> </w:t>
      </w:r>
      <w:r>
        <w:rPr>
          <w:spacing w:val="-9"/>
        </w:rPr>
        <w:t>号《关于下达</w:t>
      </w:r>
      <w:r>
        <w:rPr>
          <w:spacing w:val="-45"/>
        </w:rPr>
        <w:t> </w:t>
      </w:r>
      <w:r>
        <w:rPr>
          <w:rFonts w:ascii="宋体" w:hAnsi="宋体" w:cs="宋体" w:eastAsia="宋体" w:hint="default"/>
        </w:rPr>
        <w:t>2015</w:t>
      </w:r>
      <w:r>
        <w:rPr>
          <w:rFonts w:ascii="宋体" w:hAnsi="宋体" w:cs="宋体" w:eastAsia="宋体" w:hint="default"/>
          <w:spacing w:val="-45"/>
        </w:rPr>
        <w:t> </w:t>
      </w:r>
      <w:r>
        <w:rPr/>
        <w:t>年港口建设费安排地方建</w:t>
      </w:r>
    </w:p>
    <w:p>
      <w:pPr>
        <w:pStyle w:val="BodyText"/>
        <w:spacing w:line="272" w:lineRule="exact"/>
        <w:ind w:right="68"/>
        <w:jc w:val="left"/>
      </w:pPr>
      <w:r>
        <w:rPr>
          <w:spacing w:val="-3"/>
        </w:rPr>
        <w:t>设项目支出预算—（第一批）的通知》，</w:t>
      </w:r>
      <w:r>
        <w:rPr>
          <w:rFonts w:ascii="宋体" w:hAnsi="宋体" w:cs="宋体" w:eastAsia="宋体" w:hint="default"/>
          <w:spacing w:val="-3"/>
        </w:rPr>
        <w:t>2015</w:t>
      </w:r>
      <w:r>
        <w:rPr>
          <w:rFonts w:ascii="宋体" w:hAnsi="宋体" w:cs="宋体" w:eastAsia="宋体" w:hint="default"/>
          <w:spacing w:val="-51"/>
        </w:rPr>
        <w:t> </w:t>
      </w:r>
      <w:r>
        <w:rPr/>
        <w:t>年</w:t>
      </w:r>
      <w:r>
        <w:rPr>
          <w:spacing w:val="-49"/>
        </w:rPr>
        <w:t> </w:t>
      </w:r>
      <w:r>
        <w:rPr>
          <w:rFonts w:ascii="宋体" w:hAnsi="宋体" w:cs="宋体" w:eastAsia="宋体" w:hint="default"/>
        </w:rPr>
        <w:t>7</w:t>
      </w:r>
      <w:r>
        <w:rPr>
          <w:rFonts w:ascii="宋体" w:hAnsi="宋体" w:cs="宋体" w:eastAsia="宋体" w:hint="default"/>
          <w:spacing w:val="-51"/>
        </w:rPr>
        <w:t> </w:t>
      </w:r>
      <w:r>
        <w:rPr/>
        <w:t>月</w:t>
      </w:r>
      <w:r>
        <w:rPr>
          <w:spacing w:val="-49"/>
        </w:rPr>
        <w:t> </w:t>
      </w:r>
      <w:r>
        <w:rPr>
          <w:rFonts w:ascii="宋体" w:hAnsi="宋体" w:cs="宋体" w:eastAsia="宋体" w:hint="default"/>
        </w:rPr>
        <w:t>3</w:t>
      </w:r>
      <w:r>
        <w:rPr>
          <w:rFonts w:ascii="宋体" w:hAnsi="宋体" w:cs="宋体" w:eastAsia="宋体" w:hint="default"/>
          <w:spacing w:val="-49"/>
        </w:rPr>
        <w:t> </w:t>
      </w:r>
      <w:r>
        <w:rPr/>
        <w:t>日，公司收到拨付的“锦州港航道扩建工</w:t>
      </w:r>
    </w:p>
    <w:p>
      <w:pPr>
        <w:pStyle w:val="BodyText"/>
        <w:spacing w:line="272" w:lineRule="exact"/>
        <w:ind w:right="68"/>
        <w:jc w:val="left"/>
      </w:pPr>
      <w:r>
        <w:rPr/>
        <w:t>程”补助资金</w:t>
      </w:r>
      <w:r>
        <w:rPr>
          <w:spacing w:val="-2"/>
        </w:rPr>
        <w:t> </w:t>
      </w:r>
      <w:r>
        <w:rPr>
          <w:rFonts w:ascii="宋体" w:hAnsi="宋体" w:cs="宋体" w:eastAsia="宋体" w:hint="default"/>
        </w:rPr>
        <w:t>3,620</w:t>
      </w:r>
      <w:r>
        <w:rPr>
          <w:rFonts w:ascii="宋体" w:hAnsi="宋体" w:cs="宋体" w:eastAsia="宋体" w:hint="default"/>
          <w:spacing w:val="-36"/>
        </w:rPr>
        <w:t> </w:t>
      </w:r>
      <w:r>
        <w:rPr/>
        <w:t>万元、</w:t>
      </w:r>
      <w:r>
        <w:rPr>
          <w:spacing w:val="-1"/>
        </w:rPr>
        <w:t> </w:t>
      </w:r>
      <w:r>
        <w:rPr/>
        <w:t>“锦州港第四港池西南防波堤工程”补助资金</w:t>
      </w:r>
      <w:r>
        <w:rPr>
          <w:spacing w:val="-33"/>
        </w:rPr>
        <w:t> </w:t>
      </w:r>
      <w:r>
        <w:rPr>
          <w:rFonts w:ascii="宋体" w:hAnsi="宋体" w:cs="宋体" w:eastAsia="宋体" w:hint="default"/>
        </w:rPr>
        <w:t>8,000</w:t>
      </w:r>
      <w:r>
        <w:rPr>
          <w:rFonts w:ascii="宋体" w:hAnsi="宋体" w:cs="宋体" w:eastAsia="宋体" w:hint="default"/>
          <w:spacing w:val="-33"/>
        </w:rPr>
        <w:t> </w:t>
      </w:r>
      <w:r>
        <w:rPr/>
        <w:t>万元。详见公</w:t>
      </w:r>
    </w:p>
    <w:p>
      <w:pPr>
        <w:pStyle w:val="BodyText"/>
        <w:spacing w:line="272" w:lineRule="exact" w:before="27"/>
        <w:ind w:right="68"/>
        <w:jc w:val="left"/>
      </w:pPr>
      <w:r>
        <w:rPr/>
        <w:t>司于</w:t>
      </w:r>
      <w:r>
        <w:rPr>
          <w:spacing w:val="-42"/>
        </w:rPr>
        <w:t> </w:t>
      </w:r>
      <w:r>
        <w:rPr>
          <w:rFonts w:ascii="宋体" w:hAnsi="宋体" w:cs="宋体" w:eastAsia="宋体" w:hint="default"/>
        </w:rPr>
        <w:t>2015</w:t>
      </w:r>
      <w:r>
        <w:rPr>
          <w:rFonts w:ascii="宋体" w:hAnsi="宋体" w:cs="宋体" w:eastAsia="宋体" w:hint="default"/>
          <w:spacing w:val="-44"/>
        </w:rPr>
        <w:t> </w:t>
      </w:r>
      <w:r>
        <w:rPr/>
        <w:t>年</w:t>
      </w:r>
      <w:r>
        <w:rPr>
          <w:spacing w:val="-42"/>
        </w:rPr>
        <w:t> </w:t>
      </w:r>
      <w:r>
        <w:rPr>
          <w:rFonts w:ascii="宋体" w:hAnsi="宋体" w:cs="宋体" w:eastAsia="宋体" w:hint="default"/>
        </w:rPr>
        <w:t>7</w:t>
      </w:r>
      <w:r>
        <w:rPr>
          <w:rFonts w:ascii="宋体" w:hAnsi="宋体" w:cs="宋体" w:eastAsia="宋体" w:hint="default"/>
          <w:spacing w:val="-44"/>
        </w:rPr>
        <w:t> </w:t>
      </w:r>
      <w:r>
        <w:rPr/>
        <w:t>月</w:t>
      </w:r>
      <w:r>
        <w:rPr>
          <w:spacing w:val="-42"/>
        </w:rPr>
        <w:t> </w:t>
      </w:r>
      <w:r>
        <w:rPr>
          <w:rFonts w:ascii="宋体" w:hAnsi="宋体" w:cs="宋体" w:eastAsia="宋体" w:hint="default"/>
        </w:rPr>
        <w:t>8</w:t>
      </w:r>
      <w:r>
        <w:rPr>
          <w:rFonts w:ascii="宋体" w:hAnsi="宋体" w:cs="宋体" w:eastAsia="宋体" w:hint="default"/>
          <w:spacing w:val="-44"/>
        </w:rPr>
        <w:t> </w:t>
      </w:r>
      <w:r>
        <w:rPr>
          <w:spacing w:val="-5"/>
        </w:rPr>
        <w:t>日在《上海证券报》、《中国证券报》、香港《大公报》和上海证券交易所网</w:t>
      </w:r>
      <w:r>
        <w:rPr>
          <w:spacing w:val="-100"/>
        </w:rPr>
        <w:t> </w:t>
      </w:r>
      <w:r>
        <w:rPr>
          <w:spacing w:val="-100"/>
        </w:rPr>
      </w:r>
      <w:r>
        <w:rPr/>
        <w:t>站发布的临时公告（公告编号：临</w:t>
      </w:r>
      <w:r>
        <w:rPr>
          <w:spacing w:val="-56"/>
        </w:rPr>
        <w:t> </w:t>
      </w:r>
      <w:r>
        <w:rPr>
          <w:rFonts w:ascii="宋体" w:hAnsi="宋体" w:cs="宋体" w:eastAsia="宋体" w:hint="default"/>
        </w:rPr>
        <w:t>2015-032</w:t>
      </w:r>
      <w:r>
        <w:rPr/>
        <w:t>）。</w:t>
      </w:r>
    </w:p>
    <w:p>
      <w:pPr>
        <w:pStyle w:val="BodyText"/>
        <w:spacing w:line="240" w:lineRule="auto" w:before="94"/>
        <w:ind w:left="558" w:right="68"/>
        <w:jc w:val="left"/>
      </w:pPr>
      <w:r>
        <w:rPr>
          <w:rFonts w:ascii="宋体" w:hAnsi="宋体" w:cs="宋体" w:eastAsia="宋体" w:hint="default"/>
        </w:rPr>
        <w:t>3</w:t>
      </w:r>
      <w:r>
        <w:rPr/>
        <w:t>、公司发行</w:t>
      </w:r>
      <w:r>
        <w:rPr>
          <w:spacing w:val="-54"/>
        </w:rPr>
        <w:t> </w:t>
      </w:r>
      <w:r>
        <w:rPr>
          <w:rFonts w:ascii="宋体" w:hAnsi="宋体" w:cs="宋体" w:eastAsia="宋体" w:hint="default"/>
        </w:rPr>
        <w:t>2015</w:t>
      </w:r>
      <w:r>
        <w:rPr>
          <w:rFonts w:ascii="宋体" w:hAnsi="宋体" w:cs="宋体" w:eastAsia="宋体" w:hint="default"/>
          <w:spacing w:val="-53"/>
        </w:rPr>
        <w:t> </w:t>
      </w:r>
      <w:r>
        <w:rPr/>
        <w:t>年度第一期中期票据事宜</w:t>
      </w:r>
    </w:p>
    <w:p>
      <w:pPr>
        <w:pStyle w:val="BodyText"/>
        <w:spacing w:line="274" w:lineRule="exact" w:before="116"/>
        <w:ind w:left="558" w:right="68"/>
        <w:jc w:val="left"/>
      </w:pPr>
      <w:r>
        <w:rPr>
          <w:rFonts w:ascii="宋体" w:hAnsi="宋体" w:cs="宋体" w:eastAsia="宋体" w:hint="default"/>
        </w:rPr>
        <w:t>2015</w:t>
      </w:r>
      <w:r>
        <w:rPr>
          <w:rFonts w:ascii="宋体" w:hAnsi="宋体" w:cs="宋体" w:eastAsia="宋体" w:hint="default"/>
          <w:spacing w:val="-46"/>
        </w:rPr>
        <w:t> </w:t>
      </w:r>
      <w:r>
        <w:rPr/>
        <w:t>年</w:t>
      </w:r>
      <w:r>
        <w:rPr>
          <w:spacing w:val="-43"/>
        </w:rPr>
        <w:t> </w:t>
      </w:r>
      <w:r>
        <w:rPr>
          <w:rFonts w:ascii="宋体" w:hAnsi="宋体" w:cs="宋体" w:eastAsia="宋体" w:hint="default"/>
        </w:rPr>
        <w:t>1</w:t>
      </w:r>
      <w:r>
        <w:rPr>
          <w:rFonts w:ascii="宋体" w:hAnsi="宋体" w:cs="宋体" w:eastAsia="宋体" w:hint="default"/>
          <w:spacing w:val="-46"/>
        </w:rPr>
        <w:t> </w:t>
      </w:r>
      <w:r>
        <w:rPr/>
        <w:t>月</w:t>
      </w:r>
      <w:r>
        <w:rPr>
          <w:spacing w:val="-43"/>
        </w:rPr>
        <w:t> </w:t>
      </w:r>
      <w:r>
        <w:rPr>
          <w:rFonts w:ascii="宋体" w:hAnsi="宋体" w:cs="宋体" w:eastAsia="宋体" w:hint="default"/>
        </w:rPr>
        <w:t>16</w:t>
      </w:r>
      <w:r>
        <w:rPr>
          <w:rFonts w:ascii="宋体" w:hAnsi="宋体" w:cs="宋体" w:eastAsia="宋体" w:hint="default"/>
          <w:spacing w:val="-46"/>
        </w:rPr>
        <w:t> </w:t>
      </w:r>
      <w:r>
        <w:rPr>
          <w:spacing w:val="-7"/>
        </w:rPr>
        <w:t>日，公司</w:t>
      </w:r>
      <w:r>
        <w:rPr>
          <w:spacing w:val="-43"/>
        </w:rPr>
        <w:t> </w:t>
      </w:r>
      <w:r>
        <w:rPr>
          <w:rFonts w:ascii="宋体" w:hAnsi="宋体" w:cs="宋体" w:eastAsia="宋体" w:hint="default"/>
        </w:rPr>
        <w:t>2015</w:t>
      </w:r>
      <w:r>
        <w:rPr>
          <w:rFonts w:ascii="宋体" w:hAnsi="宋体" w:cs="宋体" w:eastAsia="宋体" w:hint="default"/>
          <w:spacing w:val="-43"/>
        </w:rPr>
        <w:t> </w:t>
      </w:r>
      <w:r>
        <w:rPr>
          <w:spacing w:val="-3"/>
        </w:rPr>
        <w:t>年度第一次临时股东大会审议通过了《关于发行中期票据的议</w:t>
      </w:r>
    </w:p>
    <w:p>
      <w:pPr>
        <w:pStyle w:val="BodyText"/>
        <w:spacing w:line="272" w:lineRule="exact"/>
        <w:ind w:right="68"/>
        <w:jc w:val="left"/>
      </w:pPr>
      <w:r>
        <w:rPr>
          <w:spacing w:val="-5"/>
        </w:rPr>
        <w:t>案》，决定发行</w:t>
      </w:r>
      <w:r>
        <w:rPr>
          <w:spacing w:val="-49"/>
        </w:rPr>
        <w:t> </w:t>
      </w:r>
      <w:r>
        <w:rPr>
          <w:rFonts w:ascii="宋体" w:hAnsi="宋体" w:cs="宋体" w:eastAsia="宋体" w:hint="default"/>
        </w:rPr>
        <w:t>20</w:t>
      </w:r>
      <w:r>
        <w:rPr>
          <w:rFonts w:ascii="宋体" w:hAnsi="宋体" w:cs="宋体" w:eastAsia="宋体" w:hint="default"/>
          <w:spacing w:val="-51"/>
        </w:rPr>
        <w:t> </w:t>
      </w:r>
      <w:r>
        <w:rPr/>
        <w:t>亿元中期票据。</w:t>
      </w:r>
      <w:r>
        <w:rPr>
          <w:rFonts w:ascii="宋体" w:hAnsi="宋体" w:cs="宋体" w:eastAsia="宋体" w:hint="default"/>
        </w:rPr>
        <w:t>2015</w:t>
      </w:r>
      <w:r>
        <w:rPr>
          <w:rFonts w:ascii="宋体" w:hAnsi="宋体" w:cs="宋体" w:eastAsia="宋体" w:hint="default"/>
          <w:spacing w:val="-51"/>
        </w:rPr>
        <w:t> </w:t>
      </w:r>
      <w:r>
        <w:rPr/>
        <w:t>年</w:t>
      </w:r>
      <w:r>
        <w:rPr>
          <w:spacing w:val="-49"/>
        </w:rPr>
        <w:t> </w:t>
      </w:r>
      <w:r>
        <w:rPr>
          <w:rFonts w:ascii="宋体" w:hAnsi="宋体" w:cs="宋体" w:eastAsia="宋体" w:hint="default"/>
        </w:rPr>
        <w:t>7</w:t>
      </w:r>
      <w:r>
        <w:rPr>
          <w:rFonts w:ascii="宋体" w:hAnsi="宋体" w:cs="宋体" w:eastAsia="宋体" w:hint="default"/>
          <w:spacing w:val="-51"/>
        </w:rPr>
        <w:t> </w:t>
      </w:r>
      <w:r>
        <w:rPr/>
        <w:t>月</w:t>
      </w:r>
      <w:r>
        <w:rPr>
          <w:spacing w:val="-49"/>
        </w:rPr>
        <w:t> </w:t>
      </w:r>
      <w:r>
        <w:rPr>
          <w:rFonts w:ascii="宋体" w:hAnsi="宋体" w:cs="宋体" w:eastAsia="宋体" w:hint="default"/>
        </w:rPr>
        <w:t>9</w:t>
      </w:r>
      <w:r>
        <w:rPr>
          <w:rFonts w:ascii="宋体" w:hAnsi="宋体" w:cs="宋体" w:eastAsia="宋体" w:hint="default"/>
          <w:spacing w:val="-51"/>
        </w:rPr>
        <w:t> </w:t>
      </w:r>
      <w:r>
        <w:rPr>
          <w:spacing w:val="-3"/>
        </w:rPr>
        <w:t>日，公司在全国银行间市场发行了</w:t>
      </w:r>
      <w:r>
        <w:rPr>
          <w:spacing w:val="-48"/>
        </w:rPr>
        <w:t> </w:t>
      </w:r>
      <w:r>
        <w:rPr>
          <w:rFonts w:ascii="宋体" w:hAnsi="宋体" w:cs="宋体" w:eastAsia="宋体" w:hint="default"/>
        </w:rPr>
        <w:t>2015</w:t>
      </w:r>
      <w:r>
        <w:rPr>
          <w:rFonts w:ascii="宋体" w:hAnsi="宋体" w:cs="宋体" w:eastAsia="宋体" w:hint="default"/>
          <w:spacing w:val="-49"/>
        </w:rPr>
        <w:t> </w:t>
      </w:r>
      <w:r>
        <w:rPr/>
        <w:t>年度第</w:t>
      </w:r>
    </w:p>
    <w:p>
      <w:pPr>
        <w:pStyle w:val="BodyText"/>
        <w:spacing w:line="272" w:lineRule="exact"/>
        <w:ind w:right="68"/>
        <w:jc w:val="left"/>
      </w:pPr>
      <w:r>
        <w:rPr>
          <w:spacing w:val="-4"/>
        </w:rPr>
        <w:t>一期中期票据，发行总额</w:t>
      </w:r>
      <w:r>
        <w:rPr>
          <w:spacing w:val="-35"/>
        </w:rPr>
        <w:t> </w:t>
      </w:r>
      <w:r>
        <w:rPr>
          <w:rFonts w:ascii="宋体" w:hAnsi="宋体" w:cs="宋体" w:eastAsia="宋体" w:hint="default"/>
        </w:rPr>
        <w:t>10</w:t>
      </w:r>
      <w:r>
        <w:rPr>
          <w:rFonts w:ascii="宋体" w:hAnsi="宋体" w:cs="宋体" w:eastAsia="宋体" w:hint="default"/>
          <w:spacing w:val="-36"/>
        </w:rPr>
        <w:t> </w:t>
      </w:r>
      <w:r>
        <w:rPr>
          <w:spacing w:val="-5"/>
        </w:rPr>
        <w:t>亿元，期限为</w:t>
      </w:r>
      <w:r>
        <w:rPr>
          <w:spacing w:val="-36"/>
        </w:rPr>
        <w:t> </w:t>
      </w:r>
      <w:r>
        <w:rPr>
          <w:rFonts w:ascii="宋体" w:hAnsi="宋体" w:cs="宋体" w:eastAsia="宋体" w:hint="default"/>
        </w:rPr>
        <w:t>3</w:t>
      </w:r>
      <w:r>
        <w:rPr>
          <w:rFonts w:ascii="宋体" w:hAnsi="宋体" w:cs="宋体" w:eastAsia="宋体" w:hint="default"/>
          <w:spacing w:val="-39"/>
        </w:rPr>
        <w:t> </w:t>
      </w:r>
      <w:r>
        <w:rPr>
          <w:spacing w:val="-4"/>
        </w:rPr>
        <w:t>年，发行主承销商为中国民生银行股份有限公司。详</w:t>
      </w:r>
    </w:p>
    <w:p>
      <w:pPr>
        <w:pStyle w:val="BodyText"/>
        <w:spacing w:line="272" w:lineRule="exact" w:before="27"/>
        <w:ind w:right="204"/>
        <w:jc w:val="left"/>
      </w:pPr>
      <w:r>
        <w:rPr/>
        <w:t>见公司于</w:t>
      </w:r>
      <w:r>
        <w:rPr>
          <w:spacing w:val="-50"/>
        </w:rPr>
        <w:t> </w:t>
      </w:r>
      <w:r>
        <w:rPr>
          <w:rFonts w:ascii="宋体" w:hAnsi="宋体" w:cs="宋体" w:eastAsia="宋体" w:hint="default"/>
        </w:rPr>
        <w:t>2015</w:t>
      </w:r>
      <w:r>
        <w:rPr>
          <w:rFonts w:ascii="宋体" w:hAnsi="宋体" w:cs="宋体" w:eastAsia="宋体" w:hint="default"/>
          <w:spacing w:val="-53"/>
        </w:rPr>
        <w:t> </w:t>
      </w:r>
      <w:r>
        <w:rPr/>
        <w:t>年</w:t>
      </w:r>
      <w:r>
        <w:rPr>
          <w:spacing w:val="-53"/>
        </w:rPr>
        <w:t> </w:t>
      </w:r>
      <w:r>
        <w:rPr>
          <w:rFonts w:ascii="宋体" w:hAnsi="宋体" w:cs="宋体" w:eastAsia="宋体" w:hint="default"/>
        </w:rPr>
        <w:t>7</w:t>
      </w:r>
      <w:r>
        <w:rPr>
          <w:rFonts w:ascii="宋体" w:hAnsi="宋体" w:cs="宋体" w:eastAsia="宋体" w:hint="default"/>
          <w:spacing w:val="-50"/>
        </w:rPr>
        <w:t> </w:t>
      </w:r>
      <w:r>
        <w:rPr/>
        <w:t>月</w:t>
      </w:r>
      <w:r>
        <w:rPr>
          <w:spacing w:val="-52"/>
        </w:rPr>
        <w:t> </w:t>
      </w:r>
      <w:r>
        <w:rPr>
          <w:rFonts w:ascii="宋体" w:hAnsi="宋体" w:cs="宋体" w:eastAsia="宋体" w:hint="default"/>
        </w:rPr>
        <w:t>14</w:t>
      </w:r>
      <w:r>
        <w:rPr>
          <w:rFonts w:ascii="宋体" w:hAnsi="宋体" w:cs="宋体" w:eastAsia="宋体" w:hint="default"/>
          <w:spacing w:val="-53"/>
        </w:rPr>
        <w:t> </w:t>
      </w:r>
      <w:r>
        <w:rPr/>
        <w:t>日在《上海证券报》、《中国证券报》、香港《大公报》和上海证券交</w:t>
      </w:r>
      <w:r>
        <w:rPr>
          <w:w w:val="100"/>
        </w:rPr>
        <w:t> </w:t>
      </w:r>
      <w:r>
        <w:rPr/>
        <w:t>易所网站发布的临时公告（公告编号：临</w:t>
      </w:r>
      <w:r>
        <w:rPr>
          <w:spacing w:val="-59"/>
        </w:rPr>
        <w:t> </w:t>
      </w:r>
      <w:r>
        <w:rPr>
          <w:rFonts w:ascii="宋体" w:hAnsi="宋体" w:cs="宋体" w:eastAsia="宋体" w:hint="default"/>
        </w:rPr>
        <w:t>2015-035</w:t>
      </w:r>
      <w:r>
        <w:rPr/>
        <w:t>）。</w:t>
      </w:r>
    </w:p>
    <w:p>
      <w:pPr>
        <w:pStyle w:val="BodyText"/>
        <w:spacing w:line="240" w:lineRule="auto" w:before="94"/>
        <w:ind w:left="558" w:right="68"/>
        <w:jc w:val="left"/>
      </w:pPr>
      <w:r>
        <w:rPr>
          <w:rFonts w:ascii="宋体" w:hAnsi="宋体" w:cs="宋体" w:eastAsia="宋体" w:hint="default"/>
        </w:rPr>
        <w:t>4</w:t>
      </w:r>
      <w:r>
        <w:rPr/>
        <w:t>、关于第一大股东拟变更事项</w:t>
      </w:r>
    </w:p>
    <w:p>
      <w:pPr>
        <w:pStyle w:val="BodyText"/>
        <w:spacing w:line="237" w:lineRule="auto" w:before="119"/>
        <w:ind w:right="208" w:firstLine="419"/>
        <w:jc w:val="both"/>
      </w:pPr>
      <w:r>
        <w:rPr>
          <w:rFonts w:ascii="宋体" w:hAnsi="宋体" w:cs="宋体" w:eastAsia="宋体" w:hint="default"/>
        </w:rPr>
        <w:t>2015</w:t>
      </w:r>
      <w:r>
        <w:rPr>
          <w:rFonts w:ascii="宋体" w:hAnsi="宋体" w:cs="宋体" w:eastAsia="宋体" w:hint="default"/>
          <w:spacing w:val="-46"/>
        </w:rPr>
        <w:t> </w:t>
      </w:r>
      <w:r>
        <w:rPr/>
        <w:t>年</w:t>
      </w:r>
      <w:r>
        <w:rPr>
          <w:spacing w:val="-43"/>
        </w:rPr>
        <w:t> </w:t>
      </w:r>
      <w:r>
        <w:rPr>
          <w:rFonts w:ascii="宋体" w:hAnsi="宋体" w:cs="宋体" w:eastAsia="宋体" w:hint="default"/>
        </w:rPr>
        <w:t>10</w:t>
      </w:r>
      <w:r>
        <w:rPr>
          <w:rFonts w:ascii="宋体" w:hAnsi="宋体" w:cs="宋体" w:eastAsia="宋体" w:hint="default"/>
          <w:spacing w:val="-46"/>
        </w:rPr>
        <w:t> </w:t>
      </w:r>
      <w:r>
        <w:rPr/>
        <w:t>月</w:t>
      </w:r>
      <w:r>
        <w:rPr>
          <w:spacing w:val="-43"/>
        </w:rPr>
        <w:t> </w:t>
      </w:r>
      <w:r>
        <w:rPr>
          <w:rFonts w:ascii="宋体" w:hAnsi="宋体" w:cs="宋体" w:eastAsia="宋体" w:hint="default"/>
        </w:rPr>
        <w:t>19</w:t>
      </w:r>
      <w:r>
        <w:rPr>
          <w:rFonts w:ascii="宋体" w:hAnsi="宋体" w:cs="宋体" w:eastAsia="宋体" w:hint="default"/>
          <w:spacing w:val="-43"/>
        </w:rPr>
        <w:t> </w:t>
      </w:r>
      <w:r>
        <w:rPr>
          <w:spacing w:val="-3"/>
        </w:rPr>
        <w:t>日，公司接到大连港集团有限公司书面告知：大连港集团拟将其持有的本公</w:t>
      </w:r>
      <w:r>
        <w:rPr>
          <w:w w:val="100"/>
        </w:rPr>
        <w:t> </w:t>
      </w:r>
      <w:r>
        <w:rPr/>
        <w:t>司 </w:t>
      </w:r>
      <w:r>
        <w:rPr>
          <w:rFonts w:ascii="宋体" w:hAnsi="宋体" w:cs="宋体" w:eastAsia="宋体" w:hint="default"/>
          <w:spacing w:val="-3"/>
        </w:rPr>
        <w:t>19.08%</w:t>
      </w:r>
      <w:r>
        <w:rPr>
          <w:spacing w:val="-3"/>
        </w:rPr>
        <w:t>的股份，对其控股子公司大连港投融资控股集团有限公司增资，本次股权变动未涉及我</w:t>
      </w:r>
      <w:r>
        <w:rPr>
          <w:spacing w:val="-74"/>
        </w:rPr>
        <w:t> </w:t>
      </w:r>
      <w:r>
        <w:rPr>
          <w:spacing w:val="-74"/>
        </w:rPr>
      </w:r>
      <w:r>
        <w:rPr>
          <w:spacing w:val="-1"/>
        </w:rPr>
        <w:t>公司现有业务的重大变化。本公司第一大股东将变更为大连港投融资控股集团有限公司。上述事</w:t>
      </w:r>
      <w:r>
        <w:rPr>
          <w:spacing w:val="-55"/>
        </w:rPr>
        <w:t> </w:t>
      </w:r>
      <w:r>
        <w:rPr>
          <w:spacing w:val="-55"/>
        </w:rPr>
      </w:r>
      <w:r>
        <w:rPr>
          <w:spacing w:val="-3"/>
        </w:rPr>
        <w:t>项尚需取得国资委等有关监管部门批准。详见公司于</w:t>
      </w:r>
      <w:r>
        <w:rPr>
          <w:spacing w:val="-42"/>
        </w:rPr>
        <w:t> </w:t>
      </w:r>
      <w:r>
        <w:rPr>
          <w:rFonts w:ascii="宋体" w:hAnsi="宋体" w:cs="宋体" w:eastAsia="宋体" w:hint="default"/>
        </w:rPr>
        <w:t>2015</w:t>
      </w:r>
      <w:r>
        <w:rPr>
          <w:rFonts w:ascii="宋体" w:hAnsi="宋体" w:cs="宋体" w:eastAsia="宋体" w:hint="default"/>
          <w:spacing w:val="-42"/>
        </w:rPr>
        <w:t> </w:t>
      </w:r>
      <w:r>
        <w:rPr/>
        <w:t>年</w:t>
      </w:r>
      <w:r>
        <w:rPr>
          <w:spacing w:val="-45"/>
        </w:rPr>
        <w:t> </w:t>
      </w:r>
      <w:r>
        <w:rPr>
          <w:rFonts w:ascii="宋体" w:hAnsi="宋体" w:cs="宋体" w:eastAsia="宋体" w:hint="default"/>
        </w:rPr>
        <w:t>10</w:t>
      </w:r>
      <w:r>
        <w:rPr>
          <w:rFonts w:ascii="宋体" w:hAnsi="宋体" w:cs="宋体" w:eastAsia="宋体" w:hint="default"/>
          <w:spacing w:val="-45"/>
        </w:rPr>
        <w:t> </w:t>
      </w:r>
      <w:r>
        <w:rPr/>
        <w:t>月</w:t>
      </w:r>
      <w:r>
        <w:rPr>
          <w:spacing w:val="-42"/>
        </w:rPr>
        <w:t> </w:t>
      </w:r>
      <w:r>
        <w:rPr>
          <w:rFonts w:ascii="宋体" w:hAnsi="宋体" w:cs="宋体" w:eastAsia="宋体" w:hint="default"/>
        </w:rPr>
        <w:t>20</w:t>
      </w:r>
      <w:r>
        <w:rPr>
          <w:rFonts w:ascii="宋体" w:hAnsi="宋体" w:cs="宋体" w:eastAsia="宋体" w:hint="default"/>
          <w:spacing w:val="-45"/>
        </w:rPr>
        <w:t> </w:t>
      </w:r>
      <w:r>
        <w:rPr>
          <w:spacing w:val="-8"/>
        </w:rPr>
        <w:t>日在《上海证券报》、《中</w:t>
      </w:r>
      <w:r>
        <w:rPr>
          <w:spacing w:val="-101"/>
        </w:rPr>
        <w:t> </w:t>
      </w:r>
      <w:r>
        <w:rPr>
          <w:spacing w:val="-101"/>
        </w:rPr>
      </w:r>
      <w:r>
        <w:rPr>
          <w:spacing w:val="-8"/>
        </w:rPr>
        <w:t>国证券报》、香港《大公报》和上海证券交易所网站发布的临时公告（公告编号：临</w:t>
      </w:r>
      <w:r>
        <w:rPr>
          <w:spacing w:val="34"/>
        </w:rPr>
        <w:t> </w:t>
      </w:r>
      <w:r>
        <w:rPr>
          <w:rFonts w:ascii="宋体" w:hAnsi="宋体" w:cs="宋体" w:eastAsia="宋体" w:hint="default"/>
          <w:spacing w:val="-9"/>
        </w:rPr>
        <w:t>2015-044</w:t>
      </w:r>
      <w:r>
        <w:rPr>
          <w:spacing w:val="-9"/>
        </w:rPr>
        <w:t>）。</w:t>
      </w:r>
      <w:r>
        <w:rPr/>
      </w:r>
    </w:p>
    <w:p>
      <w:pPr>
        <w:pStyle w:val="BodyText"/>
        <w:spacing w:line="240" w:lineRule="auto" w:before="116"/>
        <w:ind w:left="558" w:right="68"/>
        <w:jc w:val="left"/>
      </w:pPr>
      <w:r>
        <w:rPr>
          <w:rFonts w:ascii="宋体" w:hAnsi="宋体" w:cs="宋体" w:eastAsia="宋体" w:hint="default"/>
        </w:rPr>
        <w:t>5</w:t>
      </w:r>
      <w:r>
        <w:rPr/>
        <w:t>、股东权益变动事项</w:t>
      </w:r>
    </w:p>
    <w:p>
      <w:pPr>
        <w:pStyle w:val="BodyText"/>
        <w:spacing w:line="237" w:lineRule="auto" w:before="121"/>
        <w:ind w:right="102" w:firstLine="419"/>
        <w:jc w:val="left"/>
      </w:pPr>
      <w:r>
        <w:rPr/>
        <w:t>股东西藏天圣持有锦州港</w:t>
      </w:r>
      <w:r>
        <w:rPr>
          <w:spacing w:val="-47"/>
        </w:rPr>
        <w:t> </w:t>
      </w:r>
      <w:r>
        <w:rPr>
          <w:rFonts w:ascii="宋体" w:hAnsi="宋体" w:cs="宋体" w:eastAsia="宋体" w:hint="default"/>
        </w:rPr>
        <w:t>140,160,405</w:t>
      </w:r>
      <w:r>
        <w:rPr>
          <w:rFonts w:ascii="宋体" w:hAnsi="宋体" w:cs="宋体" w:eastAsia="宋体" w:hint="default"/>
          <w:spacing w:val="-41"/>
        </w:rPr>
        <w:t> </w:t>
      </w:r>
      <w:r>
        <w:rPr/>
        <w:t>股有限售条件流通</w:t>
      </w:r>
      <w:r>
        <w:rPr>
          <w:spacing w:val="-40"/>
        </w:rPr>
        <w:t> </w:t>
      </w:r>
      <w:r>
        <w:rPr>
          <w:rFonts w:ascii="宋体" w:hAnsi="宋体" w:cs="宋体" w:eastAsia="宋体" w:hint="default"/>
        </w:rPr>
        <w:t>A</w:t>
      </w:r>
      <w:r>
        <w:rPr>
          <w:rFonts w:ascii="宋体" w:hAnsi="宋体" w:cs="宋体" w:eastAsia="宋体" w:hint="default"/>
          <w:spacing w:val="-41"/>
        </w:rPr>
        <w:t> </w:t>
      </w:r>
      <w:r>
        <w:rPr/>
        <w:t>股股份，占锦州港总股本的</w:t>
      </w:r>
      <w:r>
        <w:rPr>
          <w:spacing w:val="-39"/>
        </w:rPr>
        <w:t> </w:t>
      </w:r>
      <w:r>
        <w:rPr>
          <w:rFonts w:ascii="宋体" w:hAnsi="宋体" w:cs="宋体" w:eastAsia="宋体" w:hint="default"/>
        </w:rPr>
        <w:t>7%</w:t>
      </w:r>
      <w:r>
        <w:rPr/>
        <w:t>。</w:t>
      </w:r>
      <w:r>
        <w:rPr>
          <w:w w:val="100"/>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23</w:t>
      </w:r>
      <w:r>
        <w:rPr>
          <w:rFonts w:ascii="宋体" w:hAnsi="宋体" w:cs="宋体" w:eastAsia="宋体" w:hint="default"/>
          <w:spacing w:val="-55"/>
        </w:rPr>
        <w:t> </w:t>
      </w:r>
      <w:r>
        <w:rPr/>
        <w:t>日，中国中小企业投资有限公司将其持有西藏天圣的</w:t>
      </w:r>
      <w:r>
        <w:rPr>
          <w:spacing w:val="-52"/>
        </w:rPr>
        <w:t> </w:t>
      </w:r>
      <w:r>
        <w:rPr>
          <w:rFonts w:ascii="宋体" w:hAnsi="宋体" w:cs="宋体" w:eastAsia="宋体" w:hint="default"/>
        </w:rPr>
        <w:t>100%</w:t>
      </w:r>
      <w:r>
        <w:rPr/>
        <w:t>股权分别按</w:t>
      </w:r>
      <w:r>
        <w:rPr>
          <w:spacing w:val="-52"/>
        </w:rPr>
        <w:t> </w:t>
      </w:r>
      <w:r>
        <w:rPr>
          <w:rFonts w:ascii="宋体" w:hAnsi="宋体" w:cs="宋体" w:eastAsia="宋体" w:hint="default"/>
        </w:rPr>
        <w:t>51%</w:t>
      </w:r>
      <w:r>
        <w:rPr/>
        <w:t>和</w:t>
      </w:r>
      <w:r>
        <w:rPr>
          <w:spacing w:val="-55"/>
        </w:rPr>
        <w:t> </w:t>
      </w:r>
      <w:r>
        <w:rPr>
          <w:rFonts w:ascii="宋体" w:hAnsi="宋体" w:cs="宋体" w:eastAsia="宋体" w:hint="default"/>
        </w:rPr>
        <w:t>49%</w:t>
      </w:r>
      <w:r>
        <w:rPr>
          <w:rFonts w:ascii="宋体" w:hAnsi="宋体" w:cs="宋体" w:eastAsia="宋体" w:hint="default"/>
          <w:w w:val="100"/>
        </w:rPr>
        <w:t> </w:t>
      </w:r>
      <w:r>
        <w:rPr/>
        <w:t>比例转让给西藏盛勃投资有限公司和西藏煜东投资有限公司后，西藏盛勃投资有限公司通过持有</w:t>
      </w:r>
      <w:r>
        <w:rPr>
          <w:w w:val="100"/>
        </w:rPr>
        <w:t> </w:t>
      </w:r>
      <w:r>
        <w:rPr/>
        <w:t>西藏天圣</w:t>
      </w:r>
      <w:r>
        <w:rPr>
          <w:spacing w:val="-55"/>
        </w:rPr>
        <w:t> </w:t>
      </w:r>
      <w:r>
        <w:rPr>
          <w:rFonts w:ascii="宋体" w:hAnsi="宋体" w:cs="宋体" w:eastAsia="宋体" w:hint="default"/>
        </w:rPr>
        <w:t>51%</w:t>
      </w:r>
      <w:r>
        <w:rPr/>
        <w:t>的股权，间接持有锦州港</w:t>
      </w:r>
      <w:r>
        <w:rPr>
          <w:spacing w:val="-54"/>
        </w:rPr>
        <w:t> </w:t>
      </w:r>
      <w:r>
        <w:rPr>
          <w:rFonts w:ascii="宋体" w:hAnsi="宋体" w:cs="宋体" w:eastAsia="宋体" w:hint="default"/>
        </w:rPr>
        <w:t>3.57%</w:t>
      </w:r>
      <w:r>
        <w:rPr/>
        <w:t>的股权，并拥有锦州港</w:t>
      </w:r>
      <w:r>
        <w:rPr>
          <w:spacing w:val="-55"/>
        </w:rPr>
        <w:t> </w:t>
      </w:r>
      <w:r>
        <w:rPr>
          <w:rFonts w:ascii="宋体" w:hAnsi="宋体" w:cs="宋体" w:eastAsia="宋体" w:hint="default"/>
        </w:rPr>
        <w:t>7%</w:t>
      </w:r>
      <w:r>
        <w:rPr/>
        <w:t>股份表决权的控制权，而</w:t>
      </w:r>
      <w:r>
        <w:rPr>
          <w:w w:val="100"/>
        </w:rPr>
        <w:t> </w:t>
      </w:r>
      <w:r>
        <w:rPr/>
        <w:t>西藏煜东投资有限公司间接持有锦州港</w:t>
      </w:r>
      <w:r>
        <w:rPr>
          <w:spacing w:val="-55"/>
        </w:rPr>
        <w:t> </w:t>
      </w:r>
      <w:r>
        <w:rPr>
          <w:rFonts w:ascii="宋体" w:hAnsi="宋体" w:cs="宋体" w:eastAsia="宋体" w:hint="default"/>
        </w:rPr>
        <w:t>3.43%</w:t>
      </w:r>
      <w:r>
        <w:rPr/>
        <w:t>的股权。</w:t>
      </w:r>
    </w:p>
    <w:p>
      <w:pPr>
        <w:pStyle w:val="BodyText"/>
        <w:spacing w:line="237" w:lineRule="auto" w:before="119"/>
        <w:ind w:right="68" w:firstLine="419"/>
        <w:jc w:val="left"/>
        <w:rPr>
          <w:rFonts w:ascii="宋体" w:hAnsi="宋体" w:cs="宋体" w:eastAsia="宋体" w:hint="default"/>
        </w:rPr>
      </w:pP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17</w:t>
      </w:r>
      <w:r>
        <w:rPr>
          <w:rFonts w:ascii="宋体" w:hAnsi="宋体" w:cs="宋体" w:eastAsia="宋体" w:hint="default"/>
          <w:spacing w:val="-55"/>
        </w:rPr>
        <w:t> </w:t>
      </w:r>
      <w:r>
        <w:rPr/>
        <w:t>日，西藏天圣的股东西藏盛勃投资有限公司、西藏煜东投资有限公司分别将</w:t>
      </w:r>
      <w:r>
        <w:rPr>
          <w:w w:val="100"/>
        </w:rPr>
        <w:t> </w:t>
      </w:r>
      <w:r>
        <w:rPr>
          <w:spacing w:val="-4"/>
          <w:w w:val="100"/>
        </w:rPr>
        <w:t>各自所持有的西藏天圣股权转让给西藏国开思远投资管理有限公司、西藏亦承投资管理有限公司，</w:t>
      </w:r>
      <w:r>
        <w:rPr>
          <w:spacing w:val="-85"/>
          <w:w w:val="100"/>
        </w:rPr>
        <w:t> </w:t>
      </w:r>
      <w:r>
        <w:rPr>
          <w:spacing w:val="-85"/>
          <w:w w:val="100"/>
        </w:rPr>
      </w:r>
      <w:r>
        <w:rPr>
          <w:spacing w:val="-5"/>
          <w:w w:val="100"/>
        </w:rPr>
        <w:t>股权转让后，西藏国开思远投资管理有限公司通过持有西藏天圣</w:t>
      </w:r>
      <w:r>
        <w:rPr>
          <w:spacing w:val="-46"/>
          <w:w w:val="100"/>
        </w:rPr>
        <w:t> </w:t>
      </w:r>
      <w:r>
        <w:rPr>
          <w:rFonts w:ascii="宋体" w:hAnsi="宋体" w:cs="宋体" w:eastAsia="宋体" w:hint="default"/>
          <w:spacing w:val="-9"/>
          <w:w w:val="100"/>
        </w:rPr>
        <w:t>51%</w:t>
      </w:r>
      <w:r>
        <w:rPr>
          <w:spacing w:val="-9"/>
          <w:w w:val="100"/>
        </w:rPr>
        <w:t>的股权，间接持有锦州港</w:t>
      </w:r>
      <w:r>
        <w:rPr>
          <w:spacing w:val="-45"/>
          <w:w w:val="100"/>
        </w:rPr>
        <w:t> </w:t>
      </w:r>
      <w:r>
        <w:rPr>
          <w:rFonts w:ascii="宋体" w:hAnsi="宋体" w:cs="宋体" w:eastAsia="宋体" w:hint="default"/>
          <w:spacing w:val="-2"/>
          <w:w w:val="100"/>
        </w:rPr>
        <w:t>3.57%</w:t>
      </w:r>
    </w:p>
    <w:p>
      <w:pPr>
        <w:pStyle w:val="BodyText"/>
        <w:spacing w:line="272" w:lineRule="exact" w:before="27"/>
        <w:ind w:right="68"/>
        <w:jc w:val="left"/>
      </w:pPr>
      <w:r>
        <w:rPr>
          <w:spacing w:val="-11"/>
          <w:w w:val="100"/>
        </w:rPr>
        <w:t>的股权，并拥有锦州港</w:t>
      </w:r>
      <w:r>
        <w:rPr>
          <w:spacing w:val="-47"/>
          <w:w w:val="100"/>
        </w:rPr>
        <w:t> </w:t>
      </w:r>
      <w:r>
        <w:rPr>
          <w:rFonts w:ascii="宋体" w:hAnsi="宋体" w:cs="宋体" w:eastAsia="宋体" w:hint="default"/>
          <w:spacing w:val="-5"/>
          <w:w w:val="100"/>
        </w:rPr>
        <w:t>7%</w:t>
      </w:r>
      <w:r>
        <w:rPr>
          <w:spacing w:val="-5"/>
          <w:w w:val="100"/>
        </w:rPr>
        <w:t>股份表决权的控制权，西藏亦承投资管理有限公司间接持有锦州港</w:t>
      </w:r>
      <w:r>
        <w:rPr>
          <w:spacing w:val="-49"/>
          <w:w w:val="100"/>
        </w:rPr>
        <w:t> </w:t>
      </w:r>
      <w:r>
        <w:rPr>
          <w:rFonts w:ascii="宋体" w:hAnsi="宋体" w:cs="宋体" w:eastAsia="宋体" w:hint="default"/>
          <w:spacing w:val="-1"/>
          <w:w w:val="100"/>
        </w:rPr>
        <w:t>3.43%</w:t>
      </w:r>
      <w:r>
        <w:rPr>
          <w:rFonts w:ascii="宋体" w:hAnsi="宋体" w:cs="宋体" w:eastAsia="宋体" w:hint="default"/>
          <w:spacing w:val="-104"/>
          <w:w w:val="100"/>
        </w:rPr>
        <w:t> </w:t>
      </w:r>
      <w:r>
        <w:rPr>
          <w:rFonts w:ascii="宋体" w:hAnsi="宋体" w:cs="宋体" w:eastAsia="宋体" w:hint="default"/>
          <w:spacing w:val="-104"/>
          <w:w w:val="100"/>
        </w:rPr>
      </w:r>
      <w:r>
        <w:rPr/>
        <w:t>的股权。</w:t>
      </w:r>
    </w:p>
    <w:p>
      <w:pPr>
        <w:spacing w:line="240" w:lineRule="auto" w:before="4"/>
        <w:rPr>
          <w:rFonts w:ascii="宋体" w:hAnsi="宋体" w:cs="宋体" w:eastAsia="宋体" w:hint="default"/>
          <w:sz w:val="23"/>
          <w:szCs w:val="23"/>
        </w:rPr>
      </w:pPr>
    </w:p>
    <w:p>
      <w:pPr>
        <w:pStyle w:val="Heading2"/>
        <w:tabs>
          <w:tab w:pos="781" w:val="left" w:leader="none"/>
        </w:tabs>
        <w:spacing w:line="290" w:lineRule="auto" w:before="0"/>
        <w:ind w:left="138" w:right="5671"/>
        <w:jc w:val="left"/>
        <w:rPr>
          <w:b w:val="0"/>
          <w:bCs w:val="0"/>
        </w:rPr>
      </w:pPr>
      <w:r>
        <w:rPr>
          <w:spacing w:val="-1"/>
        </w:rPr>
        <w:t>十五、积极履行社会责任的工作情况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社会责任工作情况</w:t>
      </w:r>
      <w:r>
        <w:rPr>
          <w:b w:val="0"/>
          <w:bCs w:val="0"/>
        </w:rPr>
      </w:r>
    </w:p>
    <w:p>
      <w:pPr>
        <w:pStyle w:val="BodyText"/>
        <w:spacing w:line="240" w:lineRule="auto" w:before="12"/>
        <w:ind w:right="68"/>
        <w:jc w:val="left"/>
      </w:pPr>
      <w:r>
        <w:rPr/>
        <w:t>公司 </w:t>
      </w:r>
      <w:r>
        <w:rPr>
          <w:rFonts w:ascii="宋体" w:hAnsi="宋体" w:cs="宋体" w:eastAsia="宋体" w:hint="default"/>
        </w:rPr>
        <w:t>2015 </w:t>
      </w:r>
      <w:r>
        <w:rPr/>
        <w:t>年度社会责任报告详见 </w:t>
      </w:r>
      <w:r>
        <w:rPr>
          <w:rFonts w:ascii="宋体" w:hAnsi="宋体" w:cs="宋体" w:eastAsia="宋体" w:hint="default"/>
        </w:rPr>
        <w:t>2016 </w:t>
      </w:r>
      <w:r>
        <w:rPr/>
        <w:t>年 </w:t>
      </w:r>
      <w:r>
        <w:rPr>
          <w:rFonts w:ascii="宋体" w:hAnsi="宋体" w:cs="宋体" w:eastAsia="宋体" w:hint="default"/>
        </w:rPr>
        <w:t>4 </w:t>
      </w:r>
      <w:r>
        <w:rPr/>
        <w:t>月 </w:t>
      </w:r>
      <w:r>
        <w:rPr>
          <w:rFonts w:ascii="宋体" w:hAnsi="宋体" w:cs="宋体" w:eastAsia="宋体" w:hint="default"/>
        </w:rPr>
        <w:t>19 </w:t>
      </w:r>
      <w:r>
        <w:rPr/>
        <w:t>日上海证券交易所网站 </w:t>
      </w:r>
      <w:hyperlink r:id="rId10">
        <w:r>
          <w:rPr>
            <w:rFonts w:ascii="宋体" w:hAnsi="宋体" w:cs="宋体" w:eastAsia="宋体" w:hint="default"/>
          </w:rPr>
          <w:t>www.sse.com.cn</w:t>
        </w:r>
      </w:hyperlink>
      <w:r>
        <w:rPr>
          <w:rFonts w:ascii="宋体" w:hAnsi="宋体" w:cs="宋体" w:eastAsia="宋体" w:hint="default"/>
          <w:spacing w:val="2"/>
        </w:rPr>
        <w:t> </w:t>
      </w:r>
      <w:r>
        <w:rPr/>
        <w:t>。</w:t>
      </w:r>
    </w:p>
    <w:p>
      <w:pPr>
        <w:spacing w:line="240" w:lineRule="auto" w:before="3"/>
        <w:rPr>
          <w:rFonts w:ascii="宋体" w:hAnsi="宋体" w:cs="宋体" w:eastAsia="宋体" w:hint="default"/>
          <w:sz w:val="25"/>
          <w:szCs w:val="25"/>
        </w:rPr>
      </w:pPr>
    </w:p>
    <w:p>
      <w:pPr>
        <w:pStyle w:val="Heading2"/>
        <w:spacing w:line="240" w:lineRule="auto" w:before="0"/>
        <w:ind w:left="138" w:right="68"/>
        <w:jc w:val="left"/>
        <w:rPr>
          <w:b w:val="0"/>
          <w:bCs w:val="0"/>
        </w:rPr>
      </w:pPr>
      <w:r>
        <w:rPr/>
        <w:t>十六、可转换公司债券情况</w:t>
      </w:r>
      <w:r>
        <w:rPr>
          <w:b w:val="0"/>
          <w:bCs w:val="0"/>
        </w:rPr>
      </w:r>
    </w:p>
    <w:p>
      <w:pPr>
        <w:pStyle w:val="BodyText"/>
        <w:spacing w:line="240" w:lineRule="auto" w:before="56"/>
        <w:ind w:right="68"/>
        <w:jc w:val="left"/>
      </w:pPr>
      <w:r>
        <w:rPr/>
        <w:t>□适用</w:t>
      </w:r>
      <w:r>
        <w:rPr>
          <w:spacing w:val="-1"/>
        </w:rPr>
        <w:t> </w:t>
      </w:r>
      <w:r>
        <w:rPr/>
        <w:t>√不适用</w:t>
      </w:r>
    </w:p>
    <w:p>
      <w:pPr>
        <w:spacing w:after="0" w:line="240" w:lineRule="auto"/>
        <w:jc w:val="left"/>
        <w:sectPr>
          <w:footerReference w:type="default" r:id="rId14"/>
          <w:pgSz w:w="11910" w:h="16840"/>
          <w:pgMar w:footer="1195" w:header="880" w:top="1120" w:bottom="1380" w:left="1660" w:right="1060"/>
        </w:sectPr>
      </w:pPr>
    </w:p>
    <w:p>
      <w:pPr>
        <w:spacing w:line="240" w:lineRule="auto" w:before="11"/>
        <w:rPr>
          <w:rFonts w:ascii="宋体" w:hAnsi="宋体" w:cs="宋体" w:eastAsia="宋体" w:hint="default"/>
          <w:sz w:val="25"/>
          <w:szCs w:val="25"/>
        </w:rPr>
      </w:pPr>
    </w:p>
    <w:p>
      <w:pPr>
        <w:pStyle w:val="Heading1"/>
        <w:tabs>
          <w:tab w:pos="3596" w:val="left" w:leader="none"/>
        </w:tabs>
        <w:spacing w:line="240" w:lineRule="auto"/>
        <w:ind w:left="2336" w:right="0"/>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4"/>
        <w:rPr>
          <w:rFonts w:ascii="黑体" w:hAnsi="黑体" w:cs="黑体" w:eastAsia="黑体" w:hint="default"/>
          <w:b/>
          <w:bCs/>
          <w:sz w:val="19"/>
          <w:szCs w:val="19"/>
        </w:rPr>
      </w:pPr>
    </w:p>
    <w:p>
      <w:pPr>
        <w:pStyle w:val="Heading2"/>
        <w:tabs>
          <w:tab w:pos="804" w:val="left" w:leader="none"/>
        </w:tabs>
        <w:spacing w:line="278" w:lineRule="auto" w:before="0"/>
        <w:ind w:left="238" w:right="657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Cambria" w:hAnsi="Cambria" w:cs="Cambria" w:eastAsia="Cambria" w:hint="default"/>
        </w:rPr>
        <w:t>1</w:t>
      </w:r>
      <w:r>
        <w:rPr/>
        <w:t>、</w:t>
      </w:r>
      <w:r>
        <w:rPr>
          <w:spacing w:val="-22"/>
        </w:rPr>
        <w:t> </w:t>
      </w:r>
      <w:r>
        <w:rPr/>
        <w:t>普通股股份变动情况表</w:t>
      </w:r>
      <w:r>
        <w:rPr>
          <w:b w:val="0"/>
          <w:bCs w:val="0"/>
        </w:rPr>
      </w:r>
    </w:p>
    <w:p>
      <w:pPr>
        <w:pStyle w:val="BodyText"/>
        <w:spacing w:line="240" w:lineRule="auto" w:before="2"/>
        <w:ind w:left="238" w:right="0"/>
        <w:jc w:val="left"/>
      </w:pPr>
      <w:r>
        <w:rPr/>
        <w:t>报告期内，公司普通股股份总数及股本结构未发生变化。</w:t>
      </w:r>
    </w:p>
    <w:p>
      <w:pPr>
        <w:pStyle w:val="Heading2"/>
        <w:tabs>
          <w:tab w:pos="804" w:val="left" w:leader="none"/>
        </w:tabs>
        <w:spacing w:line="240" w:lineRule="auto" w:before="56"/>
        <w:ind w:left="238"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32"/>
        <w:ind w:left="2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238" w:right="0"/>
        <w:jc w:val="left"/>
        <w:rPr>
          <w:b w:val="0"/>
          <w:bCs w:val="0"/>
        </w:rPr>
      </w:pPr>
      <w:r>
        <w:rPr/>
        <w:t>二、</w:t>
      </w:r>
      <w:r>
        <w:rPr>
          <w:spacing w:val="-80"/>
        </w:rPr>
        <w:t> </w:t>
      </w:r>
      <w:r>
        <w:rPr/>
        <w:t>股东和实际控制人情况</w:t>
      </w:r>
      <w:r>
        <w:rPr>
          <w:b w:val="0"/>
          <w:bCs w:val="0"/>
        </w:rPr>
      </w:r>
    </w:p>
    <w:p>
      <w:pPr>
        <w:pStyle w:val="Heading2"/>
        <w:spacing w:line="240" w:lineRule="auto" w:before="57"/>
        <w:ind w:left="2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
        <w:rPr>
          <w:rFonts w:ascii="宋体" w:hAnsi="宋体" w:cs="宋体" w:eastAsia="宋体" w:hint="default"/>
          <w:b/>
          <w:bCs/>
          <w:sz w:val="5"/>
          <w:szCs w:val="5"/>
        </w:rPr>
      </w:pPr>
    </w:p>
    <w:tbl>
      <w:tblPr>
        <w:tblW w:w="0" w:type="auto"/>
        <w:jc w:val="left"/>
        <w:tblInd w:w="115" w:type="dxa"/>
        <w:tblLayout w:type="fixed"/>
        <w:tblCellMar>
          <w:top w:w="0" w:type="dxa"/>
          <w:left w:w="0" w:type="dxa"/>
          <w:bottom w:w="0" w:type="dxa"/>
          <w:right w:w="0" w:type="dxa"/>
        </w:tblCellMar>
        <w:tblLook w:val="01E0"/>
      </w:tblPr>
      <w:tblGrid>
        <w:gridCol w:w="4928"/>
        <w:gridCol w:w="4121"/>
      </w:tblGrid>
      <w:tr>
        <w:trPr>
          <w:trHeight w:val="295" w:hRule="exact"/>
        </w:trPr>
        <w:tc>
          <w:tcPr>
            <w:tcW w:w="4928"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121"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pacing w:val="-1"/>
                <w:sz w:val="21"/>
              </w:rPr>
              <w:t>126,740</w:t>
            </w:r>
          </w:p>
        </w:tc>
      </w:tr>
      <w:tr>
        <w:trPr>
          <w:trHeight w:val="293" w:hRule="exact"/>
        </w:trPr>
        <w:tc>
          <w:tcPr>
            <w:tcW w:w="4928"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121"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pacing w:val="-1"/>
                <w:sz w:val="21"/>
              </w:rPr>
              <w:t>127,312</w:t>
            </w:r>
          </w:p>
        </w:tc>
      </w:tr>
    </w:tbl>
    <w:p>
      <w:pPr>
        <w:spacing w:line="240" w:lineRule="auto" w:before="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footerReference w:type="default" r:id="rId15"/>
          <w:pgSz w:w="11910" w:h="16840"/>
          <w:pgMar w:footer="1195" w:header="880" w:top="1120" w:bottom="1380" w:left="1560" w:right="860"/>
          <w:pgNumType w:start="21"/>
        </w:sectPr>
      </w:pPr>
    </w:p>
    <w:p>
      <w:pPr>
        <w:pStyle w:val="Heading2"/>
        <w:spacing w:line="240" w:lineRule="auto"/>
        <w:ind w:left="238"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BodyText"/>
        <w:spacing w:line="240" w:lineRule="auto"/>
        <w:ind w:left="238"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560" w:right="860"/>
          <w:cols w:num="2" w:equalWidth="0">
            <w:col w:w="7833" w:space="267"/>
            <w:col w:w="1390"/>
          </w:cols>
        </w:sectPr>
      </w:pP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951"/>
        <w:gridCol w:w="1220"/>
        <w:gridCol w:w="199"/>
        <w:gridCol w:w="1066"/>
        <w:gridCol w:w="807"/>
        <w:gridCol w:w="1274"/>
        <w:gridCol w:w="769"/>
        <w:gridCol w:w="605"/>
        <w:gridCol w:w="602"/>
        <w:gridCol w:w="722"/>
      </w:tblGrid>
      <w:tr>
        <w:trPr>
          <w:trHeight w:val="257" w:hRule="exact"/>
        </w:trPr>
        <w:tc>
          <w:tcPr>
            <w:tcW w:w="9215" w:type="dxa"/>
            <w:gridSpan w:val="10"/>
            <w:tcBorders>
              <w:top w:val="single" w:sz="12" w:space="0" w:color="000000"/>
              <w:left w:val="single" w:sz="12" w:space="0" w:color="000000"/>
              <w:bottom w:val="single" w:sz="6" w:space="0" w:color="000000"/>
              <w:right w:val="single" w:sz="12"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250" w:hRule="exact"/>
        </w:trPr>
        <w:tc>
          <w:tcPr>
            <w:tcW w:w="1951" w:type="dxa"/>
            <w:vMerge w:val="restart"/>
            <w:tcBorders>
              <w:top w:val="single" w:sz="6" w:space="0" w:color="000000"/>
              <w:left w:val="single" w:sz="12" w:space="0" w:color="000000"/>
              <w:right w:val="single" w:sz="6" w:space="0" w:color="000000"/>
            </w:tcBorders>
          </w:tcPr>
          <w:p>
            <w:pPr>
              <w:pStyle w:val="TableParagraph"/>
              <w:spacing w:line="234" w:lineRule="exact" w:before="94"/>
              <w:ind w:left="599" w:right="0"/>
              <w:jc w:val="left"/>
              <w:rPr>
                <w:rFonts w:ascii="宋体" w:hAnsi="宋体" w:cs="宋体" w:eastAsia="宋体" w:hint="default"/>
                <w:sz w:val="18"/>
                <w:szCs w:val="18"/>
              </w:rPr>
            </w:pPr>
            <w:r>
              <w:rPr>
                <w:rFonts w:ascii="宋体" w:hAnsi="宋体" w:cs="宋体" w:eastAsia="宋体" w:hint="default"/>
                <w:sz w:val="18"/>
                <w:szCs w:val="18"/>
              </w:rPr>
              <w:t>股东名称</w:t>
            </w:r>
          </w:p>
          <w:p>
            <w:pPr>
              <w:pStyle w:val="TableParagraph"/>
              <w:spacing w:line="234" w:lineRule="exact"/>
              <w:ind w:left="599"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220" w:type="dxa"/>
            <w:vMerge w:val="restart"/>
            <w:tcBorders>
              <w:top w:val="single" w:sz="6" w:space="0" w:color="000000"/>
              <w:left w:val="single" w:sz="6" w:space="0" w:color="000000"/>
              <w:right w:val="single" w:sz="6" w:space="0" w:color="000000"/>
            </w:tcBorders>
          </w:tcPr>
          <w:p>
            <w:pPr>
              <w:pStyle w:val="TableParagraph"/>
              <w:spacing w:line="232" w:lineRule="exact" w:before="119"/>
              <w:ind w:left="511" w:right="152" w:hanging="361"/>
              <w:jc w:val="left"/>
              <w:rPr>
                <w:rFonts w:ascii="宋体" w:hAnsi="宋体" w:cs="宋体" w:eastAsia="宋体" w:hint="default"/>
                <w:sz w:val="18"/>
                <w:szCs w:val="18"/>
              </w:rPr>
            </w:pPr>
            <w:r>
              <w:rPr>
                <w:rFonts w:ascii="宋体" w:hAnsi="宋体" w:cs="宋体" w:eastAsia="宋体" w:hint="default"/>
                <w:sz w:val="18"/>
                <w:szCs w:val="18"/>
              </w:rPr>
              <w:t>报告期内增 减</w:t>
            </w:r>
          </w:p>
        </w:tc>
        <w:tc>
          <w:tcPr>
            <w:tcW w:w="1265" w:type="dxa"/>
            <w:gridSpan w:val="2"/>
            <w:vMerge w:val="restart"/>
            <w:tcBorders>
              <w:top w:val="single" w:sz="6" w:space="0" w:color="000000"/>
              <w:left w:val="single" w:sz="6" w:space="0" w:color="000000"/>
              <w:right w:val="single" w:sz="6" w:space="0" w:color="000000"/>
            </w:tcBorders>
          </w:tcPr>
          <w:p>
            <w:pPr>
              <w:pStyle w:val="TableParagraph"/>
              <w:spacing w:line="232" w:lineRule="exact" w:before="119"/>
              <w:ind w:left="532" w:right="175" w:hanging="360"/>
              <w:jc w:val="left"/>
              <w:rPr>
                <w:rFonts w:ascii="宋体" w:hAnsi="宋体" w:cs="宋体" w:eastAsia="宋体" w:hint="default"/>
                <w:sz w:val="18"/>
                <w:szCs w:val="18"/>
              </w:rPr>
            </w:pPr>
            <w:r>
              <w:rPr>
                <w:rFonts w:ascii="宋体" w:hAnsi="宋体" w:cs="宋体" w:eastAsia="宋体" w:hint="default"/>
                <w:sz w:val="18"/>
                <w:szCs w:val="18"/>
              </w:rPr>
              <w:t>期末持股数 量</w:t>
            </w:r>
          </w:p>
        </w:tc>
        <w:tc>
          <w:tcPr>
            <w:tcW w:w="807" w:type="dxa"/>
            <w:vMerge w:val="restart"/>
            <w:tcBorders>
              <w:top w:val="single" w:sz="6" w:space="0" w:color="000000"/>
              <w:left w:val="single" w:sz="6" w:space="0" w:color="000000"/>
              <w:right w:val="single" w:sz="6" w:space="0" w:color="000000"/>
            </w:tcBorders>
          </w:tcPr>
          <w:p>
            <w:pPr>
              <w:pStyle w:val="TableParagraph"/>
              <w:spacing w:line="232" w:lineRule="exact" w:before="119"/>
              <w:ind w:left="257" w:right="216"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74" w:type="dxa"/>
            <w:vMerge w:val="restart"/>
            <w:tcBorders>
              <w:top w:val="single" w:sz="6" w:space="0" w:color="000000"/>
              <w:left w:val="single" w:sz="6" w:space="0" w:color="000000"/>
              <w:right w:val="single" w:sz="6" w:space="0" w:color="000000"/>
            </w:tcBorders>
          </w:tcPr>
          <w:p>
            <w:pPr>
              <w:pStyle w:val="TableParagraph"/>
              <w:spacing w:line="212" w:lineRule="exact"/>
              <w:ind w:left="180" w:right="0"/>
              <w:jc w:val="left"/>
              <w:rPr>
                <w:rFonts w:ascii="宋体" w:hAnsi="宋体" w:cs="宋体" w:eastAsia="宋体" w:hint="default"/>
                <w:sz w:val="18"/>
                <w:szCs w:val="18"/>
              </w:rPr>
            </w:pPr>
            <w:r>
              <w:rPr>
                <w:rFonts w:ascii="宋体" w:hAnsi="宋体" w:cs="宋体" w:eastAsia="宋体" w:hint="default"/>
                <w:sz w:val="18"/>
                <w:szCs w:val="18"/>
              </w:rPr>
              <w:t>持有有限售</w:t>
            </w:r>
          </w:p>
          <w:p>
            <w:pPr>
              <w:pStyle w:val="TableParagraph"/>
              <w:spacing w:line="232" w:lineRule="exact" w:before="24"/>
              <w:ind w:left="540" w:right="179" w:hanging="360"/>
              <w:jc w:val="left"/>
              <w:rPr>
                <w:rFonts w:ascii="宋体" w:hAnsi="宋体" w:cs="宋体" w:eastAsia="宋体" w:hint="default"/>
                <w:sz w:val="18"/>
                <w:szCs w:val="18"/>
              </w:rPr>
            </w:pPr>
            <w:r>
              <w:rPr>
                <w:rFonts w:ascii="宋体" w:hAnsi="宋体" w:cs="宋体" w:eastAsia="宋体" w:hint="default"/>
                <w:sz w:val="18"/>
                <w:szCs w:val="18"/>
              </w:rPr>
              <w:t>条件股份数 量</w:t>
            </w:r>
          </w:p>
        </w:tc>
        <w:tc>
          <w:tcPr>
            <w:tcW w:w="1976"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5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c>
          <w:tcPr>
            <w:tcW w:w="722" w:type="dxa"/>
            <w:vMerge w:val="restart"/>
            <w:tcBorders>
              <w:top w:val="single" w:sz="6" w:space="0" w:color="000000"/>
              <w:left w:val="single" w:sz="6" w:space="0" w:color="000000"/>
              <w:right w:val="single" w:sz="12" w:space="0" w:color="000000"/>
            </w:tcBorders>
          </w:tcPr>
          <w:p>
            <w:pPr>
              <w:pStyle w:val="TableParagraph"/>
              <w:spacing w:line="232" w:lineRule="exact" w:before="119"/>
              <w:ind w:left="172" w:right="167"/>
              <w:jc w:val="left"/>
              <w:rPr>
                <w:rFonts w:ascii="宋体" w:hAnsi="宋体" w:cs="宋体" w:eastAsia="宋体" w:hint="default"/>
                <w:sz w:val="18"/>
                <w:szCs w:val="18"/>
              </w:rPr>
            </w:pPr>
            <w:r>
              <w:rPr>
                <w:rFonts w:ascii="宋体" w:hAnsi="宋体" w:cs="宋体" w:eastAsia="宋体" w:hint="default"/>
                <w:sz w:val="18"/>
                <w:szCs w:val="18"/>
              </w:rPr>
              <w:t>股东 性质</w:t>
            </w:r>
          </w:p>
        </w:tc>
      </w:tr>
      <w:tr>
        <w:trPr>
          <w:trHeight w:val="480" w:hRule="exact"/>
        </w:trPr>
        <w:tc>
          <w:tcPr>
            <w:tcW w:w="1951" w:type="dxa"/>
            <w:vMerge/>
            <w:tcBorders>
              <w:left w:val="single" w:sz="12" w:space="0" w:color="000000"/>
              <w:bottom w:val="single" w:sz="6" w:space="0" w:color="000000"/>
              <w:right w:val="single" w:sz="6" w:space="0" w:color="000000"/>
            </w:tcBorders>
          </w:tcPr>
          <w:p>
            <w:pPr/>
          </w:p>
        </w:tc>
        <w:tc>
          <w:tcPr>
            <w:tcW w:w="1220" w:type="dxa"/>
            <w:vMerge/>
            <w:tcBorders>
              <w:left w:val="single" w:sz="6" w:space="0" w:color="000000"/>
              <w:bottom w:val="single" w:sz="6" w:space="0" w:color="000000"/>
              <w:right w:val="single" w:sz="6" w:space="0" w:color="000000"/>
            </w:tcBorders>
          </w:tcPr>
          <w:p>
            <w:pPr/>
          </w:p>
        </w:tc>
        <w:tc>
          <w:tcPr>
            <w:tcW w:w="1265" w:type="dxa"/>
            <w:gridSpan w:val="2"/>
            <w:vMerge/>
            <w:tcBorders>
              <w:left w:val="single" w:sz="6" w:space="0" w:color="000000"/>
              <w:bottom w:val="single" w:sz="6" w:space="0" w:color="000000"/>
              <w:right w:val="single" w:sz="6" w:space="0" w:color="000000"/>
            </w:tcBorders>
          </w:tcPr>
          <w:p>
            <w:pPr/>
          </w:p>
        </w:tc>
        <w:tc>
          <w:tcPr>
            <w:tcW w:w="807"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76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96" w:right="0"/>
              <w:jc w:val="left"/>
              <w:rPr>
                <w:rFonts w:ascii="宋体" w:hAnsi="宋体" w:cs="宋体" w:eastAsia="宋体" w:hint="default"/>
                <w:sz w:val="18"/>
                <w:szCs w:val="18"/>
              </w:rPr>
            </w:pPr>
            <w:r>
              <w:rPr>
                <w:rFonts w:ascii="宋体" w:hAnsi="宋体" w:cs="宋体" w:eastAsia="宋体" w:hint="default"/>
                <w:sz w:val="18"/>
                <w:szCs w:val="18"/>
              </w:rPr>
              <w:t>股份</w:t>
            </w:r>
          </w:p>
          <w:p>
            <w:pPr>
              <w:pStyle w:val="TableParagraph"/>
              <w:spacing w:line="234" w:lineRule="exact"/>
              <w:ind w:left="196" w:right="0"/>
              <w:jc w:val="left"/>
              <w:rPr>
                <w:rFonts w:ascii="宋体" w:hAnsi="宋体" w:cs="宋体" w:eastAsia="宋体" w:hint="default"/>
                <w:sz w:val="18"/>
                <w:szCs w:val="18"/>
              </w:rPr>
            </w:pPr>
            <w:r>
              <w:rPr>
                <w:rFonts w:ascii="宋体" w:hAnsi="宋体" w:cs="宋体" w:eastAsia="宋体" w:hint="default"/>
                <w:sz w:val="18"/>
                <w:szCs w:val="18"/>
              </w:rPr>
              <w:t>状态</w:t>
            </w:r>
          </w:p>
        </w:tc>
        <w:tc>
          <w:tcPr>
            <w:tcW w:w="12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22" w:type="dxa"/>
            <w:vMerge/>
            <w:tcBorders>
              <w:left w:val="single" w:sz="6" w:space="0" w:color="000000"/>
              <w:bottom w:val="single" w:sz="6" w:space="0" w:color="000000"/>
              <w:right w:val="single" w:sz="12" w:space="0" w:color="000000"/>
            </w:tcBorders>
          </w:tcPr>
          <w:p>
            <w:pPr/>
          </w:p>
        </w:tc>
      </w:tr>
      <w:tr>
        <w:trPr>
          <w:trHeight w:val="482"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大连港集团有限公司</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12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55" w:right="0"/>
              <w:jc w:val="left"/>
              <w:rPr>
                <w:rFonts w:ascii="宋体" w:hAnsi="宋体" w:cs="宋体" w:eastAsia="宋体" w:hint="default"/>
                <w:sz w:val="18"/>
                <w:szCs w:val="18"/>
              </w:rPr>
            </w:pPr>
            <w:r>
              <w:rPr>
                <w:rFonts w:ascii="宋体"/>
                <w:sz w:val="18"/>
              </w:rPr>
              <w:t>382,110,546</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19.08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12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722" w:type="dxa"/>
            <w:tcBorders>
              <w:top w:val="single" w:sz="6" w:space="0" w:color="000000"/>
              <w:left w:val="single" w:sz="6" w:space="0" w:color="000000"/>
              <w:bottom w:val="single" w:sz="6" w:space="0" w:color="000000"/>
              <w:right w:val="single" w:sz="12"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国有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法人</w:t>
            </w:r>
          </w:p>
        </w:tc>
      </w:tr>
      <w:tr>
        <w:trPr>
          <w:trHeight w:val="483"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东方集团股份有限公</w:t>
            </w: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0</w:t>
            </w:r>
          </w:p>
        </w:tc>
        <w:tc>
          <w:tcPr>
            <w:tcW w:w="12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55" w:right="0"/>
              <w:jc w:val="left"/>
              <w:rPr>
                <w:rFonts w:ascii="宋体" w:hAnsi="宋体" w:cs="宋体" w:eastAsia="宋体" w:hint="default"/>
                <w:sz w:val="18"/>
                <w:szCs w:val="18"/>
              </w:rPr>
            </w:pPr>
            <w:r>
              <w:rPr>
                <w:rFonts w:ascii="宋体"/>
                <w:sz w:val="18"/>
              </w:rPr>
              <w:t>308,178,001</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15.39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0</w:t>
            </w:r>
          </w:p>
        </w:tc>
        <w:tc>
          <w:tcPr>
            <w:tcW w:w="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2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283,170,000</w:t>
            </w:r>
          </w:p>
        </w:tc>
        <w:tc>
          <w:tcPr>
            <w:tcW w:w="722" w:type="dxa"/>
            <w:tcBorders>
              <w:top w:val="single" w:sz="6" w:space="0" w:color="000000"/>
              <w:left w:val="single" w:sz="6" w:space="0" w:color="000000"/>
              <w:bottom w:val="single" w:sz="6" w:space="0" w:color="000000"/>
              <w:right w:val="single" w:sz="12"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82"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hAnsi="宋体" w:cs="宋体" w:eastAsia="宋体" w:hint="default"/>
                <w:sz w:val="18"/>
                <w:szCs w:val="18"/>
              </w:rPr>
              <w:t>西藏海涵交通发展有</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2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5" w:right="0"/>
              <w:jc w:val="left"/>
              <w:rPr>
                <w:rFonts w:ascii="宋体" w:hAnsi="宋体" w:cs="宋体" w:eastAsia="宋体" w:hint="default"/>
                <w:sz w:val="18"/>
                <w:szCs w:val="18"/>
              </w:rPr>
            </w:pPr>
            <w:r>
              <w:rPr>
                <w:rFonts w:ascii="宋体"/>
                <w:sz w:val="18"/>
              </w:rPr>
              <w:t>300,343,725</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15.00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300,343,725</w:t>
            </w:r>
          </w:p>
        </w:tc>
        <w:tc>
          <w:tcPr>
            <w:tcW w:w="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2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300,343,725</w:t>
            </w:r>
          </w:p>
        </w:tc>
        <w:tc>
          <w:tcPr>
            <w:tcW w:w="722"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80"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hAnsi="宋体" w:cs="宋体" w:eastAsia="宋体" w:hint="default"/>
                <w:sz w:val="18"/>
                <w:szCs w:val="18"/>
              </w:rPr>
              <w:t>西藏天圣交通发展投</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2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5" w:right="0"/>
              <w:jc w:val="left"/>
              <w:rPr>
                <w:rFonts w:ascii="宋体" w:hAnsi="宋体" w:cs="宋体" w:eastAsia="宋体" w:hint="default"/>
                <w:sz w:val="18"/>
                <w:szCs w:val="18"/>
              </w:rPr>
            </w:pPr>
            <w:r>
              <w:rPr>
                <w:rFonts w:ascii="宋体"/>
                <w:sz w:val="18"/>
              </w:rPr>
              <w:t>140,160,405</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140,160,405</w:t>
            </w:r>
          </w:p>
        </w:tc>
        <w:tc>
          <w:tcPr>
            <w:tcW w:w="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2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140,000,000</w:t>
            </w:r>
          </w:p>
        </w:tc>
        <w:tc>
          <w:tcPr>
            <w:tcW w:w="722"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82"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中国石油天然气集团</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12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55" w:right="0"/>
              <w:jc w:val="left"/>
              <w:rPr>
                <w:rFonts w:ascii="宋体" w:hAnsi="宋体" w:cs="宋体" w:eastAsia="宋体" w:hint="default"/>
                <w:sz w:val="18"/>
                <w:szCs w:val="18"/>
              </w:rPr>
            </w:pPr>
            <w:r>
              <w:rPr>
                <w:rFonts w:ascii="宋体"/>
                <w:sz w:val="18"/>
              </w:rPr>
              <w:t>118,170,000</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5.90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12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722" w:type="dxa"/>
            <w:tcBorders>
              <w:top w:val="single" w:sz="6" w:space="0" w:color="000000"/>
              <w:left w:val="single" w:sz="6" w:space="0" w:color="000000"/>
              <w:bottom w:val="single" w:sz="6" w:space="0" w:color="000000"/>
              <w:right w:val="single" w:sz="12"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国有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法人</w:t>
            </w:r>
          </w:p>
        </w:tc>
      </w:tr>
      <w:tr>
        <w:trPr>
          <w:trHeight w:val="482"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锦州港国有资产经营</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12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55" w:right="0"/>
              <w:jc w:val="left"/>
              <w:rPr>
                <w:rFonts w:ascii="宋体" w:hAnsi="宋体" w:cs="宋体" w:eastAsia="宋体" w:hint="default"/>
                <w:sz w:val="18"/>
                <w:szCs w:val="18"/>
              </w:rPr>
            </w:pPr>
            <w:r>
              <w:rPr>
                <w:rFonts w:ascii="宋体"/>
                <w:sz w:val="18"/>
              </w:rPr>
              <w:t>101,442,095</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5.07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12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w:t>
            </w:r>
          </w:p>
        </w:tc>
        <w:tc>
          <w:tcPr>
            <w:tcW w:w="722" w:type="dxa"/>
            <w:tcBorders>
              <w:top w:val="single" w:sz="6" w:space="0" w:color="000000"/>
              <w:left w:val="single" w:sz="6" w:space="0" w:color="000000"/>
              <w:bottom w:val="single" w:sz="6" w:space="0" w:color="000000"/>
              <w:right w:val="single" w:sz="12"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国家</w:t>
            </w:r>
          </w:p>
        </w:tc>
      </w:tr>
      <w:tr>
        <w:trPr>
          <w:trHeight w:val="482"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营口港务集团有限公</w:t>
            </w: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-6,440,676</w:t>
            </w:r>
          </w:p>
        </w:tc>
        <w:tc>
          <w:tcPr>
            <w:tcW w:w="12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7" w:right="0"/>
              <w:jc w:val="left"/>
              <w:rPr>
                <w:rFonts w:ascii="宋体" w:hAnsi="宋体" w:cs="宋体" w:eastAsia="宋体" w:hint="default"/>
                <w:sz w:val="18"/>
                <w:szCs w:val="18"/>
              </w:rPr>
            </w:pPr>
            <w:r>
              <w:rPr>
                <w:rFonts w:ascii="宋体"/>
                <w:sz w:val="18"/>
              </w:rPr>
              <w:t>32,233,000</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1.61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12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722"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483"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hAnsi="宋体" w:cs="宋体" w:eastAsia="宋体" w:hint="default"/>
                <w:sz w:val="18"/>
                <w:szCs w:val="18"/>
              </w:rPr>
              <w:t>辽宁省投资集团有限</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-25,100,000</w:t>
            </w:r>
          </w:p>
        </w:tc>
        <w:tc>
          <w:tcPr>
            <w:tcW w:w="12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35" w:right="0"/>
              <w:jc w:val="left"/>
              <w:rPr>
                <w:rFonts w:ascii="宋体" w:hAnsi="宋体" w:cs="宋体" w:eastAsia="宋体" w:hint="default"/>
                <w:sz w:val="18"/>
                <w:szCs w:val="18"/>
              </w:rPr>
            </w:pPr>
            <w:r>
              <w:rPr>
                <w:rFonts w:ascii="宋体"/>
                <w:sz w:val="18"/>
              </w:rPr>
              <w:t>9,600,000</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0.48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12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722"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247"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辽宁省建设投资公司</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2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35" w:right="0"/>
              <w:jc w:val="left"/>
              <w:rPr>
                <w:rFonts w:ascii="宋体" w:hAnsi="宋体" w:cs="宋体" w:eastAsia="宋体" w:hint="default"/>
                <w:sz w:val="18"/>
                <w:szCs w:val="18"/>
              </w:rPr>
            </w:pPr>
            <w:r>
              <w:rPr>
                <w:rFonts w:ascii="宋体"/>
                <w:sz w:val="18"/>
              </w:rPr>
              <w:t>5,436,000</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0.27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76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冻结</w:t>
            </w:r>
          </w:p>
        </w:tc>
        <w:tc>
          <w:tcPr>
            <w:tcW w:w="12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sz w:val="18"/>
              </w:rPr>
              <w:t>5,436,000</w:t>
            </w:r>
          </w:p>
        </w:tc>
        <w:tc>
          <w:tcPr>
            <w:tcW w:w="722"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82"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中国证券金融股份有</w:t>
            </w: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5,364,900</w:t>
            </w:r>
          </w:p>
        </w:tc>
        <w:tc>
          <w:tcPr>
            <w:tcW w:w="12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35" w:right="0"/>
              <w:jc w:val="left"/>
              <w:rPr>
                <w:rFonts w:ascii="宋体" w:hAnsi="宋体" w:cs="宋体" w:eastAsia="宋体" w:hint="default"/>
                <w:sz w:val="18"/>
                <w:szCs w:val="18"/>
              </w:rPr>
            </w:pPr>
            <w:r>
              <w:rPr>
                <w:rFonts w:ascii="宋体"/>
                <w:sz w:val="18"/>
              </w:rPr>
              <w:t>5,364,900</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0.27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12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722"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247" w:hRule="exact"/>
        </w:trPr>
        <w:tc>
          <w:tcPr>
            <w:tcW w:w="9215" w:type="dxa"/>
            <w:gridSpan w:val="10"/>
            <w:tcBorders>
              <w:top w:val="single" w:sz="6" w:space="0" w:color="000000"/>
              <w:left w:val="single" w:sz="12" w:space="0" w:color="000000"/>
              <w:bottom w:val="single" w:sz="6" w:space="0" w:color="000000"/>
              <w:right w:val="single" w:sz="12"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250" w:hRule="exact"/>
        </w:trPr>
        <w:tc>
          <w:tcPr>
            <w:tcW w:w="3370" w:type="dxa"/>
            <w:gridSpan w:val="3"/>
            <w:vMerge w:val="restart"/>
            <w:tcBorders>
              <w:top w:val="single" w:sz="6" w:space="0" w:color="000000"/>
              <w:left w:val="single" w:sz="12" w:space="0" w:color="000000"/>
              <w:right w:val="single" w:sz="6" w:space="0" w:color="000000"/>
            </w:tcBorders>
          </w:tcPr>
          <w:p>
            <w:pPr>
              <w:pStyle w:val="TableParagraph"/>
              <w:spacing w:line="240" w:lineRule="auto" w:before="94"/>
              <w:ind w:right="5"/>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872" w:type="dxa"/>
            <w:gridSpan w:val="2"/>
            <w:vMerge w:val="restart"/>
            <w:tcBorders>
              <w:top w:val="single" w:sz="6" w:space="0" w:color="000000"/>
              <w:left w:val="single" w:sz="6" w:space="0" w:color="000000"/>
              <w:right w:val="single" w:sz="6" w:space="0" w:color="000000"/>
            </w:tcBorders>
          </w:tcPr>
          <w:p>
            <w:pPr>
              <w:pStyle w:val="TableParagraph"/>
              <w:spacing w:line="232" w:lineRule="exact" w:before="4"/>
              <w:ind w:left="568" w:right="118" w:hanging="452"/>
              <w:jc w:val="left"/>
              <w:rPr>
                <w:rFonts w:ascii="宋体" w:hAnsi="宋体" w:cs="宋体" w:eastAsia="宋体" w:hint="default"/>
                <w:sz w:val="18"/>
                <w:szCs w:val="18"/>
              </w:rPr>
            </w:pPr>
            <w:r>
              <w:rPr>
                <w:rFonts w:ascii="宋体" w:hAnsi="宋体" w:cs="宋体" w:eastAsia="宋体" w:hint="default"/>
                <w:sz w:val="18"/>
                <w:szCs w:val="18"/>
              </w:rPr>
              <w:t>持有无限售条件流通 股的数量</w:t>
            </w:r>
          </w:p>
        </w:tc>
        <w:tc>
          <w:tcPr>
            <w:tcW w:w="3973" w:type="dxa"/>
            <w:gridSpan w:val="5"/>
            <w:tcBorders>
              <w:top w:val="single" w:sz="6" w:space="0" w:color="000000"/>
              <w:left w:val="single" w:sz="6" w:space="0" w:color="000000"/>
              <w:bottom w:val="single" w:sz="6" w:space="0" w:color="000000"/>
              <w:right w:val="single" w:sz="12" w:space="0" w:color="000000"/>
            </w:tcBorders>
          </w:tcPr>
          <w:p>
            <w:pPr>
              <w:pStyle w:val="TableParagraph"/>
              <w:spacing w:line="208" w:lineRule="exact"/>
              <w:ind w:left="7" w:right="0"/>
              <w:jc w:val="center"/>
              <w:rPr>
                <w:rFonts w:ascii="宋体" w:hAnsi="宋体" w:cs="宋体" w:eastAsia="宋体" w:hint="default"/>
                <w:sz w:val="18"/>
                <w:szCs w:val="18"/>
              </w:rPr>
            </w:pPr>
            <w:r>
              <w:rPr>
                <w:rFonts w:ascii="宋体" w:hAnsi="宋体" w:cs="宋体" w:eastAsia="宋体" w:hint="default"/>
                <w:sz w:val="18"/>
                <w:szCs w:val="18"/>
              </w:rPr>
              <w:t>股份种类及数量</w:t>
            </w:r>
          </w:p>
        </w:tc>
      </w:tr>
      <w:tr>
        <w:trPr>
          <w:trHeight w:val="247" w:hRule="exact"/>
        </w:trPr>
        <w:tc>
          <w:tcPr>
            <w:tcW w:w="3370" w:type="dxa"/>
            <w:gridSpan w:val="3"/>
            <w:vMerge/>
            <w:tcBorders>
              <w:left w:val="single" w:sz="12" w:space="0" w:color="000000"/>
              <w:bottom w:val="single" w:sz="6" w:space="0" w:color="000000"/>
              <w:right w:val="single" w:sz="6" w:space="0" w:color="000000"/>
            </w:tcBorders>
          </w:tcPr>
          <w:p>
            <w:pPr/>
          </w:p>
        </w:tc>
        <w:tc>
          <w:tcPr>
            <w:tcW w:w="1872" w:type="dxa"/>
            <w:gridSpan w:val="2"/>
            <w:vMerge/>
            <w:tcBorders>
              <w:left w:val="single" w:sz="6" w:space="0" w:color="000000"/>
              <w:bottom w:val="single" w:sz="6" w:space="0" w:color="000000"/>
              <w:right w:val="single" w:sz="6" w:space="0" w:color="000000"/>
            </w:tcBorders>
          </w:tcPr>
          <w:p>
            <w:pPr/>
          </w:p>
        </w:tc>
        <w:tc>
          <w:tcPr>
            <w:tcW w:w="2648"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种类</w:t>
            </w:r>
          </w:p>
        </w:tc>
        <w:tc>
          <w:tcPr>
            <w:tcW w:w="1325" w:type="dxa"/>
            <w:gridSpan w:val="2"/>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50" w:hRule="exact"/>
        </w:trPr>
        <w:tc>
          <w:tcPr>
            <w:tcW w:w="3370" w:type="dxa"/>
            <w:gridSpan w:val="3"/>
            <w:tcBorders>
              <w:top w:val="single" w:sz="6" w:space="0" w:color="000000"/>
              <w:left w:val="single" w:sz="12" w:space="0" w:color="000000"/>
              <w:bottom w:val="single" w:sz="6" w:space="0" w:color="000000"/>
              <w:right w:val="single" w:sz="6"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大连港集团有限公司</w:t>
            </w:r>
          </w:p>
        </w:tc>
        <w:tc>
          <w:tcPr>
            <w:tcW w:w="18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765" w:right="0"/>
              <w:jc w:val="left"/>
              <w:rPr>
                <w:rFonts w:ascii="宋体" w:hAnsi="宋体" w:cs="宋体" w:eastAsia="宋体" w:hint="default"/>
                <w:sz w:val="18"/>
                <w:szCs w:val="18"/>
              </w:rPr>
            </w:pPr>
            <w:r>
              <w:rPr>
                <w:rFonts w:ascii="宋体"/>
                <w:sz w:val="18"/>
              </w:rPr>
              <w:t>382,110,546</w:t>
            </w:r>
          </w:p>
        </w:tc>
        <w:tc>
          <w:tcPr>
            <w:tcW w:w="2648" w:type="dxa"/>
            <w:gridSpan w:val="3"/>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77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25" w:type="dxa"/>
            <w:gridSpan w:val="2"/>
            <w:tcBorders>
              <w:top w:val="single" w:sz="6" w:space="0" w:color="000000"/>
              <w:left w:val="single" w:sz="6" w:space="0" w:color="000000"/>
              <w:bottom w:val="single" w:sz="6" w:space="0" w:color="000000"/>
              <w:right w:val="single" w:sz="12" w:space="0" w:color="000000"/>
            </w:tcBorders>
          </w:tcPr>
          <w:p>
            <w:pPr>
              <w:pStyle w:val="TableParagraph"/>
              <w:spacing w:line="208" w:lineRule="exact"/>
              <w:ind w:left="215" w:right="0"/>
              <w:jc w:val="left"/>
              <w:rPr>
                <w:rFonts w:ascii="宋体" w:hAnsi="宋体" w:cs="宋体" w:eastAsia="宋体" w:hint="default"/>
                <w:sz w:val="18"/>
                <w:szCs w:val="18"/>
              </w:rPr>
            </w:pPr>
            <w:r>
              <w:rPr>
                <w:rFonts w:ascii="宋体"/>
                <w:sz w:val="18"/>
              </w:rPr>
              <w:t>382,110,546</w:t>
            </w:r>
          </w:p>
        </w:tc>
      </w:tr>
      <w:tr>
        <w:trPr>
          <w:trHeight w:val="247" w:hRule="exact"/>
        </w:trPr>
        <w:tc>
          <w:tcPr>
            <w:tcW w:w="3370" w:type="dxa"/>
            <w:gridSpan w:val="3"/>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东方集团股份有限公司</w:t>
            </w:r>
          </w:p>
        </w:tc>
        <w:tc>
          <w:tcPr>
            <w:tcW w:w="18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65" w:right="0"/>
              <w:jc w:val="left"/>
              <w:rPr>
                <w:rFonts w:ascii="宋体" w:hAnsi="宋体" w:cs="宋体" w:eastAsia="宋体" w:hint="default"/>
                <w:sz w:val="18"/>
                <w:szCs w:val="18"/>
              </w:rPr>
            </w:pPr>
            <w:r>
              <w:rPr>
                <w:rFonts w:ascii="宋体"/>
                <w:sz w:val="18"/>
              </w:rPr>
              <w:t>308,178,001</w:t>
            </w:r>
          </w:p>
        </w:tc>
        <w:tc>
          <w:tcPr>
            <w:tcW w:w="2648"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7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25" w:type="dxa"/>
            <w:gridSpan w:val="2"/>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215" w:right="0"/>
              <w:jc w:val="left"/>
              <w:rPr>
                <w:rFonts w:ascii="宋体" w:hAnsi="宋体" w:cs="宋体" w:eastAsia="宋体" w:hint="default"/>
                <w:sz w:val="18"/>
                <w:szCs w:val="18"/>
              </w:rPr>
            </w:pPr>
            <w:r>
              <w:rPr>
                <w:rFonts w:ascii="宋体"/>
                <w:sz w:val="18"/>
              </w:rPr>
              <w:t>308,178,001</w:t>
            </w:r>
          </w:p>
        </w:tc>
      </w:tr>
      <w:tr>
        <w:trPr>
          <w:trHeight w:val="250" w:hRule="exact"/>
        </w:trPr>
        <w:tc>
          <w:tcPr>
            <w:tcW w:w="3370" w:type="dxa"/>
            <w:gridSpan w:val="3"/>
            <w:tcBorders>
              <w:top w:val="single" w:sz="6" w:space="0" w:color="000000"/>
              <w:left w:val="single" w:sz="12" w:space="0" w:color="000000"/>
              <w:bottom w:val="single" w:sz="6" w:space="0" w:color="000000"/>
              <w:right w:val="single" w:sz="6"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中国石油天然气集团公司</w:t>
            </w:r>
          </w:p>
        </w:tc>
        <w:tc>
          <w:tcPr>
            <w:tcW w:w="18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765" w:right="0"/>
              <w:jc w:val="left"/>
              <w:rPr>
                <w:rFonts w:ascii="宋体" w:hAnsi="宋体" w:cs="宋体" w:eastAsia="宋体" w:hint="default"/>
                <w:sz w:val="18"/>
                <w:szCs w:val="18"/>
              </w:rPr>
            </w:pPr>
            <w:r>
              <w:rPr>
                <w:rFonts w:ascii="宋体"/>
                <w:sz w:val="18"/>
              </w:rPr>
              <w:t>118,170,000</w:t>
            </w:r>
          </w:p>
        </w:tc>
        <w:tc>
          <w:tcPr>
            <w:tcW w:w="2648" w:type="dxa"/>
            <w:gridSpan w:val="3"/>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77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25" w:type="dxa"/>
            <w:gridSpan w:val="2"/>
            <w:tcBorders>
              <w:top w:val="single" w:sz="6" w:space="0" w:color="000000"/>
              <w:left w:val="single" w:sz="6" w:space="0" w:color="000000"/>
              <w:bottom w:val="single" w:sz="6" w:space="0" w:color="000000"/>
              <w:right w:val="single" w:sz="12" w:space="0" w:color="000000"/>
            </w:tcBorders>
          </w:tcPr>
          <w:p>
            <w:pPr>
              <w:pStyle w:val="TableParagraph"/>
              <w:spacing w:line="208" w:lineRule="exact"/>
              <w:ind w:left="215" w:right="0"/>
              <w:jc w:val="left"/>
              <w:rPr>
                <w:rFonts w:ascii="宋体" w:hAnsi="宋体" w:cs="宋体" w:eastAsia="宋体" w:hint="default"/>
                <w:sz w:val="18"/>
                <w:szCs w:val="18"/>
              </w:rPr>
            </w:pPr>
            <w:r>
              <w:rPr>
                <w:rFonts w:ascii="宋体"/>
                <w:sz w:val="18"/>
              </w:rPr>
              <w:t>118,170,000</w:t>
            </w:r>
          </w:p>
        </w:tc>
      </w:tr>
      <w:tr>
        <w:trPr>
          <w:trHeight w:val="250" w:hRule="exact"/>
        </w:trPr>
        <w:tc>
          <w:tcPr>
            <w:tcW w:w="3370" w:type="dxa"/>
            <w:gridSpan w:val="3"/>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锦州港国有资产经营管理有限公司</w:t>
            </w:r>
          </w:p>
        </w:tc>
        <w:tc>
          <w:tcPr>
            <w:tcW w:w="18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65" w:right="0"/>
              <w:jc w:val="left"/>
              <w:rPr>
                <w:rFonts w:ascii="宋体" w:hAnsi="宋体" w:cs="宋体" w:eastAsia="宋体" w:hint="default"/>
                <w:sz w:val="18"/>
                <w:szCs w:val="18"/>
              </w:rPr>
            </w:pPr>
            <w:r>
              <w:rPr>
                <w:rFonts w:ascii="宋体"/>
                <w:sz w:val="18"/>
              </w:rPr>
              <w:t>101,442,095</w:t>
            </w:r>
          </w:p>
        </w:tc>
        <w:tc>
          <w:tcPr>
            <w:tcW w:w="2648"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7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25" w:type="dxa"/>
            <w:gridSpan w:val="2"/>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215" w:right="0"/>
              <w:jc w:val="left"/>
              <w:rPr>
                <w:rFonts w:ascii="宋体" w:hAnsi="宋体" w:cs="宋体" w:eastAsia="宋体" w:hint="default"/>
                <w:sz w:val="18"/>
                <w:szCs w:val="18"/>
              </w:rPr>
            </w:pPr>
            <w:r>
              <w:rPr>
                <w:rFonts w:ascii="宋体"/>
                <w:sz w:val="18"/>
              </w:rPr>
              <w:t>101,442,095</w:t>
            </w:r>
          </w:p>
        </w:tc>
      </w:tr>
      <w:tr>
        <w:trPr>
          <w:trHeight w:val="247" w:hRule="exact"/>
        </w:trPr>
        <w:tc>
          <w:tcPr>
            <w:tcW w:w="3370" w:type="dxa"/>
            <w:gridSpan w:val="3"/>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营口港务集团有限公司</w:t>
            </w:r>
          </w:p>
        </w:tc>
        <w:tc>
          <w:tcPr>
            <w:tcW w:w="18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56" w:right="0"/>
              <w:jc w:val="left"/>
              <w:rPr>
                <w:rFonts w:ascii="宋体" w:hAnsi="宋体" w:cs="宋体" w:eastAsia="宋体" w:hint="default"/>
                <w:sz w:val="18"/>
                <w:szCs w:val="18"/>
              </w:rPr>
            </w:pPr>
            <w:r>
              <w:rPr>
                <w:rFonts w:ascii="宋体"/>
                <w:sz w:val="18"/>
              </w:rPr>
              <w:t>32,233,000</w:t>
            </w:r>
          </w:p>
        </w:tc>
        <w:tc>
          <w:tcPr>
            <w:tcW w:w="2648"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7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25" w:type="dxa"/>
            <w:gridSpan w:val="2"/>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307" w:right="0"/>
              <w:jc w:val="left"/>
              <w:rPr>
                <w:rFonts w:ascii="宋体" w:hAnsi="宋体" w:cs="宋体" w:eastAsia="宋体" w:hint="default"/>
                <w:sz w:val="18"/>
                <w:szCs w:val="18"/>
              </w:rPr>
            </w:pPr>
            <w:r>
              <w:rPr>
                <w:rFonts w:ascii="宋体"/>
                <w:sz w:val="18"/>
              </w:rPr>
              <w:t>32,233,000</w:t>
            </w:r>
          </w:p>
        </w:tc>
      </w:tr>
      <w:tr>
        <w:trPr>
          <w:trHeight w:val="250" w:hRule="exact"/>
        </w:trPr>
        <w:tc>
          <w:tcPr>
            <w:tcW w:w="3370" w:type="dxa"/>
            <w:gridSpan w:val="3"/>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辽宁省投资集团有限公司</w:t>
            </w:r>
          </w:p>
        </w:tc>
        <w:tc>
          <w:tcPr>
            <w:tcW w:w="18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45" w:right="0"/>
              <w:jc w:val="left"/>
              <w:rPr>
                <w:rFonts w:ascii="宋体" w:hAnsi="宋体" w:cs="宋体" w:eastAsia="宋体" w:hint="default"/>
                <w:sz w:val="18"/>
                <w:szCs w:val="18"/>
              </w:rPr>
            </w:pPr>
            <w:r>
              <w:rPr>
                <w:rFonts w:ascii="宋体"/>
                <w:sz w:val="18"/>
              </w:rPr>
              <w:t>9,600,000</w:t>
            </w:r>
          </w:p>
        </w:tc>
        <w:tc>
          <w:tcPr>
            <w:tcW w:w="2648"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7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25" w:type="dxa"/>
            <w:gridSpan w:val="2"/>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395" w:right="0"/>
              <w:jc w:val="left"/>
              <w:rPr>
                <w:rFonts w:ascii="宋体" w:hAnsi="宋体" w:cs="宋体" w:eastAsia="宋体" w:hint="default"/>
                <w:sz w:val="18"/>
                <w:szCs w:val="18"/>
              </w:rPr>
            </w:pPr>
            <w:r>
              <w:rPr>
                <w:rFonts w:ascii="宋体"/>
                <w:sz w:val="18"/>
              </w:rPr>
              <w:t>9,600,000</w:t>
            </w:r>
          </w:p>
        </w:tc>
      </w:tr>
      <w:tr>
        <w:trPr>
          <w:trHeight w:val="248" w:hRule="exact"/>
        </w:trPr>
        <w:tc>
          <w:tcPr>
            <w:tcW w:w="3370" w:type="dxa"/>
            <w:gridSpan w:val="3"/>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辽宁省建设投资公司</w:t>
            </w:r>
          </w:p>
        </w:tc>
        <w:tc>
          <w:tcPr>
            <w:tcW w:w="18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45" w:right="0"/>
              <w:jc w:val="left"/>
              <w:rPr>
                <w:rFonts w:ascii="宋体" w:hAnsi="宋体" w:cs="宋体" w:eastAsia="宋体" w:hint="default"/>
                <w:sz w:val="18"/>
                <w:szCs w:val="18"/>
              </w:rPr>
            </w:pPr>
            <w:r>
              <w:rPr>
                <w:rFonts w:ascii="宋体"/>
                <w:sz w:val="18"/>
              </w:rPr>
              <w:t>5,436,000</w:t>
            </w:r>
          </w:p>
        </w:tc>
        <w:tc>
          <w:tcPr>
            <w:tcW w:w="2648"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7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25" w:type="dxa"/>
            <w:gridSpan w:val="2"/>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395" w:right="0"/>
              <w:jc w:val="left"/>
              <w:rPr>
                <w:rFonts w:ascii="宋体" w:hAnsi="宋体" w:cs="宋体" w:eastAsia="宋体" w:hint="default"/>
                <w:sz w:val="18"/>
                <w:szCs w:val="18"/>
              </w:rPr>
            </w:pPr>
            <w:r>
              <w:rPr>
                <w:rFonts w:ascii="宋体"/>
                <w:sz w:val="18"/>
              </w:rPr>
              <w:t>5,436,000</w:t>
            </w:r>
          </w:p>
        </w:tc>
      </w:tr>
      <w:tr>
        <w:trPr>
          <w:trHeight w:val="254" w:hRule="exact"/>
        </w:trPr>
        <w:tc>
          <w:tcPr>
            <w:tcW w:w="3370" w:type="dxa"/>
            <w:gridSpan w:val="3"/>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中国证券金融股份有限公司</w:t>
            </w:r>
          </w:p>
        </w:tc>
        <w:tc>
          <w:tcPr>
            <w:tcW w:w="187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945" w:right="0"/>
              <w:jc w:val="left"/>
              <w:rPr>
                <w:rFonts w:ascii="宋体" w:hAnsi="宋体" w:cs="宋体" w:eastAsia="宋体" w:hint="default"/>
                <w:sz w:val="18"/>
                <w:szCs w:val="18"/>
              </w:rPr>
            </w:pPr>
            <w:r>
              <w:rPr>
                <w:rFonts w:ascii="宋体"/>
                <w:sz w:val="18"/>
              </w:rPr>
              <w:t>5,364,900</w:t>
            </w:r>
          </w:p>
        </w:tc>
        <w:tc>
          <w:tcPr>
            <w:tcW w:w="2648" w:type="dxa"/>
            <w:gridSpan w:val="3"/>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77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25" w:type="dxa"/>
            <w:gridSpan w:val="2"/>
            <w:tcBorders>
              <w:top w:val="single" w:sz="6" w:space="0" w:color="000000"/>
              <w:left w:val="single" w:sz="6" w:space="0" w:color="000000"/>
              <w:bottom w:val="single" w:sz="12" w:space="0" w:color="000000"/>
              <w:right w:val="single" w:sz="12" w:space="0" w:color="000000"/>
            </w:tcBorders>
          </w:tcPr>
          <w:p>
            <w:pPr>
              <w:pStyle w:val="TableParagraph"/>
              <w:spacing w:line="205" w:lineRule="exact"/>
              <w:ind w:left="395" w:right="0"/>
              <w:jc w:val="left"/>
              <w:rPr>
                <w:rFonts w:ascii="宋体" w:hAnsi="宋体" w:cs="宋体" w:eastAsia="宋体" w:hint="default"/>
                <w:sz w:val="18"/>
                <w:szCs w:val="18"/>
              </w:rPr>
            </w:pPr>
            <w:r>
              <w:rPr>
                <w:rFonts w:ascii="宋体"/>
                <w:sz w:val="18"/>
              </w:rPr>
              <w:t>5,364,900</w:t>
            </w:r>
          </w:p>
        </w:tc>
      </w:tr>
    </w:tbl>
    <w:p>
      <w:pPr>
        <w:spacing w:after="0" w:line="205" w:lineRule="exact"/>
        <w:jc w:val="left"/>
        <w:rPr>
          <w:rFonts w:ascii="宋体" w:hAnsi="宋体" w:cs="宋体" w:eastAsia="宋体" w:hint="default"/>
          <w:sz w:val="18"/>
          <w:szCs w:val="18"/>
        </w:rPr>
        <w:sectPr>
          <w:type w:val="continuous"/>
          <w:pgSz w:w="11910" w:h="16840"/>
          <w:pgMar w:top="1120" w:bottom="1380" w:left="1560" w:right="8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3370"/>
        <w:gridCol w:w="1872"/>
        <w:gridCol w:w="2648"/>
        <w:gridCol w:w="1325"/>
      </w:tblGrid>
      <w:tr>
        <w:trPr>
          <w:trHeight w:val="490" w:hRule="exact"/>
        </w:trPr>
        <w:tc>
          <w:tcPr>
            <w:tcW w:w="3370" w:type="dxa"/>
            <w:tcBorders>
              <w:top w:val="single" w:sz="12" w:space="0" w:color="000000"/>
              <w:left w:val="single" w:sz="12" w:space="0" w:color="000000"/>
              <w:bottom w:val="single" w:sz="6" w:space="0" w:color="000000"/>
              <w:right w:val="single" w:sz="6" w:space="0" w:color="000000"/>
            </w:tcBorders>
          </w:tcPr>
          <w:p>
            <w:pPr>
              <w:pStyle w:val="TableParagraph"/>
              <w:tabs>
                <w:tab w:pos="1445" w:val="left" w:leader="none"/>
              </w:tabs>
              <w:spacing w:line="207" w:lineRule="exact"/>
              <w:ind w:left="93" w:right="0"/>
              <w:jc w:val="left"/>
              <w:rPr>
                <w:rFonts w:ascii="宋体" w:hAnsi="宋体" w:cs="宋体" w:eastAsia="宋体" w:hint="default"/>
                <w:sz w:val="18"/>
                <w:szCs w:val="18"/>
              </w:rPr>
            </w:pPr>
            <w:r>
              <w:rPr>
                <w:rFonts w:ascii="宋体"/>
                <w:sz w:val="18"/>
              </w:rPr>
              <w:t>SCBHK</w:t>
            </w:r>
            <w:r>
              <w:rPr>
                <w:rFonts w:ascii="宋体"/>
                <w:spacing w:val="-47"/>
                <w:sz w:val="18"/>
              </w:rPr>
              <w:t> </w:t>
            </w:r>
            <w:r>
              <w:rPr>
                <w:rFonts w:ascii="宋体"/>
                <w:sz w:val="18"/>
              </w:rPr>
              <w:t>A/C</w:t>
            </w:r>
            <w:r>
              <w:rPr>
                <w:rFonts w:ascii="宋体"/>
                <w:spacing w:val="-45"/>
                <w:sz w:val="18"/>
              </w:rPr>
              <w:t> </w:t>
            </w:r>
            <w:r>
              <w:rPr>
                <w:rFonts w:ascii="宋体"/>
                <w:sz w:val="18"/>
              </w:rPr>
              <w:t>BBH</w:t>
              <w:tab/>
              <w:t>S/A</w:t>
            </w:r>
            <w:r>
              <w:rPr>
                <w:rFonts w:ascii="宋体"/>
                <w:spacing w:val="-49"/>
                <w:sz w:val="18"/>
              </w:rPr>
              <w:t> </w:t>
            </w:r>
            <w:r>
              <w:rPr>
                <w:rFonts w:ascii="宋体"/>
                <w:sz w:val="18"/>
              </w:rPr>
              <w:t>VANGUARD</w:t>
            </w:r>
            <w:r>
              <w:rPr>
                <w:rFonts w:ascii="宋体"/>
                <w:spacing w:val="-49"/>
                <w:sz w:val="18"/>
              </w:rPr>
              <w:t> </w:t>
            </w:r>
            <w:r>
              <w:rPr>
                <w:rFonts w:ascii="宋体"/>
                <w:sz w:val="18"/>
              </w:rPr>
              <w:t>EMERGING</w:t>
            </w:r>
          </w:p>
          <w:p>
            <w:pPr>
              <w:pStyle w:val="TableParagraph"/>
              <w:spacing w:line="234" w:lineRule="exact"/>
              <w:ind w:left="93" w:right="0"/>
              <w:jc w:val="left"/>
              <w:rPr>
                <w:rFonts w:ascii="宋体" w:hAnsi="宋体" w:cs="宋体" w:eastAsia="宋体" w:hint="default"/>
                <w:sz w:val="18"/>
                <w:szCs w:val="18"/>
              </w:rPr>
            </w:pPr>
            <w:r>
              <w:rPr>
                <w:rFonts w:ascii="宋体"/>
                <w:sz w:val="18"/>
              </w:rPr>
              <w:t>MARKETS STOCK INDEX</w:t>
            </w:r>
            <w:r>
              <w:rPr>
                <w:rFonts w:ascii="宋体"/>
                <w:spacing w:val="-10"/>
                <w:sz w:val="18"/>
              </w:rPr>
              <w:t> </w:t>
            </w:r>
            <w:r>
              <w:rPr>
                <w:rFonts w:ascii="宋体"/>
                <w:sz w:val="18"/>
              </w:rPr>
              <w:t>FUND</w:t>
            </w:r>
          </w:p>
        </w:tc>
        <w:tc>
          <w:tcPr>
            <w:tcW w:w="1872" w:type="dxa"/>
            <w:tcBorders>
              <w:top w:val="single" w:sz="12"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4,698,200</w:t>
            </w:r>
          </w:p>
        </w:tc>
        <w:tc>
          <w:tcPr>
            <w:tcW w:w="264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宋体" w:hAnsi="宋体" w:cs="宋体" w:eastAsia="宋体" w:hint="default"/>
                <w:sz w:val="18"/>
                <w:szCs w:val="18"/>
              </w:rPr>
            </w:pPr>
            <w:r>
              <w:rPr>
                <w:rFonts w:ascii="宋体" w:hAnsi="宋体" w:cs="宋体" w:eastAsia="宋体" w:hint="default"/>
                <w:sz w:val="18"/>
                <w:szCs w:val="18"/>
              </w:rPr>
              <w:t>境内上市外资股</w:t>
            </w:r>
          </w:p>
        </w:tc>
        <w:tc>
          <w:tcPr>
            <w:tcW w:w="1325" w:type="dxa"/>
            <w:tcBorders>
              <w:top w:val="single" w:sz="12" w:space="0" w:color="000000"/>
              <w:left w:val="single" w:sz="6" w:space="0" w:color="000000"/>
              <w:bottom w:val="single" w:sz="6" w:space="0" w:color="000000"/>
              <w:right w:val="single" w:sz="12" w:space="0" w:color="000000"/>
            </w:tcBorders>
          </w:tcPr>
          <w:p>
            <w:pPr>
              <w:pStyle w:val="TableParagraph"/>
              <w:spacing w:line="208" w:lineRule="exact"/>
              <w:ind w:right="93"/>
              <w:jc w:val="right"/>
              <w:rPr>
                <w:rFonts w:ascii="宋体" w:hAnsi="宋体" w:cs="宋体" w:eastAsia="宋体" w:hint="default"/>
                <w:sz w:val="18"/>
                <w:szCs w:val="18"/>
              </w:rPr>
            </w:pPr>
            <w:r>
              <w:rPr>
                <w:rFonts w:ascii="宋体"/>
                <w:spacing w:val="-1"/>
                <w:sz w:val="18"/>
              </w:rPr>
              <w:t>4,698,200</w:t>
            </w:r>
          </w:p>
        </w:tc>
      </w:tr>
      <w:tr>
        <w:trPr>
          <w:trHeight w:val="250" w:hRule="exact"/>
        </w:trPr>
        <w:tc>
          <w:tcPr>
            <w:tcW w:w="3370" w:type="dxa"/>
            <w:tcBorders>
              <w:top w:val="single" w:sz="6" w:space="0" w:color="000000"/>
              <w:left w:val="single" w:sz="12" w:space="0" w:color="000000"/>
              <w:bottom w:val="single" w:sz="6" w:space="0" w:color="000000"/>
              <w:right w:val="single" w:sz="6"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余双虎</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3,540,891</w:t>
            </w: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25" w:type="dxa"/>
            <w:tcBorders>
              <w:top w:val="single" w:sz="6" w:space="0" w:color="000000"/>
              <w:left w:val="single" w:sz="6" w:space="0" w:color="000000"/>
              <w:bottom w:val="single" w:sz="6" w:space="0" w:color="000000"/>
              <w:right w:val="single" w:sz="12" w:space="0" w:color="000000"/>
            </w:tcBorders>
          </w:tcPr>
          <w:p>
            <w:pPr>
              <w:pStyle w:val="TableParagraph"/>
              <w:spacing w:line="208" w:lineRule="exact"/>
              <w:ind w:right="93"/>
              <w:jc w:val="right"/>
              <w:rPr>
                <w:rFonts w:ascii="宋体" w:hAnsi="宋体" w:cs="宋体" w:eastAsia="宋体" w:hint="default"/>
                <w:sz w:val="18"/>
                <w:szCs w:val="18"/>
              </w:rPr>
            </w:pPr>
            <w:r>
              <w:rPr>
                <w:rFonts w:ascii="宋体"/>
                <w:spacing w:val="-1"/>
                <w:sz w:val="18"/>
              </w:rPr>
              <w:t>3,540,891</w:t>
            </w:r>
          </w:p>
        </w:tc>
      </w:tr>
      <w:tr>
        <w:trPr>
          <w:trHeight w:val="1423" w:hRule="exact"/>
        </w:trPr>
        <w:tc>
          <w:tcPr>
            <w:tcW w:w="3370"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845"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、前十名股东中第九名股东辽宁省建设投资公司为第八名股东辽宁省投</w:t>
            </w:r>
          </w:p>
          <w:p>
            <w:pPr>
              <w:pStyle w:val="TableParagraph"/>
              <w:spacing w:line="237" w:lineRule="auto"/>
              <w:ind w:left="100" w:right="92"/>
              <w:jc w:val="left"/>
              <w:rPr>
                <w:rFonts w:ascii="宋体" w:hAnsi="宋体" w:cs="宋体" w:eastAsia="宋体" w:hint="default"/>
                <w:sz w:val="18"/>
                <w:szCs w:val="18"/>
              </w:rPr>
            </w:pPr>
            <w:r>
              <w:rPr>
                <w:rFonts w:ascii="宋体" w:hAnsi="宋体" w:cs="宋体" w:eastAsia="宋体" w:hint="default"/>
                <w:sz w:val="18"/>
                <w:szCs w:val="18"/>
              </w:rPr>
              <w:t>资集团有限公司的全资子公司； </w:t>
            </w:r>
            <w:r>
              <w:rPr>
                <w:rFonts w:ascii="宋体" w:hAnsi="宋体" w:cs="宋体" w:eastAsia="宋体" w:hint="default"/>
                <w:spacing w:val="-2"/>
                <w:sz w:val="18"/>
                <w:szCs w:val="18"/>
              </w:rPr>
              <w:t>2</w:t>
            </w:r>
            <w:r>
              <w:rPr>
                <w:rFonts w:ascii="宋体" w:hAnsi="宋体" w:cs="宋体" w:eastAsia="宋体" w:hint="default"/>
                <w:spacing w:val="-2"/>
                <w:sz w:val="18"/>
                <w:szCs w:val="18"/>
              </w:rPr>
              <w:t>、未知前十名无限售条件股东中第五、八、九、十名股东是否有关联关</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系；</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、其他股东之间不存在关联关系及一致行动人的情况。</w:t>
            </w:r>
          </w:p>
        </w:tc>
      </w:tr>
    </w:tbl>
    <w:p>
      <w:pPr>
        <w:spacing w:line="240" w:lineRule="auto" w:before="7"/>
        <w:rPr>
          <w:rFonts w:ascii="宋体" w:hAnsi="宋体" w:cs="宋体" w:eastAsia="宋体" w:hint="default"/>
          <w:sz w:val="15"/>
          <w:szCs w:val="15"/>
        </w:rPr>
      </w:pPr>
    </w:p>
    <w:p>
      <w:pPr>
        <w:pStyle w:val="BodyText"/>
        <w:spacing w:line="273" w:lineRule="exact" w:before="36"/>
        <w:ind w:left="238" w:right="0"/>
        <w:jc w:val="left"/>
      </w:pPr>
      <w:r>
        <w:rPr/>
        <w:t>前十名有限售条件股东持股数量及限售条件</w:t>
      </w:r>
    </w:p>
    <w:p>
      <w:pPr>
        <w:pStyle w:val="BodyText"/>
        <w:spacing w:line="273" w:lineRule="exact"/>
        <w:ind w:left="0" w:right="410"/>
        <w:jc w:val="right"/>
      </w:pPr>
      <w:r>
        <w:rPr>
          <w:spacing w:val="-1"/>
        </w:rPr>
        <w:t>单位：股</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653"/>
        <w:gridCol w:w="2009"/>
        <w:gridCol w:w="1558"/>
        <w:gridCol w:w="1277"/>
        <w:gridCol w:w="1558"/>
        <w:gridCol w:w="1995"/>
      </w:tblGrid>
      <w:tr>
        <w:trPr>
          <w:trHeight w:val="257" w:hRule="exact"/>
        </w:trPr>
        <w:tc>
          <w:tcPr>
            <w:tcW w:w="653" w:type="dxa"/>
            <w:vMerge w:val="restart"/>
            <w:tcBorders>
              <w:top w:val="single" w:sz="12" w:space="0" w:color="000000"/>
              <w:left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009" w:type="dxa"/>
            <w:vMerge w:val="restart"/>
            <w:tcBorders>
              <w:top w:val="single" w:sz="12"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558" w:type="dxa"/>
            <w:vMerge w:val="restart"/>
            <w:tcBorders>
              <w:top w:val="single" w:sz="12" w:space="0" w:color="000000"/>
              <w:left w:val="single" w:sz="6" w:space="0" w:color="000000"/>
              <w:right w:val="single" w:sz="6" w:space="0" w:color="000000"/>
            </w:tcBorders>
          </w:tcPr>
          <w:p>
            <w:pPr>
              <w:pStyle w:val="TableParagraph"/>
              <w:spacing w:line="234" w:lineRule="exact" w:before="117"/>
              <w:ind w:left="321" w:right="139" w:hanging="180"/>
              <w:jc w:val="left"/>
              <w:rPr>
                <w:rFonts w:ascii="宋体" w:hAnsi="宋体" w:cs="宋体" w:eastAsia="宋体" w:hint="default"/>
                <w:sz w:val="18"/>
                <w:szCs w:val="18"/>
              </w:rPr>
            </w:pPr>
            <w:r>
              <w:rPr>
                <w:rFonts w:ascii="宋体" w:hAnsi="宋体" w:cs="宋体" w:eastAsia="宋体" w:hint="default"/>
                <w:sz w:val="18"/>
                <w:szCs w:val="18"/>
              </w:rPr>
              <w:t>持有的有限售条 件股份数量</w:t>
            </w:r>
          </w:p>
        </w:tc>
        <w:tc>
          <w:tcPr>
            <w:tcW w:w="283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有限售条件股份可上市交易情况</w:t>
            </w:r>
          </w:p>
        </w:tc>
        <w:tc>
          <w:tcPr>
            <w:tcW w:w="1995" w:type="dxa"/>
            <w:vMerge w:val="restart"/>
            <w:tcBorders>
              <w:top w:val="single" w:sz="12" w:space="0" w:color="000000"/>
              <w:left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3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81" w:hRule="exact"/>
        </w:trPr>
        <w:tc>
          <w:tcPr>
            <w:tcW w:w="653" w:type="dxa"/>
            <w:vMerge/>
            <w:tcBorders>
              <w:left w:val="single" w:sz="12" w:space="0" w:color="000000"/>
              <w:bottom w:val="single" w:sz="6" w:space="0" w:color="000000"/>
              <w:right w:val="single" w:sz="6" w:space="0" w:color="000000"/>
            </w:tcBorders>
          </w:tcPr>
          <w:p>
            <w:pPr/>
          </w:p>
        </w:tc>
        <w:tc>
          <w:tcPr>
            <w:tcW w:w="2009"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可上市交易</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新增可上市交易</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股份数量</w:t>
            </w:r>
          </w:p>
        </w:tc>
        <w:tc>
          <w:tcPr>
            <w:tcW w:w="1995" w:type="dxa"/>
            <w:vMerge/>
            <w:tcBorders>
              <w:left w:val="single" w:sz="6" w:space="0" w:color="000000"/>
              <w:bottom w:val="single" w:sz="6" w:space="0" w:color="000000"/>
              <w:right w:val="single" w:sz="12" w:space="0" w:color="000000"/>
            </w:tcBorders>
          </w:tcPr>
          <w:p>
            <w:pPr/>
          </w:p>
        </w:tc>
      </w:tr>
      <w:tr>
        <w:trPr>
          <w:trHeight w:val="1884" w:hRule="exact"/>
        </w:trPr>
        <w:tc>
          <w:tcPr>
            <w:tcW w:w="653" w:type="dxa"/>
            <w:tcBorders>
              <w:top w:val="single" w:sz="6" w:space="0" w:color="000000"/>
              <w:left w:val="single" w:sz="12" w:space="0" w:color="000000"/>
              <w:bottom w:val="single" w:sz="6" w:space="0" w:color="000000"/>
              <w:right w:val="single" w:sz="6"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sz w:val="18"/>
              </w:rPr>
              <w:t>1</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西藏海涵交通发展有</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300,343,725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sz w:val="18"/>
              </w:rPr>
              <w:t>2016-12-20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300,343,725</w:t>
            </w:r>
          </w:p>
        </w:tc>
        <w:tc>
          <w:tcPr>
            <w:tcW w:w="1995" w:type="dxa"/>
            <w:tcBorders>
              <w:top w:val="single" w:sz="6" w:space="0" w:color="000000"/>
              <w:left w:val="single" w:sz="6" w:space="0" w:color="000000"/>
              <w:bottom w:val="single" w:sz="6" w:space="0" w:color="000000"/>
              <w:right w:val="single" w:sz="12"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西藏海涵与本公司签</w:t>
            </w:r>
          </w:p>
          <w:p>
            <w:pPr>
              <w:pStyle w:val="TableParagraph"/>
              <w:spacing w:line="237" w:lineRule="auto"/>
              <w:ind w:left="100" w:right="70"/>
              <w:jc w:val="left"/>
              <w:rPr>
                <w:rFonts w:ascii="宋体" w:hAnsi="宋体" w:cs="宋体" w:eastAsia="宋体" w:hint="default"/>
                <w:sz w:val="18"/>
                <w:szCs w:val="18"/>
              </w:rPr>
            </w:pPr>
            <w:r>
              <w:rPr>
                <w:rFonts w:ascii="宋体" w:hAnsi="宋体" w:cs="宋体" w:eastAsia="宋体" w:hint="default"/>
                <w:sz w:val="18"/>
                <w:szCs w:val="18"/>
              </w:rPr>
              <w:t>署的《股份认购协议》 中承诺：本次发行的股 份认购结束后，三十六 个月内不转让其根据 本协议所认购的本公 司本次非公开发行的 股份。</w:t>
            </w:r>
          </w:p>
        </w:tc>
      </w:tr>
      <w:tr>
        <w:trPr>
          <w:trHeight w:val="1882" w:hRule="exact"/>
        </w:trPr>
        <w:tc>
          <w:tcPr>
            <w:tcW w:w="653"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sz w:val="18"/>
              </w:rPr>
              <w:t>2</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西藏天圣交通发展投</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140,160,405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2016-12-20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140,160,405</w:t>
            </w:r>
          </w:p>
        </w:tc>
        <w:tc>
          <w:tcPr>
            <w:tcW w:w="1995" w:type="dxa"/>
            <w:tcBorders>
              <w:top w:val="single" w:sz="6" w:space="0" w:color="000000"/>
              <w:left w:val="single" w:sz="6" w:space="0" w:color="000000"/>
              <w:bottom w:val="single" w:sz="6" w:space="0" w:color="000000"/>
              <w:right w:val="single" w:sz="12"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西藏天圣与本公司签</w:t>
            </w:r>
          </w:p>
          <w:p>
            <w:pPr>
              <w:pStyle w:val="TableParagraph"/>
              <w:spacing w:line="237" w:lineRule="auto"/>
              <w:ind w:left="100" w:right="70"/>
              <w:jc w:val="left"/>
              <w:rPr>
                <w:rFonts w:ascii="宋体" w:hAnsi="宋体" w:cs="宋体" w:eastAsia="宋体" w:hint="default"/>
                <w:sz w:val="18"/>
                <w:szCs w:val="18"/>
              </w:rPr>
            </w:pPr>
            <w:r>
              <w:rPr>
                <w:rFonts w:ascii="宋体" w:hAnsi="宋体" w:cs="宋体" w:eastAsia="宋体" w:hint="default"/>
                <w:sz w:val="18"/>
                <w:szCs w:val="18"/>
              </w:rPr>
              <w:t>署的《股份认购协议》 中承诺：本次发行的股 份认购结束后，三十六 个月内不转让其根据 本协议所认购的本公 司本次非公开发行的 股份。</w:t>
            </w:r>
          </w:p>
        </w:tc>
      </w:tr>
      <w:tr>
        <w:trPr>
          <w:trHeight w:val="490" w:hRule="exact"/>
        </w:trPr>
        <w:tc>
          <w:tcPr>
            <w:tcW w:w="2662"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w:t>
            </w: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的说明</w:t>
            </w:r>
          </w:p>
        </w:tc>
        <w:tc>
          <w:tcPr>
            <w:tcW w:w="6387" w:type="dxa"/>
            <w:gridSpan w:val="4"/>
            <w:tcBorders>
              <w:top w:val="single" w:sz="6" w:space="0" w:color="000000"/>
              <w:left w:val="single" w:sz="6" w:space="0" w:color="000000"/>
              <w:bottom w:val="single" w:sz="12"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上述股东之间不存在关联关系或一致行动的情况。</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238" w:right="0"/>
        <w:jc w:val="left"/>
        <w:rPr>
          <w:b w:val="0"/>
          <w:bCs w:val="0"/>
        </w:rPr>
      </w:pPr>
      <w:r>
        <w:rPr/>
        <w:t>三、</w:t>
      </w:r>
      <w:r>
        <w:rPr>
          <w:spacing w:val="-79"/>
        </w:rPr>
        <w:t> </w:t>
      </w:r>
      <w:r>
        <w:rPr/>
        <w:t>控股股东及实际控制人情况</w:t>
      </w:r>
      <w:r>
        <w:rPr>
          <w:b w:val="0"/>
          <w:bCs w:val="0"/>
        </w:rPr>
      </w:r>
    </w:p>
    <w:p>
      <w:pPr>
        <w:pStyle w:val="Heading2"/>
        <w:spacing w:line="240" w:lineRule="auto" w:before="58"/>
        <w:ind w:left="2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b w:val="0"/>
          <w:bCs w:val="0"/>
        </w:rPr>
      </w:r>
    </w:p>
    <w:p>
      <w:pPr>
        <w:pStyle w:val="Heading2"/>
        <w:tabs>
          <w:tab w:pos="657" w:val="left" w:leader="none"/>
        </w:tabs>
        <w:spacing w:line="240" w:lineRule="auto" w:before="29"/>
        <w:ind w:left="238" w:right="0"/>
        <w:jc w:val="left"/>
        <w:rPr>
          <w:b w:val="0"/>
          <w:bCs w:val="0"/>
        </w:rPr>
      </w:pPr>
      <w:r>
        <w:rPr>
          <w:rFonts w:ascii="宋体" w:hAnsi="宋体" w:cs="宋体" w:eastAsia="宋体" w:hint="default"/>
          <w:w w:val="95"/>
        </w:rPr>
        <w:t>1</w:t>
        <w:tab/>
      </w:r>
      <w:r>
        <w:rPr/>
        <w:t>公司不存在控股股东情况的特别说明</w:t>
      </w:r>
      <w:r>
        <w:rPr>
          <w:b w:val="0"/>
          <w:bCs w:val="0"/>
        </w:rPr>
      </w:r>
    </w:p>
    <w:p>
      <w:pPr>
        <w:pStyle w:val="BodyText"/>
        <w:spacing w:line="273" w:lineRule="exact" w:before="119"/>
        <w:ind w:left="658" w:right="0"/>
        <w:jc w:val="left"/>
      </w:pPr>
      <w:r>
        <w:rPr>
          <w:w w:val="100"/>
        </w:rPr>
        <w:t>公司</w:t>
      </w:r>
      <w:r>
        <w:rPr>
          <w:spacing w:val="-53"/>
        </w:rPr>
        <w:t> </w:t>
      </w:r>
      <w:r>
        <w:rPr>
          <w:rFonts w:ascii="宋体" w:hAnsi="宋体" w:cs="宋体" w:eastAsia="宋体" w:hint="default"/>
          <w:spacing w:val="-3"/>
          <w:w w:val="100"/>
        </w:rPr>
        <w:t>2</w:t>
      </w:r>
      <w:r>
        <w:rPr>
          <w:rFonts w:ascii="宋体" w:hAnsi="宋体" w:cs="宋体" w:eastAsia="宋体" w:hint="default"/>
          <w:w w:val="100"/>
        </w:rPr>
        <w:t>008</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7</w:t>
      </w:r>
      <w:r>
        <w:rPr>
          <w:rFonts w:ascii="宋体" w:hAnsi="宋体" w:cs="宋体" w:eastAsia="宋体" w:hint="default"/>
          <w:spacing w:val="-55"/>
        </w:rPr>
        <w:t> </w:t>
      </w:r>
      <w:r>
        <w:rPr>
          <w:w w:val="100"/>
        </w:rPr>
        <w:t>月</w:t>
      </w:r>
      <w:r>
        <w:rPr>
          <w:spacing w:val="-52"/>
        </w:rPr>
        <w:t> </w:t>
      </w:r>
      <w:r>
        <w:rPr>
          <w:rFonts w:ascii="宋体" w:hAnsi="宋体" w:cs="宋体" w:eastAsia="宋体" w:hint="default"/>
          <w:w w:val="100"/>
        </w:rPr>
        <w:t>31</w:t>
      </w:r>
      <w:r>
        <w:rPr>
          <w:rFonts w:ascii="宋体" w:hAnsi="宋体" w:cs="宋体" w:eastAsia="宋体" w:hint="default"/>
          <w:spacing w:val="-55"/>
        </w:rPr>
        <w:t> </w:t>
      </w:r>
      <w:r>
        <w:rPr>
          <w:w w:val="100"/>
        </w:rPr>
        <w:t>日</w:t>
      </w:r>
      <w:r>
        <w:rPr>
          <w:spacing w:val="-3"/>
          <w:w w:val="100"/>
        </w:rPr>
        <w:t>发</w:t>
      </w:r>
      <w:r>
        <w:rPr>
          <w:w w:val="100"/>
        </w:rPr>
        <w:t>布董</w:t>
      </w:r>
      <w:r>
        <w:rPr>
          <w:spacing w:val="-3"/>
          <w:w w:val="100"/>
        </w:rPr>
        <w:t>事</w:t>
      </w:r>
      <w:r>
        <w:rPr>
          <w:w w:val="100"/>
        </w:rPr>
        <w:t>会</w:t>
      </w:r>
      <w:r>
        <w:rPr>
          <w:spacing w:val="-3"/>
          <w:w w:val="100"/>
        </w:rPr>
        <w:t>公</w:t>
      </w:r>
      <w:r>
        <w:rPr>
          <w:w w:val="100"/>
        </w:rPr>
        <w:t>告</w:t>
      </w:r>
      <w:r>
        <w:rPr>
          <w:spacing w:val="-85"/>
          <w:w w:val="100"/>
        </w:rPr>
        <w:t>，</w:t>
      </w:r>
      <w:r>
        <w:rPr>
          <w:w w:val="100"/>
        </w:rPr>
        <w:t>董</w:t>
      </w:r>
      <w:r>
        <w:rPr>
          <w:spacing w:val="-3"/>
          <w:w w:val="100"/>
        </w:rPr>
        <w:t>事</w:t>
      </w:r>
      <w:r>
        <w:rPr>
          <w:w w:val="100"/>
        </w:rPr>
        <w:t>会</w:t>
      </w:r>
      <w:r>
        <w:rPr>
          <w:spacing w:val="-3"/>
          <w:w w:val="100"/>
        </w:rPr>
        <w:t>认为</w:t>
      </w:r>
      <w:r>
        <w:rPr>
          <w:spacing w:val="-82"/>
          <w:w w:val="100"/>
        </w:rPr>
        <w:t>，</w:t>
      </w:r>
      <w:r>
        <w:rPr>
          <w:w w:val="100"/>
        </w:rPr>
        <w:t>根</w:t>
      </w:r>
      <w:r>
        <w:rPr>
          <w:spacing w:val="-3"/>
          <w:w w:val="100"/>
        </w:rPr>
        <w:t>据</w:t>
      </w:r>
      <w:r>
        <w:rPr>
          <w:w w:val="100"/>
        </w:rPr>
        <w:t>目</w:t>
      </w:r>
      <w:r>
        <w:rPr>
          <w:spacing w:val="-3"/>
          <w:w w:val="100"/>
        </w:rPr>
        <w:t>前</w:t>
      </w:r>
      <w:r>
        <w:rPr>
          <w:w w:val="100"/>
        </w:rPr>
        <w:t>的</w:t>
      </w:r>
      <w:r>
        <w:rPr>
          <w:spacing w:val="-3"/>
          <w:w w:val="100"/>
        </w:rPr>
        <w:t>实</w:t>
      </w:r>
      <w:r>
        <w:rPr>
          <w:w w:val="100"/>
        </w:rPr>
        <w:t>际</w:t>
      </w:r>
      <w:r>
        <w:rPr>
          <w:spacing w:val="-3"/>
          <w:w w:val="100"/>
        </w:rPr>
        <w:t>情</w:t>
      </w:r>
      <w:r>
        <w:rPr>
          <w:w w:val="100"/>
        </w:rPr>
        <w:t>况</w:t>
      </w:r>
      <w:r>
        <w:rPr>
          <w:spacing w:val="-85"/>
          <w:w w:val="100"/>
        </w:rPr>
        <w:t>，</w:t>
      </w:r>
      <w:r>
        <w:rPr>
          <w:spacing w:val="-3"/>
          <w:w w:val="100"/>
        </w:rPr>
        <w:t>对</w:t>
      </w:r>
      <w:r>
        <w:rPr>
          <w:spacing w:val="-82"/>
          <w:w w:val="100"/>
        </w:rPr>
        <w:t>照</w:t>
      </w:r>
      <w:r>
        <w:rPr>
          <w:w w:val="100"/>
        </w:rPr>
        <w:t>《</w:t>
      </w:r>
      <w:r>
        <w:rPr>
          <w:spacing w:val="-3"/>
          <w:w w:val="100"/>
        </w:rPr>
        <w:t>公</w:t>
      </w:r>
      <w:r>
        <w:rPr>
          <w:w w:val="100"/>
        </w:rPr>
        <w:t>司</w:t>
      </w:r>
      <w:r>
        <w:rPr>
          <w:spacing w:val="-3"/>
          <w:w w:val="100"/>
        </w:rPr>
        <w:t>法</w:t>
      </w:r>
      <w:r>
        <w:rPr>
          <w:spacing w:val="-82"/>
          <w:w w:val="100"/>
        </w:rPr>
        <w:t>》</w:t>
      </w:r>
      <w:r>
        <w:rPr>
          <w:w w:val="100"/>
        </w:rPr>
        <w:t>、</w:t>
      </w:r>
    </w:p>
    <w:p>
      <w:pPr>
        <w:pStyle w:val="BodyText"/>
        <w:spacing w:line="240" w:lineRule="auto"/>
        <w:ind w:left="238" w:right="0"/>
        <w:jc w:val="left"/>
      </w:pPr>
      <w:r>
        <w:rPr>
          <w:spacing w:val="-1"/>
        </w:rPr>
        <w:t>《上市公司收购管理办法》、《上海证券交易所股票上市规则》等法律、法规对控股股东、实际</w:t>
      </w:r>
      <w:r>
        <w:rPr>
          <w:spacing w:val="-55"/>
        </w:rPr>
        <w:t> </w:t>
      </w:r>
      <w:r>
        <w:rPr>
          <w:spacing w:val="-55"/>
        </w:rPr>
      </w:r>
      <w:r>
        <w:rPr/>
        <w:t>控制人的认定标准，本公司已不存在控股股东与实际控制人。东方集团为本公司第一大股东。</w:t>
      </w:r>
    </w:p>
    <w:p>
      <w:pPr>
        <w:pStyle w:val="BodyText"/>
        <w:spacing w:line="230" w:lineRule="auto" w:before="126"/>
        <w:ind w:left="238" w:right="407" w:firstLine="419"/>
        <w:jc w:val="both"/>
      </w:pP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16 </w:t>
      </w:r>
      <w:r>
        <w:rPr/>
        <w:t>日，本公司股东大连港集团通过受让股东锦港国经持有的本公司</w:t>
      </w:r>
      <w:r>
        <w:rPr>
          <w:spacing w:val="-47"/>
        </w:rPr>
        <w:t> </w:t>
      </w:r>
      <w:r>
        <w:rPr>
          <w:rFonts w:ascii="Times New Roman" w:hAnsi="Times New Roman" w:cs="Times New Roman" w:eastAsia="Times New Roman" w:hint="default"/>
        </w:rPr>
        <w:t>7,855.7905</w:t>
      </w:r>
      <w:r>
        <w:rPr>
          <w:rFonts w:ascii="Times New Roman" w:hAnsi="Times New Roman" w:cs="Times New Roman" w:eastAsia="Times New Roman" w:hint="default"/>
          <w:w w:val="100"/>
        </w:rPr>
        <w:t> </w:t>
      </w:r>
      <w:r>
        <w:rPr/>
        <w:t>万股</w:t>
      </w:r>
      <w:r>
        <w:rPr>
          <w:spacing w:val="-48"/>
        </w:rPr>
        <w:t> </w:t>
      </w:r>
      <w:r>
        <w:rPr>
          <w:rFonts w:ascii="Times New Roman" w:hAnsi="Times New Roman" w:cs="Times New Roman" w:eastAsia="Times New Roman" w:hint="default"/>
        </w:rPr>
        <w:t>A</w:t>
      </w:r>
      <w:r>
        <w:rPr>
          <w:rFonts w:ascii="Times New Roman" w:hAnsi="Times New Roman" w:cs="Times New Roman" w:eastAsia="Times New Roman" w:hint="default"/>
          <w:spacing w:val="6"/>
        </w:rPr>
        <w:t> </w:t>
      </w:r>
      <w:r>
        <w:rPr/>
        <w:t>股流通股股份，成为本公司第一大股东，持股比例为</w:t>
      </w:r>
      <w:r>
        <w:rPr>
          <w:spacing w:val="-48"/>
        </w:rPr>
        <w:t> </w:t>
      </w:r>
      <w:r>
        <w:rPr>
          <w:rFonts w:ascii="Times New Roman" w:hAnsi="Times New Roman" w:cs="Times New Roman" w:eastAsia="Times New Roman" w:hint="default"/>
        </w:rPr>
        <w:t>19.08%</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19</w:t>
      </w:r>
      <w:r>
        <w:rPr>
          <w:rFonts w:ascii="Times New Roman" w:hAnsi="Times New Roman" w:cs="Times New Roman" w:eastAsia="Times New Roman" w:hint="default"/>
          <w:spacing w:val="5"/>
        </w:rPr>
        <w:t> </w:t>
      </w:r>
      <w:r>
        <w:rPr/>
        <w:t>日，根据</w:t>
      </w:r>
      <w:r>
        <w:rPr>
          <w:w w:val="100"/>
        </w:rPr>
        <w:t> </w:t>
      </w:r>
      <w:r>
        <w:rPr>
          <w:spacing w:val="-1"/>
        </w:rPr>
        <w:t>大连港集团书面通知，公司第一大股东由大连港集团拟变更为大连港投融资控股集团有限公司，</w:t>
      </w:r>
      <w:r>
        <w:rPr>
          <w:spacing w:val="-55"/>
        </w:rPr>
        <w:t> </w:t>
      </w:r>
      <w:r>
        <w:rPr>
          <w:spacing w:val="-55"/>
        </w:rPr>
      </w:r>
      <w:r>
        <w:rPr/>
        <w:t>本次变更尚需取得国资委等部门批准。</w:t>
      </w:r>
    </w:p>
    <w:p>
      <w:pPr>
        <w:pStyle w:val="BodyText"/>
        <w:spacing w:line="240" w:lineRule="auto" w:before="117"/>
        <w:ind w:left="658" w:right="0"/>
        <w:jc w:val="left"/>
      </w:pPr>
      <w:r>
        <w:rPr/>
        <w:t>公司第一大股东仍为大连港集团。本公司仍不存在控股股东与实际控制人。</w:t>
      </w:r>
    </w:p>
    <w:p>
      <w:pPr>
        <w:spacing w:after="0" w:line="240" w:lineRule="auto"/>
        <w:jc w:val="left"/>
        <w:sectPr>
          <w:pgSz w:w="11910" w:h="16840"/>
          <w:pgMar w:header="880" w:footer="1195" w:top="1120" w:bottom="1380" w:left="1560" w:right="860"/>
        </w:sectPr>
      </w:pPr>
    </w:p>
    <w:p>
      <w:pPr>
        <w:spacing w:line="240" w:lineRule="auto" w:before="4"/>
        <w:rPr>
          <w:rFonts w:ascii="宋体" w:hAnsi="宋体" w:cs="宋体" w:eastAsia="宋体" w:hint="default"/>
          <w:sz w:val="25"/>
          <w:szCs w:val="25"/>
        </w:rPr>
      </w:pPr>
    </w:p>
    <w:p>
      <w:pPr>
        <w:pStyle w:val="Heading2"/>
        <w:spacing w:line="240" w:lineRule="auto"/>
        <w:ind w:left="55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实际控制人情况</w:t>
      </w:r>
      <w:r>
        <w:rPr>
          <w:b w:val="0"/>
          <w:bCs w:val="0"/>
        </w:rPr>
      </w:r>
    </w:p>
    <w:p>
      <w:pPr>
        <w:pStyle w:val="Heading2"/>
        <w:tabs>
          <w:tab w:pos="982" w:val="left" w:leader="none"/>
        </w:tabs>
        <w:spacing w:line="240" w:lineRule="auto" w:before="32"/>
        <w:ind w:left="558" w:right="0"/>
        <w:jc w:val="left"/>
        <w:rPr>
          <w:b w:val="0"/>
          <w:bCs w:val="0"/>
        </w:rPr>
      </w:pPr>
      <w:r>
        <w:rPr>
          <w:rFonts w:ascii="宋体" w:hAnsi="宋体" w:cs="宋体" w:eastAsia="宋体" w:hint="default"/>
          <w:w w:val="95"/>
        </w:rPr>
        <w:t>1</w:t>
        <w:tab/>
      </w:r>
      <w:r>
        <w:rPr/>
        <w:t>公司不存在实际控制人情况的特别说明</w:t>
      </w:r>
      <w:r>
        <w:rPr>
          <w:b w:val="0"/>
          <w:bCs w:val="0"/>
        </w:rPr>
      </w:r>
    </w:p>
    <w:p>
      <w:pPr>
        <w:pStyle w:val="BodyText"/>
        <w:spacing w:line="274" w:lineRule="exact" w:before="116"/>
        <w:ind w:left="978" w:right="0"/>
        <w:jc w:val="left"/>
      </w:pPr>
      <w:r>
        <w:rPr>
          <w:w w:val="100"/>
        </w:rPr>
        <w:t>公司</w:t>
      </w:r>
      <w:r>
        <w:rPr>
          <w:spacing w:val="-53"/>
        </w:rPr>
        <w:t> </w:t>
      </w:r>
      <w:r>
        <w:rPr>
          <w:rFonts w:ascii="宋体" w:hAnsi="宋体" w:cs="宋体" w:eastAsia="宋体" w:hint="default"/>
          <w:spacing w:val="-3"/>
          <w:w w:val="100"/>
        </w:rPr>
        <w:t>2</w:t>
      </w:r>
      <w:r>
        <w:rPr>
          <w:rFonts w:ascii="宋体" w:hAnsi="宋体" w:cs="宋体" w:eastAsia="宋体" w:hint="default"/>
          <w:w w:val="100"/>
        </w:rPr>
        <w:t>008</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7</w:t>
      </w:r>
      <w:r>
        <w:rPr>
          <w:rFonts w:ascii="宋体" w:hAnsi="宋体" w:cs="宋体" w:eastAsia="宋体" w:hint="default"/>
          <w:spacing w:val="-55"/>
        </w:rPr>
        <w:t> </w:t>
      </w:r>
      <w:r>
        <w:rPr>
          <w:w w:val="100"/>
        </w:rPr>
        <w:t>月</w:t>
      </w:r>
      <w:r>
        <w:rPr>
          <w:spacing w:val="-52"/>
        </w:rPr>
        <w:t> </w:t>
      </w:r>
      <w:r>
        <w:rPr>
          <w:rFonts w:ascii="宋体" w:hAnsi="宋体" w:cs="宋体" w:eastAsia="宋体" w:hint="default"/>
          <w:w w:val="100"/>
        </w:rPr>
        <w:t>31</w:t>
      </w:r>
      <w:r>
        <w:rPr>
          <w:rFonts w:ascii="宋体" w:hAnsi="宋体" w:cs="宋体" w:eastAsia="宋体" w:hint="default"/>
          <w:spacing w:val="-55"/>
        </w:rPr>
        <w:t> </w:t>
      </w:r>
      <w:r>
        <w:rPr>
          <w:w w:val="100"/>
        </w:rPr>
        <w:t>日</w:t>
      </w:r>
      <w:r>
        <w:rPr>
          <w:spacing w:val="-3"/>
          <w:w w:val="100"/>
        </w:rPr>
        <w:t>发</w:t>
      </w:r>
      <w:r>
        <w:rPr>
          <w:w w:val="100"/>
        </w:rPr>
        <w:t>布董</w:t>
      </w:r>
      <w:r>
        <w:rPr>
          <w:spacing w:val="-3"/>
          <w:w w:val="100"/>
        </w:rPr>
        <w:t>事</w:t>
      </w:r>
      <w:r>
        <w:rPr>
          <w:w w:val="100"/>
        </w:rPr>
        <w:t>会</w:t>
      </w:r>
      <w:r>
        <w:rPr>
          <w:spacing w:val="-3"/>
          <w:w w:val="100"/>
        </w:rPr>
        <w:t>公</w:t>
      </w:r>
      <w:r>
        <w:rPr>
          <w:w w:val="100"/>
        </w:rPr>
        <w:t>告</w:t>
      </w:r>
      <w:r>
        <w:rPr>
          <w:spacing w:val="-85"/>
          <w:w w:val="100"/>
        </w:rPr>
        <w:t>，</w:t>
      </w:r>
      <w:r>
        <w:rPr>
          <w:w w:val="100"/>
        </w:rPr>
        <w:t>董</w:t>
      </w:r>
      <w:r>
        <w:rPr>
          <w:spacing w:val="-3"/>
          <w:w w:val="100"/>
        </w:rPr>
        <w:t>事</w:t>
      </w:r>
      <w:r>
        <w:rPr>
          <w:w w:val="100"/>
        </w:rPr>
        <w:t>会</w:t>
      </w:r>
      <w:r>
        <w:rPr>
          <w:spacing w:val="-3"/>
          <w:w w:val="100"/>
        </w:rPr>
        <w:t>认为</w:t>
      </w:r>
      <w:r>
        <w:rPr>
          <w:spacing w:val="-82"/>
          <w:w w:val="100"/>
        </w:rPr>
        <w:t>，</w:t>
      </w:r>
      <w:r>
        <w:rPr>
          <w:w w:val="100"/>
        </w:rPr>
        <w:t>根</w:t>
      </w:r>
      <w:r>
        <w:rPr>
          <w:spacing w:val="-3"/>
          <w:w w:val="100"/>
        </w:rPr>
        <w:t>据</w:t>
      </w:r>
      <w:r>
        <w:rPr>
          <w:w w:val="100"/>
        </w:rPr>
        <w:t>目</w:t>
      </w:r>
      <w:r>
        <w:rPr>
          <w:spacing w:val="-3"/>
          <w:w w:val="100"/>
        </w:rPr>
        <w:t>前</w:t>
      </w:r>
      <w:r>
        <w:rPr>
          <w:w w:val="100"/>
        </w:rPr>
        <w:t>的</w:t>
      </w:r>
      <w:r>
        <w:rPr>
          <w:spacing w:val="-3"/>
          <w:w w:val="100"/>
        </w:rPr>
        <w:t>实</w:t>
      </w:r>
      <w:r>
        <w:rPr>
          <w:w w:val="100"/>
        </w:rPr>
        <w:t>际</w:t>
      </w:r>
      <w:r>
        <w:rPr>
          <w:spacing w:val="-3"/>
          <w:w w:val="100"/>
        </w:rPr>
        <w:t>情</w:t>
      </w:r>
      <w:r>
        <w:rPr>
          <w:w w:val="100"/>
        </w:rPr>
        <w:t>况</w:t>
      </w:r>
      <w:r>
        <w:rPr>
          <w:spacing w:val="-85"/>
          <w:w w:val="100"/>
        </w:rPr>
        <w:t>，</w:t>
      </w:r>
      <w:r>
        <w:rPr>
          <w:spacing w:val="-3"/>
          <w:w w:val="100"/>
        </w:rPr>
        <w:t>对</w:t>
      </w:r>
      <w:r>
        <w:rPr>
          <w:spacing w:val="-82"/>
          <w:w w:val="100"/>
        </w:rPr>
        <w:t>照</w:t>
      </w:r>
      <w:r>
        <w:rPr>
          <w:w w:val="100"/>
        </w:rPr>
        <w:t>《</w:t>
      </w:r>
      <w:r>
        <w:rPr>
          <w:spacing w:val="-3"/>
          <w:w w:val="100"/>
        </w:rPr>
        <w:t>公</w:t>
      </w:r>
      <w:r>
        <w:rPr>
          <w:w w:val="100"/>
        </w:rPr>
        <w:t>司</w:t>
      </w:r>
      <w:r>
        <w:rPr>
          <w:spacing w:val="-3"/>
          <w:w w:val="100"/>
        </w:rPr>
        <w:t>法</w:t>
      </w:r>
      <w:r>
        <w:rPr>
          <w:spacing w:val="-82"/>
          <w:w w:val="100"/>
        </w:rPr>
        <w:t>》</w:t>
      </w:r>
      <w:r>
        <w:rPr>
          <w:w w:val="100"/>
        </w:rPr>
        <w:t>、</w:t>
      </w:r>
    </w:p>
    <w:p>
      <w:pPr>
        <w:pStyle w:val="BodyText"/>
        <w:spacing w:line="272" w:lineRule="exact" w:before="27"/>
        <w:ind w:left="558" w:right="0"/>
        <w:jc w:val="left"/>
      </w:pPr>
      <w:r>
        <w:rPr>
          <w:spacing w:val="-1"/>
        </w:rPr>
        <w:t>《上市公司收购管理办法》、《上海证券交易所股票上市规则》等法律、法规对控股股东、实际</w:t>
      </w:r>
      <w:r>
        <w:rPr>
          <w:spacing w:val="-55"/>
        </w:rPr>
        <w:t> </w:t>
      </w:r>
      <w:r>
        <w:rPr>
          <w:spacing w:val="-55"/>
        </w:rPr>
      </w:r>
      <w:r>
        <w:rPr/>
        <w:t>控制人的认定标准，本公司已不存在控股股东与实际控制人。东方集团为本公司第一大股东。</w:t>
      </w:r>
    </w:p>
    <w:p>
      <w:pPr>
        <w:pStyle w:val="BodyText"/>
        <w:spacing w:line="228" w:lineRule="auto" w:before="106"/>
        <w:ind w:left="558" w:right="787" w:firstLine="419"/>
        <w:jc w:val="both"/>
      </w:pP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16 </w:t>
      </w:r>
      <w:r>
        <w:rPr/>
        <w:t>日，本公司股东大连港集团通过受让股东锦港国经持有的本公司</w:t>
      </w:r>
      <w:r>
        <w:rPr>
          <w:spacing w:val="-47"/>
        </w:rPr>
        <w:t> </w:t>
      </w:r>
      <w:r>
        <w:rPr>
          <w:rFonts w:ascii="Times New Roman" w:hAnsi="Times New Roman" w:cs="Times New Roman" w:eastAsia="Times New Roman" w:hint="default"/>
        </w:rPr>
        <w:t>7,855.7905</w:t>
      </w:r>
      <w:r>
        <w:rPr>
          <w:rFonts w:ascii="Times New Roman" w:hAnsi="Times New Roman" w:cs="Times New Roman" w:eastAsia="Times New Roman" w:hint="default"/>
          <w:w w:val="100"/>
        </w:rPr>
        <w:t> </w:t>
      </w:r>
      <w:r>
        <w:rPr/>
        <w:t>万股</w:t>
      </w:r>
      <w:r>
        <w:rPr>
          <w:spacing w:val="-48"/>
        </w:rPr>
        <w:t> </w:t>
      </w:r>
      <w:r>
        <w:rPr>
          <w:rFonts w:ascii="Times New Roman" w:hAnsi="Times New Roman" w:cs="Times New Roman" w:eastAsia="Times New Roman" w:hint="default"/>
        </w:rPr>
        <w:t>A</w:t>
      </w:r>
      <w:r>
        <w:rPr>
          <w:rFonts w:ascii="Times New Roman" w:hAnsi="Times New Roman" w:cs="Times New Roman" w:eastAsia="Times New Roman" w:hint="default"/>
          <w:spacing w:val="6"/>
        </w:rPr>
        <w:t> </w:t>
      </w:r>
      <w:r>
        <w:rPr/>
        <w:t>股流通股股份，成为本公司第一大股东，持股比例为</w:t>
      </w:r>
      <w:r>
        <w:rPr>
          <w:spacing w:val="-48"/>
        </w:rPr>
        <w:t> </w:t>
      </w:r>
      <w:r>
        <w:rPr>
          <w:rFonts w:ascii="Times New Roman" w:hAnsi="Times New Roman" w:cs="Times New Roman" w:eastAsia="Times New Roman" w:hint="default"/>
        </w:rPr>
        <w:t>19.08%</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19</w:t>
      </w:r>
      <w:r>
        <w:rPr>
          <w:rFonts w:ascii="Times New Roman" w:hAnsi="Times New Roman" w:cs="Times New Roman" w:eastAsia="Times New Roman" w:hint="default"/>
          <w:spacing w:val="5"/>
        </w:rPr>
        <w:t> </w:t>
      </w:r>
      <w:r>
        <w:rPr/>
        <w:t>日，根据</w:t>
      </w:r>
      <w:r>
        <w:rPr>
          <w:w w:val="100"/>
        </w:rPr>
        <w:t> </w:t>
      </w:r>
      <w:r>
        <w:rPr>
          <w:spacing w:val="-1"/>
        </w:rPr>
        <w:t>大连港集团书面通知，公司第一大股东由大连港集团拟变更为大连港投融资控股集团有限公司，</w:t>
      </w:r>
      <w:r>
        <w:rPr>
          <w:spacing w:val="-55"/>
        </w:rPr>
        <w:t> </w:t>
      </w:r>
      <w:r>
        <w:rPr>
          <w:spacing w:val="-55"/>
        </w:rPr>
      </w:r>
      <w:r>
        <w:rPr/>
        <w:t>本次变更尚需取得国资委等部门批准。</w:t>
      </w:r>
    </w:p>
    <w:p>
      <w:pPr>
        <w:pStyle w:val="BodyText"/>
        <w:spacing w:line="240" w:lineRule="auto" w:before="120"/>
        <w:ind w:left="978" w:right="0"/>
        <w:jc w:val="left"/>
      </w:pPr>
      <w:r>
        <w:rPr/>
        <w:t>公司第一大股东仍为大连港集团。本公司仍不存在控股股东与实际控制人。</w:t>
      </w:r>
    </w:p>
    <w:p>
      <w:pPr>
        <w:spacing w:line="240" w:lineRule="auto" w:before="6"/>
        <w:rPr>
          <w:rFonts w:ascii="宋体" w:hAnsi="宋体" w:cs="宋体" w:eastAsia="宋体" w:hint="default"/>
          <w:sz w:val="22"/>
          <w:szCs w:val="22"/>
        </w:rPr>
      </w:pPr>
    </w:p>
    <w:p>
      <w:pPr>
        <w:pStyle w:val="Heading2"/>
        <w:spacing w:line="240" w:lineRule="auto"/>
        <w:ind w:left="558" w:right="0"/>
        <w:jc w:val="left"/>
        <w:rPr>
          <w:b w:val="0"/>
          <w:bCs w:val="0"/>
        </w:rPr>
      </w:pPr>
      <w:r>
        <w:rPr/>
        <w:t>四、</w:t>
      </w:r>
      <w:r>
        <w:rPr>
          <w:spacing w:val="-78"/>
        </w:rPr>
        <w:t> </w:t>
      </w:r>
      <w:r>
        <w:rPr/>
        <w:t>其他持股在百分之十以上的法人股东</w:t>
      </w:r>
      <w:r>
        <w:rPr>
          <w:b w:val="0"/>
          <w:bCs w:val="0"/>
        </w:rPr>
      </w:r>
    </w:p>
    <w:p>
      <w:pPr>
        <w:pStyle w:val="BodyText"/>
        <w:tabs>
          <w:tab w:pos="1051" w:val="left" w:leader="none"/>
        </w:tabs>
        <w:spacing w:line="240" w:lineRule="auto" w:before="56"/>
        <w:ind w:left="0" w:right="79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562"/>
        <w:gridCol w:w="874"/>
        <w:gridCol w:w="1025"/>
        <w:gridCol w:w="1839"/>
        <w:gridCol w:w="1387"/>
        <w:gridCol w:w="3238"/>
      </w:tblGrid>
      <w:tr>
        <w:trPr>
          <w:trHeight w:val="955" w:hRule="exact"/>
        </w:trPr>
        <w:tc>
          <w:tcPr>
            <w:tcW w:w="156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874"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158" w:right="0"/>
              <w:jc w:val="both"/>
              <w:rPr>
                <w:rFonts w:ascii="宋体" w:hAnsi="宋体" w:cs="宋体" w:eastAsia="宋体" w:hint="default"/>
                <w:sz w:val="18"/>
                <w:szCs w:val="18"/>
              </w:rPr>
            </w:pPr>
            <w:r>
              <w:rPr>
                <w:rFonts w:ascii="宋体" w:hAnsi="宋体" w:cs="宋体" w:eastAsia="宋体" w:hint="default"/>
                <w:sz w:val="18"/>
                <w:szCs w:val="18"/>
              </w:rPr>
              <w:t>单位负</w:t>
            </w:r>
          </w:p>
          <w:p>
            <w:pPr>
              <w:pStyle w:val="TableParagraph"/>
              <w:spacing w:line="237" w:lineRule="auto"/>
              <w:ind w:left="158" w:right="158"/>
              <w:jc w:val="both"/>
              <w:rPr>
                <w:rFonts w:ascii="宋体" w:hAnsi="宋体" w:cs="宋体" w:eastAsia="宋体" w:hint="default"/>
                <w:sz w:val="18"/>
                <w:szCs w:val="18"/>
              </w:rPr>
            </w:pPr>
            <w:r>
              <w:rPr>
                <w:rFonts w:ascii="宋体" w:hAnsi="宋体" w:cs="宋体" w:eastAsia="宋体" w:hint="default"/>
                <w:sz w:val="18"/>
                <w:szCs w:val="18"/>
              </w:rPr>
              <w:t>责人或 法定代 表人</w:t>
            </w:r>
          </w:p>
        </w:tc>
        <w:tc>
          <w:tcPr>
            <w:tcW w:w="102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83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31" w:right="550"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c>
          <w:tcPr>
            <w:tcW w:w="138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323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主要经营业务或管理活动等情况</w:t>
            </w:r>
          </w:p>
        </w:tc>
      </w:tr>
      <w:tr>
        <w:trPr>
          <w:trHeight w:val="1416" w:hRule="exact"/>
        </w:trPr>
        <w:tc>
          <w:tcPr>
            <w:tcW w:w="1562"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14"/>
                <w:sz w:val="18"/>
                <w:szCs w:val="18"/>
              </w:rPr>
              <w:t>大连港集团有限</w:t>
            </w:r>
            <w:r>
              <w:rPr>
                <w:rFonts w:ascii="宋体" w:hAnsi="宋体" w:cs="宋体" w:eastAsia="宋体" w:hint="default"/>
                <w:sz w:val="18"/>
                <w:szCs w:val="18"/>
              </w:rPr>
            </w: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惠凯</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0"/>
              <w:jc w:val="center"/>
              <w:rPr>
                <w:rFonts w:ascii="宋体" w:hAnsi="宋体" w:cs="宋体" w:eastAsia="宋体" w:hint="default"/>
                <w:sz w:val="18"/>
                <w:szCs w:val="18"/>
              </w:rPr>
            </w:pPr>
            <w:r>
              <w:rPr>
                <w:rFonts w:ascii="宋体"/>
                <w:sz w:val="18"/>
              </w:rPr>
              <w:t>1951-1-1</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912102001184205533</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4,000,000,000</w:t>
            </w:r>
          </w:p>
        </w:tc>
        <w:tc>
          <w:tcPr>
            <w:tcW w:w="3238"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98" w:right="0"/>
              <w:jc w:val="both"/>
              <w:rPr>
                <w:rFonts w:ascii="宋体" w:hAnsi="宋体" w:cs="宋体" w:eastAsia="宋体" w:hint="default"/>
                <w:sz w:val="18"/>
                <w:szCs w:val="18"/>
              </w:rPr>
            </w:pPr>
            <w:r>
              <w:rPr>
                <w:rFonts w:ascii="宋体" w:hAnsi="宋体" w:cs="宋体" w:eastAsia="宋体" w:hint="default"/>
                <w:spacing w:val="-3"/>
                <w:sz w:val="18"/>
                <w:szCs w:val="18"/>
              </w:rPr>
              <w:t>经营范围：法律、法规禁止的，不得经</w:t>
            </w:r>
          </w:p>
          <w:p>
            <w:pPr>
              <w:pStyle w:val="TableParagraph"/>
              <w:spacing w:line="237" w:lineRule="auto" w:before="2"/>
              <w:ind w:left="98" w:right="56"/>
              <w:jc w:val="both"/>
              <w:rPr>
                <w:rFonts w:ascii="宋体" w:hAnsi="宋体" w:cs="宋体" w:eastAsia="宋体" w:hint="default"/>
                <w:sz w:val="18"/>
                <w:szCs w:val="18"/>
              </w:rPr>
            </w:pPr>
            <w:r>
              <w:rPr>
                <w:rFonts w:ascii="宋体" w:hAnsi="宋体" w:cs="宋体" w:eastAsia="宋体" w:hint="default"/>
                <w:sz w:val="18"/>
                <w:szCs w:val="18"/>
              </w:rPr>
              <w:t>营；应审批的，未获审批前不得经营； </w:t>
            </w:r>
            <w:r>
              <w:rPr>
                <w:rFonts w:ascii="宋体" w:hAnsi="宋体" w:cs="宋体" w:eastAsia="宋体" w:hint="default"/>
                <w:spacing w:val="-3"/>
                <w:sz w:val="18"/>
                <w:szCs w:val="18"/>
              </w:rPr>
              <w:t>法律、法规未按规定审批的，企业自主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选择经营项目，开展经营活动。（依法</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须经批准的项目，经相关部门批准后方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可开展经营活动。）</w:t>
            </w:r>
          </w:p>
        </w:tc>
      </w:tr>
      <w:tr>
        <w:trPr>
          <w:trHeight w:val="2350" w:hRule="exact"/>
        </w:trPr>
        <w:tc>
          <w:tcPr>
            <w:tcW w:w="1562"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pacing w:val="14"/>
                <w:sz w:val="18"/>
                <w:szCs w:val="18"/>
              </w:rPr>
              <w:t>东方集团股份有</w:t>
            </w:r>
            <w:r>
              <w:rPr>
                <w:rFonts w:ascii="宋体" w:hAnsi="宋体" w:cs="宋体" w:eastAsia="宋体" w:hint="default"/>
                <w:sz w:val="18"/>
                <w:szCs w:val="18"/>
              </w:rPr>
            </w: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张宏伟</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1992-2-16</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12696590-8</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1,666,805,374</w:t>
            </w:r>
          </w:p>
        </w:tc>
        <w:tc>
          <w:tcPr>
            <w:tcW w:w="3238" w:type="dxa"/>
            <w:tcBorders>
              <w:top w:val="single" w:sz="6" w:space="0" w:color="000000"/>
              <w:left w:val="single" w:sz="6" w:space="0" w:color="000000"/>
              <w:bottom w:val="single" w:sz="6" w:space="0" w:color="000000"/>
              <w:right w:val="single" w:sz="12"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8"/>
                <w:sz w:val="18"/>
                <w:szCs w:val="18"/>
              </w:rPr>
              <w:t>经营范围包括粮食收购。货物（或技术）</w:t>
            </w:r>
          </w:p>
          <w:p>
            <w:pPr>
              <w:pStyle w:val="TableParagraph"/>
              <w:spacing w:line="232" w:lineRule="exact" w:before="24"/>
              <w:ind w:left="98" w:right="82"/>
              <w:jc w:val="both"/>
              <w:rPr>
                <w:rFonts w:ascii="宋体" w:hAnsi="宋体" w:cs="宋体" w:eastAsia="宋体" w:hint="default"/>
                <w:sz w:val="18"/>
                <w:szCs w:val="18"/>
              </w:rPr>
            </w:pPr>
            <w:r>
              <w:rPr>
                <w:rFonts w:ascii="宋体" w:hAnsi="宋体" w:cs="宋体" w:eastAsia="宋体" w:hint="default"/>
                <w:spacing w:val="-3"/>
                <w:sz w:val="18"/>
                <w:szCs w:val="18"/>
              </w:rPr>
              <w:t>进出口（国家禁止的项目除外，国营贸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9"/>
                <w:sz w:val="18"/>
                <w:szCs w:val="18"/>
              </w:rPr>
              <w:t>易或国家限制项目取得授权或许可后</w:t>
            </w:r>
            <w:r>
              <w:rPr>
                <w:rFonts w:ascii="宋体" w:hAnsi="宋体" w:cs="宋体" w:eastAsia="宋体" w:hint="default"/>
                <w:spacing w:val="9"/>
                <w:sz w:val="18"/>
                <w:szCs w:val="18"/>
              </w:rPr>
              <w:t> </w:t>
            </w:r>
            <w:r>
              <w:rPr>
                <w:rFonts w:ascii="宋体" w:hAnsi="宋体" w:cs="宋体" w:eastAsia="宋体" w:hint="default"/>
                <w:spacing w:val="-3"/>
                <w:sz w:val="18"/>
                <w:szCs w:val="18"/>
              </w:rPr>
              <w:t>方可经营）。对外经济技术合作，对外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工程承包，职业中介；物业管理；经销</w:t>
            </w:r>
          </w:p>
          <w:p>
            <w:pPr>
              <w:pStyle w:val="TableParagraph"/>
              <w:spacing w:line="232" w:lineRule="exact" w:before="3"/>
              <w:ind w:left="98" w:right="3"/>
              <w:jc w:val="left"/>
              <w:rPr>
                <w:rFonts w:ascii="宋体" w:hAnsi="宋体" w:cs="宋体" w:eastAsia="宋体" w:hint="default"/>
                <w:sz w:val="18"/>
                <w:szCs w:val="18"/>
              </w:rPr>
            </w:pPr>
            <w:r>
              <w:rPr>
                <w:rFonts w:ascii="宋体" w:hAnsi="宋体" w:cs="宋体" w:eastAsia="宋体" w:hint="default"/>
                <w:sz w:val="18"/>
                <w:szCs w:val="18"/>
              </w:rPr>
              <w:t>建筑轻工材料，家具，家居装饰材料， </w:t>
            </w:r>
            <w:r>
              <w:rPr>
                <w:rFonts w:ascii="宋体" w:hAnsi="宋体" w:cs="宋体" w:eastAsia="宋体" w:hint="default"/>
                <w:spacing w:val="-8"/>
                <w:sz w:val="18"/>
                <w:szCs w:val="18"/>
              </w:rPr>
              <w:t>建筑机械，五金交电，卫生洁具；生产、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销售电接触材料品，开发无银触头相关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产品；粮食销售，水稻种植，优良种子</w:t>
            </w:r>
          </w:p>
          <w:p>
            <w:pPr>
              <w:pStyle w:val="TableParagraph"/>
              <w:spacing w:line="214" w:lineRule="exact"/>
              <w:ind w:left="98" w:right="0"/>
              <w:jc w:val="left"/>
              <w:rPr>
                <w:rFonts w:ascii="宋体" w:hAnsi="宋体" w:cs="宋体" w:eastAsia="宋体" w:hint="default"/>
                <w:sz w:val="18"/>
                <w:szCs w:val="18"/>
              </w:rPr>
            </w:pPr>
            <w:r>
              <w:rPr>
                <w:rFonts w:ascii="宋体" w:hAnsi="宋体" w:cs="宋体" w:eastAsia="宋体" w:hint="default"/>
                <w:sz w:val="18"/>
                <w:szCs w:val="18"/>
              </w:rPr>
              <w:t>培育、研发。</w:t>
            </w:r>
          </w:p>
        </w:tc>
      </w:tr>
      <w:tr>
        <w:trPr>
          <w:trHeight w:val="3056" w:hRule="exact"/>
        </w:trPr>
        <w:tc>
          <w:tcPr>
            <w:tcW w:w="1562" w:type="dxa"/>
            <w:tcBorders>
              <w:top w:val="single" w:sz="6" w:space="0" w:color="000000"/>
              <w:left w:val="single" w:sz="12" w:space="0" w:color="000000"/>
              <w:bottom w:val="single" w:sz="12" w:space="0" w:color="000000"/>
              <w:right w:val="single" w:sz="6"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hAnsi="宋体" w:cs="宋体" w:eastAsia="宋体" w:hint="default"/>
                <w:spacing w:val="14"/>
                <w:sz w:val="18"/>
                <w:szCs w:val="18"/>
              </w:rPr>
              <w:t>西藏海涵交通发</w:t>
            </w:r>
            <w:r>
              <w:rPr>
                <w:rFonts w:ascii="宋体" w:hAnsi="宋体" w:cs="宋体" w:eastAsia="宋体" w:hint="default"/>
                <w:sz w:val="18"/>
                <w:szCs w:val="18"/>
              </w:rPr>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展有限公司</w:t>
            </w:r>
          </w:p>
        </w:tc>
        <w:tc>
          <w:tcPr>
            <w:tcW w:w="874"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刘陆峰</w:t>
            </w:r>
          </w:p>
        </w:tc>
        <w:tc>
          <w:tcPr>
            <w:tcW w:w="1025"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2013-3-11</w:t>
            </w:r>
          </w:p>
        </w:tc>
        <w:tc>
          <w:tcPr>
            <w:tcW w:w="1839"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58579731-7</w:t>
            </w:r>
          </w:p>
        </w:tc>
        <w:tc>
          <w:tcPr>
            <w:tcW w:w="1387"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100,000,000</w:t>
            </w:r>
          </w:p>
        </w:tc>
        <w:tc>
          <w:tcPr>
            <w:tcW w:w="3238" w:type="dxa"/>
            <w:tcBorders>
              <w:top w:val="single" w:sz="6" w:space="0" w:color="000000"/>
              <w:left w:val="single" w:sz="6" w:space="0" w:color="000000"/>
              <w:bottom w:val="single" w:sz="12" w:space="0" w:color="000000"/>
              <w:right w:val="single" w:sz="12" w:space="0" w:color="000000"/>
            </w:tcBorders>
          </w:tcPr>
          <w:p>
            <w:pPr>
              <w:pStyle w:val="TableParagraph"/>
              <w:spacing w:line="204" w:lineRule="exact"/>
              <w:ind w:left="98" w:right="0"/>
              <w:jc w:val="both"/>
              <w:rPr>
                <w:rFonts w:ascii="宋体" w:hAnsi="宋体" w:cs="宋体" w:eastAsia="宋体" w:hint="default"/>
                <w:sz w:val="18"/>
                <w:szCs w:val="18"/>
              </w:rPr>
            </w:pPr>
            <w:r>
              <w:rPr>
                <w:rFonts w:ascii="宋体" w:hAnsi="宋体" w:cs="宋体" w:eastAsia="宋体" w:hint="default"/>
                <w:spacing w:val="-3"/>
                <w:sz w:val="18"/>
                <w:szCs w:val="18"/>
              </w:rPr>
              <w:t>经营范围：一般经营项目：对城市基础</w:t>
            </w:r>
          </w:p>
          <w:p>
            <w:pPr>
              <w:pStyle w:val="TableParagraph"/>
              <w:spacing w:line="237" w:lineRule="auto"/>
              <w:ind w:left="98" w:right="91"/>
              <w:jc w:val="both"/>
              <w:rPr>
                <w:rFonts w:ascii="宋体" w:hAnsi="宋体" w:cs="宋体" w:eastAsia="宋体" w:hint="default"/>
                <w:sz w:val="18"/>
                <w:szCs w:val="18"/>
              </w:rPr>
            </w:pPr>
            <w:r>
              <w:rPr>
                <w:rFonts w:ascii="宋体" w:hAnsi="宋体" w:cs="宋体" w:eastAsia="宋体" w:hint="default"/>
                <w:spacing w:val="-3"/>
                <w:sz w:val="18"/>
                <w:szCs w:val="18"/>
              </w:rPr>
              <w:t>设施建设土地综合开发、城市改造、公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共设施、港口码头项目、货运港口的投</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资（不从事具体经营）；建筑工程机械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与设备租赁；投资与资产管理；企业管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理；新材料、节能技术推广服务；能源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技术开发、咨询、转让、培训；仓储服</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2"/>
                <w:sz w:val="18"/>
                <w:szCs w:val="18"/>
              </w:rPr>
              <w:t>务；投资管理与咨询；机械电器设备（不</w:t>
            </w:r>
            <w:r>
              <w:rPr>
                <w:rFonts w:ascii="宋体" w:hAnsi="宋体" w:cs="宋体" w:eastAsia="宋体" w:hint="default"/>
                <w:sz w:val="18"/>
                <w:szCs w:val="18"/>
              </w:rPr>
              <w:t> </w:t>
            </w:r>
            <w:r>
              <w:rPr>
                <w:rFonts w:ascii="宋体" w:hAnsi="宋体" w:cs="宋体" w:eastAsia="宋体" w:hint="default"/>
                <w:spacing w:val="-3"/>
                <w:sz w:val="18"/>
                <w:szCs w:val="18"/>
              </w:rPr>
              <w:t>含汽车）、金属材料、建筑材料、装饰</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材料、工艺美术品、百货的销售。【上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述经营范围中，国家法律、行政法规及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国务院决定规定必须报经审批的，凭审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批证件在有效期内经营】。</w:t>
            </w:r>
          </w:p>
        </w:tc>
      </w:tr>
    </w:tbl>
    <w:p>
      <w:pPr>
        <w:spacing w:line="240" w:lineRule="auto" w:before="4"/>
        <w:rPr>
          <w:rFonts w:ascii="宋体" w:hAnsi="宋体" w:cs="宋体" w:eastAsia="宋体" w:hint="default"/>
          <w:sz w:val="20"/>
          <w:szCs w:val="20"/>
        </w:rPr>
      </w:pPr>
    </w:p>
    <w:p>
      <w:pPr>
        <w:pStyle w:val="Heading2"/>
        <w:spacing w:line="240" w:lineRule="auto"/>
        <w:ind w:left="558" w:right="0"/>
        <w:jc w:val="left"/>
        <w:rPr>
          <w:b w:val="0"/>
          <w:bCs w:val="0"/>
        </w:rPr>
      </w:pPr>
      <w:r>
        <w:rPr/>
        <w:t>五、</w:t>
      </w:r>
      <w:r>
        <w:rPr>
          <w:spacing w:val="-77"/>
        </w:rPr>
        <w:t> </w:t>
      </w:r>
      <w:r>
        <w:rPr/>
        <w:t>股份限制减持情况说明</w:t>
      </w:r>
      <w:r>
        <w:rPr>
          <w:b w:val="0"/>
          <w:bCs w:val="0"/>
        </w:rPr>
      </w:r>
    </w:p>
    <w:p>
      <w:pPr>
        <w:pStyle w:val="BodyText"/>
        <w:spacing w:line="240" w:lineRule="auto" w:before="56"/>
        <w:ind w:left="558" w:right="0"/>
        <w:jc w:val="left"/>
      </w:pPr>
      <w:r>
        <w:rPr/>
        <w:t>□适用√不适用</w:t>
      </w:r>
    </w:p>
    <w:p>
      <w:pPr>
        <w:spacing w:after="0" w:line="240" w:lineRule="auto"/>
        <w:jc w:val="left"/>
        <w:sectPr>
          <w:pgSz w:w="11910" w:h="16840"/>
          <w:pgMar w:header="880" w:footer="1195" w:top="1120" w:bottom="1380" w:left="1240" w:right="480"/>
        </w:sectPr>
      </w:pPr>
    </w:p>
    <w:p>
      <w:pPr>
        <w:spacing w:line="240" w:lineRule="auto" w:before="11"/>
        <w:rPr>
          <w:rFonts w:ascii="宋体" w:hAnsi="宋体" w:cs="宋体" w:eastAsia="宋体" w:hint="default"/>
          <w:sz w:val="25"/>
          <w:szCs w:val="25"/>
        </w:rPr>
      </w:pPr>
    </w:p>
    <w:p>
      <w:pPr>
        <w:pStyle w:val="Heading1"/>
        <w:tabs>
          <w:tab w:pos="4199" w:val="left" w:leader="none"/>
        </w:tabs>
        <w:spacing w:line="240" w:lineRule="auto"/>
        <w:ind w:left="2939"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right="0"/>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pStyle w:val="Heading1"/>
        <w:tabs>
          <w:tab w:pos="6301" w:val="left" w:leader="none"/>
        </w:tabs>
        <w:spacing w:line="240" w:lineRule="auto" w:before="105"/>
        <w:ind w:left="50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16"/>
          <w:footerReference w:type="default" r:id="rId17"/>
          <w:pgSz w:w="16840" w:h="11910" w:orient="landscape"/>
          <w:pgMar w:header="880" w:footer="1195" w:top="1120" w:bottom="1380" w:left="400" w:right="640"/>
          <w:pgNumType w:start="25"/>
        </w:sectPr>
      </w:pPr>
    </w:p>
    <w:p>
      <w:pPr>
        <w:pStyle w:val="Heading2"/>
        <w:spacing w:line="240" w:lineRule="auto"/>
        <w:ind w:left="1124" w:right="-15"/>
        <w:jc w:val="left"/>
        <w:rPr>
          <w:b w:val="0"/>
          <w:bCs w:val="0"/>
        </w:rPr>
      </w:pPr>
      <w:r>
        <w:rPr/>
        <w:t>一、持股变动情况及报酬情况</w:t>
      </w:r>
      <w:r>
        <w:rPr>
          <w:b w:val="0"/>
          <w:bCs w:val="0"/>
        </w:rPr>
      </w:r>
    </w:p>
    <w:p>
      <w:pPr>
        <w:pStyle w:val="Heading2"/>
        <w:spacing w:line="240" w:lineRule="auto" w:before="56"/>
        <w:ind w:left="11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11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124" w:right="0"/>
        <w:jc w:val="left"/>
      </w:pPr>
      <w:r>
        <w:rPr/>
        <w:t>单位：股</w:t>
      </w:r>
    </w:p>
    <w:p>
      <w:pPr>
        <w:spacing w:after="0" w:line="240" w:lineRule="auto"/>
        <w:jc w:val="left"/>
        <w:sectPr>
          <w:type w:val="continuous"/>
          <w:pgSz w:w="16840" w:h="11910" w:orient="landscape"/>
          <w:pgMar w:top="1120" w:bottom="1380" w:left="400" w:right="640"/>
          <w:cols w:num="2" w:equalWidth="0">
            <w:col w:w="7872" w:space="5162"/>
            <w:col w:w="2766"/>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051"/>
        <w:gridCol w:w="2211"/>
        <w:gridCol w:w="691"/>
        <w:gridCol w:w="850"/>
        <w:gridCol w:w="1579"/>
        <w:gridCol w:w="1589"/>
        <w:gridCol w:w="1159"/>
        <w:gridCol w:w="1162"/>
        <w:gridCol w:w="1349"/>
        <w:gridCol w:w="1627"/>
        <w:gridCol w:w="1404"/>
        <w:gridCol w:w="850"/>
      </w:tblGrid>
      <w:tr>
        <w:trPr>
          <w:trHeight w:val="1112" w:hRule="exact"/>
        </w:trPr>
        <w:tc>
          <w:tcPr>
            <w:tcW w:w="105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2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77"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6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5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5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1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67" w:right="146"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70" w:right="146"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3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43" w:right="135"/>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6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增减变动原因</w:t>
            </w:r>
          </w:p>
        </w:tc>
        <w:tc>
          <w:tcPr>
            <w:tcW w:w="140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68"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before="2"/>
              <w:ind w:left="168" w:right="167"/>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850"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是否在</w:t>
            </w:r>
          </w:p>
          <w:p>
            <w:pPr>
              <w:pStyle w:val="TableParagraph"/>
              <w:spacing w:line="237" w:lineRule="auto" w:before="2"/>
              <w:ind w:left="103" w:right="89"/>
              <w:jc w:val="both"/>
              <w:rPr>
                <w:rFonts w:ascii="宋体" w:hAnsi="宋体" w:cs="宋体" w:eastAsia="宋体" w:hint="default"/>
                <w:sz w:val="21"/>
                <w:szCs w:val="21"/>
              </w:rPr>
            </w:pPr>
            <w:r>
              <w:rPr>
                <w:rFonts w:ascii="宋体" w:hAnsi="宋体" w:cs="宋体" w:eastAsia="宋体" w:hint="default"/>
                <w:sz w:val="21"/>
                <w:szCs w:val="21"/>
              </w:rPr>
              <w:t>公司关</w:t>
            </w:r>
            <w:r>
              <w:rPr>
                <w:rFonts w:ascii="宋体" w:hAnsi="宋体" w:cs="宋体" w:eastAsia="宋体" w:hint="default"/>
                <w:spacing w:val="-102"/>
                <w:sz w:val="21"/>
                <w:szCs w:val="21"/>
              </w:rPr>
              <w:t> </w:t>
            </w:r>
            <w:r>
              <w:rPr>
                <w:rFonts w:ascii="宋体" w:hAnsi="宋体" w:cs="宋体" w:eastAsia="宋体" w:hint="default"/>
                <w:sz w:val="21"/>
                <w:szCs w:val="21"/>
              </w:rPr>
              <w:t>联方获</w:t>
            </w:r>
            <w:r>
              <w:rPr>
                <w:rFonts w:ascii="宋体" w:hAnsi="宋体" w:cs="宋体" w:eastAsia="宋体" w:hint="default"/>
                <w:spacing w:val="-102"/>
                <w:sz w:val="21"/>
                <w:szCs w:val="21"/>
              </w:rPr>
              <w:t> </w:t>
            </w:r>
            <w:r>
              <w:rPr>
                <w:rFonts w:ascii="宋体" w:hAnsi="宋体" w:cs="宋体" w:eastAsia="宋体" w:hint="default"/>
                <w:sz w:val="21"/>
                <w:szCs w:val="21"/>
              </w:rPr>
              <w:t>取报酬</w:t>
            </w:r>
          </w:p>
        </w:tc>
      </w:tr>
      <w:tr>
        <w:trPr>
          <w:trHeight w:val="288" w:hRule="exact"/>
        </w:trPr>
        <w:tc>
          <w:tcPr>
            <w:tcW w:w="105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徐健</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50</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2014-02-16</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2017-02-16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627"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6" w:hRule="exact"/>
        </w:trPr>
        <w:tc>
          <w:tcPr>
            <w:tcW w:w="105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孙明涛</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38</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2014-02-16</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2017-02-16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627"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10.74</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8" w:hRule="exact"/>
        </w:trPr>
        <w:tc>
          <w:tcPr>
            <w:tcW w:w="105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5" w:right="0"/>
              <w:jc w:val="left"/>
              <w:rPr>
                <w:rFonts w:ascii="宋体" w:hAnsi="宋体" w:cs="宋体" w:eastAsia="宋体" w:hint="default"/>
                <w:sz w:val="21"/>
                <w:szCs w:val="21"/>
              </w:rPr>
            </w:pPr>
            <w:r>
              <w:rPr>
                <w:rFonts w:ascii="宋体" w:hAnsi="宋体" w:cs="宋体" w:eastAsia="宋体" w:hint="default"/>
                <w:sz w:val="21"/>
                <w:szCs w:val="21"/>
              </w:rPr>
              <w:t>刘辉</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44</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2014-02-16</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2017-02-16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0</w:t>
            </w:r>
          </w:p>
        </w:tc>
        <w:tc>
          <w:tcPr>
            <w:tcW w:w="1627"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05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刘钧</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56</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2014-02-16</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2017-02-16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794603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709,603</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-85,000</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二级市场卖出</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76.48</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05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41</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2015-05-18</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2017-02-16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627"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6" w:hRule="exact"/>
        </w:trPr>
        <w:tc>
          <w:tcPr>
            <w:tcW w:w="105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张惠泉</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48</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2015-05-18</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2017-02-16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627"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4.97</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8" w:hRule="exact"/>
        </w:trPr>
        <w:tc>
          <w:tcPr>
            <w:tcW w:w="105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5" w:right="0"/>
              <w:jc w:val="left"/>
              <w:rPr>
                <w:rFonts w:ascii="宋体" w:hAnsi="宋体" w:cs="宋体" w:eastAsia="宋体" w:hint="default"/>
                <w:sz w:val="21"/>
                <w:szCs w:val="21"/>
              </w:rPr>
            </w:pPr>
            <w:r>
              <w:rPr>
                <w:rFonts w:ascii="宋体" w:hAnsi="宋体" w:cs="宋体" w:eastAsia="宋体" w:hint="default"/>
                <w:sz w:val="21"/>
                <w:szCs w:val="21"/>
              </w:rPr>
              <w:t>鲍晨钦</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43</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2014-02-16</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2017-02-16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0</w:t>
            </w:r>
          </w:p>
        </w:tc>
        <w:tc>
          <w:tcPr>
            <w:tcW w:w="1627"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8</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05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迟宝璋</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65</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2015-01-16</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2017-02-16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627"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9.60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6" w:hRule="exact"/>
        </w:trPr>
        <w:tc>
          <w:tcPr>
            <w:tcW w:w="105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曹坚</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51</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2016-03-18</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2017-02-16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627"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05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5" w:right="0"/>
              <w:jc w:val="left"/>
              <w:rPr>
                <w:rFonts w:ascii="宋体" w:hAnsi="宋体" w:cs="宋体" w:eastAsia="宋体" w:hint="default"/>
                <w:sz w:val="21"/>
                <w:szCs w:val="21"/>
              </w:rPr>
            </w:pPr>
            <w:r>
              <w:rPr>
                <w:rFonts w:ascii="宋体" w:hAnsi="宋体" w:cs="宋体" w:eastAsia="宋体" w:hint="default"/>
                <w:sz w:val="21"/>
                <w:szCs w:val="21"/>
              </w:rPr>
              <w:t>王君选</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51</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2014-02-16</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2017-02-16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0</w:t>
            </w:r>
          </w:p>
        </w:tc>
        <w:tc>
          <w:tcPr>
            <w:tcW w:w="1627"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05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苗延安</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52</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2016-03-18</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2017-02-16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627"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05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李亚良</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60</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2014-02-16</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2017-02-16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627"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10.74</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6" w:hRule="exact"/>
        </w:trPr>
        <w:tc>
          <w:tcPr>
            <w:tcW w:w="105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石春兰</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53</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2014-02-16</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2017-02-16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627"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8" w:hRule="exact"/>
        </w:trPr>
        <w:tc>
          <w:tcPr>
            <w:tcW w:w="105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5" w:right="0"/>
              <w:jc w:val="left"/>
              <w:rPr>
                <w:rFonts w:ascii="宋体" w:hAnsi="宋体" w:cs="宋体" w:eastAsia="宋体" w:hint="default"/>
                <w:sz w:val="21"/>
                <w:szCs w:val="21"/>
              </w:rPr>
            </w:pPr>
            <w:r>
              <w:rPr>
                <w:rFonts w:ascii="宋体" w:hAnsi="宋体" w:cs="宋体" w:eastAsia="宋体" w:hint="default"/>
                <w:sz w:val="21"/>
                <w:szCs w:val="21"/>
              </w:rPr>
              <w:t>王鸿</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50</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2014-02-16</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2017-02-16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0</w:t>
            </w:r>
          </w:p>
        </w:tc>
        <w:tc>
          <w:tcPr>
            <w:tcW w:w="1627"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8</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05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刘立英</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52</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2016-03-18</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2017-02-16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627"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05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卢丽平</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59</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2014-02-16</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2017-02-16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627"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6" w:hRule="exact"/>
        </w:trPr>
        <w:tc>
          <w:tcPr>
            <w:tcW w:w="105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李欣华</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50</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2015-01-16</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2017-02-16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627"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05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5" w:right="0"/>
              <w:jc w:val="left"/>
              <w:rPr>
                <w:rFonts w:ascii="宋体" w:hAnsi="宋体" w:cs="宋体" w:eastAsia="宋体" w:hint="default"/>
                <w:sz w:val="21"/>
                <w:szCs w:val="21"/>
              </w:rPr>
            </w:pPr>
            <w:r>
              <w:rPr>
                <w:rFonts w:ascii="宋体" w:hAnsi="宋体" w:cs="宋体" w:eastAsia="宋体" w:hint="default"/>
                <w:sz w:val="21"/>
                <w:szCs w:val="21"/>
              </w:rPr>
              <w:t>涂冬</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50</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2014-02-16</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2017-02-16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337,900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287,900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-50,000</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二级市场卖出</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43.71</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05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张文博</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41</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2014-02-16</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2017-02-16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137,800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103,800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-34,000</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二级市场卖出</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8</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3" w:hRule="exact"/>
        </w:trPr>
        <w:tc>
          <w:tcPr>
            <w:tcW w:w="105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刘景利</w:t>
            </w:r>
          </w:p>
        </w:tc>
        <w:tc>
          <w:tcPr>
            <w:tcW w:w="2211"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91"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45</w:t>
            </w:r>
          </w:p>
        </w:tc>
        <w:tc>
          <w:tcPr>
            <w:tcW w:w="157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2015-05-12</w:t>
            </w:r>
          </w:p>
        </w:tc>
        <w:tc>
          <w:tcPr>
            <w:tcW w:w="158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2017-02-16</w:t>
            </w:r>
          </w:p>
        </w:tc>
        <w:tc>
          <w:tcPr>
            <w:tcW w:w="1159" w:type="dxa"/>
            <w:tcBorders>
              <w:top w:val="single" w:sz="6" w:space="0" w:color="000000"/>
              <w:left w:val="single" w:sz="6" w:space="0" w:color="000000"/>
              <w:bottom w:val="single" w:sz="12" w:space="0" w:color="000000"/>
              <w:right w:val="single" w:sz="6" w:space="0" w:color="000000"/>
            </w:tcBorders>
          </w:tcPr>
          <w:p>
            <w:pPr/>
          </w:p>
        </w:tc>
        <w:tc>
          <w:tcPr>
            <w:tcW w:w="1162" w:type="dxa"/>
            <w:tcBorders>
              <w:top w:val="single" w:sz="6" w:space="0" w:color="000000"/>
              <w:left w:val="single" w:sz="6" w:space="0" w:color="000000"/>
              <w:bottom w:val="single" w:sz="12" w:space="0" w:color="000000"/>
              <w:right w:val="single" w:sz="6" w:space="0" w:color="000000"/>
            </w:tcBorders>
          </w:tcPr>
          <w:p>
            <w:pPr/>
          </w:p>
        </w:tc>
        <w:tc>
          <w:tcPr>
            <w:tcW w:w="1349" w:type="dxa"/>
            <w:tcBorders>
              <w:top w:val="single" w:sz="6" w:space="0" w:color="000000"/>
              <w:left w:val="single" w:sz="6" w:space="0" w:color="000000"/>
              <w:bottom w:val="single" w:sz="12" w:space="0" w:color="000000"/>
              <w:right w:val="single" w:sz="6" w:space="0" w:color="000000"/>
            </w:tcBorders>
          </w:tcPr>
          <w:p>
            <w:pPr/>
          </w:p>
        </w:tc>
        <w:tc>
          <w:tcPr>
            <w:tcW w:w="1627" w:type="dxa"/>
            <w:tcBorders>
              <w:top w:val="single" w:sz="6" w:space="0" w:color="000000"/>
              <w:left w:val="single" w:sz="6" w:space="0" w:color="000000"/>
              <w:bottom w:val="single" w:sz="12" w:space="0" w:color="000000"/>
              <w:right w:val="single" w:sz="6" w:space="0" w:color="000000"/>
            </w:tcBorders>
          </w:tcPr>
          <w:p>
            <w:pPr/>
          </w:p>
        </w:tc>
        <w:tc>
          <w:tcPr>
            <w:tcW w:w="140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38.13</w:t>
            </w:r>
          </w:p>
        </w:tc>
        <w:tc>
          <w:tcPr>
            <w:tcW w:w="850"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400" w:right="640"/>
        </w:sectPr>
      </w:pPr>
    </w:p>
    <w:p>
      <w:pPr>
        <w:spacing w:line="240" w:lineRule="auto" w:before="5"/>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1051"/>
        <w:gridCol w:w="2211"/>
        <w:gridCol w:w="691"/>
        <w:gridCol w:w="850"/>
        <w:gridCol w:w="1579"/>
        <w:gridCol w:w="1589"/>
        <w:gridCol w:w="1159"/>
        <w:gridCol w:w="1162"/>
        <w:gridCol w:w="1349"/>
        <w:gridCol w:w="1627"/>
        <w:gridCol w:w="1404"/>
        <w:gridCol w:w="850"/>
      </w:tblGrid>
      <w:tr>
        <w:trPr>
          <w:trHeight w:val="295" w:hRule="exact"/>
        </w:trPr>
        <w:tc>
          <w:tcPr>
            <w:tcW w:w="1051"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z w:val="21"/>
                <w:szCs w:val="21"/>
              </w:rPr>
              <w:t>刘亚忠</w:t>
            </w:r>
          </w:p>
        </w:tc>
        <w:tc>
          <w:tcPr>
            <w:tcW w:w="2211"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691"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0"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52</w:t>
            </w:r>
          </w:p>
        </w:tc>
        <w:tc>
          <w:tcPr>
            <w:tcW w:w="1579"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2014-02-16</w:t>
            </w:r>
          </w:p>
        </w:tc>
        <w:tc>
          <w:tcPr>
            <w:tcW w:w="1589"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2017-02-16</w:t>
            </w:r>
          </w:p>
        </w:tc>
        <w:tc>
          <w:tcPr>
            <w:tcW w:w="1159"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457,482</w:t>
            </w:r>
          </w:p>
        </w:tc>
        <w:tc>
          <w:tcPr>
            <w:tcW w:w="1162"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407,482</w:t>
            </w:r>
          </w:p>
        </w:tc>
        <w:tc>
          <w:tcPr>
            <w:tcW w:w="1349"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-50,000</w:t>
            </w:r>
          </w:p>
        </w:tc>
        <w:tc>
          <w:tcPr>
            <w:tcW w:w="1627"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二级市场卖出</w:t>
            </w:r>
          </w:p>
        </w:tc>
        <w:tc>
          <w:tcPr>
            <w:tcW w:w="1404"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46.83</w:t>
            </w:r>
          </w:p>
        </w:tc>
        <w:tc>
          <w:tcPr>
            <w:tcW w:w="850"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6" w:hRule="exact"/>
        </w:trPr>
        <w:tc>
          <w:tcPr>
            <w:tcW w:w="105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z w:val="21"/>
                <w:szCs w:val="21"/>
              </w:rPr>
              <w:t>宁鸿鹏</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50</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2014-02-16</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2017-02-16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449,227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338,227</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-111,000</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二级市场卖出</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51.65</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05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299"/>
              <w:jc w:val="right"/>
              <w:rPr>
                <w:rFonts w:ascii="宋体" w:hAnsi="宋体" w:cs="宋体" w:eastAsia="宋体" w:hint="default"/>
                <w:sz w:val="21"/>
                <w:szCs w:val="21"/>
              </w:rPr>
            </w:pPr>
            <w:r>
              <w:rPr>
                <w:rFonts w:ascii="宋体" w:hAnsi="宋体" w:cs="宋体" w:eastAsia="宋体" w:hint="default"/>
                <w:sz w:val="21"/>
                <w:szCs w:val="21"/>
              </w:rPr>
              <w:t>刘福金</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45</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2014-02-16</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2017-02-16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379,925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286,925</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-93,000</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二级市场卖出</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32.91</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05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z w:val="21"/>
                <w:szCs w:val="21"/>
              </w:rPr>
              <w:t>李桂萍</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45</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2014-04-15</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2017-02-16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152,665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136,665</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-16,000</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二级市场卖出</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38.99</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05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z w:val="21"/>
                <w:szCs w:val="21"/>
              </w:rPr>
              <w:t>李志超</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总裁助理</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42</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2014-02-16</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2017-02-16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152,334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136,334</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-16,000</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二级市场卖出</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38.22</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6" w:hRule="exact"/>
        </w:trPr>
        <w:tc>
          <w:tcPr>
            <w:tcW w:w="105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z w:val="21"/>
                <w:szCs w:val="21"/>
              </w:rPr>
              <w:t>王兴山</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副总裁兼财务总监</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50</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2015-05-08</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2017-02-16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137,827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104,827</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-33,000</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二级市场卖出</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47.91</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05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299"/>
              <w:jc w:val="right"/>
              <w:rPr>
                <w:rFonts w:ascii="宋体" w:hAnsi="宋体" w:cs="宋体" w:eastAsia="宋体" w:hint="default"/>
                <w:sz w:val="21"/>
                <w:szCs w:val="21"/>
              </w:rPr>
            </w:pPr>
            <w:r>
              <w:rPr>
                <w:rFonts w:ascii="宋体" w:hAnsi="宋体" w:cs="宋体" w:eastAsia="宋体" w:hint="default"/>
                <w:sz w:val="21"/>
                <w:szCs w:val="21"/>
              </w:rPr>
              <w:t>张宏伟</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原董事长</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61</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2014-02-16</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2015-04-24</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250,908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250,908</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0</w:t>
            </w:r>
          </w:p>
        </w:tc>
        <w:tc>
          <w:tcPr>
            <w:tcW w:w="1627"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3.8</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8" w:hRule="exact"/>
        </w:trPr>
        <w:tc>
          <w:tcPr>
            <w:tcW w:w="105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z w:val="21"/>
                <w:szCs w:val="21"/>
              </w:rPr>
              <w:t>张国峰</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原董事</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60</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2014-02-16</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2015-05-18</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627"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6" w:hRule="exact"/>
        </w:trPr>
        <w:tc>
          <w:tcPr>
            <w:tcW w:w="105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z w:val="21"/>
                <w:szCs w:val="21"/>
              </w:rPr>
              <w:t>李葛卫</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48</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2014-02-16</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2016-03-01</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627"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05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299"/>
              <w:jc w:val="right"/>
              <w:rPr>
                <w:rFonts w:ascii="宋体" w:hAnsi="宋体" w:cs="宋体" w:eastAsia="宋体" w:hint="default"/>
                <w:sz w:val="21"/>
                <w:szCs w:val="21"/>
              </w:rPr>
            </w:pPr>
            <w:r>
              <w:rPr>
                <w:rFonts w:ascii="宋体" w:hAnsi="宋体" w:cs="宋体" w:eastAsia="宋体" w:hint="default"/>
                <w:sz w:val="21"/>
                <w:szCs w:val="21"/>
              </w:rPr>
              <w:t>刘宁宇</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46</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2014-02-16</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2016-03-01</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0</w:t>
            </w:r>
          </w:p>
        </w:tc>
        <w:tc>
          <w:tcPr>
            <w:tcW w:w="1627"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05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z w:val="21"/>
                <w:szCs w:val="21"/>
              </w:rPr>
              <w:t>刘恩祥</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原监事</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63</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2014-02-16</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2015-03-01</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627"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8</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05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z w:val="21"/>
                <w:szCs w:val="21"/>
              </w:rPr>
              <w:t>肖爱东</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原副总裁兼财务总监</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45</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2014-02-16</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2015-05-07</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449,800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-449,800</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二级市场卖出</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27.73</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6" w:hRule="exact"/>
        </w:trPr>
        <w:tc>
          <w:tcPr>
            <w:tcW w:w="105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z w:val="21"/>
                <w:szCs w:val="21"/>
              </w:rPr>
              <w:t>于新宇</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原副总裁</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49</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2014-02-16</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2015-03-06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444,400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444,400</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627"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15.11</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5" w:hRule="exact"/>
        </w:trPr>
        <w:tc>
          <w:tcPr>
            <w:tcW w:w="1051" w:type="dxa"/>
            <w:tcBorders>
              <w:top w:val="single" w:sz="6" w:space="0" w:color="000000"/>
              <w:left w:val="single" w:sz="12" w:space="0" w:color="000000"/>
              <w:bottom w:val="single" w:sz="12" w:space="0" w:color="000000"/>
              <w:right w:val="single" w:sz="6" w:space="0" w:color="000000"/>
            </w:tcBorders>
          </w:tcPr>
          <w:p>
            <w:pPr>
              <w:pStyle w:val="TableParagraph"/>
              <w:spacing w:line="243" w:lineRule="exact"/>
              <w:ind w:right="302"/>
              <w:jc w:val="right"/>
              <w:rPr>
                <w:rFonts w:ascii="宋体" w:hAnsi="宋体" w:cs="宋体" w:eastAsia="宋体" w:hint="default"/>
                <w:sz w:val="21"/>
                <w:szCs w:val="21"/>
              </w:rPr>
            </w:pPr>
            <w:r>
              <w:rPr>
                <w:rFonts w:ascii="宋体" w:hAnsi="宋体" w:cs="宋体" w:eastAsia="宋体" w:hint="default"/>
                <w:sz w:val="21"/>
                <w:szCs w:val="21"/>
              </w:rPr>
              <w:t>合计</w:t>
            </w:r>
          </w:p>
        </w:tc>
        <w:tc>
          <w:tcPr>
            <w:tcW w:w="2211"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w:t>
            </w:r>
          </w:p>
        </w:tc>
        <w:tc>
          <w:tcPr>
            <w:tcW w:w="691"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579"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589"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159"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4,144,871</w:t>
            </w: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95"/>
              <w:jc w:val="right"/>
              <w:rPr>
                <w:rFonts w:ascii="宋体" w:hAnsi="宋体" w:cs="宋体" w:eastAsia="宋体" w:hint="default"/>
                <w:sz w:val="21"/>
                <w:szCs w:val="21"/>
              </w:rPr>
            </w:pPr>
            <w:r>
              <w:rPr>
                <w:rFonts w:ascii="宋体"/>
                <w:spacing w:val="-1"/>
                <w:sz w:val="21"/>
              </w:rPr>
              <w:t>3,207,071</w:t>
            </w:r>
          </w:p>
        </w:tc>
        <w:tc>
          <w:tcPr>
            <w:tcW w:w="1349"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95"/>
              <w:jc w:val="right"/>
              <w:rPr>
                <w:rFonts w:ascii="宋体" w:hAnsi="宋体" w:cs="宋体" w:eastAsia="宋体" w:hint="default"/>
                <w:sz w:val="21"/>
                <w:szCs w:val="21"/>
              </w:rPr>
            </w:pPr>
            <w:r>
              <w:rPr>
                <w:rFonts w:ascii="宋体"/>
                <w:spacing w:val="-1"/>
                <w:sz w:val="21"/>
              </w:rPr>
              <w:t>-937,800</w:t>
            </w:r>
          </w:p>
        </w:tc>
        <w:tc>
          <w:tcPr>
            <w:tcW w:w="1627"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w w:val="100"/>
                <w:sz w:val="21"/>
              </w:rPr>
              <w:t>/</w:t>
            </w:r>
          </w:p>
        </w:tc>
        <w:tc>
          <w:tcPr>
            <w:tcW w:w="1404"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571.52</w:t>
            </w:r>
          </w:p>
        </w:tc>
        <w:tc>
          <w:tcPr>
            <w:tcW w:w="850" w:type="dxa"/>
            <w:tcBorders>
              <w:top w:val="single" w:sz="6" w:space="0" w:color="000000"/>
              <w:left w:val="single" w:sz="6" w:space="0" w:color="000000"/>
              <w:bottom w:val="single" w:sz="12" w:space="0" w:color="000000"/>
              <w:right w:val="single" w:sz="12"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w w:val="100"/>
                <w:sz w:val="21"/>
              </w:rPr>
              <w:t>/</w:t>
            </w:r>
          </w:p>
        </w:tc>
      </w:tr>
    </w:tbl>
    <w:p>
      <w:pPr>
        <w:spacing w:line="240" w:lineRule="auto" w:before="9"/>
        <w:rPr>
          <w:rFonts w:ascii="Times New Roman" w:hAnsi="Times New Roman" w:cs="Times New Roman" w:eastAsia="Times New Roman" w:hint="default"/>
          <w:sz w:val="23"/>
          <w:szCs w:val="23"/>
        </w:rPr>
      </w:pPr>
    </w:p>
    <w:tbl>
      <w:tblPr>
        <w:tblW w:w="0" w:type="auto"/>
        <w:jc w:val="left"/>
        <w:tblInd w:w="543" w:type="dxa"/>
        <w:tblLayout w:type="fixed"/>
        <w:tblCellMar>
          <w:top w:w="0" w:type="dxa"/>
          <w:left w:w="0" w:type="dxa"/>
          <w:bottom w:w="0" w:type="dxa"/>
          <w:right w:w="0" w:type="dxa"/>
        </w:tblCellMar>
        <w:tblLook w:val="01E0"/>
      </w:tblPr>
      <w:tblGrid>
        <w:gridCol w:w="994"/>
        <w:gridCol w:w="14176"/>
      </w:tblGrid>
      <w:tr>
        <w:trPr>
          <w:trHeight w:val="295" w:hRule="exact"/>
        </w:trPr>
        <w:tc>
          <w:tcPr>
            <w:tcW w:w="994" w:type="dxa"/>
            <w:tcBorders>
              <w:top w:val="single" w:sz="12" w:space="0" w:color="000000"/>
              <w:left w:val="single" w:sz="12" w:space="0" w:color="000000"/>
              <w:bottom w:val="single" w:sz="6" w:space="0" w:color="000000"/>
              <w:right w:val="single" w:sz="6" w:space="0" w:color="000000"/>
            </w:tcBorders>
          </w:tcPr>
          <w:p>
            <w:pPr>
              <w:pStyle w:val="TableParagraph"/>
              <w:spacing w:line="243" w:lineRule="exact"/>
              <w:ind w:left="27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176" w:type="dxa"/>
            <w:tcBorders>
              <w:top w:val="single" w:sz="12" w:space="0" w:color="000000"/>
              <w:left w:val="single" w:sz="6" w:space="0" w:color="000000"/>
              <w:bottom w:val="single" w:sz="6" w:space="0" w:color="000000"/>
              <w:right w:val="single" w:sz="12"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560"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徐健</w:t>
            </w:r>
          </w:p>
        </w:tc>
        <w:tc>
          <w:tcPr>
            <w:tcW w:w="14176"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18"/>
              <w:jc w:val="left"/>
              <w:rPr>
                <w:rFonts w:ascii="宋体" w:hAnsi="宋体" w:cs="宋体" w:eastAsia="宋体" w:hint="default"/>
                <w:sz w:val="21"/>
                <w:szCs w:val="21"/>
              </w:rPr>
            </w:pPr>
            <w:r>
              <w:rPr>
                <w:rFonts w:ascii="宋体" w:hAnsi="宋体" w:cs="宋体" w:eastAsia="宋体" w:hint="default"/>
                <w:spacing w:val="-2"/>
                <w:sz w:val="21"/>
                <w:szCs w:val="21"/>
              </w:rPr>
              <w:t>历任大连港集团有限公司副总经理兼大连港太平湾港口合作项目筹备组组长，大连港集团有限公司董事、副总经理兼大连港太平湾港口有限公司总经理、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大连港太平湾临港新城发展有限公司筹备组组长，现任大连港集团有限公司董事、常务副总经理，锦州港股份有限公司董事长。</w:t>
            </w:r>
          </w:p>
        </w:tc>
      </w:tr>
      <w:tr>
        <w:trPr>
          <w:trHeight w:val="559"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孙明涛</w:t>
            </w:r>
          </w:p>
        </w:tc>
        <w:tc>
          <w:tcPr>
            <w:tcW w:w="14176"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历任美加投资（天津）有限公司执行董事，东方集团股份有限公司副总裁兼董事会秘书，现任东方集团股份有限公司董事、总裁，锦州港股份有限公司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副董事长、民生电商控股（深圳）有限公司董事、民生电子商务有限责任公司董事、国开东方城镇发展投资有限公司董事。</w:t>
            </w:r>
          </w:p>
        </w:tc>
      </w:tr>
      <w:tr>
        <w:trPr>
          <w:trHeight w:val="562"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刘辉</w:t>
            </w:r>
          </w:p>
        </w:tc>
        <w:tc>
          <w:tcPr>
            <w:tcW w:w="1417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历任大连保税区海涵发展有限公司总经理、西藏海函交通发展有限公司总经理，现任锦州港股份有限公司副董事长、辽港大宗商品交易有限公司董事兼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总经理。</w:t>
            </w:r>
          </w:p>
        </w:tc>
      </w:tr>
      <w:tr>
        <w:trPr>
          <w:trHeight w:val="286"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刘钧</w:t>
            </w:r>
          </w:p>
        </w:tc>
        <w:tc>
          <w:tcPr>
            <w:tcW w:w="1417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历任锦州港股份有限公司办公室主任、总裁助理、副总裁等职。现任锦州港股份有限公司董事、总裁、党委书记。</w:t>
            </w:r>
          </w:p>
        </w:tc>
      </w:tr>
      <w:tr>
        <w:trPr>
          <w:trHeight w:val="562"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1417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历任中国证监会大连证监局上市处副处长、中国证监会大连证监局稽查处副处长、中国证监会大连证监局上市处副处长、大连港集团有限公司副总会计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师，现任大连港集团有限公司总会计师、大连港投融资控股集团有限公司总经理、锦州港股份有限公司董事。</w:t>
            </w:r>
          </w:p>
        </w:tc>
      </w:tr>
      <w:tr>
        <w:trPr>
          <w:trHeight w:val="560"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张惠泉</w:t>
            </w:r>
          </w:p>
        </w:tc>
        <w:tc>
          <w:tcPr>
            <w:tcW w:w="14176"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曾任北京市石景山区人民法院审判员、研究室主任，北京嘉诚泰和律师事务所律师。现任东方集团股份有限公司董事、副总裁、首席律师，锦州港股份</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有限公司董事。</w:t>
            </w:r>
          </w:p>
        </w:tc>
      </w:tr>
      <w:tr>
        <w:trPr>
          <w:trHeight w:val="288"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鲍晨钦</w:t>
            </w:r>
          </w:p>
        </w:tc>
        <w:tc>
          <w:tcPr>
            <w:tcW w:w="1417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现任北京市双鹏律师事务所合伙人、律师，锦州港股份有限公司董事。</w:t>
            </w:r>
          </w:p>
        </w:tc>
      </w:tr>
      <w:tr>
        <w:trPr>
          <w:trHeight w:val="286"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迟宝璋</w:t>
            </w:r>
          </w:p>
        </w:tc>
        <w:tc>
          <w:tcPr>
            <w:tcW w:w="1417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历任沈阳铁路局大连铁路分局副局长、中铁渤海铁路轮渡有限责任公司总经理，</w:t>
            </w:r>
            <w:r>
              <w:rPr>
                <w:rFonts w:ascii="宋体" w:hAnsi="宋体" w:cs="宋体" w:eastAsia="宋体" w:hint="default"/>
                <w:spacing w:val="-2"/>
                <w:sz w:val="21"/>
                <w:szCs w:val="21"/>
              </w:rPr>
              <w:t>2010</w:t>
            </w:r>
            <w:r>
              <w:rPr>
                <w:rFonts w:ascii="宋体" w:hAnsi="宋体" w:cs="宋体" w:eastAsia="宋体" w:hint="default"/>
                <w:spacing w:val="55"/>
                <w:sz w:val="21"/>
                <w:szCs w:val="21"/>
              </w:rPr>
              <w:t> </w:t>
            </w:r>
            <w:r>
              <w:rPr>
                <w:rFonts w:ascii="宋体" w:hAnsi="宋体" w:cs="宋体" w:eastAsia="宋体" w:hint="default"/>
                <w:spacing w:val="-2"/>
                <w:sz w:val="21"/>
                <w:szCs w:val="21"/>
              </w:rPr>
              <w:t>年退休。现任锦州港股份有限公司独立董事。</w:t>
            </w:r>
          </w:p>
        </w:tc>
      </w:tr>
      <w:tr>
        <w:trPr>
          <w:trHeight w:val="293" w:hRule="exact"/>
        </w:trPr>
        <w:tc>
          <w:tcPr>
            <w:tcW w:w="994"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曹坚</w:t>
            </w:r>
          </w:p>
        </w:tc>
        <w:tc>
          <w:tcPr>
            <w:tcW w:w="14176"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历任中国石化北京设计院技术员、工程师、高级工程师、副主任，中国石化工程建设公司高级工程师、副总工程师、副主任、教授级高工，北京石油化</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400" w:right="580"/>
        </w:sectPr>
      </w:pPr>
    </w:p>
    <w:p>
      <w:pPr>
        <w:spacing w:line="240" w:lineRule="auto" w:before="5"/>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994"/>
        <w:gridCol w:w="14176"/>
      </w:tblGrid>
      <w:tr>
        <w:trPr>
          <w:trHeight w:val="295" w:hRule="exact"/>
        </w:trPr>
        <w:tc>
          <w:tcPr>
            <w:tcW w:w="994" w:type="dxa"/>
            <w:tcBorders>
              <w:top w:val="single" w:sz="12" w:space="0" w:color="000000"/>
              <w:left w:val="single" w:sz="12" w:space="0" w:color="000000"/>
              <w:bottom w:val="single" w:sz="6" w:space="0" w:color="000000"/>
              <w:right w:val="single" w:sz="6" w:space="0" w:color="000000"/>
            </w:tcBorders>
          </w:tcPr>
          <w:p>
            <w:pPr/>
          </w:p>
        </w:tc>
        <w:tc>
          <w:tcPr>
            <w:tcW w:w="14176"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工工程有限公司副总经理、教授级高工，现任北京石油化工工程有限公司副总经理、总工程师，锦州港股份有限公司独立董事。</w:t>
            </w:r>
          </w:p>
        </w:tc>
      </w:tr>
      <w:tr>
        <w:trPr>
          <w:trHeight w:val="559"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王君选</w:t>
            </w:r>
          </w:p>
        </w:tc>
        <w:tc>
          <w:tcPr>
            <w:tcW w:w="14176"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历任平顶山市政府秘书，平顶山煤炭工业总公司科长、副处长，司法部华联律师事务所律师，现任北京市华联律师事务所合伙人律师，锦州港股份有限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公司独立董事。</w:t>
            </w:r>
          </w:p>
        </w:tc>
      </w:tr>
      <w:tr>
        <w:trPr>
          <w:trHeight w:val="559"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苗延安</w:t>
            </w:r>
          </w:p>
        </w:tc>
        <w:tc>
          <w:tcPr>
            <w:tcW w:w="14176"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历任大连市税务局主任科员，大连市审计事务所副所长，现任辽宁宏安会计师事务所所长、大连市司法鉴定协会副会长、大连市国际税收研究会常务理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事、锦州港股份有限公司独立董事。</w:t>
            </w:r>
          </w:p>
        </w:tc>
      </w:tr>
      <w:tr>
        <w:trPr>
          <w:trHeight w:val="559"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李亚良</w:t>
            </w:r>
          </w:p>
        </w:tc>
        <w:tc>
          <w:tcPr>
            <w:tcW w:w="14176"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曾任中国民族证券有限责任公司监事，现任东方集团股份有限公司董事、副总裁兼财务总监，锦州港股份有限公司监事会主席，中国民族证券有限责任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w:t>
            </w:r>
          </w:p>
        </w:tc>
      </w:tr>
      <w:tr>
        <w:trPr>
          <w:trHeight w:val="560"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石春兰</w:t>
            </w:r>
          </w:p>
        </w:tc>
        <w:tc>
          <w:tcPr>
            <w:tcW w:w="1417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历任中国农业银行甘井子支行副行长、旅顺口支行行长，</w:t>
            </w:r>
            <w:r>
              <w:rPr>
                <w:rFonts w:ascii="宋体" w:hAnsi="宋体" w:cs="宋体" w:eastAsia="宋体" w:hint="default"/>
                <w:spacing w:val="-3"/>
                <w:sz w:val="21"/>
                <w:szCs w:val="21"/>
              </w:rPr>
              <w:t>2013</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6</w:t>
            </w:r>
            <w:r>
              <w:rPr>
                <w:rFonts w:ascii="宋体" w:hAnsi="宋体" w:cs="宋体" w:eastAsia="宋体" w:hint="default"/>
                <w:spacing w:val="-36"/>
                <w:sz w:val="21"/>
                <w:szCs w:val="21"/>
              </w:rPr>
              <w:t> </w:t>
            </w:r>
            <w:r>
              <w:rPr>
                <w:rFonts w:ascii="宋体" w:hAnsi="宋体" w:cs="宋体" w:eastAsia="宋体" w:hint="default"/>
                <w:sz w:val="21"/>
                <w:szCs w:val="21"/>
              </w:rPr>
              <w:t>月至</w:t>
            </w:r>
            <w:r>
              <w:rPr>
                <w:rFonts w:ascii="宋体" w:hAnsi="宋体" w:cs="宋体" w:eastAsia="宋体" w:hint="default"/>
                <w:spacing w:val="-38"/>
                <w:sz w:val="21"/>
                <w:szCs w:val="21"/>
              </w:rPr>
              <w:t> </w:t>
            </w:r>
            <w:r>
              <w:rPr>
                <w:rFonts w:ascii="宋体" w:hAnsi="宋体" w:cs="宋体" w:eastAsia="宋体" w:hint="default"/>
                <w:sz w:val="21"/>
                <w:szCs w:val="21"/>
              </w:rPr>
              <w:t>2014</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2</w:t>
            </w:r>
            <w:r>
              <w:rPr>
                <w:rFonts w:ascii="宋体" w:hAnsi="宋体" w:cs="宋体" w:eastAsia="宋体" w:hint="default"/>
                <w:spacing w:val="-38"/>
                <w:sz w:val="21"/>
                <w:szCs w:val="21"/>
              </w:rPr>
              <w:t> </w:t>
            </w:r>
            <w:r>
              <w:rPr>
                <w:rFonts w:ascii="宋体" w:hAnsi="宋体" w:cs="宋体" w:eastAsia="宋体" w:hint="default"/>
                <w:spacing w:val="-3"/>
                <w:sz w:val="21"/>
                <w:szCs w:val="21"/>
              </w:rPr>
              <w:t>月任大连港集团有限公司副总经济师。现任大连港集团财务有限公司总</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经理、锦州港股份有限公司监事。</w:t>
            </w:r>
          </w:p>
        </w:tc>
      </w:tr>
      <w:tr>
        <w:trPr>
          <w:trHeight w:val="288"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王鸿</w:t>
            </w:r>
          </w:p>
        </w:tc>
        <w:tc>
          <w:tcPr>
            <w:tcW w:w="14176"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现任辽宁添赢律师事务所合伙人、律师，锦州港股份有限公司监事。</w:t>
            </w:r>
          </w:p>
        </w:tc>
      </w:tr>
      <w:tr>
        <w:trPr>
          <w:trHeight w:val="559"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刘立英</w:t>
            </w:r>
          </w:p>
        </w:tc>
        <w:tc>
          <w:tcPr>
            <w:tcW w:w="14176"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曾在国企从事审计工作，熟悉公司治理结构和项目建设管理，</w:t>
            </w: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z w:val="21"/>
                <w:szCs w:val="21"/>
              </w:rPr>
              <w:t>-2015</w:t>
            </w:r>
            <w:r>
              <w:rPr>
                <w:rFonts w:ascii="宋体" w:hAnsi="宋体" w:cs="宋体" w:eastAsia="宋体" w:hint="default"/>
                <w:spacing w:val="-23"/>
                <w:sz w:val="21"/>
                <w:szCs w:val="21"/>
              </w:rPr>
              <w:t> </w:t>
            </w:r>
            <w:r>
              <w:rPr>
                <w:rFonts w:ascii="宋体" w:hAnsi="宋体" w:cs="宋体" w:eastAsia="宋体" w:hint="default"/>
                <w:sz w:val="21"/>
                <w:szCs w:val="21"/>
              </w:rPr>
              <w:t>年期间，曾作为国际项目主要负责人参与项目管理工作。现任锦州港股份有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限公司监事。</w:t>
            </w:r>
          </w:p>
        </w:tc>
      </w:tr>
      <w:tr>
        <w:trPr>
          <w:trHeight w:val="833"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卢丽平</w:t>
            </w:r>
          </w:p>
        </w:tc>
        <w:tc>
          <w:tcPr>
            <w:tcW w:w="1417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曾任中国石油天然气总公司劳动工资局劳动力处副处长、社会保险中心副主任、中国石油天然气勘探开发公司中油国际（尼罗）有限责任公司劳资部经</w:t>
            </w:r>
          </w:p>
          <w:p>
            <w:pPr>
              <w:pStyle w:val="TableParagraph"/>
              <w:spacing w:line="240" w:lineRule="auto"/>
              <w:ind w:left="100" w:right="91"/>
              <w:jc w:val="left"/>
              <w:rPr>
                <w:rFonts w:ascii="宋体" w:hAnsi="宋体" w:cs="宋体" w:eastAsia="宋体" w:hint="default"/>
                <w:sz w:val="21"/>
                <w:szCs w:val="21"/>
              </w:rPr>
            </w:pPr>
            <w:r>
              <w:rPr>
                <w:rFonts w:ascii="宋体" w:hAnsi="宋体" w:cs="宋体" w:eastAsia="宋体" w:hint="default"/>
                <w:sz w:val="21"/>
                <w:szCs w:val="21"/>
              </w:rPr>
              <w:t>理、中国石油天然气集团公司人事劳资部劳动组织处处长、中国石油天然气集团资本运营部专职监事等职，现任中国石油天然气集团公司资本运营部专</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职董事、锦州港股份有限公司监事。</w:t>
            </w:r>
          </w:p>
        </w:tc>
      </w:tr>
      <w:tr>
        <w:trPr>
          <w:trHeight w:val="559"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李欣华</w:t>
            </w:r>
          </w:p>
        </w:tc>
        <w:tc>
          <w:tcPr>
            <w:tcW w:w="14176"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曾任锦州港建设指挥部财务科长，锦州港务（集团）股份有限公司财务处业务经理，锦州港务局审计监察处处长、经营管理部部长，现任锦州港国有资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产经营管理有限公司副总经理、锦州市港口与口岸局副调研员、锦州港股份有限公司监事。</w:t>
            </w:r>
          </w:p>
        </w:tc>
      </w:tr>
      <w:tr>
        <w:trPr>
          <w:trHeight w:val="560"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涂冬</w:t>
            </w:r>
          </w:p>
        </w:tc>
        <w:tc>
          <w:tcPr>
            <w:tcW w:w="14176"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历任锦州港外轮理货公司理货员、锦州港股份有限公司党委宣传部干事、党群工作部部长助理、总裁办公室港报编辑部主任、行政事务部经理、总裁办</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公室主任、人力资源部经理、党群工作部部长、总裁助理；现任锦州港股份有限公司党委副书记、工会主席、纪委书记、监事。</w:t>
            </w:r>
          </w:p>
        </w:tc>
      </w:tr>
      <w:tr>
        <w:trPr>
          <w:trHeight w:val="833"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张文博</w:t>
            </w:r>
          </w:p>
        </w:tc>
        <w:tc>
          <w:tcPr>
            <w:tcW w:w="1417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历任锦州港外轮理货公司职员、行政处职员，锦州港股份有限公司总裁办公室业务经理、行政保卫部经理，锦州中理外轮理货有限公司总经理，锦州港</w:t>
            </w:r>
          </w:p>
          <w:p>
            <w:pPr>
              <w:pStyle w:val="TableParagraph"/>
              <w:spacing w:line="240" w:lineRule="auto"/>
              <w:ind w:left="100" w:right="88"/>
              <w:jc w:val="left"/>
              <w:rPr>
                <w:rFonts w:ascii="宋体" w:hAnsi="宋体" w:cs="宋体" w:eastAsia="宋体" w:hint="default"/>
                <w:sz w:val="21"/>
                <w:szCs w:val="21"/>
              </w:rPr>
            </w:pPr>
            <w:r>
              <w:rPr>
                <w:rFonts w:ascii="宋体" w:hAnsi="宋体" w:cs="宋体" w:eastAsia="宋体" w:hint="default"/>
                <w:sz w:val="21"/>
                <w:szCs w:val="21"/>
              </w:rPr>
              <w:t>股份有限公司业务部经理，现任锦州港股份有限公司监事、锦州港物流发展有限公司董事、总经理，锦州港口船舶代理有限公司董事、总经理，锦州港</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货运船舶代理有限公司董事、总经理。</w:t>
            </w:r>
          </w:p>
        </w:tc>
      </w:tr>
      <w:tr>
        <w:trPr>
          <w:trHeight w:val="288"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刘景利</w:t>
            </w:r>
          </w:p>
        </w:tc>
        <w:tc>
          <w:tcPr>
            <w:tcW w:w="1417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历任锦州港港埠公司副经理、技术设备部经理，现任锦州港股份有限公司港口建设部经理、监事。</w:t>
            </w:r>
          </w:p>
        </w:tc>
      </w:tr>
      <w:tr>
        <w:trPr>
          <w:trHeight w:val="288"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刘亚忠</w:t>
            </w:r>
          </w:p>
        </w:tc>
        <w:tc>
          <w:tcPr>
            <w:tcW w:w="1417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现任锦州港股份有限公司副总裁、中电投锦州港口有限责任公司监事会主席、辽宁锦港宝地置业有限公司董事。</w:t>
            </w:r>
          </w:p>
        </w:tc>
      </w:tr>
      <w:tr>
        <w:trPr>
          <w:trHeight w:val="559"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宁鸿鹏</w:t>
            </w:r>
          </w:p>
        </w:tc>
        <w:tc>
          <w:tcPr>
            <w:tcW w:w="14176"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现任锦州港股份有限公司副总裁兼锦州港物流发展有限公司董事长、锦州港口船舶代理有限公司董事长、锦州港货运船舶代理有限公司董事长、锦州港</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现代粮食物流有限公司董事长、大连集发环渤海集装箱有限公司董事、中丝锦州化工品港储有限公司副董事长。</w:t>
            </w:r>
          </w:p>
        </w:tc>
      </w:tr>
      <w:tr>
        <w:trPr>
          <w:trHeight w:val="560"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刘福金</w:t>
            </w:r>
          </w:p>
        </w:tc>
        <w:tc>
          <w:tcPr>
            <w:tcW w:w="14176"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现任锦州港股份有限公司副总裁、中电投锦州港口有限责任公司副董事长兼常务副总经理、锦州港兴港工程监理有限公司董事长、锦州新时代集装箱码</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头有限公司董事长、辽宁锦港宝地置业有限公司董事长。</w:t>
            </w:r>
          </w:p>
        </w:tc>
      </w:tr>
      <w:tr>
        <w:trPr>
          <w:trHeight w:val="288"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李桂萍</w:t>
            </w:r>
          </w:p>
        </w:tc>
        <w:tc>
          <w:tcPr>
            <w:tcW w:w="1417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曾任锦州港股份有限公司董监事会秘书处处长，现任锦州港股份有限公司董事会秘书。</w:t>
            </w:r>
          </w:p>
        </w:tc>
      </w:tr>
      <w:tr>
        <w:trPr>
          <w:trHeight w:val="286"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李志超</w:t>
            </w:r>
          </w:p>
        </w:tc>
        <w:tc>
          <w:tcPr>
            <w:tcW w:w="1417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历任锦州股份有限公司港埠公司经理、散杂货作业公司经理，现任锦州港股份有限公司总裁助理、锦州中理外轮理货有限公司董事。</w:t>
            </w:r>
          </w:p>
        </w:tc>
      </w:tr>
      <w:tr>
        <w:trPr>
          <w:trHeight w:val="295" w:hRule="exact"/>
        </w:trPr>
        <w:tc>
          <w:tcPr>
            <w:tcW w:w="994" w:type="dxa"/>
            <w:tcBorders>
              <w:top w:val="single" w:sz="6" w:space="0" w:color="000000"/>
              <w:left w:val="single" w:sz="12" w:space="0" w:color="000000"/>
              <w:bottom w:val="single" w:sz="12"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王兴山</w:t>
            </w:r>
          </w:p>
        </w:tc>
        <w:tc>
          <w:tcPr>
            <w:tcW w:w="14176" w:type="dxa"/>
            <w:tcBorders>
              <w:top w:val="single" w:sz="6" w:space="0" w:color="000000"/>
              <w:left w:val="single" w:sz="6" w:space="0" w:color="000000"/>
              <w:bottom w:val="single" w:sz="12"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历任锦州港股份有限公司研发部业务经理、经管部高级经济师，锦州港经营公司综合部副经理（主持工作），锦州港股份有限公司财务总监助理、计划</w:t>
            </w:r>
          </w:p>
        </w:tc>
      </w:tr>
    </w:tbl>
    <w:p>
      <w:pPr>
        <w:spacing w:after="0" w:line="243" w:lineRule="exact"/>
        <w:jc w:val="left"/>
        <w:rPr>
          <w:rFonts w:ascii="宋体" w:hAnsi="宋体" w:cs="宋体" w:eastAsia="宋体" w:hint="default"/>
          <w:sz w:val="21"/>
          <w:szCs w:val="21"/>
        </w:rPr>
        <w:sectPr>
          <w:pgSz w:w="16840" w:h="11910" w:orient="landscape"/>
          <w:pgMar w:header="880" w:footer="1195" w:top="1120" w:bottom="1380" w:left="840" w:right="580"/>
        </w:sectPr>
      </w:pPr>
    </w:p>
    <w:p>
      <w:pPr>
        <w:spacing w:line="240" w:lineRule="auto" w:before="2"/>
        <w:rPr>
          <w:rFonts w:ascii="Times New Roman" w:hAnsi="Times New Roman" w:cs="Times New Roman" w:eastAsia="Times New Roman" w:hint="default"/>
          <w:sz w:val="12"/>
          <w:szCs w:val="12"/>
        </w:rPr>
      </w:pPr>
    </w:p>
    <w:p>
      <w:pPr>
        <w:spacing w:line="631" w:lineRule="exact"/>
        <w:ind w:left="10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pict>
          <v:group style="width:760pt;height:31.6pt;mso-position-horizontal-relative:char;mso-position-vertical-relative:line" coordorigin="0,0" coordsize="15200,632">
            <v:group style="position:absolute;left:29;top:29;width:973;height:2" coordorigin="29,29" coordsize="973,2">
              <v:shape style="position:absolute;left:29;top:29;width:973;height:2" coordorigin="29,29" coordsize="973,0" path="m29,29l1001,29e" filled="false" stroked="true" strokeweight="1.44pt" strokecolor="#000000">
                <v:path arrowok="t"/>
              </v:shape>
            </v:group>
            <v:group style="position:absolute;left:1001;top:29;width:29;height:2" coordorigin="1001,29" coordsize="29,2">
              <v:shape style="position:absolute;left:1001;top:29;width:29;height:2" coordorigin="1001,29" coordsize="29,0" path="m1001,29l1030,29e" filled="false" stroked="true" strokeweight="1.44pt" strokecolor="#000000">
                <v:path arrowok="t"/>
              </v:shape>
            </v:group>
            <v:group style="position:absolute;left:1030;top:29;width:14141;height:2" coordorigin="1030,29" coordsize="14141,2">
              <v:shape style="position:absolute;left:1030;top:29;width:14141;height:2" coordorigin="1030,29" coordsize="14141,0" path="m1030,29l15170,29e" filled="false" stroked="true" strokeweight="1.44pt" strokecolor="#000000">
                <v:path arrowok="t"/>
              </v:shape>
            </v:group>
            <v:group style="position:absolute;left:14;top:14;width:2;height:603" coordorigin="14,14" coordsize="2,603">
              <v:shape style="position:absolute;left:14;top:14;width:2;height:603" coordorigin="14,14" coordsize="0,603" path="m14,14l14,617e" filled="false" stroked="true" strokeweight="1.44pt" strokecolor="#000000">
                <v:path arrowok="t"/>
              </v:shape>
            </v:group>
            <v:group style="position:absolute;left:29;top:602;width:973;height:2" coordorigin="29,602" coordsize="973,2">
              <v:shape style="position:absolute;left:29;top:602;width:973;height:2" coordorigin="29,602" coordsize="973,0" path="m29,602l1001,602e" filled="false" stroked="true" strokeweight="1.44pt" strokecolor="#000000">
                <v:path arrowok="t"/>
              </v:shape>
            </v:group>
            <v:group style="position:absolute;left:1008;top:43;width:2;height:545" coordorigin="1008,43" coordsize="2,545">
              <v:shape style="position:absolute;left:1008;top:43;width:2;height:545" coordorigin="1008,43" coordsize="0,545" path="m1008,43l1008,588e" filled="false" stroked="true" strokeweight=".72pt" strokecolor="#000000">
                <v:path arrowok="t"/>
              </v:shape>
            </v:group>
            <v:group style="position:absolute;left:1001;top:602;width:29;height:2" coordorigin="1001,602" coordsize="29,2">
              <v:shape style="position:absolute;left:1001;top:602;width:29;height:2" coordorigin="1001,602" coordsize="29,0" path="m1001,602l1030,602e" filled="false" stroked="true" strokeweight="1.44pt" strokecolor="#000000">
                <v:path arrowok="t"/>
              </v:shape>
            </v:group>
            <v:group style="position:absolute;left:1030;top:602;width:14141;height:2" coordorigin="1030,602" coordsize="14141,2">
              <v:shape style="position:absolute;left:1030;top:602;width:14141;height:2" coordorigin="1030,602" coordsize="14141,0" path="m1030,602l15170,602e" filled="false" stroked="true" strokeweight="1.44pt" strokecolor="#000000">
                <v:path arrowok="t"/>
              </v:shape>
            </v:group>
            <v:group style="position:absolute;left:15185;top:14;width:2;height:603" coordorigin="15185,14" coordsize="2,603">
              <v:shape style="position:absolute;left:15185;top:14;width:2;height:603" coordorigin="15185,14" coordsize="0,603" path="m15185,14l15185,617e" filled="false" stroked="true" strokeweight="1.44pt" strokecolor="#000000">
                <v:path arrowok="t"/>
              </v:shape>
              <v:shape style="position:absolute;left:1008;top:29;width:14177;height:574" type="#_x0000_t202" filled="false" stroked="false">
                <v:textbox inset="0,0,0,0">
                  <w:txbxContent>
                    <w:p>
                      <w:pPr>
                        <w:spacing w:line="274" w:lineRule="exact" w:before="6"/>
                        <w:ind w:left="107" w:right="103" w:firstLine="0"/>
                        <w:jc w:val="left"/>
                        <w:rPr>
                          <w:rFonts w:ascii="宋体" w:hAnsi="宋体" w:cs="宋体" w:eastAsia="宋体" w:hint="default"/>
                          <w:sz w:val="21"/>
                          <w:szCs w:val="21"/>
                        </w:rPr>
                      </w:pPr>
                      <w:r>
                        <w:rPr>
                          <w:rFonts w:ascii="宋体" w:hAnsi="宋体" w:cs="宋体" w:eastAsia="宋体" w:hint="default"/>
                          <w:sz w:val="21"/>
                          <w:szCs w:val="21"/>
                        </w:rPr>
                        <w:t>财务部经理、综合管理部经理，现任锦州港股份有限公司副总裁兼财务总监、锦州港现代粮食物流有限公司监事会主席、锦州港货运船舶代理有限公司</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监事会主席、锦州中理外轮理货有限公司监事会主席、锦州新时代集装箱码头有限公司监事、锦港海洋石化贸易有限公司执行董事。</w:t>
                      </w:r>
                    </w:p>
                  </w:txbxContent>
                </v:textbox>
                <w10:wrap type="none"/>
              </v:shape>
            </v:group>
          </v:group>
        </w:pict>
      </w:r>
      <w:r>
        <w:rPr>
          <w:rFonts w:ascii="Times New Roman" w:hAnsi="Times New Roman" w:cs="Times New Roman" w:eastAsia="Times New Roman" w:hint="default"/>
          <w:position w:val="-12"/>
          <w:sz w:val="20"/>
          <w:szCs w:val="20"/>
        </w:rPr>
      </w:r>
    </w:p>
    <w:p>
      <w:pPr>
        <w:pStyle w:val="BodyText"/>
        <w:spacing w:line="227" w:lineRule="exact"/>
        <w:ind w:left="684" w:right="498"/>
        <w:jc w:val="left"/>
      </w:pPr>
      <w:r>
        <w:rPr/>
        <w:t>其它情况说明</w:t>
      </w:r>
    </w:p>
    <w:p>
      <w:pPr>
        <w:pStyle w:val="BodyText"/>
        <w:spacing w:line="240" w:lineRule="auto"/>
        <w:ind w:left="684" w:right="498"/>
        <w:jc w:val="left"/>
      </w:pPr>
      <w:r>
        <w:rPr/>
        <w:t>经</w:t>
      </w:r>
      <w:r>
        <w:rPr>
          <w:spacing w:val="-40"/>
        </w:rPr>
        <w:t> </w:t>
      </w:r>
      <w:r>
        <w:rPr>
          <w:rFonts w:ascii="宋体" w:hAnsi="宋体" w:cs="宋体" w:eastAsia="宋体" w:hint="default"/>
        </w:rPr>
        <w:t>2015</w:t>
      </w:r>
      <w:r>
        <w:rPr>
          <w:rFonts w:ascii="宋体" w:hAnsi="宋体" w:cs="宋体" w:eastAsia="宋体" w:hint="default"/>
          <w:spacing w:val="-41"/>
        </w:rPr>
        <w:t> </w:t>
      </w:r>
      <w:r>
        <w:rPr/>
        <w:t>年</w:t>
      </w:r>
      <w:r>
        <w:rPr>
          <w:spacing w:val="-44"/>
        </w:rPr>
        <w:t> </w:t>
      </w:r>
      <w:r>
        <w:rPr>
          <w:rFonts w:ascii="宋体" w:hAnsi="宋体" w:cs="宋体" w:eastAsia="宋体" w:hint="default"/>
        </w:rPr>
        <w:t>1</w:t>
      </w:r>
      <w:r>
        <w:rPr>
          <w:rFonts w:ascii="宋体" w:hAnsi="宋体" w:cs="宋体" w:eastAsia="宋体" w:hint="default"/>
          <w:spacing w:val="-41"/>
        </w:rPr>
        <w:t> </w:t>
      </w:r>
      <w:r>
        <w:rPr/>
        <w:t>月</w:t>
      </w:r>
      <w:r>
        <w:rPr>
          <w:spacing w:val="-44"/>
        </w:rPr>
        <w:t> </w:t>
      </w:r>
      <w:r>
        <w:rPr>
          <w:rFonts w:ascii="宋体" w:hAnsi="宋体" w:cs="宋体" w:eastAsia="宋体" w:hint="default"/>
        </w:rPr>
        <w:t>16</w:t>
      </w:r>
      <w:r>
        <w:rPr>
          <w:rFonts w:ascii="宋体" w:hAnsi="宋体" w:cs="宋体" w:eastAsia="宋体" w:hint="default"/>
          <w:spacing w:val="-41"/>
        </w:rPr>
        <w:t> </w:t>
      </w:r>
      <w:r>
        <w:rPr/>
        <w:t>日召开的</w:t>
      </w:r>
      <w:r>
        <w:rPr>
          <w:spacing w:val="-41"/>
        </w:rPr>
        <w:t> </w:t>
      </w:r>
      <w:r>
        <w:rPr>
          <w:rFonts w:ascii="宋体" w:hAnsi="宋体" w:cs="宋体" w:eastAsia="宋体" w:hint="default"/>
        </w:rPr>
        <w:t>2015</w:t>
      </w:r>
      <w:r>
        <w:rPr>
          <w:rFonts w:ascii="宋体" w:hAnsi="宋体" w:cs="宋体" w:eastAsia="宋体" w:hint="default"/>
          <w:spacing w:val="-41"/>
        </w:rPr>
        <w:t> </w:t>
      </w:r>
      <w:r>
        <w:rPr>
          <w:spacing w:val="-4"/>
        </w:rPr>
        <w:t>年第一次临时股东大会选举，迟宝璋先生当选为公司第八届董事会独立董事，任期与第八届董事会相同；李欣华女士当</w:t>
      </w:r>
      <w:r>
        <w:rPr>
          <w:spacing w:val="-99"/>
        </w:rPr>
        <w:t> </w:t>
      </w:r>
      <w:r>
        <w:rPr>
          <w:spacing w:val="-99"/>
        </w:rPr>
      </w:r>
      <w:r>
        <w:rPr/>
        <w:t>选为公司第八届监事会监事，任期与第八届监事会相同。</w:t>
      </w:r>
    </w:p>
    <w:p>
      <w:pPr>
        <w:pStyle w:val="BodyText"/>
        <w:spacing w:line="271" w:lineRule="exact"/>
        <w:ind w:left="684" w:right="498"/>
        <w:jc w:val="left"/>
      </w:pP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6</w:t>
      </w:r>
      <w:r>
        <w:rPr>
          <w:rFonts w:ascii="宋体" w:hAnsi="宋体" w:cs="宋体" w:eastAsia="宋体" w:hint="default"/>
          <w:spacing w:val="-56"/>
        </w:rPr>
        <w:t> </w:t>
      </w:r>
      <w:r>
        <w:rPr/>
        <w:t>日，公司董事会收到副总裁于新宇先生递交的书面辞职报告，因个人原因提请辞去公司副总裁职务。</w:t>
      </w:r>
    </w:p>
    <w:p>
      <w:pPr>
        <w:pStyle w:val="BodyText"/>
        <w:spacing w:line="272" w:lineRule="exact" w:before="27"/>
        <w:ind w:left="684" w:right="498"/>
        <w:jc w:val="left"/>
      </w:pP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24</w:t>
      </w:r>
      <w:r>
        <w:rPr>
          <w:rFonts w:ascii="宋体" w:hAnsi="宋体" w:cs="宋体" w:eastAsia="宋体" w:hint="default"/>
          <w:spacing w:val="-56"/>
        </w:rPr>
        <w:t> </w:t>
      </w:r>
      <w:r>
        <w:rPr/>
        <w:t>日，公司董事会收到董事长张宏伟先生递交的书面辞职报告，张宏伟先生因已到国家法定退休年龄，并办理了退休手续，申请辞去公司</w:t>
      </w:r>
      <w:r>
        <w:rPr>
          <w:w w:val="100"/>
        </w:rPr>
        <w:t> </w:t>
      </w:r>
      <w:r>
        <w:rPr/>
        <w:t>董事、董事长和董事会战略委员会主任委员职务。</w:t>
      </w:r>
    </w:p>
    <w:p>
      <w:pPr>
        <w:pStyle w:val="BodyText"/>
        <w:spacing w:line="246" w:lineRule="exact"/>
        <w:ind w:left="684" w:right="498"/>
        <w:jc w:val="left"/>
      </w:pP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6"/>
        </w:rPr>
        <w:t> </w:t>
      </w:r>
      <w:r>
        <w:rPr/>
        <w:t>月</w:t>
      </w:r>
      <w:r>
        <w:rPr>
          <w:spacing w:val="-54"/>
        </w:rPr>
        <w:t> </w:t>
      </w:r>
      <w:r>
        <w:rPr>
          <w:rFonts w:ascii="宋体" w:hAnsi="宋体" w:cs="宋体" w:eastAsia="宋体" w:hint="default"/>
        </w:rPr>
        <w:t>7</w:t>
      </w:r>
      <w:r>
        <w:rPr>
          <w:rFonts w:ascii="宋体" w:hAnsi="宋体" w:cs="宋体" w:eastAsia="宋体" w:hint="default"/>
          <w:spacing w:val="-56"/>
        </w:rPr>
        <w:t> </w:t>
      </w:r>
      <w:r>
        <w:rPr/>
        <w:t>日，公司董事会收到副总裁兼财务总监肖爱东先生提交的书面辞职报告</w:t>
      </w:r>
      <w:r>
        <w:rPr>
          <w:rFonts w:ascii="宋体" w:hAnsi="宋体" w:cs="宋体" w:eastAsia="宋体" w:hint="default"/>
        </w:rPr>
        <w:t>,</w:t>
      </w:r>
      <w:r>
        <w:rPr/>
        <w:t>因个人原因提出辞去其公司副总裁及财务总监职务。</w:t>
      </w:r>
    </w:p>
    <w:p>
      <w:pPr>
        <w:pStyle w:val="BodyText"/>
        <w:spacing w:line="273" w:lineRule="exact"/>
        <w:ind w:left="684" w:right="498"/>
        <w:jc w:val="left"/>
      </w:pP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6"/>
        </w:rPr>
        <w:t> </w:t>
      </w:r>
      <w:r>
        <w:rPr/>
        <w:t>月</w:t>
      </w:r>
      <w:r>
        <w:rPr>
          <w:spacing w:val="-54"/>
        </w:rPr>
        <w:t> </w:t>
      </w:r>
      <w:r>
        <w:rPr>
          <w:rFonts w:ascii="宋体" w:hAnsi="宋体" w:cs="宋体" w:eastAsia="宋体" w:hint="default"/>
        </w:rPr>
        <w:t>7</w:t>
      </w:r>
      <w:r>
        <w:rPr>
          <w:rFonts w:ascii="宋体" w:hAnsi="宋体" w:cs="宋体" w:eastAsia="宋体" w:hint="default"/>
          <w:spacing w:val="-56"/>
        </w:rPr>
        <w:t> </w:t>
      </w:r>
      <w:r>
        <w:rPr/>
        <w:t>日，公司监事会收到职工代表监事王兴山提交的书面辞职报告，因工作变动原因提请辞去第八届监事会职工代表监事职务。</w:t>
      </w:r>
    </w:p>
    <w:p>
      <w:pPr>
        <w:pStyle w:val="BodyText"/>
        <w:spacing w:line="240" w:lineRule="auto"/>
        <w:ind w:left="684" w:right="498"/>
        <w:jc w:val="left"/>
      </w:pPr>
      <w:r>
        <w:rPr>
          <w:rFonts w:ascii="宋体" w:hAnsi="宋体" w:cs="宋体" w:eastAsia="宋体" w:hint="default"/>
        </w:rPr>
        <w:t>2015</w:t>
      </w:r>
      <w:r>
        <w:rPr>
          <w:rFonts w:ascii="宋体" w:hAnsi="宋体" w:cs="宋体" w:eastAsia="宋体" w:hint="default"/>
          <w:spacing w:val="-33"/>
        </w:rPr>
        <w:t> </w:t>
      </w:r>
      <w:r>
        <w:rPr/>
        <w:t>年</w:t>
      </w:r>
      <w:r>
        <w:rPr>
          <w:spacing w:val="-30"/>
        </w:rPr>
        <w:t> </w:t>
      </w:r>
      <w:r>
        <w:rPr>
          <w:rFonts w:ascii="宋体" w:hAnsi="宋体" w:cs="宋体" w:eastAsia="宋体" w:hint="default"/>
        </w:rPr>
        <w:t>5</w:t>
      </w:r>
      <w:r>
        <w:rPr>
          <w:rFonts w:ascii="宋体" w:hAnsi="宋体" w:cs="宋体" w:eastAsia="宋体" w:hint="default"/>
          <w:spacing w:val="-33"/>
        </w:rPr>
        <w:t> </w:t>
      </w:r>
      <w:r>
        <w:rPr/>
        <w:t>月</w:t>
      </w:r>
      <w:r>
        <w:rPr>
          <w:spacing w:val="-30"/>
        </w:rPr>
        <w:t> </w:t>
      </w:r>
      <w:r>
        <w:rPr>
          <w:rFonts w:ascii="宋体" w:hAnsi="宋体" w:cs="宋体" w:eastAsia="宋体" w:hint="default"/>
        </w:rPr>
        <w:t>11</w:t>
      </w:r>
      <w:r>
        <w:rPr>
          <w:rFonts w:ascii="宋体" w:hAnsi="宋体" w:cs="宋体" w:eastAsia="宋体" w:hint="default"/>
          <w:spacing w:val="-33"/>
        </w:rPr>
        <w:t> </w:t>
      </w:r>
      <w:r>
        <w:rPr>
          <w:spacing w:val="-3"/>
        </w:rPr>
        <w:t>日，公司召开第四届第三次职工代表大会，补选刘景利先生为公司第八届监事会职工代表监事，直接进入监事会</w:t>
      </w:r>
      <w:r>
        <w:rPr>
          <w:rFonts w:ascii="宋体" w:hAnsi="宋体" w:cs="宋体" w:eastAsia="宋体" w:hint="default"/>
          <w:spacing w:val="-3"/>
        </w:rPr>
        <w:t>,</w:t>
      </w:r>
      <w:r>
        <w:rPr>
          <w:spacing w:val="-3"/>
        </w:rPr>
        <w:t>任期与第八届监事会相</w:t>
      </w:r>
      <w:r>
        <w:rPr>
          <w:spacing w:val="-92"/>
        </w:rPr>
        <w:t> </w:t>
      </w:r>
      <w:r>
        <w:rPr>
          <w:spacing w:val="-92"/>
        </w:rPr>
      </w:r>
      <w:r>
        <w:rPr/>
        <w:t>同。</w:t>
      </w:r>
    </w:p>
    <w:p>
      <w:pPr>
        <w:pStyle w:val="BodyText"/>
        <w:spacing w:line="274" w:lineRule="exact" w:before="22"/>
        <w:ind w:left="684" w:right="498"/>
        <w:jc w:val="left"/>
      </w:pPr>
      <w:r>
        <w:rPr>
          <w:rFonts w:ascii="宋体" w:hAnsi="宋体" w:cs="宋体" w:eastAsia="宋体" w:hint="default"/>
        </w:rPr>
        <w:t>2016</w:t>
      </w:r>
      <w:r>
        <w:rPr>
          <w:rFonts w:ascii="宋体" w:hAnsi="宋体" w:cs="宋体" w:eastAsia="宋体" w:hint="default"/>
          <w:spacing w:val="-33"/>
        </w:rPr>
        <w:t> </w:t>
      </w:r>
      <w:r>
        <w:rPr/>
        <w:t>年</w:t>
      </w:r>
      <w:r>
        <w:rPr>
          <w:spacing w:val="-30"/>
        </w:rPr>
        <w:t> </w:t>
      </w:r>
      <w:r>
        <w:rPr>
          <w:rFonts w:ascii="宋体" w:hAnsi="宋体" w:cs="宋体" w:eastAsia="宋体" w:hint="default"/>
        </w:rPr>
        <w:t>3</w:t>
      </w:r>
      <w:r>
        <w:rPr>
          <w:rFonts w:ascii="宋体" w:hAnsi="宋体" w:cs="宋体" w:eastAsia="宋体" w:hint="default"/>
          <w:spacing w:val="-33"/>
        </w:rPr>
        <w:t> </w:t>
      </w:r>
      <w:r>
        <w:rPr/>
        <w:t>月</w:t>
      </w:r>
      <w:r>
        <w:rPr>
          <w:spacing w:val="-30"/>
        </w:rPr>
        <w:t> </w:t>
      </w:r>
      <w:r>
        <w:rPr>
          <w:rFonts w:ascii="宋体" w:hAnsi="宋体" w:cs="宋体" w:eastAsia="宋体" w:hint="default"/>
        </w:rPr>
        <w:t>1</w:t>
      </w:r>
      <w:r>
        <w:rPr>
          <w:rFonts w:ascii="宋体" w:hAnsi="宋体" w:cs="宋体" w:eastAsia="宋体" w:hint="default"/>
          <w:spacing w:val="-33"/>
        </w:rPr>
        <w:t> </w:t>
      </w:r>
      <w:r>
        <w:rPr>
          <w:spacing w:val="-3"/>
        </w:rPr>
        <w:t>日，公司董事会收到独立董事李葛卫、刘宁宇提交的书面辞职报告，因个人原因提请辞去公司第八届董事会独立董事职务，并一并辞去所</w:t>
      </w:r>
      <w:r>
        <w:rPr>
          <w:spacing w:val="-92"/>
        </w:rPr>
        <w:t> </w:t>
      </w:r>
      <w:r>
        <w:rPr>
          <w:spacing w:val="-92"/>
        </w:rPr>
      </w:r>
      <w:r>
        <w:rPr/>
        <w:t>担任的董事会专门委员会职务。</w:t>
      </w:r>
    </w:p>
    <w:p>
      <w:pPr>
        <w:pStyle w:val="BodyText"/>
        <w:spacing w:line="245" w:lineRule="exact"/>
        <w:ind w:left="684" w:right="498"/>
        <w:jc w:val="left"/>
      </w:pP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6"/>
        </w:rPr>
        <w:t> </w:t>
      </w:r>
      <w:r>
        <w:rPr/>
        <w:t>日，公司监事会收到监事刘恩祥提交的书面辞职报告，因个人原因申请辞去公司第八届监事会监事职务。</w:t>
      </w:r>
    </w:p>
    <w:p>
      <w:pPr>
        <w:pStyle w:val="BodyText"/>
        <w:spacing w:line="272" w:lineRule="exact" w:before="27"/>
        <w:ind w:left="684" w:right="498"/>
        <w:jc w:val="left"/>
      </w:pPr>
      <w:r>
        <w:rPr>
          <w:rFonts w:ascii="宋体" w:hAnsi="宋体" w:cs="宋体" w:eastAsia="宋体" w:hint="default"/>
        </w:rPr>
        <w:t>2016</w:t>
      </w:r>
      <w:r>
        <w:rPr>
          <w:rFonts w:ascii="宋体" w:hAnsi="宋体" w:cs="宋体" w:eastAsia="宋体" w:hint="default"/>
          <w:spacing w:val="-40"/>
        </w:rPr>
        <w:t> </w:t>
      </w:r>
      <w:r>
        <w:rPr/>
        <w:t>年</w:t>
      </w:r>
      <w:r>
        <w:rPr>
          <w:spacing w:val="-37"/>
        </w:rPr>
        <w:t> </w:t>
      </w:r>
      <w:r>
        <w:rPr>
          <w:rFonts w:ascii="宋体" w:hAnsi="宋体" w:cs="宋体" w:eastAsia="宋体" w:hint="default"/>
        </w:rPr>
        <w:t>3</w:t>
      </w:r>
      <w:r>
        <w:rPr>
          <w:rFonts w:ascii="宋体" w:hAnsi="宋体" w:cs="宋体" w:eastAsia="宋体" w:hint="default"/>
          <w:spacing w:val="-40"/>
        </w:rPr>
        <w:t> </w:t>
      </w:r>
      <w:r>
        <w:rPr/>
        <w:t>月</w:t>
      </w:r>
      <w:r>
        <w:rPr>
          <w:spacing w:val="-37"/>
        </w:rPr>
        <w:t> </w:t>
      </w:r>
      <w:r>
        <w:rPr>
          <w:rFonts w:ascii="宋体" w:hAnsi="宋体" w:cs="宋体" w:eastAsia="宋体" w:hint="default"/>
        </w:rPr>
        <w:t>18</w:t>
      </w:r>
      <w:r>
        <w:rPr>
          <w:rFonts w:ascii="宋体" w:hAnsi="宋体" w:cs="宋体" w:eastAsia="宋体" w:hint="default"/>
          <w:spacing w:val="-40"/>
        </w:rPr>
        <w:t> </w:t>
      </w:r>
      <w:r>
        <w:rPr>
          <w:spacing w:val="-3"/>
        </w:rPr>
        <w:t>日，公司召开</w:t>
      </w:r>
      <w:r>
        <w:rPr>
          <w:spacing w:val="-37"/>
        </w:rPr>
        <w:t> </w:t>
      </w:r>
      <w:r>
        <w:rPr>
          <w:rFonts w:ascii="宋体" w:hAnsi="宋体" w:cs="宋体" w:eastAsia="宋体" w:hint="default"/>
        </w:rPr>
        <w:t>2016</w:t>
      </w:r>
      <w:r>
        <w:rPr>
          <w:rFonts w:ascii="宋体" w:hAnsi="宋体" w:cs="宋体" w:eastAsia="宋体" w:hint="default"/>
          <w:spacing w:val="-40"/>
        </w:rPr>
        <w:t> </w:t>
      </w:r>
      <w:r>
        <w:rPr>
          <w:spacing w:val="-3"/>
        </w:rPr>
        <w:t>年第一次临时股东大会，选举曹坚先生、苗延安先生为公司第八届董事会独立董事，任期与第八届董事会相同；选举</w:t>
      </w:r>
      <w:r>
        <w:rPr>
          <w:spacing w:val="-96"/>
        </w:rPr>
        <w:t> </w:t>
      </w:r>
      <w:r>
        <w:rPr>
          <w:spacing w:val="-96"/>
        </w:rPr>
      </w:r>
      <w:r>
        <w:rPr/>
        <w:t>刘立英女士为公司第八届监事会监事，任期与第八届监事会相同。</w:t>
      </w:r>
    </w:p>
    <w:p>
      <w:pPr>
        <w:pStyle w:val="Heading2"/>
        <w:spacing w:line="240" w:lineRule="auto" w:before="34"/>
        <w:ind w:left="684" w:right="49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董事、监事、高级管理人员报告期内被授予的股权激励情况</w:t>
      </w:r>
      <w:r>
        <w:rPr>
          <w:b w:val="0"/>
          <w:bCs w:val="0"/>
        </w:rPr>
      </w:r>
    </w:p>
    <w:p>
      <w:pPr>
        <w:pStyle w:val="Heading2"/>
        <w:spacing w:line="290" w:lineRule="auto" w:before="30"/>
        <w:ind w:left="684" w:right="8537"/>
        <w:jc w:val="left"/>
        <w:rPr>
          <w:b w:val="0"/>
          <w:bCs w:val="0"/>
        </w:rPr>
      </w:pPr>
      <w:r>
        <w:rPr>
          <w:rFonts w:ascii="宋体" w:hAnsi="宋体" w:cs="宋体" w:eastAsia="宋体" w:hint="default"/>
          <w:b w:val="0"/>
          <w:bCs w:val="0"/>
        </w:rPr>
        <w:t>□适用√不适用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3" w:lineRule="exact"/>
        <w:ind w:left="684" w:right="498"/>
        <w:jc w:val="left"/>
      </w:pPr>
      <w:r>
        <w:rPr/>
        <w:t>√适用 □不适用</w:t>
      </w:r>
    </w:p>
    <w:p>
      <w:pPr>
        <w:spacing w:line="240" w:lineRule="auto" w:before="4"/>
        <w:rPr>
          <w:rFonts w:ascii="宋体" w:hAnsi="宋体" w:cs="宋体" w:eastAsia="宋体" w:hint="default"/>
          <w:sz w:val="2"/>
          <w:szCs w:val="2"/>
        </w:rPr>
      </w:pPr>
    </w:p>
    <w:tbl>
      <w:tblPr>
        <w:tblW w:w="0" w:type="auto"/>
        <w:jc w:val="left"/>
        <w:tblInd w:w="56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95" w:hRule="exact"/>
        </w:trPr>
        <w:tc>
          <w:tcPr>
            <w:tcW w:w="2804" w:type="dxa"/>
            <w:tcBorders>
              <w:top w:val="single" w:sz="12" w:space="0" w:color="000000"/>
              <w:left w:val="single" w:sz="12" w:space="0" w:color="000000"/>
              <w:bottom w:val="single" w:sz="6" w:space="0" w:color="000000"/>
              <w:right w:val="single" w:sz="6" w:space="0" w:color="000000"/>
            </w:tcBorders>
          </w:tcPr>
          <w:p>
            <w:pPr>
              <w:pStyle w:val="TableParagraph"/>
              <w:spacing w:line="243" w:lineRule="exact"/>
              <w:ind w:left="756"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12" w:space="0" w:color="000000"/>
              <w:left w:val="single" w:sz="6" w:space="0" w:color="000000"/>
              <w:bottom w:val="single" w:sz="6" w:space="0" w:color="000000"/>
              <w:right w:val="single" w:sz="6" w:space="0" w:color="000000"/>
            </w:tcBorders>
          </w:tcPr>
          <w:p>
            <w:pPr>
              <w:pStyle w:val="TableParagraph"/>
              <w:spacing w:line="243" w:lineRule="exact"/>
              <w:ind w:left="1205"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12" w:space="0" w:color="000000"/>
              <w:left w:val="single" w:sz="6" w:space="0" w:color="000000"/>
              <w:bottom w:val="single" w:sz="6" w:space="0" w:color="000000"/>
              <w:right w:val="single" w:sz="6" w:space="0" w:color="000000"/>
            </w:tcBorders>
          </w:tcPr>
          <w:p>
            <w:pPr>
              <w:pStyle w:val="TableParagraph"/>
              <w:spacing w:line="243" w:lineRule="exact"/>
              <w:ind w:left="360"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12" w:space="0" w:color="000000"/>
              <w:left w:val="single" w:sz="6" w:space="0" w:color="000000"/>
              <w:bottom w:val="single" w:sz="6" w:space="0" w:color="000000"/>
              <w:right w:val="single" w:sz="6" w:space="0" w:color="000000"/>
            </w:tcBorders>
          </w:tcPr>
          <w:p>
            <w:pPr>
              <w:pStyle w:val="TableParagraph"/>
              <w:spacing w:line="243" w:lineRule="exact"/>
              <w:ind w:left="559"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12" w:space="0" w:color="000000"/>
              <w:left w:val="single" w:sz="6" w:space="0" w:color="000000"/>
              <w:bottom w:val="single" w:sz="6" w:space="0" w:color="000000"/>
              <w:right w:val="single" w:sz="12" w:space="0" w:color="000000"/>
            </w:tcBorders>
          </w:tcPr>
          <w:p>
            <w:pPr>
              <w:pStyle w:val="TableParagraph"/>
              <w:spacing w:line="243" w:lineRule="exact"/>
              <w:ind w:left="549"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8" w:hRule="exact"/>
        </w:trPr>
        <w:tc>
          <w:tcPr>
            <w:tcW w:w="280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徐健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80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徐健</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常务副总经理</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280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孙明涛</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东方集团股份有限公司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9" w:hRule="exact"/>
        </w:trPr>
        <w:tc>
          <w:tcPr>
            <w:tcW w:w="2804"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总会计师</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80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张惠泉</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东方集团股份有限公司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董事、副总裁、首席律师</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6" w:hRule="exact"/>
        </w:trPr>
        <w:tc>
          <w:tcPr>
            <w:tcW w:w="280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李亚良</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东方集团股份有限公司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董事、副总裁、财务总监</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95" w:hRule="exact"/>
        </w:trPr>
        <w:tc>
          <w:tcPr>
            <w:tcW w:w="2804" w:type="dxa"/>
            <w:tcBorders>
              <w:top w:val="single" w:sz="6" w:space="0" w:color="000000"/>
              <w:left w:val="single" w:sz="12" w:space="0" w:color="000000"/>
              <w:bottom w:val="single" w:sz="12"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卢丽平</w:t>
            </w:r>
          </w:p>
        </w:tc>
        <w:tc>
          <w:tcPr>
            <w:tcW w:w="3685"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中国石油天然气集团公司</w:t>
            </w:r>
          </w:p>
        </w:tc>
        <w:tc>
          <w:tcPr>
            <w:tcW w:w="2835"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资本运营部专职董事</w:t>
            </w:r>
          </w:p>
        </w:tc>
        <w:tc>
          <w:tcPr>
            <w:tcW w:w="2391"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6840" w:h="11910" w:orient="landscape"/>
          <w:pgMar w:header="880" w:footer="1195" w:top="1120" w:bottom="1380" w:left="840" w:right="580"/>
        </w:sectPr>
      </w:pPr>
    </w:p>
    <w:p>
      <w:pPr>
        <w:spacing w:line="240" w:lineRule="auto" w:before="10"/>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300" w:hRule="exact"/>
        </w:trPr>
        <w:tc>
          <w:tcPr>
            <w:tcW w:w="2804" w:type="dxa"/>
            <w:tcBorders>
              <w:top w:val="single" w:sz="12"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李欣华</w:t>
            </w:r>
          </w:p>
        </w:tc>
        <w:tc>
          <w:tcPr>
            <w:tcW w:w="3685"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锦州港国有资产经营管理有限公司</w:t>
            </w:r>
          </w:p>
        </w:tc>
        <w:tc>
          <w:tcPr>
            <w:tcW w:w="2835"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391"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12" w:space="0" w:color="000000"/>
              <w:left w:val="single" w:sz="6" w:space="0" w:color="000000"/>
              <w:bottom w:val="single" w:sz="12" w:space="0" w:color="000000"/>
              <w:right w:val="single" w:sz="12" w:space="0" w:color="000000"/>
            </w:tcBorders>
          </w:tcPr>
          <w:p>
            <w:pPr/>
          </w:p>
        </w:tc>
      </w:tr>
    </w:tbl>
    <w:p>
      <w:pPr>
        <w:pStyle w:val="Heading2"/>
        <w:spacing w:line="240" w:lineRule="auto" w:before="28"/>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left="22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952"/>
        <w:gridCol w:w="4537"/>
        <w:gridCol w:w="2835"/>
        <w:gridCol w:w="2377"/>
        <w:gridCol w:w="2391"/>
      </w:tblGrid>
      <w:tr>
        <w:trPr>
          <w:trHeight w:val="295" w:hRule="exact"/>
        </w:trPr>
        <w:tc>
          <w:tcPr>
            <w:tcW w:w="1952" w:type="dxa"/>
            <w:tcBorders>
              <w:top w:val="single" w:sz="12" w:space="0" w:color="000000"/>
              <w:left w:val="single" w:sz="12" w:space="0" w:color="000000"/>
              <w:bottom w:val="single" w:sz="6" w:space="0" w:color="000000"/>
              <w:right w:val="single" w:sz="6" w:space="0" w:color="000000"/>
            </w:tcBorders>
          </w:tcPr>
          <w:p>
            <w:pPr>
              <w:pStyle w:val="TableParagraph"/>
              <w:spacing w:line="243" w:lineRule="exact"/>
              <w:ind w:left="331"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4537" w:type="dxa"/>
            <w:tcBorders>
              <w:top w:val="single" w:sz="12"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12" w:space="0" w:color="000000"/>
              <w:left w:val="single" w:sz="6" w:space="0" w:color="000000"/>
              <w:bottom w:val="single" w:sz="6" w:space="0" w:color="000000"/>
              <w:right w:val="single" w:sz="6" w:space="0" w:color="000000"/>
            </w:tcBorders>
          </w:tcPr>
          <w:p>
            <w:pPr>
              <w:pStyle w:val="TableParagraph"/>
              <w:spacing w:line="243" w:lineRule="exact"/>
              <w:ind w:left="360"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12" w:space="0" w:color="000000"/>
              <w:left w:val="single" w:sz="6" w:space="0" w:color="000000"/>
              <w:bottom w:val="single" w:sz="6" w:space="0" w:color="000000"/>
              <w:right w:val="single" w:sz="6" w:space="0" w:color="000000"/>
            </w:tcBorders>
          </w:tcPr>
          <w:p>
            <w:pPr>
              <w:pStyle w:val="TableParagraph"/>
              <w:spacing w:line="243" w:lineRule="exact"/>
              <w:ind w:left="55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12" w:space="0" w:color="000000"/>
              <w:left w:val="single" w:sz="6" w:space="0" w:color="000000"/>
              <w:bottom w:val="single" w:sz="6" w:space="0" w:color="000000"/>
              <w:right w:val="single" w:sz="12" w:space="0" w:color="000000"/>
            </w:tcBorders>
          </w:tcPr>
          <w:p>
            <w:pPr>
              <w:pStyle w:val="TableParagraph"/>
              <w:spacing w:line="243" w:lineRule="exact"/>
              <w:ind w:left="559"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徐健</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大连港股份有限公司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徐健</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徐健</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大连港通信工程有限公司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徐健</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大连港湾工程有限公司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9"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徐健</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大连港机械有限公司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徐健</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大连港口设计研究院有限公司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徐健</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大连港埠机电有限公司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徐健</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大连保税区永德信房地产开发建设有限公司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孙明涛</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国开东方城镇发展投资有限公司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孙明涛</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民生电商控股（深圳）有限公司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孙明涛</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民生电子商务有限责任公司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刘辉</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辽港大宗商品交易有限公司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董事兼总经理</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大连港投融资控股集团有限公司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大连港股份有限公司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大连汽车码头有限公司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锦州龙栖湾港口发展有限公司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大通证券股份有限公司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百年人寿保险股份有限公司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华信信托股份有限公司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大连装备融资租赁有限公司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9"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港融控股有限公司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荣海丰集装箱有限公司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大连太平湾投资发展有限公司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大连太平湾投资控股有限公司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93" w:hRule="exact"/>
        </w:trPr>
        <w:tc>
          <w:tcPr>
            <w:tcW w:w="1952"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4537"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大连港北岸投资开发有限公司</w:t>
            </w:r>
          </w:p>
        </w:tc>
        <w:tc>
          <w:tcPr>
            <w:tcW w:w="283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6840" w:h="11910" w:orient="landscape"/>
          <w:pgMar w:header="880" w:footer="1195" w:top="1120" w:bottom="1380" w:left="1300" w:right="1200"/>
        </w:sectPr>
      </w:pPr>
    </w:p>
    <w:p>
      <w:pPr>
        <w:spacing w:line="240" w:lineRule="auto" w:before="10"/>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1952"/>
        <w:gridCol w:w="4537"/>
        <w:gridCol w:w="2835"/>
        <w:gridCol w:w="2377"/>
        <w:gridCol w:w="2391"/>
      </w:tblGrid>
      <w:tr>
        <w:trPr>
          <w:trHeight w:val="295" w:hRule="exact"/>
        </w:trPr>
        <w:tc>
          <w:tcPr>
            <w:tcW w:w="1952"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4537"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大连港地产集团有限公司</w:t>
            </w:r>
          </w:p>
        </w:tc>
        <w:tc>
          <w:tcPr>
            <w:tcW w:w="2835"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12" w:space="0" w:color="000000"/>
              <w:left w:val="single" w:sz="6" w:space="0" w:color="000000"/>
              <w:bottom w:val="single" w:sz="6" w:space="0" w:color="000000"/>
              <w:right w:val="single" w:sz="12" w:space="0" w:color="000000"/>
            </w:tcBorders>
          </w:tcPr>
          <w:p>
            <w:pPr/>
          </w:p>
        </w:tc>
      </w:tr>
      <w:tr>
        <w:trPr>
          <w:trHeight w:val="286"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大连港置地有限公司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大连港隆科技有限公司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大连港通信工程有限公司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亚太港口有限公司</w:t>
            </w:r>
            <w:r>
              <w:rPr>
                <w:rFonts w:ascii="宋体" w:hAnsi="宋体" w:cs="宋体" w:eastAsia="宋体" w:hint="default"/>
                <w:spacing w:val="-53"/>
                <w:sz w:val="21"/>
                <w:szCs w:val="21"/>
              </w:rPr>
              <w:t> </w:t>
            </w:r>
            <w:r>
              <w:rPr>
                <w:rFonts w:ascii="宋体" w:hAnsi="宋体" w:cs="宋体" w:eastAsia="宋体" w:hint="default"/>
                <w:sz w:val="21"/>
                <w:szCs w:val="21"/>
              </w:rPr>
              <w:t>APP</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亚太港口投资有限公司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港丰集团</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亚太港口发展有限公司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英瑞控股有限公司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大连港实业有限公司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大连港航投资有限公司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大连港粮油贸易有限公司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桦南大连港正粮油贸易有限公司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沈阳凯铭实业有限公司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沈阳铭铄实业发展有限公司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辽港大宗商品交易有限公司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鲍晨钦</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北京双鹏律师事务所</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合伙人、律师</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21"/>
                <w:szCs w:val="21"/>
              </w:rPr>
            </w:pPr>
            <w:r>
              <w:rPr>
                <w:rFonts w:ascii="宋体" w:hAnsi="宋体" w:cs="宋体" w:eastAsia="宋体" w:hint="default"/>
                <w:sz w:val="21"/>
                <w:szCs w:val="21"/>
              </w:rPr>
              <w:t>曹坚</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北京石油化工工程有限公司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副总经理、总工程师</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王君选</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北京华联律师事务所</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合伙人律师</w:t>
            </w:r>
          </w:p>
        </w:tc>
        <w:tc>
          <w:tcPr>
            <w:tcW w:w="2377" w:type="dxa"/>
            <w:tcBorders>
              <w:top w:val="single" w:sz="6" w:space="0" w:color="000000"/>
              <w:left w:val="single" w:sz="6" w:space="0" w:color="000000"/>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苗延安</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辽宁宏安会计师事务所</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所长</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苗延安</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大连市司法鉴定协会</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副会长</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苗延安</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大连市国际税收研究会</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常务理事</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李亚良</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中国民族证券有限责任公司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6"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石春兰</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石春兰</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大连港投融资控股集团有限公司</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王鸿</w:t>
            </w:r>
          </w:p>
        </w:tc>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辽宁添赢律师事务所</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合伙人、律师</w:t>
            </w:r>
          </w:p>
        </w:tc>
        <w:tc>
          <w:tcPr>
            <w:tcW w:w="2377" w:type="dxa"/>
            <w:tcBorders>
              <w:top w:val="single" w:sz="6" w:space="0" w:color="000000"/>
              <w:left w:val="single" w:sz="6" w:space="0" w:color="000000"/>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12" w:space="0" w:color="000000"/>
            </w:tcBorders>
          </w:tcPr>
          <w:p>
            <w:pPr/>
          </w:p>
        </w:tc>
      </w:tr>
      <w:tr>
        <w:trPr>
          <w:trHeight w:val="293" w:hRule="exact"/>
        </w:trPr>
        <w:tc>
          <w:tcPr>
            <w:tcW w:w="1952"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李欣华</w:t>
            </w:r>
          </w:p>
        </w:tc>
        <w:tc>
          <w:tcPr>
            <w:tcW w:w="4537"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锦州港港口与口岸局</w:t>
            </w:r>
          </w:p>
        </w:tc>
        <w:tc>
          <w:tcPr>
            <w:tcW w:w="283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副调研员</w:t>
            </w:r>
          </w:p>
        </w:tc>
        <w:tc>
          <w:tcPr>
            <w:tcW w:w="2377"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4"/>
        <w:rPr>
          <w:rFonts w:ascii="宋体" w:hAnsi="宋体" w:cs="宋体" w:eastAsia="宋体" w:hint="default"/>
          <w:sz w:val="20"/>
          <w:szCs w:val="20"/>
        </w:rPr>
      </w:pPr>
    </w:p>
    <w:p>
      <w:pPr>
        <w:pStyle w:val="Heading2"/>
        <w:spacing w:line="240" w:lineRule="auto"/>
        <w:ind w:left="224" w:right="0"/>
        <w:jc w:val="left"/>
        <w:rPr>
          <w:b w:val="0"/>
          <w:bCs w:val="0"/>
        </w:rPr>
      </w:pPr>
      <w:r>
        <w:rPr/>
        <w:t>三、董事、监事、高级管理人员报酬情况</w:t>
      </w:r>
      <w:r>
        <w:rPr>
          <w:b w:val="0"/>
          <w:bCs w:val="0"/>
        </w:rPr>
      </w:r>
    </w:p>
    <w:p>
      <w:pPr>
        <w:spacing w:line="240" w:lineRule="auto" w:before="12"/>
        <w:rPr>
          <w:rFonts w:ascii="宋体" w:hAnsi="宋体" w:cs="宋体" w:eastAsia="宋体" w:hint="default"/>
          <w:b/>
          <w:bCs/>
          <w:sz w:val="6"/>
          <w:szCs w:val="6"/>
        </w:rPr>
      </w:pPr>
    </w:p>
    <w:tbl>
      <w:tblPr>
        <w:tblW w:w="0" w:type="auto"/>
        <w:jc w:val="left"/>
        <w:tblInd w:w="101" w:type="dxa"/>
        <w:tblLayout w:type="fixed"/>
        <w:tblCellMar>
          <w:top w:w="0" w:type="dxa"/>
          <w:left w:w="0" w:type="dxa"/>
          <w:bottom w:w="0" w:type="dxa"/>
          <w:right w:w="0" w:type="dxa"/>
        </w:tblCellMar>
        <w:tblLook w:val="01E0"/>
      </w:tblPr>
      <w:tblGrid>
        <w:gridCol w:w="4362"/>
        <w:gridCol w:w="9729"/>
      </w:tblGrid>
      <w:tr>
        <w:trPr>
          <w:trHeight w:val="300" w:hRule="exact"/>
        </w:trPr>
        <w:tc>
          <w:tcPr>
            <w:tcW w:w="4362" w:type="dxa"/>
            <w:tcBorders>
              <w:top w:val="single" w:sz="12"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12" w:space="0" w:color="000000"/>
              <w:left w:val="single" w:sz="6" w:space="0" w:color="000000"/>
              <w:bottom w:val="single" w:sz="12" w:space="0" w:color="000000"/>
              <w:right w:val="single" w:sz="12"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公司董事、监事津贴由公司董事会报请公司</w:t>
            </w:r>
            <w:r>
              <w:rPr>
                <w:rFonts w:ascii="宋体" w:hAnsi="宋体" w:cs="宋体" w:eastAsia="宋体" w:hint="default"/>
                <w:spacing w:val="-39"/>
                <w:sz w:val="21"/>
                <w:szCs w:val="21"/>
              </w:rPr>
              <w:t> </w:t>
            </w:r>
            <w:r>
              <w:rPr>
                <w:rFonts w:ascii="宋体" w:hAnsi="宋体" w:cs="宋体" w:eastAsia="宋体" w:hint="default"/>
                <w:sz w:val="21"/>
                <w:szCs w:val="21"/>
              </w:rPr>
              <w:t>2013</w:t>
            </w:r>
            <w:r>
              <w:rPr>
                <w:rFonts w:ascii="宋体" w:hAnsi="宋体" w:cs="宋体" w:eastAsia="宋体" w:hint="default"/>
                <w:spacing w:val="-42"/>
                <w:sz w:val="21"/>
                <w:szCs w:val="21"/>
              </w:rPr>
              <w:t> </w:t>
            </w:r>
            <w:r>
              <w:rPr>
                <w:rFonts w:ascii="宋体" w:hAnsi="宋体" w:cs="宋体" w:eastAsia="宋体" w:hint="default"/>
                <w:sz w:val="21"/>
                <w:szCs w:val="21"/>
              </w:rPr>
              <w:t>年年度股东大会审议通过。《公司</w:t>
            </w:r>
            <w:r>
              <w:rPr>
                <w:rFonts w:ascii="宋体" w:hAnsi="宋体" w:cs="宋体" w:eastAsia="宋体" w:hint="default"/>
                <w:spacing w:val="-39"/>
                <w:sz w:val="21"/>
                <w:szCs w:val="21"/>
              </w:rPr>
              <w:t> </w:t>
            </w:r>
            <w:r>
              <w:rPr>
                <w:rFonts w:ascii="宋体" w:hAnsi="宋体" w:cs="宋体" w:eastAsia="宋体" w:hint="default"/>
                <w:sz w:val="21"/>
                <w:szCs w:val="21"/>
              </w:rPr>
              <w:t>2015</w:t>
            </w:r>
            <w:r>
              <w:rPr>
                <w:rFonts w:ascii="宋体" w:hAnsi="宋体" w:cs="宋体" w:eastAsia="宋体" w:hint="default"/>
                <w:spacing w:val="-39"/>
                <w:sz w:val="21"/>
                <w:szCs w:val="21"/>
              </w:rPr>
              <w:t> </w:t>
            </w:r>
            <w:r>
              <w:rPr>
                <w:rFonts w:ascii="宋体" w:hAnsi="宋体" w:cs="宋体" w:eastAsia="宋体" w:hint="default"/>
                <w:sz w:val="21"/>
                <w:szCs w:val="21"/>
              </w:rPr>
              <w:t>年度中高级管</w:t>
            </w:r>
          </w:p>
        </w:tc>
      </w:tr>
    </w:tbl>
    <w:p>
      <w:pPr>
        <w:spacing w:after="0" w:line="241" w:lineRule="exact"/>
        <w:jc w:val="left"/>
        <w:rPr>
          <w:rFonts w:ascii="宋体" w:hAnsi="宋体" w:cs="宋体" w:eastAsia="宋体" w:hint="default"/>
          <w:sz w:val="21"/>
          <w:szCs w:val="21"/>
        </w:rPr>
        <w:sectPr>
          <w:footerReference w:type="default" r:id="rId18"/>
          <w:pgSz w:w="16840" w:h="11910" w:orient="landscape"/>
          <w:pgMar w:footer="1195" w:header="880" w:top="1120" w:bottom="1380" w:left="1300" w:right="1200"/>
        </w:sectPr>
      </w:pPr>
    </w:p>
    <w:p>
      <w:pPr>
        <w:spacing w:line="240" w:lineRule="auto" w:before="10"/>
        <w:rPr>
          <w:rFonts w:ascii="宋体" w:hAnsi="宋体" w:cs="宋体" w:eastAsia="宋体" w:hint="default"/>
          <w:b/>
          <w:bCs/>
          <w:sz w:val="11"/>
          <w:szCs w:val="11"/>
        </w:rPr>
      </w:pPr>
    </w:p>
    <w:tbl>
      <w:tblPr>
        <w:tblW w:w="0" w:type="auto"/>
        <w:jc w:val="left"/>
        <w:tblInd w:w="101" w:type="dxa"/>
        <w:tblLayout w:type="fixed"/>
        <w:tblCellMar>
          <w:top w:w="0" w:type="dxa"/>
          <w:left w:w="0" w:type="dxa"/>
          <w:bottom w:w="0" w:type="dxa"/>
          <w:right w:w="0" w:type="dxa"/>
        </w:tblCellMar>
        <w:tblLook w:val="01E0"/>
      </w:tblPr>
      <w:tblGrid>
        <w:gridCol w:w="4362"/>
        <w:gridCol w:w="9729"/>
      </w:tblGrid>
      <w:tr>
        <w:trPr>
          <w:trHeight w:val="295" w:hRule="exact"/>
        </w:trPr>
        <w:tc>
          <w:tcPr>
            <w:tcW w:w="4362" w:type="dxa"/>
            <w:tcBorders>
              <w:top w:val="single" w:sz="12" w:space="0" w:color="000000"/>
              <w:left w:val="single" w:sz="12" w:space="0" w:color="000000"/>
              <w:bottom w:val="single" w:sz="6" w:space="0" w:color="000000"/>
              <w:right w:val="single" w:sz="6" w:space="0" w:color="000000"/>
            </w:tcBorders>
          </w:tcPr>
          <w:p>
            <w:pPr/>
          </w:p>
        </w:tc>
        <w:tc>
          <w:tcPr>
            <w:tcW w:w="9729"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理人员薪酬方案》由董事会薪酬与考核委员会提出，经董事会审议通过后实施。</w:t>
            </w:r>
          </w:p>
        </w:tc>
      </w:tr>
      <w:tr>
        <w:trPr>
          <w:trHeight w:val="830" w:hRule="exact"/>
        </w:trPr>
        <w:tc>
          <w:tcPr>
            <w:tcW w:w="436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董事、监事津贴按照股东大会确定的标准，按月发放。董事会薪酬与考核委员会按照《锦州港股份有限</w:t>
            </w:r>
          </w:p>
          <w:p>
            <w:pPr>
              <w:pStyle w:val="TableParagraph"/>
              <w:spacing w:line="240" w:lineRule="auto"/>
              <w:ind w:left="103" w:right="84"/>
              <w:jc w:val="left"/>
              <w:rPr>
                <w:rFonts w:ascii="宋体" w:hAnsi="宋体" w:cs="宋体" w:eastAsia="宋体" w:hint="default"/>
                <w:sz w:val="21"/>
                <w:szCs w:val="21"/>
              </w:rPr>
            </w:pPr>
            <w:r>
              <w:rPr>
                <w:rFonts w:ascii="宋体" w:hAnsi="宋体" w:cs="宋体" w:eastAsia="宋体" w:hint="default"/>
                <w:spacing w:val="-4"/>
                <w:sz w:val="21"/>
                <w:szCs w:val="21"/>
              </w:rPr>
              <w:t>公司中高级管理人员薪酬与考核》，参照公司《</w:t>
            </w:r>
            <w:r>
              <w:rPr>
                <w:rFonts w:ascii="宋体" w:hAnsi="宋体" w:cs="宋体" w:eastAsia="宋体" w:hint="default"/>
                <w:spacing w:val="-4"/>
                <w:sz w:val="21"/>
                <w:szCs w:val="21"/>
              </w:rPr>
              <w:t>2015</w:t>
            </w:r>
            <w:r>
              <w:rPr>
                <w:rFonts w:ascii="宋体" w:hAnsi="宋体" w:cs="宋体" w:eastAsia="宋体" w:hint="default"/>
                <w:spacing w:val="-30"/>
                <w:sz w:val="21"/>
                <w:szCs w:val="21"/>
              </w:rPr>
              <w:t> </w:t>
            </w:r>
            <w:r>
              <w:rPr>
                <w:rFonts w:ascii="宋体" w:hAnsi="宋体" w:cs="宋体" w:eastAsia="宋体" w:hint="default"/>
                <w:spacing w:val="-5"/>
                <w:sz w:val="21"/>
                <w:szCs w:val="21"/>
              </w:rPr>
              <w:t>年度综合计划》主要指标，拟定《公司</w:t>
            </w:r>
            <w:r>
              <w:rPr>
                <w:rFonts w:ascii="宋体" w:hAnsi="宋体" w:cs="宋体" w:eastAsia="宋体" w:hint="default"/>
                <w:spacing w:val="-33"/>
                <w:sz w:val="21"/>
                <w:szCs w:val="21"/>
              </w:rPr>
              <w:t> </w:t>
            </w:r>
            <w:r>
              <w:rPr>
                <w:rFonts w:ascii="宋体" w:hAnsi="宋体" w:cs="宋体" w:eastAsia="宋体" w:hint="default"/>
                <w:sz w:val="21"/>
                <w:szCs w:val="21"/>
              </w:rPr>
              <w:t>2015</w:t>
            </w:r>
            <w:r>
              <w:rPr>
                <w:rFonts w:ascii="宋体" w:hAnsi="宋体" w:cs="宋体" w:eastAsia="宋体" w:hint="default"/>
                <w:spacing w:val="-33"/>
                <w:sz w:val="21"/>
                <w:szCs w:val="21"/>
              </w:rPr>
              <w:t> </w:t>
            </w:r>
            <w:r>
              <w:rPr>
                <w:rFonts w:ascii="宋体" w:hAnsi="宋体" w:cs="宋体" w:eastAsia="宋体" w:hint="default"/>
                <w:sz w:val="21"/>
                <w:szCs w:val="21"/>
              </w:rPr>
              <w:t>年度中</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高级管理人员薪酬方案》，经董事会审议确定年度薪酬额度及奖金提取、发放方法。</w:t>
            </w:r>
          </w:p>
        </w:tc>
      </w:tr>
      <w:tr>
        <w:trPr>
          <w:trHeight w:val="562" w:hRule="exact"/>
        </w:trPr>
        <w:tc>
          <w:tcPr>
            <w:tcW w:w="436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本报告期，公司应付董事、监事、高级管理人员报酬总额</w:t>
            </w:r>
            <w:r>
              <w:rPr>
                <w:rFonts w:ascii="宋体" w:hAnsi="宋体" w:cs="宋体" w:eastAsia="宋体" w:hint="default"/>
                <w:spacing w:val="-54"/>
                <w:sz w:val="21"/>
                <w:szCs w:val="21"/>
              </w:rPr>
              <w:t> </w:t>
            </w:r>
            <w:r>
              <w:rPr>
                <w:rFonts w:ascii="宋体" w:hAnsi="宋体" w:cs="宋体" w:eastAsia="宋体" w:hint="default"/>
                <w:sz w:val="21"/>
                <w:szCs w:val="21"/>
              </w:rPr>
              <w:t>571.52</w:t>
            </w:r>
            <w:r>
              <w:rPr>
                <w:rFonts w:ascii="宋体" w:hAnsi="宋体" w:cs="宋体" w:eastAsia="宋体" w:hint="default"/>
                <w:spacing w:val="-56"/>
                <w:sz w:val="21"/>
                <w:szCs w:val="21"/>
              </w:rPr>
              <w:t> </w:t>
            </w:r>
            <w:r>
              <w:rPr>
                <w:rFonts w:ascii="宋体" w:hAnsi="宋体" w:cs="宋体" w:eastAsia="宋体" w:hint="default"/>
                <w:sz w:val="21"/>
                <w:szCs w:val="21"/>
              </w:rPr>
              <w:t>万元。</w:t>
            </w:r>
          </w:p>
        </w:tc>
      </w:tr>
      <w:tr>
        <w:trPr>
          <w:trHeight w:val="564" w:hRule="exact"/>
        </w:trPr>
        <w:tc>
          <w:tcPr>
            <w:tcW w:w="4362" w:type="dxa"/>
            <w:tcBorders>
              <w:top w:val="single" w:sz="6" w:space="0" w:color="000000"/>
              <w:left w:val="single" w:sz="12" w:space="0" w:color="000000"/>
              <w:bottom w:val="single" w:sz="12" w:space="0" w:color="000000"/>
              <w:right w:val="single" w:sz="6"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本报告期末，董事、监事、高级管理人员实际从公司获得报酬总额</w:t>
            </w:r>
            <w:r>
              <w:rPr>
                <w:rFonts w:ascii="宋体" w:hAnsi="宋体" w:cs="宋体" w:eastAsia="宋体" w:hint="default"/>
                <w:spacing w:val="-55"/>
                <w:sz w:val="21"/>
                <w:szCs w:val="21"/>
              </w:rPr>
              <w:t> </w:t>
            </w:r>
            <w:r>
              <w:rPr>
                <w:rFonts w:ascii="宋体" w:hAnsi="宋体" w:cs="宋体" w:eastAsia="宋体" w:hint="default"/>
                <w:sz w:val="21"/>
                <w:szCs w:val="21"/>
              </w:rPr>
              <w:t>571.52</w:t>
            </w:r>
            <w:r>
              <w:rPr>
                <w:rFonts w:ascii="宋体" w:hAnsi="宋体" w:cs="宋体" w:eastAsia="宋体" w:hint="default"/>
                <w:spacing w:val="-57"/>
                <w:sz w:val="21"/>
                <w:szCs w:val="21"/>
              </w:rPr>
              <w:t> </w:t>
            </w:r>
            <w:r>
              <w:rPr>
                <w:rFonts w:ascii="宋体" w:hAnsi="宋体" w:cs="宋体" w:eastAsia="宋体" w:hint="default"/>
                <w:sz w:val="21"/>
                <w:szCs w:val="21"/>
              </w:rPr>
              <w:t>万元。</w:t>
            </w:r>
          </w:p>
        </w:tc>
      </w:tr>
    </w:tbl>
    <w:p>
      <w:pPr>
        <w:pStyle w:val="Heading2"/>
        <w:spacing w:line="240" w:lineRule="auto" w:before="29"/>
        <w:ind w:left="224" w:right="0"/>
        <w:jc w:val="left"/>
        <w:rPr>
          <w:b w:val="0"/>
          <w:bCs w:val="0"/>
        </w:rPr>
      </w:pPr>
      <w:r>
        <w:rPr/>
        <w:t>四、公司董事、监事、高级管理人员变动情况</w:t>
      </w:r>
      <w:r>
        <w:rPr>
          <w:b w:val="0"/>
          <w:bCs w:val="0"/>
        </w:rPr>
      </w:r>
    </w:p>
    <w:p>
      <w:pPr>
        <w:spacing w:line="240" w:lineRule="auto" w:before="1"/>
        <w:rPr>
          <w:rFonts w:ascii="宋体" w:hAnsi="宋体" w:cs="宋体" w:eastAsia="宋体"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3524"/>
        <w:gridCol w:w="3521"/>
        <w:gridCol w:w="3524"/>
        <w:gridCol w:w="3521"/>
      </w:tblGrid>
      <w:tr>
        <w:trPr>
          <w:trHeight w:val="295" w:hRule="exact"/>
        </w:trPr>
        <w:tc>
          <w:tcPr>
            <w:tcW w:w="3524"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6" w:hRule="exact"/>
        </w:trPr>
        <w:tc>
          <w:tcPr>
            <w:tcW w:w="352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新当选董事</w:t>
            </w:r>
          </w:p>
        </w:tc>
      </w:tr>
      <w:tr>
        <w:trPr>
          <w:trHeight w:val="288" w:hRule="exact"/>
        </w:trPr>
        <w:tc>
          <w:tcPr>
            <w:tcW w:w="352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张惠泉</w:t>
            </w:r>
          </w:p>
        </w:tc>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新当选董事</w:t>
            </w:r>
          </w:p>
        </w:tc>
      </w:tr>
      <w:tr>
        <w:trPr>
          <w:trHeight w:val="288" w:hRule="exact"/>
        </w:trPr>
        <w:tc>
          <w:tcPr>
            <w:tcW w:w="352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迟宝璋</w:t>
            </w:r>
          </w:p>
        </w:tc>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新当选独立董事</w:t>
            </w:r>
          </w:p>
        </w:tc>
      </w:tr>
      <w:tr>
        <w:trPr>
          <w:trHeight w:val="288" w:hRule="exact"/>
        </w:trPr>
        <w:tc>
          <w:tcPr>
            <w:tcW w:w="352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曹坚</w:t>
            </w:r>
          </w:p>
        </w:tc>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新当选独立董事</w:t>
            </w:r>
          </w:p>
        </w:tc>
      </w:tr>
      <w:tr>
        <w:trPr>
          <w:trHeight w:val="286" w:hRule="exact"/>
        </w:trPr>
        <w:tc>
          <w:tcPr>
            <w:tcW w:w="352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苗延安</w:t>
            </w:r>
          </w:p>
        </w:tc>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新当选独立董事</w:t>
            </w:r>
          </w:p>
        </w:tc>
      </w:tr>
      <w:tr>
        <w:trPr>
          <w:trHeight w:val="288" w:hRule="exact"/>
        </w:trPr>
        <w:tc>
          <w:tcPr>
            <w:tcW w:w="352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李欣华</w:t>
            </w:r>
          </w:p>
        </w:tc>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52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新当选监事</w:t>
            </w:r>
          </w:p>
        </w:tc>
      </w:tr>
      <w:tr>
        <w:trPr>
          <w:trHeight w:val="288" w:hRule="exact"/>
        </w:trPr>
        <w:tc>
          <w:tcPr>
            <w:tcW w:w="352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刘景利</w:t>
            </w:r>
          </w:p>
        </w:tc>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5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新当选监事</w:t>
            </w:r>
          </w:p>
        </w:tc>
      </w:tr>
      <w:tr>
        <w:trPr>
          <w:trHeight w:val="286" w:hRule="exact"/>
        </w:trPr>
        <w:tc>
          <w:tcPr>
            <w:tcW w:w="352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刘立英</w:t>
            </w:r>
          </w:p>
        </w:tc>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5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新当选监事</w:t>
            </w:r>
          </w:p>
        </w:tc>
      </w:tr>
      <w:tr>
        <w:trPr>
          <w:trHeight w:val="288" w:hRule="exact"/>
        </w:trPr>
        <w:tc>
          <w:tcPr>
            <w:tcW w:w="352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王兴山</w:t>
            </w:r>
          </w:p>
        </w:tc>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副总裁兼财务总监</w:t>
            </w:r>
          </w:p>
        </w:tc>
        <w:tc>
          <w:tcPr>
            <w:tcW w:w="352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新聘任高级管理人员</w:t>
            </w:r>
          </w:p>
        </w:tc>
      </w:tr>
      <w:tr>
        <w:trPr>
          <w:trHeight w:val="288" w:hRule="exact"/>
        </w:trPr>
        <w:tc>
          <w:tcPr>
            <w:tcW w:w="352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张宏伟</w:t>
            </w:r>
          </w:p>
        </w:tc>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原董事长</w:t>
            </w:r>
          </w:p>
        </w:tc>
        <w:tc>
          <w:tcPr>
            <w:tcW w:w="35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因到法定退休年龄提出辞职</w:t>
            </w:r>
          </w:p>
        </w:tc>
      </w:tr>
      <w:tr>
        <w:trPr>
          <w:trHeight w:val="288" w:hRule="exact"/>
        </w:trPr>
        <w:tc>
          <w:tcPr>
            <w:tcW w:w="352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张国峰</w:t>
            </w:r>
          </w:p>
        </w:tc>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原董事</w:t>
            </w:r>
          </w:p>
        </w:tc>
        <w:tc>
          <w:tcPr>
            <w:tcW w:w="35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按法定退休年龄办理退休</w:t>
            </w:r>
          </w:p>
        </w:tc>
      </w:tr>
      <w:tr>
        <w:trPr>
          <w:trHeight w:val="286" w:hRule="exact"/>
        </w:trPr>
        <w:tc>
          <w:tcPr>
            <w:tcW w:w="352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李葛卫</w:t>
            </w:r>
          </w:p>
        </w:tc>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35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因个人原因辞职</w:t>
            </w:r>
          </w:p>
        </w:tc>
      </w:tr>
      <w:tr>
        <w:trPr>
          <w:trHeight w:val="288" w:hRule="exact"/>
        </w:trPr>
        <w:tc>
          <w:tcPr>
            <w:tcW w:w="352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刘宁宇</w:t>
            </w:r>
          </w:p>
        </w:tc>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原独立董事</w:t>
            </w:r>
          </w:p>
        </w:tc>
        <w:tc>
          <w:tcPr>
            <w:tcW w:w="352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因个人原因辞职</w:t>
            </w:r>
          </w:p>
        </w:tc>
      </w:tr>
      <w:tr>
        <w:trPr>
          <w:trHeight w:val="288" w:hRule="exact"/>
        </w:trPr>
        <w:tc>
          <w:tcPr>
            <w:tcW w:w="352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王兴山</w:t>
            </w:r>
          </w:p>
        </w:tc>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原监事</w:t>
            </w:r>
          </w:p>
        </w:tc>
        <w:tc>
          <w:tcPr>
            <w:tcW w:w="35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因工作变动原因辞职</w:t>
            </w:r>
          </w:p>
        </w:tc>
      </w:tr>
      <w:tr>
        <w:trPr>
          <w:trHeight w:val="288" w:hRule="exact"/>
        </w:trPr>
        <w:tc>
          <w:tcPr>
            <w:tcW w:w="352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肖爱东</w:t>
            </w:r>
          </w:p>
        </w:tc>
        <w:tc>
          <w:tcPr>
            <w:tcW w:w="3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原副总裁兼财务总监</w:t>
            </w:r>
          </w:p>
        </w:tc>
        <w:tc>
          <w:tcPr>
            <w:tcW w:w="35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因个人原因辞职</w:t>
            </w:r>
          </w:p>
        </w:tc>
      </w:tr>
      <w:tr>
        <w:trPr>
          <w:trHeight w:val="293" w:hRule="exact"/>
        </w:trPr>
        <w:tc>
          <w:tcPr>
            <w:tcW w:w="3524"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于新宇</w:t>
            </w:r>
          </w:p>
        </w:tc>
        <w:tc>
          <w:tcPr>
            <w:tcW w:w="3521"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原副总裁</w:t>
            </w:r>
          </w:p>
        </w:tc>
        <w:tc>
          <w:tcPr>
            <w:tcW w:w="352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因个人原因辞职</w:t>
            </w:r>
          </w:p>
        </w:tc>
      </w:tr>
    </w:tbl>
    <w:p>
      <w:pPr>
        <w:spacing w:line="240" w:lineRule="auto" w:before="2"/>
        <w:rPr>
          <w:rFonts w:ascii="宋体" w:hAnsi="宋体" w:cs="宋体" w:eastAsia="宋体" w:hint="default"/>
          <w:b/>
          <w:bCs/>
          <w:sz w:val="20"/>
          <w:szCs w:val="20"/>
        </w:rPr>
      </w:pPr>
    </w:p>
    <w:p>
      <w:pPr>
        <w:pStyle w:val="Heading2"/>
        <w:spacing w:line="240" w:lineRule="auto"/>
        <w:ind w:left="224" w:right="0"/>
        <w:jc w:val="left"/>
        <w:rPr>
          <w:b w:val="0"/>
          <w:bCs w:val="0"/>
        </w:rPr>
      </w:pPr>
      <w:r>
        <w:rPr/>
        <w:t>五、近三年受证券监管机构处罚的情况说明</w:t>
      </w:r>
      <w:r>
        <w:rPr>
          <w:b w:val="0"/>
          <w:bCs w:val="0"/>
        </w:rPr>
      </w:r>
    </w:p>
    <w:p>
      <w:pPr>
        <w:pStyle w:val="BodyText"/>
        <w:spacing w:line="240" w:lineRule="auto" w:before="58"/>
        <w:ind w:left="224" w:right="0"/>
        <w:jc w:val="left"/>
      </w:pPr>
      <w:r>
        <w:rPr/>
        <w:t>□适用 √不适用</w:t>
      </w:r>
    </w:p>
    <w:p>
      <w:pPr>
        <w:spacing w:after="0" w:line="240" w:lineRule="auto"/>
        <w:jc w:val="left"/>
        <w:sectPr>
          <w:footerReference w:type="default" r:id="rId19"/>
          <w:pgSz w:w="16840" w:h="11910" w:orient="landscape"/>
          <w:pgMar w:footer="1195" w:header="880" w:top="1120" w:bottom="1380" w:left="1300" w:right="1200"/>
        </w:sectPr>
      </w:pPr>
    </w:p>
    <w:p>
      <w:pPr>
        <w:spacing w:line="240" w:lineRule="auto" w:before="0"/>
        <w:rPr>
          <w:rFonts w:ascii="宋体" w:hAnsi="宋体" w:cs="宋体" w:eastAsia="宋体" w:hint="default"/>
          <w:sz w:val="20"/>
          <w:szCs w:val="20"/>
        </w:rPr>
      </w:pPr>
    </w:p>
    <w:p>
      <w:pPr>
        <w:pStyle w:val="Heading2"/>
        <w:spacing w:line="240" w:lineRule="auto" w:before="170"/>
        <w:ind w:left="238" w:right="0"/>
        <w:jc w:val="left"/>
        <w:rPr>
          <w:b w:val="0"/>
          <w:bCs w:val="0"/>
        </w:rPr>
      </w:pPr>
      <w:r>
        <w:rPr/>
        <w:t>六、母公司和主要子公司的员工情况</w:t>
      </w:r>
      <w:r>
        <w:rPr>
          <w:b w:val="0"/>
          <w:bCs w:val="0"/>
        </w:rPr>
      </w:r>
    </w:p>
    <w:p>
      <w:pPr>
        <w:pStyle w:val="Heading2"/>
        <w:spacing w:line="240" w:lineRule="auto" w:before="58"/>
        <w:ind w:left="2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15" w:type="dxa"/>
        <w:tblLayout w:type="fixed"/>
        <w:tblCellMar>
          <w:top w:w="0" w:type="dxa"/>
          <w:left w:w="0" w:type="dxa"/>
          <w:bottom w:w="0" w:type="dxa"/>
          <w:right w:w="0" w:type="dxa"/>
        </w:tblCellMar>
        <w:tblLook w:val="01E0"/>
      </w:tblPr>
      <w:tblGrid>
        <w:gridCol w:w="4525"/>
        <w:gridCol w:w="4525"/>
      </w:tblGrid>
      <w:tr>
        <w:trPr>
          <w:trHeight w:val="295" w:hRule="exact"/>
        </w:trPr>
        <w:tc>
          <w:tcPr>
            <w:tcW w:w="4525" w:type="dxa"/>
            <w:tcBorders>
              <w:top w:val="single" w:sz="12"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12" w:space="0" w:color="000000"/>
              <w:left w:val="single" w:sz="6" w:space="0" w:color="000000"/>
              <w:bottom w:val="single" w:sz="6"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z w:val="21"/>
              </w:rPr>
              <w:t>1,212</w:t>
            </w:r>
          </w:p>
        </w:tc>
      </w:tr>
      <w:tr>
        <w:trPr>
          <w:trHeight w:val="288"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z w:val="21"/>
              </w:rPr>
              <w:t>322</w:t>
            </w:r>
          </w:p>
        </w:tc>
      </w:tr>
      <w:tr>
        <w:trPr>
          <w:trHeight w:val="288"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1,534</w:t>
            </w:r>
          </w:p>
        </w:tc>
      </w:tr>
      <w:tr>
        <w:trPr>
          <w:trHeight w:val="559"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10</w:t>
            </w:r>
          </w:p>
        </w:tc>
      </w:tr>
      <w:tr>
        <w:trPr>
          <w:trHeight w:val="288" w:hRule="exact"/>
        </w:trPr>
        <w:tc>
          <w:tcPr>
            <w:tcW w:w="9050"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6"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8"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z w:val="21"/>
              </w:rPr>
              <w:t>1,044</w:t>
            </w:r>
          </w:p>
        </w:tc>
      </w:tr>
      <w:tr>
        <w:trPr>
          <w:trHeight w:val="288"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105</w:t>
            </w:r>
          </w:p>
        </w:tc>
      </w:tr>
      <w:tr>
        <w:trPr>
          <w:trHeight w:val="289"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187</w:t>
            </w:r>
          </w:p>
        </w:tc>
      </w:tr>
      <w:tr>
        <w:trPr>
          <w:trHeight w:val="286"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53</w:t>
            </w:r>
          </w:p>
        </w:tc>
      </w:tr>
      <w:tr>
        <w:trPr>
          <w:trHeight w:val="288"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z w:val="21"/>
              </w:rPr>
              <w:t>145</w:t>
            </w:r>
          </w:p>
        </w:tc>
      </w:tr>
      <w:tr>
        <w:trPr>
          <w:trHeight w:val="288"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1,534</w:t>
            </w:r>
          </w:p>
        </w:tc>
      </w:tr>
      <w:tr>
        <w:trPr>
          <w:trHeight w:val="288" w:hRule="exact"/>
        </w:trPr>
        <w:tc>
          <w:tcPr>
            <w:tcW w:w="9050"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6"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8"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91"/>
              <w:jc w:val="right"/>
              <w:rPr>
                <w:rFonts w:ascii="宋体" w:hAnsi="宋体" w:cs="宋体" w:eastAsia="宋体" w:hint="default"/>
                <w:sz w:val="21"/>
                <w:szCs w:val="21"/>
              </w:rPr>
            </w:pPr>
            <w:r>
              <w:rPr>
                <w:rFonts w:ascii="宋体"/>
                <w:sz w:val="21"/>
              </w:rPr>
              <w:t>54</w:t>
            </w:r>
          </w:p>
        </w:tc>
      </w:tr>
      <w:tr>
        <w:trPr>
          <w:trHeight w:val="288"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518</w:t>
            </w:r>
          </w:p>
        </w:tc>
      </w:tr>
      <w:tr>
        <w:trPr>
          <w:trHeight w:val="286"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大专</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530</w:t>
            </w:r>
          </w:p>
        </w:tc>
      </w:tr>
      <w:tr>
        <w:trPr>
          <w:trHeight w:val="288"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06" w:right="0"/>
              <w:jc w:val="left"/>
              <w:rPr>
                <w:rFonts w:ascii="宋体" w:hAnsi="宋体" w:cs="宋体" w:eastAsia="宋体" w:hint="default"/>
                <w:sz w:val="21"/>
                <w:szCs w:val="21"/>
              </w:rPr>
            </w:pPr>
            <w:r>
              <w:rPr>
                <w:rFonts w:ascii="宋体" w:hAnsi="宋体" w:cs="宋体" w:eastAsia="宋体" w:hint="default"/>
                <w:sz w:val="21"/>
                <w:szCs w:val="21"/>
              </w:rPr>
              <w:t>中专、高中及以下</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sz w:val="21"/>
              </w:rPr>
              <w:t>432</w:t>
            </w:r>
          </w:p>
        </w:tc>
      </w:tr>
      <w:tr>
        <w:trPr>
          <w:trHeight w:val="293" w:hRule="exact"/>
        </w:trPr>
        <w:tc>
          <w:tcPr>
            <w:tcW w:w="4525"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sz w:val="21"/>
              </w:rPr>
              <w:t>1,534</w:t>
            </w:r>
          </w:p>
        </w:tc>
      </w:tr>
    </w:tbl>
    <w:p>
      <w:pPr>
        <w:spacing w:line="240" w:lineRule="auto" w:before="4"/>
        <w:rPr>
          <w:rFonts w:ascii="宋体" w:hAnsi="宋体" w:cs="宋体" w:eastAsia="宋体" w:hint="default"/>
          <w:b/>
          <w:bCs/>
          <w:sz w:val="20"/>
          <w:szCs w:val="20"/>
        </w:rPr>
      </w:pPr>
    </w:p>
    <w:p>
      <w:pPr>
        <w:pStyle w:val="Heading2"/>
        <w:spacing w:line="240" w:lineRule="auto"/>
        <w:ind w:left="2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237" w:lineRule="auto" w:before="32"/>
        <w:ind w:left="238" w:right="248" w:firstLine="419"/>
        <w:jc w:val="both"/>
      </w:pPr>
      <w:r>
        <w:rPr>
          <w:spacing w:val="-7"/>
        </w:rPr>
        <w:t>公司建立了科学、高效的薪酬考核体系，充分发挥薪酬杠杆的激励作用，使员工收入与责任、</w:t>
      </w:r>
      <w:r>
        <w:rPr>
          <w:w w:val="100"/>
        </w:rPr>
        <w:t> </w:t>
      </w:r>
      <w:r>
        <w:rPr>
          <w:spacing w:val="-2"/>
        </w:rPr>
        <w:t>风险、业绩相统一，并向创效型、承担主要工作指标岗位、承担主要安全风险责任岗位倾斜，以</w:t>
      </w:r>
      <w:r>
        <w:rPr>
          <w:spacing w:val="-25"/>
        </w:rPr>
        <w:t> </w:t>
      </w:r>
      <w:r>
        <w:rPr>
          <w:spacing w:val="-25"/>
        </w:rPr>
      </w:r>
      <w:r>
        <w:rPr/>
        <w:t>保障员工队伍稳定发展和公司业绩稳步提升。</w:t>
      </w:r>
    </w:p>
    <w:p>
      <w:pPr>
        <w:spacing w:line="240" w:lineRule="auto" w:before="3"/>
        <w:rPr>
          <w:rFonts w:ascii="宋体" w:hAnsi="宋体" w:cs="宋体" w:eastAsia="宋体" w:hint="default"/>
          <w:sz w:val="25"/>
          <w:szCs w:val="25"/>
        </w:rPr>
      </w:pPr>
    </w:p>
    <w:p>
      <w:pPr>
        <w:pStyle w:val="Heading2"/>
        <w:spacing w:line="240" w:lineRule="auto" w:before="0"/>
        <w:ind w:left="2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37" w:lineRule="auto" w:before="34"/>
        <w:ind w:left="238" w:right="0" w:firstLine="419"/>
        <w:jc w:val="left"/>
      </w:pPr>
      <w:r>
        <w:rPr>
          <w:spacing w:val="-4"/>
          <w:w w:val="100"/>
        </w:rPr>
        <w:t>公司构建的分层分类的培训体系，为各类人员制定出个人成长及企业需要相结合的培训计划，</w:t>
      </w:r>
      <w:r>
        <w:rPr>
          <w:w w:val="100"/>
        </w:rPr>
        <w:t> </w:t>
      </w:r>
      <w:r>
        <w:rPr/>
        <w:t>重点突出公司安全生产、技术管理和特种操作岗位需要，以保障员工的健康成长及企业的健康发</w:t>
      </w:r>
      <w:r>
        <w:rPr>
          <w:w w:val="100"/>
        </w:rPr>
        <w:t> </w:t>
      </w:r>
      <w:r>
        <w:rPr/>
        <w:t>展。</w:t>
      </w:r>
    </w:p>
    <w:p>
      <w:pPr>
        <w:spacing w:line="240" w:lineRule="auto" w:before="4"/>
        <w:rPr>
          <w:rFonts w:ascii="宋体" w:hAnsi="宋体" w:cs="宋体" w:eastAsia="宋体" w:hint="default"/>
          <w:sz w:val="25"/>
          <w:szCs w:val="25"/>
        </w:rPr>
      </w:pPr>
    </w:p>
    <w:p>
      <w:pPr>
        <w:pStyle w:val="Heading2"/>
        <w:spacing w:line="240" w:lineRule="auto" w:before="0"/>
        <w:ind w:left="2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40" w:lineRule="auto" w:before="11"/>
        <w:rPr>
          <w:rFonts w:ascii="宋体" w:hAnsi="宋体" w:cs="宋体" w:eastAsia="宋体" w:hint="default"/>
          <w:b/>
          <w:bCs/>
          <w:sz w:val="4"/>
          <w:szCs w:val="4"/>
        </w:rPr>
      </w:pPr>
    </w:p>
    <w:tbl>
      <w:tblPr>
        <w:tblW w:w="0" w:type="auto"/>
        <w:jc w:val="left"/>
        <w:tblInd w:w="12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after="0" w:line="241" w:lineRule="exact"/>
        <w:jc w:val="right"/>
        <w:rPr>
          <w:rFonts w:ascii="宋体" w:hAnsi="宋体" w:cs="宋体" w:eastAsia="宋体" w:hint="default"/>
          <w:sz w:val="21"/>
          <w:szCs w:val="21"/>
        </w:rPr>
        <w:sectPr>
          <w:headerReference w:type="default" r:id="rId20"/>
          <w:footerReference w:type="default" r:id="rId21"/>
          <w:pgSz w:w="11910" w:h="16840"/>
          <w:pgMar w:header="877" w:footer="1195" w:top="1100" w:bottom="1380" w:left="1560" w:right="1020"/>
          <w:pgNumType w:start="32"/>
        </w:sectPr>
      </w:pPr>
    </w:p>
    <w:p>
      <w:pPr>
        <w:spacing w:line="240" w:lineRule="auto" w:before="3"/>
        <w:rPr>
          <w:rFonts w:ascii="宋体" w:hAnsi="宋体" w:cs="宋体" w:eastAsia="宋体" w:hint="default"/>
          <w:b/>
          <w:bCs/>
          <w:sz w:val="26"/>
          <w:szCs w:val="26"/>
        </w:rPr>
      </w:pPr>
    </w:p>
    <w:p>
      <w:pPr>
        <w:pStyle w:val="Heading1"/>
        <w:tabs>
          <w:tab w:pos="1259" w:val="left" w:leader="none"/>
        </w:tabs>
        <w:spacing w:line="240" w:lineRule="auto"/>
        <w:ind w:right="13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spacing w:line="290" w:lineRule="auto" w:before="0"/>
        <w:ind w:left="658" w:right="0" w:hanging="420"/>
        <w:jc w:val="left"/>
        <w:rPr>
          <w:rFonts w:ascii="宋体" w:hAnsi="宋体" w:cs="宋体" w:eastAsia="宋体" w:hint="default"/>
          <w:sz w:val="21"/>
          <w:szCs w:val="21"/>
        </w:rPr>
      </w:pPr>
      <w:r>
        <w:rPr>
          <w:rFonts w:ascii="宋体" w:hAnsi="宋体" w:cs="宋体" w:eastAsia="宋体" w:hint="default"/>
          <w:b/>
          <w:bCs/>
          <w:sz w:val="21"/>
          <w:szCs w:val="21"/>
        </w:rPr>
        <w:t>一、公司治理相关情况说明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报告期内，我公司连续第五年成为上海证券交易所“公司治理板块”样本股。公司继续严格</w:t>
      </w:r>
    </w:p>
    <w:p>
      <w:pPr>
        <w:pStyle w:val="BodyText"/>
        <w:spacing w:line="226" w:lineRule="exact"/>
        <w:ind w:left="238" w:right="0"/>
        <w:jc w:val="both"/>
      </w:pPr>
      <w:r>
        <w:rPr/>
        <w:t>按照《公司法》、《证券法》、《上市公司治理准则》和中国证监会、上交所有关法律法规和文</w:t>
      </w:r>
    </w:p>
    <w:p>
      <w:pPr>
        <w:pStyle w:val="BodyText"/>
        <w:spacing w:line="237" w:lineRule="auto" w:before="2"/>
        <w:ind w:left="238" w:right="377"/>
        <w:jc w:val="both"/>
      </w:pPr>
      <w:r>
        <w:rPr>
          <w:spacing w:val="-2"/>
        </w:rPr>
        <w:t>件要求，进一步建立健全和完善治理结构，深化内部控制体系运作，提高信息披露质量，切实维</w:t>
      </w:r>
      <w:r>
        <w:rPr>
          <w:spacing w:val="-25"/>
        </w:rPr>
        <w:t> </w:t>
      </w:r>
      <w:r>
        <w:rPr>
          <w:spacing w:val="-25"/>
        </w:rPr>
      </w:r>
      <w:r>
        <w:rPr>
          <w:spacing w:val="-2"/>
        </w:rPr>
        <w:t>护投资者利益，公司治理水平和运行效果显著增强。截止本报告期末，本公司治理情况符合上市</w:t>
      </w:r>
      <w:r>
        <w:rPr>
          <w:spacing w:val="-25"/>
        </w:rPr>
        <w:t> </w:t>
      </w:r>
      <w:r>
        <w:rPr>
          <w:spacing w:val="-25"/>
        </w:rPr>
      </w:r>
      <w:r>
        <w:rPr/>
        <w:t>公司规范运作要求，与中国证监会相关规定的要求不存在重大差异。</w:t>
      </w:r>
    </w:p>
    <w:p>
      <w:pPr>
        <w:pStyle w:val="BodyText"/>
        <w:spacing w:line="274" w:lineRule="exact" w:before="22"/>
        <w:ind w:left="658" w:right="0"/>
        <w:jc w:val="left"/>
      </w:pPr>
      <w:r>
        <w:rPr>
          <w:rFonts w:ascii="宋体" w:hAnsi="宋体" w:cs="宋体" w:eastAsia="宋体" w:hint="default"/>
        </w:rPr>
        <w:t>1</w:t>
      </w:r>
      <w:r>
        <w:rPr/>
        <w:t>、公司治理结构</w:t>
      </w:r>
      <w:r>
        <w:rPr>
          <w:w w:val="100"/>
        </w:rPr>
        <w:t> </w:t>
      </w:r>
      <w:r>
        <w:rPr>
          <w:spacing w:val="-2"/>
        </w:rPr>
        <w:t>公司建立了股东大会、董事会、监事会和高级管理层的法人治理结构，公司董事会下设战略</w:t>
      </w:r>
    </w:p>
    <w:p>
      <w:pPr>
        <w:pStyle w:val="BodyText"/>
        <w:spacing w:line="245" w:lineRule="exact"/>
        <w:ind w:left="238" w:right="0"/>
        <w:jc w:val="both"/>
      </w:pPr>
      <w:r>
        <w:rPr/>
        <w:t>委员会、提名委员会、薪酬与考核委员会及审计委员会，促使董事会更好的运作。公司在本报告</w:t>
      </w:r>
    </w:p>
    <w:p>
      <w:pPr>
        <w:pStyle w:val="BodyText"/>
        <w:spacing w:line="237" w:lineRule="auto" w:before="2"/>
        <w:ind w:left="238" w:right="368"/>
        <w:jc w:val="both"/>
      </w:pPr>
      <w:r>
        <w:rPr/>
        <w:t>期内共召开</w:t>
      </w:r>
      <w:r>
        <w:rPr>
          <w:spacing w:val="-54"/>
        </w:rPr>
        <w:t> </w:t>
      </w:r>
      <w:r>
        <w:rPr>
          <w:rFonts w:ascii="宋体" w:hAnsi="宋体" w:cs="宋体" w:eastAsia="宋体" w:hint="default"/>
        </w:rPr>
        <w:t>2</w:t>
      </w:r>
      <w:r>
        <w:rPr>
          <w:rFonts w:ascii="宋体" w:hAnsi="宋体" w:cs="宋体" w:eastAsia="宋体" w:hint="default"/>
          <w:spacing w:val="-54"/>
        </w:rPr>
        <w:t> </w:t>
      </w:r>
      <w:r>
        <w:rPr/>
        <w:t>次股东大会、</w:t>
      </w:r>
      <w:r>
        <w:rPr>
          <w:rFonts w:ascii="宋体" w:hAnsi="宋体" w:cs="宋体" w:eastAsia="宋体" w:hint="default"/>
        </w:rPr>
        <w:t>12</w:t>
      </w:r>
      <w:r>
        <w:rPr>
          <w:rFonts w:ascii="宋体" w:hAnsi="宋体" w:cs="宋体" w:eastAsia="宋体" w:hint="default"/>
          <w:spacing w:val="-56"/>
        </w:rPr>
        <w:t> </w:t>
      </w:r>
      <w:r>
        <w:rPr/>
        <w:t>次董事会会议、</w:t>
      </w:r>
      <w:r>
        <w:rPr>
          <w:rFonts w:ascii="宋体" w:hAnsi="宋体" w:cs="宋体" w:eastAsia="宋体" w:hint="default"/>
        </w:rPr>
        <w:t>9</w:t>
      </w:r>
      <w:r>
        <w:rPr>
          <w:rFonts w:ascii="宋体" w:hAnsi="宋体" w:cs="宋体" w:eastAsia="宋体" w:hint="default"/>
          <w:spacing w:val="-54"/>
        </w:rPr>
        <w:t> </w:t>
      </w:r>
      <w:r>
        <w:rPr/>
        <w:t>次监事会会议，各项会议严格按照各自议事规则</w:t>
      </w:r>
      <w:r>
        <w:rPr>
          <w:w w:val="100"/>
        </w:rPr>
        <w:t> </w:t>
      </w:r>
      <w:r>
        <w:rPr>
          <w:spacing w:val="-2"/>
        </w:rPr>
        <w:t>的要求召开，董事、监事均严格遵守制度，并能认真负责、勤勉诚信地履行各自的职责，充分发</w:t>
      </w:r>
      <w:r>
        <w:rPr>
          <w:spacing w:val="-26"/>
        </w:rPr>
        <w:t> </w:t>
      </w:r>
      <w:r>
        <w:rPr>
          <w:spacing w:val="-26"/>
        </w:rPr>
      </w:r>
      <w:r>
        <w:rPr/>
        <w:t>挥了专业职能作用。报告期内，公司选举了董事长、副董事长，更换了</w:t>
      </w:r>
      <w:r>
        <w:rPr>
          <w:spacing w:val="-54"/>
        </w:rPr>
        <w:t> </w:t>
      </w:r>
      <w:r>
        <w:rPr>
          <w:rFonts w:ascii="宋体" w:hAnsi="宋体" w:cs="宋体" w:eastAsia="宋体" w:hint="default"/>
        </w:rPr>
        <w:t>2</w:t>
      </w:r>
      <w:r>
        <w:rPr>
          <w:rFonts w:ascii="宋体" w:hAnsi="宋体" w:cs="宋体" w:eastAsia="宋体" w:hint="default"/>
          <w:spacing w:val="-54"/>
        </w:rPr>
        <w:t> </w:t>
      </w:r>
      <w:r>
        <w:rPr/>
        <w:t>名董事，补选了</w:t>
      </w:r>
      <w:r>
        <w:rPr>
          <w:spacing w:val="-54"/>
        </w:rPr>
        <w:t> </w:t>
      </w:r>
      <w:r>
        <w:rPr>
          <w:rFonts w:ascii="宋体" w:hAnsi="宋体" w:cs="宋体" w:eastAsia="宋体" w:hint="default"/>
        </w:rPr>
        <w:t>1</w:t>
      </w:r>
      <w:r>
        <w:rPr>
          <w:rFonts w:ascii="宋体" w:hAnsi="宋体" w:cs="宋体" w:eastAsia="宋体" w:hint="default"/>
          <w:spacing w:val="-56"/>
        </w:rPr>
        <w:t> </w:t>
      </w:r>
      <w:r>
        <w:rPr/>
        <w:t>名独</w:t>
      </w:r>
      <w:r>
        <w:rPr>
          <w:w w:val="100"/>
        </w:rPr>
        <w:t> </w:t>
      </w:r>
      <w:r>
        <w:rPr>
          <w:spacing w:val="-6"/>
        </w:rPr>
        <w:t>立董事，调整了董事会专门委员会成员，确保董事会和专门委员会构成符合《公司章程》的规定。</w:t>
      </w:r>
      <w:r>
        <w:rPr>
          <w:spacing w:val="-52"/>
        </w:rPr>
        <w:t> </w:t>
      </w:r>
      <w:r>
        <w:rPr>
          <w:spacing w:val="-52"/>
        </w:rPr>
      </w:r>
      <w:r>
        <w:rPr>
          <w:spacing w:val="-2"/>
          <w:w w:val="100"/>
        </w:rPr>
        <w:t>监事会选举和更换了</w:t>
      </w:r>
      <w:r>
        <w:rPr>
          <w:spacing w:val="-44"/>
          <w:w w:val="100"/>
        </w:rPr>
        <w:t> </w:t>
      </w:r>
      <w:r>
        <w:rPr>
          <w:rFonts w:ascii="宋体" w:hAnsi="宋体" w:cs="宋体" w:eastAsia="宋体" w:hint="default"/>
          <w:w w:val="100"/>
        </w:rPr>
        <w:t>2</w:t>
      </w:r>
      <w:r>
        <w:rPr>
          <w:rFonts w:ascii="宋体" w:hAnsi="宋体" w:cs="宋体" w:eastAsia="宋体" w:hint="default"/>
          <w:spacing w:val="-42"/>
          <w:w w:val="100"/>
        </w:rPr>
        <w:t> </w:t>
      </w:r>
      <w:r>
        <w:rPr>
          <w:spacing w:val="-8"/>
          <w:w w:val="100"/>
        </w:rPr>
        <w:t>名监事，并选举产生了监事会主席，保证了公司监事会有效发挥监督职能。</w:t>
      </w:r>
    </w:p>
    <w:p>
      <w:pPr>
        <w:pStyle w:val="BodyText"/>
        <w:spacing w:line="274" w:lineRule="exact" w:before="22"/>
        <w:ind w:left="658" w:right="0"/>
        <w:jc w:val="left"/>
      </w:pPr>
      <w:r>
        <w:rPr>
          <w:rFonts w:ascii="宋体" w:hAnsi="宋体" w:cs="宋体" w:eastAsia="宋体" w:hint="default"/>
        </w:rPr>
        <w:t>2</w:t>
      </w:r>
      <w:r>
        <w:rPr/>
        <w:t>、信息披露</w:t>
      </w:r>
      <w:r>
        <w:rPr>
          <w:w w:val="100"/>
        </w:rPr>
        <w:t> </w:t>
      </w:r>
      <w:r>
        <w:rPr>
          <w:spacing w:val="-2"/>
        </w:rPr>
        <w:t>报告期内，公司不断适应监管部门要求，建立完善信息披露机制。在注重信息披露的“真实</w:t>
      </w:r>
    </w:p>
    <w:p>
      <w:pPr>
        <w:pStyle w:val="BodyText"/>
        <w:spacing w:line="244" w:lineRule="exact"/>
        <w:ind w:left="238" w:right="0"/>
        <w:jc w:val="both"/>
      </w:pPr>
      <w:r>
        <w:rPr/>
        <w:t>性、准确性、完整性、及时性”的同时，逐步加强信息披露的“针对性、可比性、简明性、互动</w:t>
      </w:r>
    </w:p>
    <w:p>
      <w:pPr>
        <w:pStyle w:val="BodyText"/>
        <w:spacing w:line="237" w:lineRule="auto"/>
        <w:ind w:left="238" w:right="377"/>
        <w:jc w:val="both"/>
      </w:pPr>
      <w:r>
        <w:rPr>
          <w:spacing w:val="-2"/>
        </w:rPr>
        <w:t>性”，以严格的信息披露制度确保信披工作规范准确、合规严密。在合规披露的基础上，加大主</w:t>
      </w:r>
      <w:r>
        <w:rPr>
          <w:spacing w:val="-26"/>
        </w:rPr>
        <w:t> </w:t>
      </w:r>
      <w:r>
        <w:rPr>
          <w:spacing w:val="-26"/>
        </w:rPr>
      </w:r>
      <w:r>
        <w:rPr>
          <w:spacing w:val="-2"/>
        </w:rPr>
        <w:t>动披露力度，进一步强化信息披露责任落实，披露内容不存在任何虚假记载、误导性陈述或者重</w:t>
      </w:r>
      <w:r>
        <w:rPr>
          <w:spacing w:val="-25"/>
        </w:rPr>
        <w:t> </w:t>
      </w:r>
      <w:r>
        <w:rPr>
          <w:spacing w:val="-25"/>
        </w:rPr>
      </w:r>
      <w:r>
        <w:rPr/>
        <w:t>大遗漏。</w:t>
      </w:r>
    </w:p>
    <w:p>
      <w:pPr>
        <w:pStyle w:val="BodyText"/>
        <w:spacing w:line="272" w:lineRule="exact" w:before="26"/>
        <w:ind w:left="552" w:right="0" w:firstLine="105"/>
        <w:jc w:val="left"/>
      </w:pPr>
      <w:r>
        <w:rPr>
          <w:rFonts w:ascii="宋体" w:hAnsi="宋体" w:cs="宋体" w:eastAsia="宋体" w:hint="default"/>
        </w:rPr>
        <w:t>3</w:t>
      </w:r>
      <w:r>
        <w:rPr/>
        <w:t>、投资者关系管理</w:t>
      </w:r>
      <w:r>
        <w:rPr>
          <w:w w:val="100"/>
        </w:rPr>
        <w:t> </w:t>
      </w:r>
      <w:r>
        <w:rPr>
          <w:spacing w:val="-4"/>
        </w:rPr>
        <w:t>继续落实中国证监会相关文件及《公司章程》、《投资者关系管理制度》的有关规定，通过投</w:t>
      </w:r>
    </w:p>
    <w:p>
      <w:pPr>
        <w:pStyle w:val="BodyText"/>
        <w:spacing w:line="272" w:lineRule="exact" w:before="2"/>
        <w:ind w:left="238" w:right="368"/>
        <w:jc w:val="both"/>
      </w:pPr>
      <w:r>
        <w:rPr>
          <w:spacing w:val="-4"/>
        </w:rPr>
        <w:t>资者热线、</w:t>
      </w:r>
      <w:r>
        <w:rPr>
          <w:rFonts w:ascii="宋体" w:hAnsi="宋体" w:cs="宋体" w:eastAsia="宋体" w:hint="default"/>
          <w:spacing w:val="-4"/>
        </w:rPr>
        <w:t>E</w:t>
      </w:r>
      <w:r>
        <w:rPr>
          <w:spacing w:val="-4"/>
        </w:rPr>
        <w:t>互动、投资者关系信箱、宣传媒介等方式，为中小投资者提供立体公司形象；加强与</w:t>
      </w:r>
      <w:r>
        <w:rPr>
          <w:spacing w:val="-35"/>
        </w:rPr>
        <w:t> </w:t>
      </w:r>
      <w:r>
        <w:rPr>
          <w:spacing w:val="-35"/>
        </w:rPr>
      </w:r>
      <w:r>
        <w:rPr>
          <w:spacing w:val="-2"/>
        </w:rPr>
        <w:t>机构投资者接触，建立定期沟通联络和报备机制，探讨投资者关系管理新渠道；参加投资者网上</w:t>
      </w:r>
    </w:p>
    <w:p>
      <w:pPr>
        <w:pStyle w:val="BodyText"/>
        <w:spacing w:line="272" w:lineRule="exact" w:before="1"/>
        <w:ind w:left="238" w:right="377"/>
        <w:jc w:val="both"/>
      </w:pPr>
      <w:r>
        <w:rPr>
          <w:spacing w:val="-2"/>
        </w:rPr>
        <w:t>集体接待活动，就公司治理、发展战略、经营状况、融资计划等问题与投资者在线交流，回答在</w:t>
      </w:r>
      <w:r>
        <w:rPr>
          <w:spacing w:val="-25"/>
        </w:rPr>
        <w:t> </w:t>
      </w:r>
      <w:r>
        <w:rPr>
          <w:spacing w:val="-25"/>
        </w:rPr>
      </w:r>
      <w:r>
        <w:rPr/>
        <w:t>线提问。</w:t>
      </w:r>
    </w:p>
    <w:p>
      <w:pPr>
        <w:pStyle w:val="BodyText"/>
        <w:spacing w:line="272" w:lineRule="exact" w:before="1"/>
        <w:ind w:left="552" w:right="0" w:firstLine="105"/>
        <w:jc w:val="left"/>
      </w:pPr>
      <w:r>
        <w:rPr>
          <w:rFonts w:ascii="宋体" w:hAnsi="宋体" w:cs="宋体" w:eastAsia="宋体" w:hint="default"/>
        </w:rPr>
        <w:t>4</w:t>
      </w:r>
      <w:r>
        <w:rPr/>
        <w:t>、绩效评价和激励约束机制</w:t>
      </w:r>
      <w:r>
        <w:rPr>
          <w:w w:val="100"/>
        </w:rPr>
        <w:t> </w:t>
      </w:r>
      <w:r>
        <w:rPr>
          <w:spacing w:val="-4"/>
        </w:rPr>
        <w:t>公司制定了合理的董事、监事和高管人员的绩效评价标准和激励约束机制，实施了全员绩效考</w:t>
      </w:r>
    </w:p>
    <w:p>
      <w:pPr>
        <w:pStyle w:val="BodyText"/>
        <w:spacing w:line="272" w:lineRule="exact" w:before="1"/>
        <w:ind w:left="238" w:right="377"/>
        <w:jc w:val="both"/>
      </w:pPr>
      <w:r>
        <w:rPr>
          <w:spacing w:val="-2"/>
        </w:rPr>
        <w:t>评机制。董事会批准制定《公司高级管理人员薪酬与考核制度》，并与经营层签订《年度目标责</w:t>
      </w:r>
      <w:r>
        <w:rPr>
          <w:spacing w:val="-25"/>
        </w:rPr>
        <w:t> </w:t>
      </w:r>
      <w:r>
        <w:rPr>
          <w:spacing w:val="-25"/>
        </w:rPr>
      </w:r>
      <w:r>
        <w:rPr/>
        <w:t>任书》，董事会薪酬与考核委员会组织实施对目标责任书的考核。</w:t>
      </w:r>
    </w:p>
    <w:p>
      <w:pPr>
        <w:pStyle w:val="BodyText"/>
        <w:spacing w:line="272" w:lineRule="exact" w:before="1"/>
        <w:ind w:left="658" w:right="0" w:hanging="106"/>
        <w:jc w:val="left"/>
      </w:pPr>
      <w:r>
        <w:rPr>
          <w:rFonts w:ascii="宋体" w:hAnsi="宋体" w:cs="宋体" w:eastAsia="宋体" w:hint="default"/>
        </w:rPr>
        <w:t>5</w:t>
      </w:r>
      <w:r>
        <w:rPr/>
        <w:t>、内部控制</w:t>
      </w:r>
      <w:r>
        <w:rPr>
          <w:w w:val="100"/>
        </w:rPr>
        <w:t> </w:t>
      </w:r>
      <w:r>
        <w:rPr>
          <w:spacing w:val="-7"/>
          <w:w w:val="100"/>
        </w:rPr>
        <w:t>公司按照企业内部控制规范体系的规定，建立健全了内部控制机构和内控制度，并有效实施。</w:t>
      </w:r>
    </w:p>
    <w:p>
      <w:pPr>
        <w:pStyle w:val="BodyText"/>
        <w:spacing w:line="272" w:lineRule="exact" w:before="1"/>
        <w:ind w:left="238" w:right="377"/>
        <w:jc w:val="both"/>
      </w:pPr>
      <w:r>
        <w:rPr>
          <w:spacing w:val="-7"/>
          <w:w w:val="100"/>
        </w:rPr>
        <w:t>报告期内，公司对自身规范运作情况进行了全面自查和整改，对《公司章程》、《股东大会议事规</w:t>
      </w:r>
      <w:r>
        <w:rPr>
          <w:spacing w:val="-73"/>
          <w:w w:val="100"/>
        </w:rPr>
        <w:t> </w:t>
      </w:r>
      <w:r>
        <w:rPr>
          <w:spacing w:val="-73"/>
          <w:w w:val="100"/>
        </w:rPr>
      </w:r>
      <w:r>
        <w:rPr>
          <w:spacing w:val="-2"/>
        </w:rPr>
        <w:t>则》部分条款进行了修订，使其能够符合监管文件要求和本公司实际情况。制定了《对外投资管</w:t>
      </w:r>
    </w:p>
    <w:p>
      <w:pPr>
        <w:pStyle w:val="BodyText"/>
        <w:spacing w:line="272" w:lineRule="exact" w:before="2"/>
        <w:ind w:left="238" w:right="377"/>
        <w:jc w:val="both"/>
      </w:pPr>
      <w:r>
        <w:rPr>
          <w:spacing w:val="-7"/>
          <w:w w:val="100"/>
        </w:rPr>
        <w:t>理制度》），建立了科学、有效的投资决策与职责体系，有效地保障了本公司的规范运行和各项生</w:t>
      </w:r>
      <w:r>
        <w:rPr>
          <w:spacing w:val="-71"/>
          <w:w w:val="100"/>
        </w:rPr>
        <w:t> </w:t>
      </w:r>
      <w:r>
        <w:rPr>
          <w:spacing w:val="-71"/>
          <w:w w:val="100"/>
        </w:rPr>
      </w:r>
      <w:r>
        <w:rPr/>
        <w:t>产经营活动的科学决策。</w:t>
      </w:r>
    </w:p>
    <w:p>
      <w:pPr>
        <w:spacing w:line="240" w:lineRule="auto" w:before="4"/>
        <w:rPr>
          <w:rFonts w:ascii="宋体" w:hAnsi="宋体" w:cs="宋体" w:eastAsia="宋体" w:hint="default"/>
          <w:sz w:val="23"/>
          <w:szCs w:val="23"/>
        </w:rPr>
      </w:pPr>
    </w:p>
    <w:p>
      <w:pPr>
        <w:pStyle w:val="Heading2"/>
        <w:spacing w:line="240" w:lineRule="auto" w:before="0"/>
        <w:ind w:left="238" w:right="0"/>
        <w:jc w:val="both"/>
        <w:rPr>
          <w:b w:val="0"/>
          <w:bCs w:val="0"/>
        </w:rPr>
      </w:pPr>
      <w:r>
        <w:rPr/>
        <w:t>二、股东大会情况简介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15" w:type="dxa"/>
        <w:tblLayout w:type="fixed"/>
        <w:tblCellMar>
          <w:top w:w="0" w:type="dxa"/>
          <w:left w:w="0" w:type="dxa"/>
          <w:bottom w:w="0" w:type="dxa"/>
          <w:right w:w="0" w:type="dxa"/>
        </w:tblCellMar>
        <w:tblLook w:val="01E0"/>
      </w:tblPr>
      <w:tblGrid>
        <w:gridCol w:w="2804"/>
        <w:gridCol w:w="1274"/>
        <w:gridCol w:w="3812"/>
        <w:gridCol w:w="1291"/>
      </w:tblGrid>
      <w:tr>
        <w:trPr>
          <w:trHeight w:val="569" w:hRule="exact"/>
        </w:trPr>
        <w:tc>
          <w:tcPr>
            <w:tcW w:w="280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5"/>
              <w:ind w:right="3"/>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2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5"/>
              <w:ind w:right="206"/>
              <w:jc w:val="right"/>
              <w:rPr>
                <w:rFonts w:ascii="宋体" w:hAnsi="宋体" w:cs="宋体" w:eastAsia="宋体" w:hint="default"/>
                <w:sz w:val="21"/>
                <w:szCs w:val="21"/>
              </w:rPr>
            </w:pPr>
            <w:r>
              <w:rPr>
                <w:rFonts w:ascii="宋体" w:hAnsi="宋体" w:cs="宋体" w:eastAsia="宋体" w:hint="default"/>
                <w:spacing w:val="-1"/>
                <w:sz w:val="21"/>
                <w:szCs w:val="21"/>
              </w:rPr>
              <w:t>召开日期</w:t>
            </w:r>
          </w:p>
        </w:tc>
        <w:tc>
          <w:tcPr>
            <w:tcW w:w="38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5"/>
              <w:ind w:left="427" w:right="0"/>
              <w:jc w:val="left"/>
              <w:rPr>
                <w:rFonts w:ascii="宋体" w:hAnsi="宋体" w:cs="宋体" w:eastAsia="宋体" w:hint="default"/>
                <w:sz w:val="21"/>
                <w:szCs w:val="21"/>
              </w:rPr>
            </w:pPr>
            <w:r>
              <w:rPr>
                <w:rFonts w:ascii="宋体" w:hAnsi="宋体" w:cs="宋体" w:eastAsia="宋体" w:hint="default"/>
                <w:sz w:val="21"/>
                <w:szCs w:val="21"/>
              </w:rPr>
              <w:t>决议刊登的指定网站的查询索引</w:t>
            </w:r>
          </w:p>
        </w:tc>
        <w:tc>
          <w:tcPr>
            <w:tcW w:w="1291"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决议刊登的</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披露日期</w:t>
            </w:r>
          </w:p>
        </w:tc>
      </w:tr>
      <w:tr>
        <w:trPr>
          <w:trHeight w:val="288" w:hRule="exact"/>
        </w:trPr>
        <w:tc>
          <w:tcPr>
            <w:tcW w:w="280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9"/>
              <w:jc w:val="right"/>
              <w:rPr>
                <w:rFonts w:ascii="宋体" w:hAnsi="宋体" w:cs="宋体" w:eastAsia="宋体" w:hint="default"/>
                <w:sz w:val="21"/>
                <w:szCs w:val="21"/>
              </w:rPr>
            </w:pPr>
            <w:r>
              <w:rPr>
                <w:rFonts w:ascii="宋体"/>
                <w:spacing w:val="-1"/>
                <w:sz w:val="21"/>
              </w:rPr>
              <w:t>2015-1-16</w:t>
            </w:r>
          </w:p>
        </w:tc>
        <w:tc>
          <w:tcPr>
            <w:tcW w:w="38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r>
              <w:rPr>
                <w:rFonts w:ascii="宋体" w:hAnsi="宋体" w:cs="宋体" w:eastAsia="宋体" w:hint="default"/>
                <w:spacing w:val="-55"/>
                <w:sz w:val="21"/>
                <w:szCs w:val="21"/>
              </w:rPr>
              <w:t> </w:t>
            </w:r>
            <w:hyperlink r:id="rId10">
              <w:r>
                <w:rPr>
                  <w:rFonts w:ascii="宋体" w:hAnsi="宋体" w:cs="宋体" w:eastAsia="宋体" w:hint="default"/>
                  <w:sz w:val="21"/>
                  <w:szCs w:val="21"/>
                </w:rPr>
                <w:t>www.sse.com.cn</w:t>
              </w:r>
            </w:hyperlink>
          </w:p>
        </w:tc>
        <w:tc>
          <w:tcPr>
            <w:tcW w:w="129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2015-1-17</w:t>
            </w:r>
          </w:p>
        </w:tc>
      </w:tr>
      <w:tr>
        <w:trPr>
          <w:trHeight w:val="293" w:hRule="exact"/>
        </w:trPr>
        <w:tc>
          <w:tcPr>
            <w:tcW w:w="2804"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209"/>
              <w:jc w:val="right"/>
              <w:rPr>
                <w:rFonts w:ascii="宋体" w:hAnsi="宋体" w:cs="宋体" w:eastAsia="宋体" w:hint="default"/>
                <w:sz w:val="21"/>
                <w:szCs w:val="21"/>
              </w:rPr>
            </w:pPr>
            <w:r>
              <w:rPr>
                <w:rFonts w:ascii="宋体"/>
                <w:spacing w:val="-1"/>
                <w:sz w:val="21"/>
              </w:rPr>
              <w:t>2015-5-18</w:t>
            </w:r>
          </w:p>
        </w:tc>
        <w:tc>
          <w:tcPr>
            <w:tcW w:w="381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r>
              <w:rPr>
                <w:rFonts w:ascii="宋体" w:hAnsi="宋体" w:cs="宋体" w:eastAsia="宋体" w:hint="default"/>
                <w:spacing w:val="-55"/>
                <w:sz w:val="21"/>
                <w:szCs w:val="21"/>
              </w:rPr>
              <w:t> </w:t>
            </w:r>
            <w:hyperlink r:id="rId10">
              <w:r>
                <w:rPr>
                  <w:rFonts w:ascii="宋体" w:hAnsi="宋体" w:cs="宋体" w:eastAsia="宋体" w:hint="default"/>
                  <w:sz w:val="21"/>
                  <w:szCs w:val="21"/>
                </w:rPr>
                <w:t>www.sse.com.cn</w:t>
              </w:r>
            </w:hyperlink>
          </w:p>
        </w:tc>
        <w:tc>
          <w:tcPr>
            <w:tcW w:w="1291"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2015-5-19</w:t>
            </w:r>
          </w:p>
        </w:tc>
      </w:tr>
    </w:tbl>
    <w:p>
      <w:pPr>
        <w:pStyle w:val="BodyText"/>
        <w:spacing w:line="243" w:lineRule="exact"/>
        <w:ind w:left="238" w:right="0"/>
        <w:jc w:val="left"/>
      </w:pPr>
      <w:r>
        <w:rPr/>
        <w:t>股东大会情况说明</w:t>
      </w:r>
    </w:p>
    <w:p>
      <w:pPr>
        <w:pStyle w:val="BodyText"/>
        <w:spacing w:line="274" w:lineRule="exact" w:before="116"/>
        <w:ind w:left="658" w:right="0"/>
        <w:jc w:val="left"/>
      </w:pPr>
      <w:r>
        <w:rPr>
          <w:rFonts w:ascii="宋体" w:hAnsi="宋体" w:cs="宋体" w:eastAsia="宋体" w:hint="default"/>
        </w:rPr>
        <w:t>1</w:t>
      </w:r>
      <w:r>
        <w:rPr/>
        <w:t>、</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6"/>
        </w:rPr>
        <w:t> </w:t>
      </w:r>
      <w:r>
        <w:rPr>
          <w:rFonts w:ascii="宋体" w:hAnsi="宋体" w:cs="宋体" w:eastAsia="宋体" w:hint="default"/>
        </w:rPr>
        <w:t>18</w:t>
      </w:r>
      <w:r>
        <w:rPr>
          <w:rFonts w:ascii="宋体" w:hAnsi="宋体" w:cs="宋体" w:eastAsia="宋体" w:hint="default"/>
          <w:spacing w:val="-55"/>
        </w:rPr>
        <w:t> </w:t>
      </w:r>
      <w:r>
        <w:rPr/>
        <w:t>日，公司</w:t>
      </w:r>
      <w:r>
        <w:rPr>
          <w:spacing w:val="-54"/>
        </w:rPr>
        <w:t> </w:t>
      </w:r>
      <w:r>
        <w:rPr>
          <w:rFonts w:ascii="宋体" w:hAnsi="宋体" w:cs="宋体" w:eastAsia="宋体" w:hint="default"/>
        </w:rPr>
        <w:t>2014</w:t>
      </w:r>
      <w:r>
        <w:rPr>
          <w:rFonts w:ascii="宋体" w:hAnsi="宋体" w:cs="宋体" w:eastAsia="宋体" w:hint="default"/>
          <w:spacing w:val="-54"/>
        </w:rPr>
        <w:t> </w:t>
      </w:r>
      <w:r>
        <w:rPr/>
        <w:t>年年度股东大会审议通过了《</w:t>
      </w:r>
      <w:r>
        <w:rPr>
          <w:rFonts w:ascii="宋体" w:hAnsi="宋体" w:cs="宋体" w:eastAsia="宋体" w:hint="default"/>
        </w:rPr>
        <w:t>2014</w:t>
      </w:r>
      <w:r>
        <w:rPr>
          <w:rFonts w:ascii="宋体" w:hAnsi="宋体" w:cs="宋体" w:eastAsia="宋体" w:hint="default"/>
          <w:spacing w:val="-54"/>
        </w:rPr>
        <w:t> </w:t>
      </w:r>
      <w:r>
        <w:rPr/>
        <w:t>年年度报告和境外报告</w:t>
      </w:r>
    </w:p>
    <w:p>
      <w:pPr>
        <w:pStyle w:val="BodyText"/>
        <w:spacing w:line="272" w:lineRule="exact" w:before="27"/>
        <w:ind w:left="238" w:right="0"/>
        <w:jc w:val="left"/>
      </w:pPr>
      <w:r>
        <w:rPr>
          <w:spacing w:val="-3"/>
        </w:rPr>
        <w:t>摘要》、《董事会</w:t>
      </w:r>
      <w:r>
        <w:rPr>
          <w:spacing w:val="-44"/>
        </w:rPr>
        <w:t> </w:t>
      </w:r>
      <w:r>
        <w:rPr>
          <w:rFonts w:ascii="宋体" w:hAnsi="宋体" w:cs="宋体" w:eastAsia="宋体" w:hint="default"/>
        </w:rPr>
        <w:t>2014</w:t>
      </w:r>
      <w:r>
        <w:rPr>
          <w:rFonts w:ascii="宋体" w:hAnsi="宋体" w:cs="宋体" w:eastAsia="宋体" w:hint="default"/>
          <w:spacing w:val="-43"/>
        </w:rPr>
        <w:t> </w:t>
      </w:r>
      <w:r>
        <w:rPr>
          <w:spacing w:val="-3"/>
        </w:rPr>
        <w:t>年度工作报告》、《监事会</w:t>
      </w:r>
      <w:r>
        <w:rPr>
          <w:spacing w:val="-44"/>
        </w:rPr>
        <w:t> </w:t>
      </w:r>
      <w:r>
        <w:rPr>
          <w:rFonts w:ascii="宋体" w:hAnsi="宋体" w:cs="宋体" w:eastAsia="宋体" w:hint="default"/>
        </w:rPr>
        <w:t>2014</w:t>
      </w:r>
      <w:r>
        <w:rPr>
          <w:rFonts w:ascii="宋体" w:hAnsi="宋体" w:cs="宋体" w:eastAsia="宋体" w:hint="default"/>
          <w:spacing w:val="-44"/>
        </w:rPr>
        <w:t> </w:t>
      </w:r>
      <w:r>
        <w:rPr>
          <w:spacing w:val="-3"/>
        </w:rPr>
        <w:t>年度工作报告》、《</w:t>
      </w:r>
      <w:r>
        <w:rPr>
          <w:rFonts w:ascii="宋体" w:hAnsi="宋体" w:cs="宋体" w:eastAsia="宋体" w:hint="default"/>
          <w:spacing w:val="-3"/>
        </w:rPr>
        <w:t>2014</w:t>
      </w:r>
      <w:r>
        <w:rPr>
          <w:rFonts w:ascii="宋体" w:hAnsi="宋体" w:cs="宋体" w:eastAsia="宋体" w:hint="default"/>
          <w:spacing w:val="-44"/>
        </w:rPr>
        <w:t> </w:t>
      </w:r>
      <w:r>
        <w:rPr/>
        <w:t>年度财务决算</w:t>
      </w:r>
      <w:r>
        <w:rPr>
          <w:spacing w:val="-101"/>
        </w:rPr>
        <w:t> </w:t>
      </w:r>
      <w:r>
        <w:rPr>
          <w:spacing w:val="-101"/>
        </w:rPr>
      </w:r>
      <w:r>
        <w:rPr/>
        <w:t>报告》、《</w:t>
      </w:r>
      <w:r>
        <w:rPr>
          <w:rFonts w:ascii="宋体" w:hAnsi="宋体" w:cs="宋体" w:eastAsia="宋体" w:hint="default"/>
        </w:rPr>
        <w:t>2014</w:t>
      </w:r>
      <w:r>
        <w:rPr>
          <w:rFonts w:ascii="宋体" w:hAnsi="宋体" w:cs="宋体" w:eastAsia="宋体" w:hint="default"/>
          <w:spacing w:val="-56"/>
        </w:rPr>
        <w:t> </w:t>
      </w:r>
      <w:r>
        <w:rPr/>
        <w:t>年度利润分配预案》等</w:t>
      </w:r>
      <w:r>
        <w:rPr>
          <w:spacing w:val="-55"/>
        </w:rPr>
        <w:t> </w:t>
      </w:r>
      <w:r>
        <w:rPr>
          <w:rFonts w:ascii="宋体" w:hAnsi="宋体" w:cs="宋体" w:eastAsia="宋体" w:hint="default"/>
        </w:rPr>
        <w:t>12</w:t>
      </w:r>
      <w:r>
        <w:rPr>
          <w:rFonts w:ascii="宋体" w:hAnsi="宋体" w:cs="宋体" w:eastAsia="宋体" w:hint="default"/>
          <w:spacing w:val="-56"/>
        </w:rPr>
        <w:t> </w:t>
      </w:r>
      <w:r>
        <w:rPr/>
        <w:t>项议案。</w:t>
      </w:r>
    </w:p>
    <w:p>
      <w:pPr>
        <w:spacing w:after="0" w:line="272" w:lineRule="exact"/>
        <w:jc w:val="left"/>
        <w:sectPr>
          <w:pgSz w:w="11910" w:h="16840"/>
          <w:pgMar w:header="877" w:footer="1195" w:top="1100" w:bottom="1380" w:left="1560" w:right="900"/>
        </w:sectPr>
      </w:pPr>
    </w:p>
    <w:p>
      <w:pPr>
        <w:spacing w:line="240" w:lineRule="auto" w:before="9"/>
        <w:rPr>
          <w:rFonts w:ascii="宋体" w:hAnsi="宋体" w:cs="宋体" w:eastAsia="宋体" w:hint="default"/>
          <w:sz w:val="25"/>
          <w:szCs w:val="25"/>
        </w:rPr>
      </w:pPr>
    </w:p>
    <w:p>
      <w:pPr>
        <w:pStyle w:val="BodyText"/>
        <w:spacing w:line="237" w:lineRule="auto" w:before="38"/>
        <w:ind w:left="238" w:right="247" w:firstLine="419"/>
        <w:jc w:val="both"/>
      </w:pPr>
      <w:r>
        <w:rPr>
          <w:rFonts w:ascii="宋体" w:hAnsi="宋体" w:cs="宋体" w:eastAsia="宋体" w:hint="default"/>
        </w:rPr>
        <w:t>2</w:t>
      </w:r>
      <w:r>
        <w:rPr/>
        <w:t>、</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16</w:t>
      </w:r>
      <w:r>
        <w:rPr>
          <w:rFonts w:ascii="宋体" w:hAnsi="宋体" w:cs="宋体" w:eastAsia="宋体" w:hint="default"/>
          <w:spacing w:val="-55"/>
        </w:rPr>
        <w:t> </w:t>
      </w:r>
      <w:r>
        <w:rPr/>
        <w:t>日，公司</w:t>
      </w:r>
      <w:r>
        <w:rPr>
          <w:spacing w:val="-54"/>
        </w:rPr>
        <w:t> </w:t>
      </w:r>
      <w:r>
        <w:rPr>
          <w:rFonts w:ascii="宋体" w:hAnsi="宋体" w:cs="宋体" w:eastAsia="宋体" w:hint="default"/>
        </w:rPr>
        <w:t>2015</w:t>
      </w:r>
      <w:r>
        <w:rPr>
          <w:rFonts w:ascii="宋体" w:hAnsi="宋体" w:cs="宋体" w:eastAsia="宋体" w:hint="default"/>
          <w:spacing w:val="-54"/>
        </w:rPr>
        <w:t> </w:t>
      </w:r>
      <w:r>
        <w:rPr/>
        <w:t>年第一次临时股东大会审议通过了《关于发行中期票据的</w:t>
      </w:r>
      <w:r>
        <w:rPr>
          <w:w w:val="100"/>
        </w:rPr>
        <w:t> </w:t>
      </w:r>
      <w:r>
        <w:rPr>
          <w:spacing w:val="-2"/>
        </w:rPr>
        <w:t>议案》、《关于发行短期融资券的议案》、《关于选举独立董事的议案》、《关于向各合作银行</w:t>
      </w:r>
      <w:r>
        <w:rPr>
          <w:spacing w:val="-25"/>
        </w:rPr>
        <w:t> </w:t>
      </w:r>
      <w:r>
        <w:rPr>
          <w:spacing w:val="-25"/>
        </w:rPr>
      </w:r>
      <w:r>
        <w:rPr>
          <w:spacing w:val="-2"/>
        </w:rPr>
        <w:t>申请综合授信额度的议案》和《关于选举李欣华女士为公司监事的议案》，其中《关于选举李欣</w:t>
      </w:r>
      <w:r>
        <w:rPr>
          <w:spacing w:val="-25"/>
        </w:rPr>
        <w:t> </w:t>
      </w:r>
      <w:r>
        <w:rPr>
          <w:spacing w:val="-25"/>
        </w:rPr>
      </w:r>
      <w:r>
        <w:rPr>
          <w:spacing w:val="-4"/>
        </w:rPr>
        <w:t>华女士为公司监事的议案》为临时提案。此次股东大会通知于</w:t>
      </w:r>
      <w:r>
        <w:rPr>
          <w:spacing w:val="-43"/>
        </w:rPr>
        <w:t> </w:t>
      </w:r>
      <w:r>
        <w:rPr>
          <w:rFonts w:ascii="宋体" w:hAnsi="宋体" w:cs="宋体" w:eastAsia="宋体" w:hint="default"/>
        </w:rPr>
        <w:t>2014</w:t>
      </w:r>
      <w:r>
        <w:rPr>
          <w:rFonts w:ascii="宋体" w:hAnsi="宋体" w:cs="宋体" w:eastAsia="宋体" w:hint="default"/>
          <w:spacing w:val="-43"/>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23</w:t>
      </w:r>
      <w:r>
        <w:rPr>
          <w:rFonts w:ascii="宋体" w:hAnsi="宋体" w:cs="宋体" w:eastAsia="宋体" w:hint="default"/>
          <w:spacing w:val="-42"/>
        </w:rPr>
        <w:t> </w:t>
      </w:r>
      <w:r>
        <w:rPr>
          <w:spacing w:val="-6"/>
        </w:rPr>
        <w:t>日公告后，公司董</w:t>
      </w:r>
    </w:p>
    <w:p>
      <w:pPr>
        <w:pStyle w:val="BodyText"/>
        <w:spacing w:line="271" w:lineRule="exact"/>
        <w:ind w:left="238" w:right="0"/>
        <w:jc w:val="left"/>
      </w:pPr>
      <w:r>
        <w:rPr>
          <w:w w:val="100"/>
        </w:rPr>
        <w:t>事</w:t>
      </w:r>
      <w:r>
        <w:rPr>
          <w:spacing w:val="-3"/>
          <w:w w:val="100"/>
        </w:rPr>
        <w:t>会</w:t>
      </w: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4</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31</w:t>
      </w:r>
      <w:r>
        <w:rPr>
          <w:rFonts w:ascii="宋体" w:hAnsi="宋体" w:cs="宋体" w:eastAsia="宋体" w:hint="default"/>
          <w:spacing w:val="-54"/>
        </w:rPr>
        <w:t> </w:t>
      </w:r>
      <w:r>
        <w:rPr>
          <w:spacing w:val="-3"/>
          <w:w w:val="100"/>
        </w:rPr>
        <w:t>日</w:t>
      </w:r>
      <w:r>
        <w:rPr>
          <w:w w:val="100"/>
        </w:rPr>
        <w:t>收到</w:t>
      </w:r>
      <w:r>
        <w:rPr>
          <w:spacing w:val="-3"/>
          <w:w w:val="100"/>
        </w:rPr>
        <w:t>股</w:t>
      </w:r>
      <w:r>
        <w:rPr>
          <w:w w:val="100"/>
        </w:rPr>
        <w:t>东</w:t>
      </w:r>
      <w:r>
        <w:rPr>
          <w:spacing w:val="-3"/>
          <w:w w:val="100"/>
        </w:rPr>
        <w:t>锦</w:t>
      </w:r>
      <w:r>
        <w:rPr>
          <w:w w:val="100"/>
        </w:rPr>
        <w:t>州</w:t>
      </w:r>
      <w:r>
        <w:rPr>
          <w:spacing w:val="-3"/>
          <w:w w:val="100"/>
        </w:rPr>
        <w:t>港</w:t>
      </w:r>
      <w:r>
        <w:rPr>
          <w:w w:val="100"/>
        </w:rPr>
        <w:t>国</w:t>
      </w:r>
      <w:r>
        <w:rPr>
          <w:spacing w:val="-3"/>
          <w:w w:val="100"/>
        </w:rPr>
        <w:t>有</w:t>
      </w:r>
      <w:r>
        <w:rPr>
          <w:w w:val="100"/>
        </w:rPr>
        <w:t>资</w:t>
      </w:r>
      <w:r>
        <w:rPr>
          <w:spacing w:val="-3"/>
          <w:w w:val="100"/>
        </w:rPr>
        <w:t>产</w:t>
      </w:r>
      <w:r>
        <w:rPr>
          <w:w w:val="100"/>
        </w:rPr>
        <w:t>经营</w:t>
      </w:r>
      <w:r>
        <w:rPr>
          <w:spacing w:val="-3"/>
          <w:w w:val="100"/>
        </w:rPr>
        <w:t>管</w:t>
      </w:r>
      <w:r>
        <w:rPr>
          <w:w w:val="100"/>
        </w:rPr>
        <w:t>理</w:t>
      </w:r>
      <w:r>
        <w:rPr>
          <w:spacing w:val="-3"/>
          <w:w w:val="100"/>
        </w:rPr>
        <w:t>有</w:t>
      </w:r>
      <w:r>
        <w:rPr>
          <w:w w:val="100"/>
        </w:rPr>
        <w:t>限</w:t>
      </w:r>
      <w:r>
        <w:rPr>
          <w:spacing w:val="-3"/>
          <w:w w:val="100"/>
        </w:rPr>
        <w:t>公</w:t>
      </w:r>
      <w:r>
        <w:rPr>
          <w:w w:val="100"/>
        </w:rPr>
        <w:t>司</w:t>
      </w:r>
      <w:r>
        <w:rPr>
          <w:spacing w:val="-3"/>
          <w:w w:val="100"/>
        </w:rPr>
        <w:t>书</w:t>
      </w:r>
      <w:r>
        <w:rPr>
          <w:w w:val="100"/>
        </w:rPr>
        <w:t>面</w:t>
      </w:r>
      <w:r>
        <w:rPr>
          <w:spacing w:val="-3"/>
          <w:w w:val="100"/>
        </w:rPr>
        <w:t>提</w:t>
      </w:r>
      <w:r>
        <w:rPr>
          <w:w w:val="100"/>
        </w:rPr>
        <w:t>出</w:t>
      </w:r>
      <w:r>
        <w:rPr>
          <w:spacing w:val="-94"/>
          <w:w w:val="100"/>
        </w:rPr>
        <w:t>的</w:t>
      </w:r>
      <w:r>
        <w:rPr>
          <w:w w:val="100"/>
        </w:rPr>
        <w:t>《</w:t>
      </w:r>
      <w:r>
        <w:rPr>
          <w:spacing w:val="-3"/>
          <w:w w:val="100"/>
        </w:rPr>
        <w:t>关</w:t>
      </w:r>
      <w:r>
        <w:rPr>
          <w:w w:val="100"/>
        </w:rPr>
        <w:t>于</w:t>
      </w:r>
      <w:r>
        <w:rPr>
          <w:spacing w:val="-3"/>
          <w:w w:val="100"/>
        </w:rPr>
        <w:t>锦</w:t>
      </w:r>
      <w:r>
        <w:rPr>
          <w:w w:val="100"/>
        </w:rPr>
        <w:t>州</w:t>
      </w:r>
      <w:r>
        <w:rPr>
          <w:spacing w:val="-3"/>
          <w:w w:val="100"/>
        </w:rPr>
        <w:t>港</w:t>
      </w:r>
      <w:r>
        <w:rPr>
          <w:w w:val="100"/>
        </w:rPr>
        <w:t>股</w:t>
      </w:r>
    </w:p>
    <w:p>
      <w:pPr>
        <w:pStyle w:val="BodyText"/>
        <w:spacing w:line="272" w:lineRule="exact"/>
        <w:ind w:left="238" w:right="0"/>
        <w:jc w:val="left"/>
      </w:pPr>
      <w:r>
        <w:rPr/>
        <w:t>份有限公司 </w:t>
      </w:r>
      <w:r>
        <w:rPr>
          <w:rFonts w:ascii="宋体" w:hAnsi="宋体" w:cs="宋体" w:eastAsia="宋体" w:hint="default"/>
        </w:rPr>
        <w:t>2015</w:t>
      </w:r>
      <w:r>
        <w:rPr>
          <w:rFonts w:ascii="宋体" w:hAnsi="宋体" w:cs="宋体" w:eastAsia="宋体" w:hint="default"/>
          <w:spacing w:val="-33"/>
        </w:rPr>
        <w:t> </w:t>
      </w:r>
      <w:r>
        <w:rPr>
          <w:spacing w:val="-5"/>
        </w:rPr>
        <w:t>年第一次临时股东大会增加临时提案的函》，提议将《关于选举李欣华女士为公</w:t>
      </w:r>
    </w:p>
    <w:p>
      <w:pPr>
        <w:pStyle w:val="BodyText"/>
        <w:spacing w:line="272" w:lineRule="exact"/>
        <w:ind w:left="238" w:right="0"/>
        <w:jc w:val="left"/>
        <w:rPr>
          <w:rFonts w:ascii="宋体" w:hAnsi="宋体" w:cs="宋体" w:eastAsia="宋体" w:hint="default"/>
        </w:rPr>
      </w:pPr>
      <w:r>
        <w:rPr>
          <w:spacing w:val="-3"/>
        </w:rPr>
        <w:t>司监事的议案》提交公司本次股东大会审议。根据公司《章程》及有关规定，公司董事会于</w:t>
      </w:r>
      <w:r>
        <w:rPr>
          <w:spacing w:val="12"/>
        </w:rPr>
        <w:t> </w:t>
      </w:r>
      <w:r>
        <w:rPr>
          <w:rFonts w:ascii="宋体" w:hAnsi="宋体" w:cs="宋体" w:eastAsia="宋体" w:hint="default"/>
        </w:rPr>
        <w:t>2015</w:t>
      </w:r>
    </w:p>
    <w:p>
      <w:pPr>
        <w:pStyle w:val="BodyText"/>
        <w:spacing w:line="272" w:lineRule="exact" w:before="27"/>
        <w:ind w:left="238" w:right="0"/>
        <w:jc w:val="left"/>
      </w:pPr>
      <w:r>
        <w:rPr/>
        <w:t>年</w:t>
      </w:r>
      <w:r>
        <w:rPr>
          <w:spacing w:val="-44"/>
        </w:rPr>
        <w:t> </w:t>
      </w:r>
      <w:r>
        <w:rPr>
          <w:rFonts w:ascii="宋体" w:hAnsi="宋体" w:cs="宋体" w:eastAsia="宋体" w:hint="default"/>
        </w:rPr>
        <w:t>1</w:t>
      </w:r>
      <w:r>
        <w:rPr>
          <w:rFonts w:ascii="宋体" w:hAnsi="宋体" w:cs="宋体" w:eastAsia="宋体" w:hint="default"/>
          <w:spacing w:val="-46"/>
        </w:rPr>
        <w:t> </w:t>
      </w:r>
      <w:r>
        <w:rPr/>
        <w:t>月</w:t>
      </w:r>
      <w:r>
        <w:rPr>
          <w:spacing w:val="-44"/>
        </w:rPr>
        <w:t> </w:t>
      </w:r>
      <w:r>
        <w:rPr>
          <w:rFonts w:ascii="宋体" w:hAnsi="宋体" w:cs="宋体" w:eastAsia="宋体" w:hint="default"/>
        </w:rPr>
        <w:t>5</w:t>
      </w:r>
      <w:r>
        <w:rPr>
          <w:rFonts w:ascii="宋体" w:hAnsi="宋体" w:cs="宋体" w:eastAsia="宋体" w:hint="default"/>
          <w:spacing w:val="-44"/>
        </w:rPr>
        <w:t> </w:t>
      </w:r>
      <w:r>
        <w:rPr>
          <w:spacing w:val="-7"/>
        </w:rPr>
        <w:t>日发出“关于</w:t>
      </w:r>
      <w:r>
        <w:rPr>
          <w:spacing w:val="-42"/>
        </w:rPr>
        <w:t> </w:t>
      </w:r>
      <w:r>
        <w:rPr>
          <w:rFonts w:ascii="宋体" w:hAnsi="宋体" w:cs="宋体" w:eastAsia="宋体" w:hint="default"/>
        </w:rPr>
        <w:t>2015</w:t>
      </w:r>
      <w:r>
        <w:rPr>
          <w:rFonts w:ascii="宋体" w:hAnsi="宋体" w:cs="宋体" w:eastAsia="宋体" w:hint="default"/>
          <w:spacing w:val="-44"/>
        </w:rPr>
        <w:t> </w:t>
      </w:r>
      <w:r>
        <w:rPr>
          <w:spacing w:val="-4"/>
        </w:rPr>
        <w:t>年第一次临时股东大会增加临时提案的公告”，将上述临时提案增加</w:t>
      </w:r>
      <w:r>
        <w:rPr>
          <w:spacing w:val="-101"/>
        </w:rPr>
        <w:t> </w:t>
      </w:r>
      <w:r>
        <w:rPr>
          <w:spacing w:val="-101"/>
        </w:rPr>
      </w:r>
      <w:r>
        <w:rPr/>
        <w:t>至股东大会审议。</w:t>
      </w:r>
    </w:p>
    <w:p>
      <w:pPr>
        <w:spacing w:line="240" w:lineRule="auto" w:before="4"/>
        <w:rPr>
          <w:rFonts w:ascii="宋体" w:hAnsi="宋体" w:cs="宋体" w:eastAsia="宋体" w:hint="default"/>
          <w:sz w:val="23"/>
          <w:szCs w:val="23"/>
        </w:rPr>
      </w:pPr>
    </w:p>
    <w:p>
      <w:pPr>
        <w:pStyle w:val="Heading2"/>
        <w:spacing w:line="240" w:lineRule="auto" w:before="0"/>
        <w:ind w:left="238" w:right="0"/>
        <w:jc w:val="left"/>
        <w:rPr>
          <w:b w:val="0"/>
          <w:bCs w:val="0"/>
        </w:rPr>
      </w:pPr>
      <w:r>
        <w:rPr/>
        <w:t>三、董事履行职责情况</w:t>
      </w:r>
      <w:r>
        <w:rPr>
          <w:b w:val="0"/>
          <w:bCs w:val="0"/>
        </w:rPr>
      </w:r>
    </w:p>
    <w:p>
      <w:pPr>
        <w:pStyle w:val="Heading2"/>
        <w:spacing w:line="240" w:lineRule="auto" w:before="58"/>
        <w:ind w:left="2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2"/>
        <w:rPr>
          <w:rFonts w:ascii="宋体" w:hAnsi="宋体" w:cs="宋体" w:eastAsia="宋体" w:hint="default"/>
          <w:b/>
          <w:bCs/>
          <w:sz w:val="4"/>
          <w:szCs w:val="4"/>
        </w:rPr>
      </w:pPr>
    </w:p>
    <w:tbl>
      <w:tblPr>
        <w:tblW w:w="0" w:type="auto"/>
        <w:jc w:val="left"/>
        <w:tblInd w:w="11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83" w:hRule="exact"/>
        </w:trPr>
        <w:tc>
          <w:tcPr>
            <w:tcW w:w="979" w:type="dxa"/>
            <w:vMerge w:val="restart"/>
            <w:tcBorders>
              <w:top w:val="single" w:sz="12" w:space="0" w:color="000000"/>
              <w:left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left="264" w:right="269"/>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12"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left="100" w:right="96"/>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12" w:space="0" w:color="000000"/>
              <w:left w:val="single" w:sz="6" w:space="0" w:color="000000"/>
              <w:bottom w:val="single" w:sz="6" w:space="0" w:color="000000"/>
              <w:right w:val="single" w:sz="12" w:space="0" w:color="000000"/>
            </w:tcBorders>
          </w:tcPr>
          <w:p>
            <w:pPr>
              <w:pStyle w:val="TableParagraph"/>
              <w:spacing w:line="274" w:lineRule="exact" w:before="1"/>
              <w:ind w:left="201" w:right="192"/>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33" w:hRule="exact"/>
        </w:trPr>
        <w:tc>
          <w:tcPr>
            <w:tcW w:w="979" w:type="dxa"/>
            <w:vMerge/>
            <w:tcBorders>
              <w:left w:val="single" w:sz="12" w:space="0" w:color="000000"/>
              <w:bottom w:val="single" w:sz="6" w:space="0" w:color="000000"/>
              <w:right w:val="single" w:sz="6" w:space="0" w:color="000000"/>
            </w:tcBorders>
          </w:tcPr>
          <w:p>
            <w:pPr/>
          </w:p>
        </w:tc>
        <w:tc>
          <w:tcPr>
            <w:tcW w:w="847" w:type="dxa"/>
            <w:vMerge/>
            <w:tcBorders>
              <w:left w:val="single" w:sz="6" w:space="0" w:color="000000"/>
              <w:bottom w:val="single" w:sz="6" w:space="0" w:color="000000"/>
              <w:right w:val="single" w:sz="6" w:space="0" w:color="000000"/>
            </w:tcBorders>
          </w:tcPr>
          <w:p>
            <w:pP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1" w:right="118"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3" w:right="98"/>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0" w:right="159"/>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7" w:right="127"/>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1" w:right="204"/>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19" w:right="111"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5" w:right="192"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8" w:hRule="exact"/>
        </w:trPr>
        <w:tc>
          <w:tcPr>
            <w:tcW w:w="97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徐</w:t>
            </w:r>
            <w:r>
              <w:rPr>
                <w:rFonts w:ascii="宋体" w:hAnsi="宋体" w:cs="宋体" w:eastAsia="宋体" w:hint="default"/>
                <w:spacing w:val="2"/>
                <w:sz w:val="21"/>
                <w:szCs w:val="21"/>
              </w:rPr>
              <w:t> </w:t>
            </w:r>
            <w:r>
              <w:rPr>
                <w:rFonts w:ascii="宋体" w:hAnsi="宋体" w:cs="宋体" w:eastAsia="宋体" w:hint="default"/>
                <w:sz w:val="21"/>
                <w:szCs w:val="21"/>
              </w:rPr>
              <w:t>健</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w w:val="100"/>
                <w:sz w:val="21"/>
              </w:rPr>
              <w:t>1</w:t>
            </w:r>
          </w:p>
        </w:tc>
      </w:tr>
      <w:tr>
        <w:trPr>
          <w:trHeight w:val="288" w:hRule="exact"/>
        </w:trPr>
        <w:tc>
          <w:tcPr>
            <w:tcW w:w="97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孙明涛</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w w:val="100"/>
                <w:sz w:val="21"/>
              </w:rPr>
              <w:t>0</w:t>
            </w:r>
          </w:p>
        </w:tc>
      </w:tr>
      <w:tr>
        <w:trPr>
          <w:trHeight w:val="286" w:hRule="exact"/>
        </w:trPr>
        <w:tc>
          <w:tcPr>
            <w:tcW w:w="97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刘</w:t>
            </w:r>
            <w:r>
              <w:rPr>
                <w:rFonts w:ascii="宋体" w:hAnsi="宋体" w:cs="宋体" w:eastAsia="宋体" w:hint="default"/>
                <w:spacing w:val="2"/>
                <w:sz w:val="21"/>
                <w:szCs w:val="21"/>
              </w:rPr>
              <w:t> </w:t>
            </w:r>
            <w:r>
              <w:rPr>
                <w:rFonts w:ascii="宋体" w:hAnsi="宋体" w:cs="宋体" w:eastAsia="宋体" w:hint="default"/>
                <w:sz w:val="21"/>
                <w:szCs w:val="21"/>
              </w:rPr>
              <w:t>辉</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w w:val="100"/>
                <w:sz w:val="21"/>
              </w:rPr>
              <w:t>0</w:t>
            </w:r>
          </w:p>
        </w:tc>
      </w:tr>
      <w:tr>
        <w:trPr>
          <w:trHeight w:val="288" w:hRule="exact"/>
        </w:trPr>
        <w:tc>
          <w:tcPr>
            <w:tcW w:w="97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刘</w:t>
            </w:r>
            <w:r>
              <w:rPr>
                <w:rFonts w:ascii="宋体" w:hAnsi="宋体" w:cs="宋体" w:eastAsia="宋体" w:hint="default"/>
                <w:spacing w:val="2"/>
                <w:sz w:val="21"/>
                <w:szCs w:val="21"/>
              </w:rPr>
              <w:t> </w:t>
            </w:r>
            <w:r>
              <w:rPr>
                <w:rFonts w:ascii="宋体" w:hAnsi="宋体" w:cs="宋体" w:eastAsia="宋体" w:hint="default"/>
                <w:sz w:val="21"/>
                <w:szCs w:val="21"/>
              </w:rPr>
              <w:t>钧</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w w:val="100"/>
                <w:sz w:val="21"/>
              </w:rPr>
              <w:t>2</w:t>
            </w:r>
          </w:p>
        </w:tc>
      </w:tr>
      <w:tr>
        <w:trPr>
          <w:trHeight w:val="288" w:hRule="exact"/>
        </w:trPr>
        <w:tc>
          <w:tcPr>
            <w:tcW w:w="97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9</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9</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w w:val="100"/>
                <w:sz w:val="21"/>
              </w:rPr>
              <w:t>0</w:t>
            </w:r>
          </w:p>
        </w:tc>
      </w:tr>
      <w:tr>
        <w:trPr>
          <w:trHeight w:val="286" w:hRule="exact"/>
        </w:trPr>
        <w:tc>
          <w:tcPr>
            <w:tcW w:w="97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张惠泉</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6</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w w:val="100"/>
                <w:sz w:val="21"/>
              </w:rPr>
              <w:t>0</w:t>
            </w:r>
          </w:p>
        </w:tc>
      </w:tr>
      <w:tr>
        <w:trPr>
          <w:trHeight w:val="288" w:hRule="exact"/>
        </w:trPr>
        <w:tc>
          <w:tcPr>
            <w:tcW w:w="979"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21"/>
                <w:szCs w:val="21"/>
              </w:rPr>
            </w:pPr>
            <w:r>
              <w:rPr>
                <w:rFonts w:ascii="宋体" w:hAnsi="宋体" w:cs="宋体" w:eastAsia="宋体" w:hint="default"/>
                <w:sz w:val="21"/>
                <w:szCs w:val="21"/>
              </w:rPr>
              <w:t>鲍晨钦</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12</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10</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6" w:space="0" w:color="000000"/>
              <w:left w:val="single" w:sz="6" w:space="0" w:color="000000"/>
              <w:bottom w:val="single" w:sz="6" w:space="0" w:color="000000"/>
              <w:right w:val="single" w:sz="12" w:space="0" w:color="000000"/>
            </w:tcBorders>
          </w:tcPr>
          <w:p>
            <w:pPr>
              <w:pStyle w:val="TableParagraph"/>
              <w:spacing w:line="244" w:lineRule="exact"/>
              <w:ind w:right="91"/>
              <w:jc w:val="right"/>
              <w:rPr>
                <w:rFonts w:ascii="宋体" w:hAnsi="宋体" w:cs="宋体" w:eastAsia="宋体" w:hint="default"/>
                <w:sz w:val="21"/>
                <w:szCs w:val="21"/>
              </w:rPr>
            </w:pPr>
            <w:r>
              <w:rPr>
                <w:rFonts w:ascii="宋体"/>
                <w:w w:val="100"/>
                <w:sz w:val="21"/>
              </w:rPr>
              <w:t>0</w:t>
            </w:r>
          </w:p>
        </w:tc>
      </w:tr>
      <w:tr>
        <w:trPr>
          <w:trHeight w:val="288" w:hRule="exact"/>
        </w:trPr>
        <w:tc>
          <w:tcPr>
            <w:tcW w:w="97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迟宝璋</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w w:val="100"/>
                <w:sz w:val="21"/>
              </w:rPr>
              <w:t>0</w:t>
            </w:r>
          </w:p>
        </w:tc>
      </w:tr>
      <w:tr>
        <w:trPr>
          <w:trHeight w:val="288" w:hRule="exact"/>
        </w:trPr>
        <w:tc>
          <w:tcPr>
            <w:tcW w:w="97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李葛卫</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w w:val="100"/>
                <w:sz w:val="21"/>
              </w:rPr>
              <w:t>0</w:t>
            </w:r>
          </w:p>
        </w:tc>
      </w:tr>
      <w:tr>
        <w:trPr>
          <w:trHeight w:val="286" w:hRule="exact"/>
        </w:trPr>
        <w:tc>
          <w:tcPr>
            <w:tcW w:w="97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王君选</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w w:val="100"/>
                <w:sz w:val="21"/>
              </w:rPr>
              <w:t>1</w:t>
            </w:r>
          </w:p>
        </w:tc>
      </w:tr>
      <w:tr>
        <w:trPr>
          <w:trHeight w:val="288" w:hRule="exact"/>
        </w:trPr>
        <w:tc>
          <w:tcPr>
            <w:tcW w:w="979"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刘宁宇</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91"/>
              <w:jc w:val="right"/>
              <w:rPr>
                <w:rFonts w:ascii="宋体" w:hAnsi="宋体" w:cs="宋体" w:eastAsia="宋体" w:hint="default"/>
                <w:sz w:val="21"/>
                <w:szCs w:val="21"/>
              </w:rPr>
            </w:pPr>
            <w:r>
              <w:rPr>
                <w:rFonts w:ascii="宋体"/>
                <w:w w:val="100"/>
                <w:sz w:val="21"/>
              </w:rPr>
              <w:t>0</w:t>
            </w:r>
          </w:p>
        </w:tc>
      </w:tr>
      <w:tr>
        <w:trPr>
          <w:trHeight w:val="288" w:hRule="exact"/>
        </w:trPr>
        <w:tc>
          <w:tcPr>
            <w:tcW w:w="97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张宏伟</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2</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w w:val="100"/>
                <w:sz w:val="21"/>
              </w:rPr>
              <w:t>0</w:t>
            </w:r>
          </w:p>
        </w:tc>
      </w:tr>
      <w:tr>
        <w:trPr>
          <w:trHeight w:val="293" w:hRule="exact"/>
        </w:trPr>
        <w:tc>
          <w:tcPr>
            <w:tcW w:w="979"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张国峰</w:t>
            </w:r>
          </w:p>
        </w:tc>
        <w:tc>
          <w:tcPr>
            <w:tcW w:w="847"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5</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5</w:t>
            </w:r>
          </w:p>
        </w:tc>
        <w:tc>
          <w:tcPr>
            <w:tcW w:w="97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c>
          <w:tcPr>
            <w:tcW w:w="90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4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w w:val="100"/>
                <w:sz w:val="21"/>
              </w:rPr>
              <w:t>0</w:t>
            </w:r>
          </w:p>
        </w:tc>
      </w:tr>
    </w:tbl>
    <w:p>
      <w:pPr>
        <w:spacing w:line="240" w:lineRule="auto" w:before="7"/>
        <w:rPr>
          <w:rFonts w:ascii="宋体" w:hAnsi="宋体" w:cs="宋体" w:eastAsia="宋体" w:hint="default"/>
          <w:b/>
          <w:bCs/>
          <w:sz w:val="15"/>
          <w:szCs w:val="15"/>
        </w:rPr>
      </w:pPr>
    </w:p>
    <w:p>
      <w:pPr>
        <w:pStyle w:val="BodyText"/>
        <w:spacing w:line="240" w:lineRule="auto" w:before="36"/>
        <w:ind w:left="238" w:right="0"/>
        <w:jc w:val="left"/>
      </w:pPr>
      <w:r>
        <w:rPr/>
        <w:t>连续两次未亲自出席董事会会议的说明</w:t>
      </w:r>
      <w:r>
        <w:rPr>
          <w:w w:val="100"/>
        </w:rPr>
        <w:t> </w:t>
      </w:r>
      <w:r>
        <w:rPr>
          <w:spacing w:val="-2"/>
        </w:rPr>
        <w:t>报告期内，未发生董事连续两次未亲自参加董事会会议的情况。</w:t>
      </w:r>
    </w:p>
    <w:p>
      <w:pPr>
        <w:spacing w:line="240" w:lineRule="auto" w:before="3"/>
        <w:rPr>
          <w:rFonts w:ascii="宋体" w:hAnsi="宋体" w:cs="宋体" w:eastAsia="宋体" w:hint="default"/>
          <w:sz w:val="23"/>
          <w:szCs w:val="23"/>
        </w:rPr>
      </w:pPr>
    </w:p>
    <w:tbl>
      <w:tblPr>
        <w:tblW w:w="0" w:type="auto"/>
        <w:jc w:val="left"/>
        <w:tblInd w:w="115" w:type="dxa"/>
        <w:tblLayout w:type="fixed"/>
        <w:tblCellMar>
          <w:top w:w="0" w:type="dxa"/>
          <w:left w:w="0" w:type="dxa"/>
          <w:bottom w:w="0" w:type="dxa"/>
          <w:right w:w="0" w:type="dxa"/>
        </w:tblCellMar>
        <w:tblLook w:val="01E0"/>
      </w:tblPr>
      <w:tblGrid>
        <w:gridCol w:w="4525"/>
        <w:gridCol w:w="4525"/>
      </w:tblGrid>
      <w:tr>
        <w:trPr>
          <w:trHeight w:val="296" w:hRule="exact"/>
        </w:trPr>
        <w:tc>
          <w:tcPr>
            <w:tcW w:w="4525"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12</w:t>
            </w:r>
          </w:p>
        </w:tc>
      </w:tr>
      <w:tr>
        <w:trPr>
          <w:trHeight w:val="288"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2</w:t>
            </w:r>
          </w:p>
        </w:tc>
      </w:tr>
      <w:tr>
        <w:trPr>
          <w:trHeight w:val="286"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w:t>
            </w:r>
          </w:p>
        </w:tc>
      </w:tr>
      <w:tr>
        <w:trPr>
          <w:trHeight w:val="295" w:hRule="exact"/>
        </w:trPr>
        <w:tc>
          <w:tcPr>
            <w:tcW w:w="4525" w:type="dxa"/>
            <w:tcBorders>
              <w:top w:val="single" w:sz="6" w:space="0" w:color="000000"/>
              <w:left w:val="single" w:sz="12" w:space="0" w:color="000000"/>
              <w:bottom w:val="single" w:sz="12"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6" w:space="0" w:color="000000"/>
              <w:left w:val="single" w:sz="6" w:space="0" w:color="000000"/>
              <w:bottom w:val="single" w:sz="12"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0</w:t>
            </w:r>
          </w:p>
        </w:tc>
      </w:tr>
    </w:tbl>
    <w:p>
      <w:pPr>
        <w:spacing w:line="240" w:lineRule="auto" w:before="2"/>
        <w:rPr>
          <w:rFonts w:ascii="宋体" w:hAnsi="宋体" w:cs="宋体" w:eastAsia="宋体" w:hint="default"/>
          <w:sz w:val="20"/>
          <w:szCs w:val="20"/>
        </w:rPr>
      </w:pPr>
    </w:p>
    <w:p>
      <w:pPr>
        <w:spacing w:line="266" w:lineRule="auto" w:before="36"/>
        <w:ind w:left="238" w:right="4849"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5"/>
          <w:sz w:val="21"/>
          <w:szCs w:val="21"/>
        </w:rPr>
        <w:t> </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100"/>
          <w:sz w:val="21"/>
          <w:szCs w:val="21"/>
        </w:rPr>
        <w:t> </w:t>
      </w:r>
      <w:r>
        <w:rPr>
          <w:rFonts w:ascii="宋体" w:hAnsi="宋体" w:cs="宋体" w:eastAsia="宋体" w:hint="default"/>
          <w:sz w:val="21"/>
          <w:szCs w:val="21"/>
        </w:rPr>
        <w:t>独立董事对公司有关事项提出异议的说明</w:t>
      </w:r>
    </w:p>
    <w:p>
      <w:pPr>
        <w:pStyle w:val="BodyText"/>
        <w:spacing w:line="272" w:lineRule="exact" w:before="1"/>
        <w:ind w:left="238" w:right="0" w:firstLine="419"/>
        <w:jc w:val="left"/>
      </w:pPr>
      <w:r>
        <w:rPr>
          <w:spacing w:val="-2"/>
        </w:rPr>
        <w:t>报告期内，公司各位独立董事勤勉尽责，认真审议董事会及董事会专门委员会的各项议案，</w:t>
      </w:r>
      <w:r>
        <w:rPr>
          <w:w w:val="100"/>
        </w:rPr>
        <w:t> </w:t>
      </w:r>
      <w:r>
        <w:rPr/>
        <w:t>公正、客观地发表独立意见，未对公司董事会审议事项提出异议。</w:t>
      </w:r>
    </w:p>
    <w:p>
      <w:pPr>
        <w:spacing w:after="0" w:line="272" w:lineRule="exact"/>
        <w:jc w:val="left"/>
        <w:sectPr>
          <w:pgSz w:w="11910" w:h="16840"/>
          <w:pgMar w:header="877" w:footer="1195" w:top="1100" w:bottom="1380" w:left="1560" w:right="1020"/>
        </w:sectPr>
      </w:pPr>
    </w:p>
    <w:p>
      <w:pPr>
        <w:spacing w:line="240" w:lineRule="auto" w:before="9"/>
        <w:rPr>
          <w:rFonts w:ascii="宋体" w:hAnsi="宋体" w:cs="宋体" w:eastAsia="宋体" w:hint="default"/>
          <w:sz w:val="25"/>
          <w:szCs w:val="25"/>
        </w:rPr>
      </w:pPr>
    </w:p>
    <w:p>
      <w:pPr>
        <w:pStyle w:val="Heading2"/>
        <w:spacing w:line="240" w:lineRule="auto"/>
        <w:ind w:left="562" w:right="68"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spacing w:line="240" w:lineRule="auto" w:before="56"/>
        <w:ind w:right="68" w:firstLine="479"/>
        <w:jc w:val="left"/>
      </w:pPr>
      <w:r>
        <w:rPr/>
        <w:t>报告期内，公司董事会下设的战略委员会、审计委员会、薪酬与考核委员会和提名委员会。</w:t>
      </w:r>
      <w:r>
        <w:rPr>
          <w:w w:val="100"/>
        </w:rPr>
        <w:t> </w:t>
      </w:r>
      <w:r>
        <w:rPr/>
        <w:t>各专门委员会在履行职责时对相关议案进行了认真审阅，并郑重发表了意见，未提出其他异议。</w:t>
      </w:r>
    </w:p>
    <w:p>
      <w:pPr>
        <w:pStyle w:val="BodyText"/>
        <w:spacing w:line="274" w:lineRule="exact" w:before="22"/>
        <w:ind w:left="558" w:right="68"/>
        <w:jc w:val="left"/>
      </w:pPr>
      <w:r>
        <w:rPr/>
        <w:t>报告期内主要履职情况如下：</w:t>
      </w:r>
      <w:r>
        <w:rPr>
          <w:w w:val="100"/>
        </w:rPr>
        <w:t> </w:t>
      </w:r>
      <w:r>
        <w:rPr>
          <w:rFonts w:ascii="宋体" w:hAnsi="宋体" w:cs="宋体" w:eastAsia="宋体" w:hint="default"/>
          <w:spacing w:val="-4"/>
        </w:rPr>
        <w:t>1</w:t>
      </w:r>
      <w:r>
        <w:rPr>
          <w:spacing w:val="-4"/>
        </w:rPr>
        <w:t>、董事会战略委员会根据公司发展战略，客观分析所处的行业环境和政策变化，对公司发展</w:t>
      </w:r>
    </w:p>
    <w:p>
      <w:pPr>
        <w:pStyle w:val="BodyText"/>
        <w:spacing w:line="245" w:lineRule="exact"/>
        <w:ind w:right="68"/>
        <w:jc w:val="left"/>
      </w:pPr>
      <w:r>
        <w:rPr/>
        <w:t>方向和思路提出了建设性意见，对重大投资、计划指标调整提出了具体要求和建议；</w:t>
      </w:r>
    </w:p>
    <w:p>
      <w:pPr>
        <w:pStyle w:val="BodyText"/>
        <w:spacing w:line="237" w:lineRule="auto" w:before="2"/>
        <w:ind w:right="208" w:firstLine="419"/>
        <w:jc w:val="both"/>
      </w:pPr>
      <w:r>
        <w:rPr>
          <w:rFonts w:ascii="宋体" w:hAnsi="宋体" w:cs="宋体" w:eastAsia="宋体" w:hint="default"/>
          <w:spacing w:val="-4"/>
        </w:rPr>
        <w:t>2</w:t>
      </w:r>
      <w:r>
        <w:rPr>
          <w:spacing w:val="-4"/>
        </w:rPr>
        <w:t>、董事会审计委员会按照《董事会审计委员会工作细则》的有关要求，对报告期内定期报告</w:t>
      </w:r>
      <w:r>
        <w:rPr>
          <w:w w:val="100"/>
        </w:rPr>
        <w:t> </w:t>
      </w:r>
      <w:r>
        <w:rPr>
          <w:spacing w:val="-2"/>
        </w:rPr>
        <w:t>进行了认真审议和讨论，并对公司更换会计师事务所、关联交易等事项进行了重点审议，发表了</w:t>
      </w:r>
      <w:r>
        <w:rPr>
          <w:spacing w:val="-25"/>
        </w:rPr>
        <w:t> </w:t>
      </w:r>
      <w:r>
        <w:rPr>
          <w:spacing w:val="-25"/>
        </w:rPr>
      </w:r>
      <w:r>
        <w:rPr>
          <w:spacing w:val="-2"/>
        </w:rPr>
        <w:t>专业意见。就公司年度审计有关事项、与公司管理层、年报编制人员及年审会计师事务所讨论与</w:t>
      </w:r>
      <w:r>
        <w:rPr>
          <w:spacing w:val="-27"/>
        </w:rPr>
        <w:t> </w:t>
      </w:r>
      <w:r>
        <w:rPr>
          <w:spacing w:val="-27"/>
        </w:rPr>
      </w:r>
      <w:r>
        <w:rPr/>
        <w:t>沟通，确定了年报审计工作安排；在年报审计过程中，实时跟进，确保公司年报编制规范。</w:t>
      </w:r>
    </w:p>
    <w:p>
      <w:pPr>
        <w:pStyle w:val="BodyText"/>
        <w:spacing w:line="237" w:lineRule="auto" w:before="1"/>
        <w:ind w:right="68" w:firstLine="419"/>
        <w:jc w:val="left"/>
      </w:pPr>
      <w:r>
        <w:rPr>
          <w:rFonts w:ascii="宋体" w:hAnsi="宋体" w:cs="宋体" w:eastAsia="宋体" w:hint="default"/>
          <w:spacing w:val="-2"/>
        </w:rPr>
        <w:t>3</w:t>
      </w:r>
      <w:r>
        <w:rPr>
          <w:spacing w:val="-2"/>
        </w:rPr>
        <w:t>、薪酬与考核委员会根据《高级管理人员薪酬与考核制度》，结合公司</w:t>
      </w:r>
      <w:r>
        <w:rPr>
          <w:rFonts w:ascii="宋体" w:hAnsi="宋体" w:cs="宋体" w:eastAsia="宋体" w:hint="default"/>
          <w:spacing w:val="-2"/>
        </w:rPr>
        <w:t>2015</w:t>
      </w:r>
      <w:r>
        <w:rPr>
          <w:spacing w:val="-2"/>
        </w:rPr>
        <w:t>年度经营情况，</w:t>
      </w:r>
      <w:r>
        <w:rPr>
          <w:w w:val="100"/>
        </w:rPr>
        <w:t> </w:t>
      </w:r>
      <w:r>
        <w:rPr/>
        <w:t>对公司高级管理人员的《</w:t>
      </w:r>
      <w:r>
        <w:rPr>
          <w:rFonts w:ascii="宋体" w:hAnsi="宋体" w:cs="宋体" w:eastAsia="宋体" w:hint="default"/>
        </w:rPr>
        <w:t>2015</w:t>
      </w:r>
      <w:r>
        <w:rPr/>
        <w:t>年度目标责任书》完成及履职情况进行考核，对《公司</w:t>
      </w:r>
      <w:r>
        <w:rPr>
          <w:rFonts w:ascii="宋体" w:hAnsi="宋体" w:cs="宋体" w:eastAsia="宋体" w:hint="default"/>
        </w:rPr>
        <w:t>2016</w:t>
      </w:r>
      <w:r>
        <w:rPr/>
        <w:t>年度目</w:t>
      </w:r>
      <w:r>
        <w:rPr>
          <w:w w:val="100"/>
        </w:rPr>
        <w:t> </w:t>
      </w:r>
      <w:r>
        <w:rPr/>
        <w:t>标责任书》和《</w:t>
      </w:r>
      <w:r>
        <w:rPr>
          <w:rFonts w:ascii="宋体" w:hAnsi="宋体" w:cs="宋体" w:eastAsia="宋体" w:hint="default"/>
        </w:rPr>
        <w:t>2016</w:t>
      </w:r>
      <w:r>
        <w:rPr/>
        <w:t>年度高级管理人员薪酬方案》进行了审议。</w:t>
      </w:r>
    </w:p>
    <w:p>
      <w:pPr>
        <w:pStyle w:val="BodyText"/>
        <w:spacing w:line="274" w:lineRule="exact" w:before="22"/>
        <w:ind w:right="68" w:firstLine="419"/>
        <w:jc w:val="left"/>
      </w:pPr>
      <w:r>
        <w:rPr>
          <w:rFonts w:ascii="宋体" w:hAnsi="宋体" w:cs="宋体" w:eastAsia="宋体" w:hint="default"/>
          <w:spacing w:val="-4"/>
        </w:rPr>
        <w:t>4</w:t>
      </w:r>
      <w:r>
        <w:rPr>
          <w:spacing w:val="-4"/>
        </w:rPr>
        <w:t>．提名委员会分别就更换董事和高管人选事项进行了审议，对被提名人的资质情况进行了认</w:t>
      </w:r>
      <w:r>
        <w:rPr>
          <w:w w:val="100"/>
        </w:rPr>
        <w:t> </w:t>
      </w:r>
      <w:r>
        <w:rPr/>
        <w:t>真负责的审议与讨论，并出具了审查意见。</w:t>
      </w:r>
    </w:p>
    <w:p>
      <w:pPr>
        <w:spacing w:line="240" w:lineRule="auto" w:before="4"/>
        <w:rPr>
          <w:rFonts w:ascii="宋体" w:hAnsi="宋体" w:cs="宋体" w:eastAsia="宋体" w:hint="default"/>
          <w:sz w:val="23"/>
          <w:szCs w:val="23"/>
        </w:rPr>
      </w:pPr>
    </w:p>
    <w:p>
      <w:pPr>
        <w:spacing w:line="290" w:lineRule="auto" w:before="0"/>
        <w:ind w:left="558" w:right="2159" w:hanging="420"/>
        <w:jc w:val="left"/>
        <w:rPr>
          <w:rFonts w:ascii="宋体" w:hAnsi="宋体" w:cs="宋体" w:eastAsia="宋体" w:hint="default"/>
          <w:sz w:val="21"/>
          <w:szCs w:val="21"/>
        </w:rPr>
      </w:pPr>
      <w:r>
        <w:rPr>
          <w:rFonts w:ascii="宋体" w:hAnsi="宋体" w:cs="宋体" w:eastAsia="宋体" w:hint="default"/>
          <w:b/>
          <w:bCs/>
          <w:sz w:val="21"/>
          <w:szCs w:val="21"/>
        </w:rPr>
        <w:t>五、监事会发现公司存在风险的说明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监事会对报告期内的监督事项无异议。</w:t>
      </w:r>
    </w:p>
    <w:p>
      <w:pPr>
        <w:spacing w:line="240" w:lineRule="auto" w:before="13"/>
        <w:rPr>
          <w:rFonts w:ascii="宋体" w:hAnsi="宋体" w:cs="宋体" w:eastAsia="宋体" w:hint="default"/>
          <w:sz w:val="23"/>
          <w:szCs w:val="23"/>
        </w:rPr>
      </w:pPr>
    </w:p>
    <w:p>
      <w:pPr>
        <w:pStyle w:val="Heading2"/>
        <w:spacing w:line="272" w:lineRule="exact" w:before="0"/>
        <w:ind w:left="558" w:right="68" w:hanging="420"/>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spacing w:line="272" w:lineRule="exact" w:before="61"/>
        <w:ind w:right="68" w:firstLine="419"/>
        <w:jc w:val="left"/>
      </w:pPr>
      <w:r>
        <w:rPr>
          <w:spacing w:val="-2"/>
        </w:rPr>
        <w:t>公司目前不存在控股股东，公司与主要股东在业务、人员、资产、机构、财务等方面不存在</w:t>
      </w:r>
      <w:r>
        <w:rPr>
          <w:w w:val="100"/>
        </w:rPr>
        <w:t> </w:t>
      </w:r>
      <w:r>
        <w:rPr/>
        <w:t>不能保证独立性、不能保持自主经营能力的情况。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line="290" w:lineRule="auto" w:before="0"/>
        <w:ind w:left="558" w:right="68" w:hanging="420"/>
        <w:jc w:val="left"/>
        <w:rPr>
          <w:rFonts w:ascii="宋体" w:hAnsi="宋体" w:cs="宋体" w:eastAsia="宋体" w:hint="default"/>
          <w:sz w:val="21"/>
          <w:szCs w:val="21"/>
        </w:rPr>
      </w:pPr>
      <w:r>
        <w:rPr>
          <w:rFonts w:ascii="宋体" w:hAnsi="宋体" w:cs="宋体" w:eastAsia="宋体" w:hint="default"/>
          <w:b/>
          <w:bCs/>
          <w:sz w:val="21"/>
          <w:szCs w:val="21"/>
        </w:rPr>
        <w:t>七、报告期内对高级管理人员的考评机制，以及激励机制的建立、实施情况</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公司已经建立了全员绩效考评机制，对高级管理人员实施年度目标责任考核。董事会下设薪</w:t>
      </w:r>
    </w:p>
    <w:p>
      <w:pPr>
        <w:pStyle w:val="BodyText"/>
        <w:spacing w:line="228" w:lineRule="exact"/>
        <w:ind w:right="68"/>
        <w:jc w:val="left"/>
      </w:pPr>
      <w:r>
        <w:rPr/>
        <w:t>酬与考核委员会，严格按照《薪酬与考核委员会工作细则》和《公司高级管理人员薪酬与考核制</w:t>
      </w:r>
    </w:p>
    <w:p>
      <w:pPr>
        <w:pStyle w:val="BodyText"/>
        <w:spacing w:line="237" w:lineRule="auto"/>
        <w:ind w:right="217"/>
        <w:jc w:val="both"/>
      </w:pPr>
      <w:r>
        <w:rPr/>
        <w:t>度》 的有关规定，对 </w:t>
      </w:r>
      <w:r>
        <w:rPr>
          <w:rFonts w:ascii="宋体" w:hAnsi="宋体" w:cs="宋体" w:eastAsia="宋体" w:hint="default"/>
        </w:rPr>
        <w:t>2015 </w:t>
      </w:r>
      <w:r>
        <w:rPr/>
        <w:t>年度公司高级管理人员各自分管的《</w:t>
      </w:r>
      <w:r>
        <w:rPr>
          <w:rFonts w:ascii="宋体" w:hAnsi="宋体" w:cs="宋体" w:eastAsia="宋体" w:hint="default"/>
        </w:rPr>
        <w:t>2015</w:t>
      </w:r>
      <w:r>
        <w:rPr>
          <w:rFonts w:ascii="宋体" w:hAnsi="宋体" w:cs="宋体" w:eastAsia="宋体" w:hint="default"/>
          <w:spacing w:val="-63"/>
        </w:rPr>
        <w:t> </w:t>
      </w:r>
      <w:r>
        <w:rPr/>
        <w:t>年度目标责任书》的工作</w:t>
      </w:r>
      <w:r>
        <w:rPr>
          <w:w w:val="100"/>
        </w:rPr>
        <w:t> </w:t>
      </w:r>
      <w:r>
        <w:rPr>
          <w:spacing w:val="-2"/>
        </w:rPr>
        <w:t>完成情况进行考评，监事会参与审议高管人员述职报告，并参与打分评议，结合高管个人互评综</w:t>
      </w:r>
      <w:r>
        <w:rPr>
          <w:spacing w:val="-25"/>
        </w:rPr>
        <w:t> </w:t>
      </w:r>
      <w:r>
        <w:rPr>
          <w:spacing w:val="-25"/>
        </w:rPr>
      </w:r>
      <w:r>
        <w:rPr>
          <w:spacing w:val="-2"/>
        </w:rPr>
        <w:t>合形成年度个人考核得分，报请董事会审批，以此作为年度薪酬计算标准和发放依据。公司目前</w:t>
      </w:r>
      <w:r>
        <w:rPr>
          <w:spacing w:val="-24"/>
        </w:rPr>
        <w:t> </w:t>
      </w:r>
      <w:r>
        <w:rPr>
          <w:spacing w:val="-24"/>
        </w:rPr>
      </w:r>
      <w:r>
        <w:rPr/>
        <w:t>尚未制定高级管理人员的长期激励机制。</w:t>
      </w:r>
    </w:p>
    <w:p>
      <w:pPr>
        <w:spacing w:line="240" w:lineRule="auto" w:before="4"/>
        <w:rPr>
          <w:rFonts w:ascii="宋体" w:hAnsi="宋体" w:cs="宋体" w:eastAsia="宋体" w:hint="default"/>
          <w:sz w:val="25"/>
          <w:szCs w:val="25"/>
        </w:rPr>
      </w:pPr>
    </w:p>
    <w:p>
      <w:pPr>
        <w:pStyle w:val="Heading2"/>
        <w:spacing w:line="240" w:lineRule="auto" w:before="0"/>
        <w:ind w:left="138" w:right="68"/>
        <w:jc w:val="left"/>
        <w:rPr>
          <w:b w:val="0"/>
          <w:bCs w:val="0"/>
        </w:rPr>
      </w:pPr>
      <w:r>
        <w:rPr/>
        <w:t>八、是否披露内部控制自我评价报告</w:t>
      </w:r>
      <w:r>
        <w:rPr>
          <w:b w:val="0"/>
          <w:bCs w:val="0"/>
        </w:rPr>
      </w:r>
    </w:p>
    <w:p>
      <w:pPr>
        <w:pStyle w:val="BodyText"/>
        <w:spacing w:line="274" w:lineRule="exact" w:before="56"/>
        <w:ind w:right="68"/>
        <w:jc w:val="left"/>
      </w:pPr>
      <w:r>
        <w:rPr/>
        <w:t>√适用</w:t>
      </w:r>
      <w:r>
        <w:rPr>
          <w:spacing w:val="-1"/>
        </w:rPr>
        <w:t> </w:t>
      </w:r>
      <w:r>
        <w:rPr/>
        <w:t>□不适用</w:t>
      </w:r>
    </w:p>
    <w:p>
      <w:pPr>
        <w:pStyle w:val="BodyText"/>
        <w:spacing w:line="272" w:lineRule="exact" w:before="27"/>
        <w:ind w:right="740" w:firstLine="419"/>
        <w:jc w:val="left"/>
      </w:pPr>
      <w:r>
        <w:rPr/>
        <w:t>公司 </w:t>
      </w:r>
      <w:r>
        <w:rPr>
          <w:rFonts w:ascii="宋体" w:hAnsi="宋体" w:cs="宋体" w:eastAsia="宋体" w:hint="default"/>
        </w:rPr>
        <w:t>2015 </w:t>
      </w:r>
      <w:r>
        <w:rPr/>
        <w:t>年度内部控制自我评价报告详见 </w:t>
      </w:r>
      <w:r>
        <w:rPr>
          <w:rFonts w:ascii="宋体" w:hAnsi="宋体" w:cs="宋体" w:eastAsia="宋体" w:hint="default"/>
        </w:rPr>
        <w:t>2016 </w:t>
      </w:r>
      <w:r>
        <w:rPr/>
        <w:t>年 </w:t>
      </w:r>
      <w:r>
        <w:rPr>
          <w:rFonts w:ascii="宋体" w:hAnsi="宋体" w:cs="宋体" w:eastAsia="宋体" w:hint="default"/>
        </w:rPr>
        <w:t>4 </w:t>
      </w:r>
      <w:r>
        <w:rPr/>
        <w:t>月 </w:t>
      </w:r>
      <w:r>
        <w:rPr>
          <w:rFonts w:ascii="宋体" w:hAnsi="宋体" w:cs="宋体" w:eastAsia="宋体" w:hint="default"/>
        </w:rPr>
        <w:t>19</w:t>
      </w:r>
      <w:r>
        <w:rPr>
          <w:rFonts w:ascii="宋体" w:hAnsi="宋体" w:cs="宋体" w:eastAsia="宋体" w:hint="default"/>
          <w:spacing w:val="-6"/>
        </w:rPr>
        <w:t> </w:t>
      </w:r>
      <w:r>
        <w:rPr/>
        <w:t>日上海证券交易所网站</w:t>
      </w:r>
      <w:r>
        <w:rPr>
          <w:w w:val="100"/>
        </w:rPr>
        <w:t> </w:t>
      </w:r>
      <w:hyperlink r:id="rId10">
        <w:r>
          <w:rPr>
            <w:rFonts w:ascii="宋体" w:hAnsi="宋体" w:cs="宋体" w:eastAsia="宋体" w:hint="default"/>
          </w:rPr>
          <w:t>www.sse.com.cn</w:t>
        </w:r>
      </w:hyperlink>
      <w:r>
        <w:rPr/>
        <w:t>。</w:t>
      </w:r>
    </w:p>
    <w:p>
      <w:pPr>
        <w:spacing w:line="240" w:lineRule="auto" w:before="10"/>
        <w:rPr>
          <w:rFonts w:ascii="宋体" w:hAnsi="宋体" w:cs="宋体" w:eastAsia="宋体" w:hint="default"/>
          <w:sz w:val="18"/>
          <w:szCs w:val="18"/>
        </w:rPr>
      </w:pPr>
    </w:p>
    <w:p>
      <w:pPr>
        <w:pStyle w:val="BodyText"/>
        <w:spacing w:line="273" w:lineRule="exact"/>
        <w:ind w:right="68"/>
        <w:jc w:val="left"/>
      </w:pPr>
      <w:r>
        <w:rPr/>
        <w:t>报告期内部控制存在重大缺陷情况的说明</w:t>
      </w:r>
    </w:p>
    <w:p>
      <w:pPr>
        <w:pStyle w:val="BodyText"/>
        <w:spacing w:line="273" w:lineRule="exact"/>
        <w:ind w:right="6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558" w:right="68" w:hanging="420"/>
        <w:jc w:val="left"/>
        <w:rPr>
          <w:rFonts w:ascii="宋体" w:hAnsi="宋体" w:cs="宋体" w:eastAsia="宋体" w:hint="default"/>
          <w:sz w:val="21"/>
          <w:szCs w:val="21"/>
        </w:rPr>
      </w:pPr>
      <w:r>
        <w:rPr>
          <w:rFonts w:ascii="宋体" w:hAnsi="宋体" w:cs="宋体" w:eastAsia="宋体" w:hint="default"/>
          <w:b/>
          <w:bCs/>
          <w:sz w:val="21"/>
          <w:szCs w:val="21"/>
        </w:rPr>
        <w:t>九、内部控制审计报告的相关情况说明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公司内部控制审计机构致同会计师事务所（特殊普通合伙）为公司出具了标准无保留意见的</w:t>
      </w:r>
    </w:p>
    <w:p>
      <w:pPr>
        <w:pStyle w:val="BodyText"/>
        <w:spacing w:line="227" w:lineRule="exact"/>
        <w:ind w:right="68"/>
        <w:jc w:val="left"/>
      </w:pPr>
      <w:r>
        <w:rPr/>
        <w:t>内部控制审计报告。报告详见 </w:t>
      </w:r>
      <w:r>
        <w:rPr>
          <w:rFonts w:ascii="宋体" w:hAnsi="宋体" w:cs="宋体" w:eastAsia="宋体" w:hint="default"/>
        </w:rPr>
        <w:t>2016 </w:t>
      </w:r>
      <w:r>
        <w:rPr/>
        <w:t>年 </w:t>
      </w:r>
      <w:r>
        <w:rPr>
          <w:rFonts w:ascii="宋体" w:hAnsi="宋体" w:cs="宋体" w:eastAsia="宋体" w:hint="default"/>
        </w:rPr>
        <w:t>4 </w:t>
      </w:r>
      <w:r>
        <w:rPr/>
        <w:t>月 </w:t>
      </w:r>
      <w:r>
        <w:rPr>
          <w:rFonts w:ascii="宋体" w:hAnsi="宋体" w:cs="宋体" w:eastAsia="宋体" w:hint="default"/>
        </w:rPr>
        <w:t>19 </w:t>
      </w:r>
      <w:r>
        <w:rPr/>
        <w:t>日上海证券交易所网站</w:t>
      </w:r>
      <w:r>
        <w:rPr>
          <w:spacing w:val="-7"/>
        </w:rPr>
        <w:t> </w:t>
      </w:r>
      <w:hyperlink r:id="rId10">
        <w:r>
          <w:rPr>
            <w:rFonts w:ascii="宋体" w:hAnsi="宋体" w:cs="宋体" w:eastAsia="宋体" w:hint="default"/>
          </w:rPr>
          <w:t>www.sse.com.cn</w:t>
        </w:r>
      </w:hyperlink>
      <w:r>
        <w:rPr/>
        <w:t>。</w:t>
      </w:r>
    </w:p>
    <w:p>
      <w:pPr>
        <w:pStyle w:val="BodyText"/>
        <w:spacing w:line="274" w:lineRule="exact"/>
        <w:ind w:right="68"/>
        <w:jc w:val="left"/>
      </w:pPr>
      <w:r>
        <w:rPr/>
        <w:t>是否披露内部控制审计报告：是</w:t>
      </w:r>
    </w:p>
    <w:p>
      <w:pPr>
        <w:spacing w:after="0" w:line="274" w:lineRule="exact"/>
        <w:jc w:val="left"/>
        <w:sectPr>
          <w:pgSz w:w="11910" w:h="16840"/>
          <w:pgMar w:header="877" w:footer="1195" w:top="110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060" w:val="left" w:leader="none"/>
        </w:tabs>
        <w:spacing w:line="240" w:lineRule="auto" w:before="167"/>
        <w:ind w:left="280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right="0"/>
        <w:jc w:val="left"/>
      </w:pPr>
      <w:r>
        <w:rPr/>
        <w:t>□适用</w:t>
      </w:r>
      <w:r>
        <w:rPr>
          <w:spacing w:val="-1"/>
        </w:rPr>
        <w:t> </w:t>
      </w:r>
      <w:r>
        <w:rPr/>
        <w:t>√不适用</w:t>
      </w:r>
    </w:p>
    <w:p>
      <w:pPr>
        <w:spacing w:after="0" w:line="240"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pStyle w:val="Heading1"/>
        <w:spacing w:line="240" w:lineRule="auto" w:before="155"/>
        <w:ind w:left="3342" w:right="3340"/>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660" w:right="1140"/>
        </w:sectPr>
      </w:pPr>
    </w:p>
    <w:p>
      <w:pPr>
        <w:pStyle w:val="Heading2"/>
        <w:spacing w:line="240" w:lineRule="auto"/>
        <w:ind w:left="138" w:right="-2"/>
        <w:jc w:val="left"/>
        <w:rPr>
          <w:b w:val="0"/>
          <w:bCs w:val="0"/>
        </w:rPr>
      </w:pPr>
      <w:r>
        <w:rPr/>
        <w:t>一、审计报告</w:t>
      </w:r>
      <w:r>
        <w:rPr>
          <w:b w:val="0"/>
          <w:bCs w:val="0"/>
        </w:rPr>
      </w:r>
    </w:p>
    <w:p>
      <w:pPr>
        <w:pStyle w:val="BodyText"/>
        <w:spacing w:line="240" w:lineRule="auto" w:before="58"/>
        <w:ind w:right="-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240" w:lineRule="auto" w:before="0"/>
        <w:ind w:left="138" w:right="-2"/>
        <w:jc w:val="left"/>
        <w:rPr>
          <w:b w:val="0"/>
          <w:bCs w:val="0"/>
        </w:rPr>
      </w:pPr>
      <w:r>
        <w:rPr>
          <w:spacing w:val="6"/>
        </w:rPr>
        <w:t>锦州港股份有限公司全体股东：</w:t>
      </w:r>
      <w:r>
        <w:rPr>
          <w:b w:val="0"/>
          <w:bCs w:val="0"/>
          <w:spacing w:val="6"/>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9"/>
        <w:rPr>
          <w:rFonts w:ascii="宋体" w:hAnsi="宋体" w:cs="宋体" w:eastAsia="宋体" w:hint="default"/>
          <w:b/>
          <w:bCs/>
          <w:sz w:val="26"/>
          <w:szCs w:val="26"/>
        </w:rPr>
      </w:pPr>
    </w:p>
    <w:p>
      <w:pPr>
        <w:spacing w:before="0"/>
        <w:ind w:left="138" w:right="0" w:firstLine="0"/>
        <w:jc w:val="left"/>
        <w:rPr>
          <w:rFonts w:ascii="宋体" w:hAnsi="宋体" w:cs="宋体" w:eastAsia="宋体" w:hint="default"/>
          <w:sz w:val="24"/>
          <w:szCs w:val="24"/>
        </w:rPr>
      </w:pPr>
      <w:r>
        <w:rPr>
          <w:rFonts w:ascii="宋体" w:hAnsi="宋体" w:cs="宋体" w:eastAsia="宋体" w:hint="default"/>
          <w:spacing w:val="2"/>
          <w:sz w:val="24"/>
          <w:szCs w:val="24"/>
        </w:rPr>
        <w:t>致同审字（</w:t>
      </w:r>
      <w:r>
        <w:rPr>
          <w:rFonts w:ascii="宋体" w:hAnsi="宋体" w:cs="宋体" w:eastAsia="宋体" w:hint="default"/>
          <w:spacing w:val="2"/>
          <w:sz w:val="24"/>
          <w:szCs w:val="24"/>
        </w:rPr>
        <w:t>2016</w:t>
      </w:r>
      <w:r>
        <w:rPr>
          <w:rFonts w:ascii="宋体" w:hAnsi="宋体" w:cs="宋体" w:eastAsia="宋体" w:hint="default"/>
          <w:spacing w:val="2"/>
          <w:sz w:val="24"/>
          <w:szCs w:val="24"/>
        </w:rPr>
        <w:t>）第 </w:t>
      </w:r>
      <w:r>
        <w:rPr>
          <w:rFonts w:ascii="宋体" w:hAnsi="宋体" w:cs="宋体" w:eastAsia="宋体" w:hint="default"/>
          <w:spacing w:val="2"/>
          <w:sz w:val="24"/>
          <w:szCs w:val="24"/>
        </w:rPr>
        <w:t>210ZA4123</w:t>
      </w:r>
      <w:r>
        <w:rPr>
          <w:rFonts w:ascii="宋体" w:hAnsi="宋体" w:cs="宋体" w:eastAsia="宋体" w:hint="default"/>
          <w:spacing w:val="-88"/>
          <w:sz w:val="24"/>
          <w:szCs w:val="24"/>
        </w:rPr>
        <w:t> </w:t>
      </w:r>
      <w:r>
        <w:rPr>
          <w:rFonts w:ascii="宋体" w:hAnsi="宋体" w:cs="宋体" w:eastAsia="宋体" w:hint="default"/>
          <w:sz w:val="24"/>
          <w:szCs w:val="24"/>
        </w:rPr>
        <w:t>号</w:t>
      </w:r>
    </w:p>
    <w:p>
      <w:pPr>
        <w:spacing w:after="0"/>
        <w:jc w:val="left"/>
        <w:rPr>
          <w:rFonts w:ascii="宋体" w:hAnsi="宋体" w:cs="宋体" w:eastAsia="宋体" w:hint="default"/>
          <w:sz w:val="24"/>
          <w:szCs w:val="24"/>
        </w:rPr>
        <w:sectPr>
          <w:type w:val="continuous"/>
          <w:pgSz w:w="11910" w:h="16840"/>
          <w:pgMar w:top="1120" w:bottom="1380" w:left="1660" w:right="1140"/>
          <w:cols w:num="2" w:equalWidth="0">
            <w:col w:w="3193" w:space="1951"/>
            <w:col w:w="3966"/>
          </w:cols>
        </w:sectPr>
      </w:pPr>
    </w:p>
    <w:p>
      <w:pPr>
        <w:spacing w:line="240" w:lineRule="auto" w:before="6"/>
        <w:rPr>
          <w:rFonts w:ascii="宋体" w:hAnsi="宋体" w:cs="宋体" w:eastAsia="宋体" w:hint="default"/>
          <w:sz w:val="11"/>
          <w:szCs w:val="11"/>
        </w:rPr>
      </w:pPr>
    </w:p>
    <w:p>
      <w:pPr>
        <w:pStyle w:val="BodyText"/>
        <w:spacing w:line="240" w:lineRule="auto" w:before="36"/>
        <w:ind w:left="574" w:right="0"/>
        <w:jc w:val="left"/>
      </w:pPr>
      <w:r>
        <w:rPr>
          <w:spacing w:val="5"/>
        </w:rPr>
        <w:t>我们审计了后附的锦州港股份有限公司（以下简称锦州港公司）财务报表，包括 </w:t>
      </w:r>
      <w:r>
        <w:rPr>
          <w:rFonts w:ascii="宋体" w:hAnsi="宋体" w:cs="宋体" w:eastAsia="宋体" w:hint="default"/>
        </w:rPr>
        <w:t>2015</w:t>
      </w:r>
      <w:r>
        <w:rPr>
          <w:rFonts w:ascii="宋体" w:hAnsi="宋体" w:cs="宋体" w:eastAsia="宋体" w:hint="default"/>
          <w:spacing w:val="6"/>
        </w:rPr>
        <w:t> </w:t>
      </w:r>
      <w:r>
        <w:rPr/>
        <w:t>年</w:t>
      </w:r>
    </w:p>
    <w:p>
      <w:pPr>
        <w:pStyle w:val="BodyText"/>
        <w:spacing w:line="297" w:lineRule="auto" w:before="66"/>
        <w:ind w:right="0"/>
        <w:jc w:val="left"/>
      </w:pPr>
      <w:r>
        <w:rPr>
          <w:rFonts w:ascii="宋体" w:hAnsi="宋体" w:cs="宋体" w:eastAsia="宋体" w:hint="default"/>
          <w:spacing w:val="1"/>
          <w:w w:val="100"/>
        </w:rPr>
        <w:t>12</w:t>
      </w:r>
      <w:r>
        <w:rPr>
          <w:rFonts w:ascii="宋体" w:hAnsi="宋体" w:cs="宋体" w:eastAsia="宋体" w:hint="default"/>
          <w:spacing w:val="-73"/>
          <w:w w:val="100"/>
        </w:rPr>
        <w:t> </w:t>
      </w:r>
      <w:r>
        <w:rPr>
          <w:w w:val="100"/>
        </w:rPr>
        <w:t>月</w:t>
      </w:r>
      <w:r>
        <w:rPr>
          <w:spacing w:val="-67"/>
          <w:w w:val="100"/>
        </w:rPr>
        <w:t> </w:t>
      </w:r>
      <w:r>
        <w:rPr>
          <w:rFonts w:ascii="宋体" w:hAnsi="宋体" w:cs="宋体" w:eastAsia="宋体" w:hint="default"/>
          <w:spacing w:val="1"/>
          <w:w w:val="100"/>
        </w:rPr>
        <w:t>31</w:t>
      </w:r>
      <w:r>
        <w:rPr>
          <w:rFonts w:ascii="宋体" w:hAnsi="宋体" w:cs="宋体" w:eastAsia="宋体" w:hint="default"/>
          <w:spacing w:val="-73"/>
          <w:w w:val="100"/>
        </w:rPr>
        <w:t> </w:t>
      </w:r>
      <w:r>
        <w:rPr>
          <w:spacing w:val="-2"/>
          <w:w w:val="100"/>
        </w:rPr>
        <w:t>日的合并及公司资产负债表，</w:t>
      </w:r>
      <w:r>
        <w:rPr>
          <w:rFonts w:ascii="宋体" w:hAnsi="宋体" w:cs="宋体" w:eastAsia="宋体" w:hint="default"/>
          <w:spacing w:val="-2"/>
          <w:w w:val="100"/>
        </w:rPr>
        <w:t>2015</w:t>
      </w:r>
      <w:r>
        <w:rPr>
          <w:rFonts w:ascii="宋体" w:hAnsi="宋体" w:cs="宋体" w:eastAsia="宋体" w:hint="default"/>
          <w:spacing w:val="-73"/>
          <w:w w:val="100"/>
        </w:rPr>
        <w:t> </w:t>
      </w:r>
      <w:r>
        <w:rPr>
          <w:spacing w:val="2"/>
          <w:w w:val="100"/>
        </w:rPr>
        <w:t>年度的合并及公司利润表、合并及公司现金流量表、</w:t>
      </w:r>
      <w:r>
        <w:rPr>
          <w:spacing w:val="-104"/>
          <w:w w:val="100"/>
        </w:rPr>
        <w:t> </w:t>
      </w:r>
      <w:r>
        <w:rPr>
          <w:spacing w:val="-104"/>
          <w:w w:val="100"/>
        </w:rPr>
      </w:r>
      <w:r>
        <w:rPr>
          <w:spacing w:val="5"/>
        </w:rPr>
        <w:t>合并及公司股东权益变动表以及财务报表附注。</w:t>
      </w:r>
    </w:p>
    <w:p>
      <w:pPr>
        <w:pStyle w:val="Heading2"/>
        <w:spacing w:line="240" w:lineRule="auto" w:before="133"/>
        <w:ind w:left="560" w:right="0"/>
        <w:jc w:val="left"/>
        <w:rPr>
          <w:b w:val="0"/>
          <w:bCs w:val="0"/>
        </w:rPr>
      </w:pPr>
      <w:r>
        <w:rPr/>
        <w:t>一、管理层对财务报表的责任</w:t>
      </w:r>
      <w:r>
        <w:rPr>
          <w:b w:val="0"/>
          <w:bCs w:val="0"/>
        </w:rPr>
      </w:r>
    </w:p>
    <w:p>
      <w:pPr>
        <w:spacing w:line="240" w:lineRule="auto" w:before="3"/>
        <w:rPr>
          <w:rFonts w:ascii="宋体" w:hAnsi="宋体" w:cs="宋体" w:eastAsia="宋体" w:hint="default"/>
          <w:b/>
          <w:bCs/>
          <w:sz w:val="14"/>
          <w:szCs w:val="14"/>
        </w:rPr>
      </w:pPr>
    </w:p>
    <w:p>
      <w:pPr>
        <w:pStyle w:val="BodyText"/>
        <w:spacing w:line="297" w:lineRule="auto"/>
        <w:ind w:right="128" w:firstLine="436"/>
        <w:jc w:val="both"/>
      </w:pPr>
      <w:r>
        <w:rPr>
          <w:spacing w:val="5"/>
        </w:rPr>
        <w:t>编制和公允列报财务报表是锦州港公司管理层的责任，这种责任包括：（</w:t>
      </w:r>
      <w:r>
        <w:rPr>
          <w:rFonts w:ascii="宋体" w:hAnsi="宋体" w:cs="宋体" w:eastAsia="宋体" w:hint="default"/>
          <w:spacing w:val="5"/>
        </w:rPr>
        <w:t>1</w:t>
      </w:r>
      <w:r>
        <w:rPr>
          <w:spacing w:val="5"/>
        </w:rPr>
        <w:t>）按照企业会</w:t>
      </w:r>
      <w:r>
        <w:rPr>
          <w:spacing w:val="7"/>
          <w:w w:val="100"/>
        </w:rPr>
        <w:t> </w:t>
      </w:r>
      <w:r>
        <w:rPr>
          <w:w w:val="100"/>
        </w:rPr>
        <w:t>计准则的规定编制财务报表，并使其实现公允反映；（</w:t>
      </w:r>
      <w:r>
        <w:rPr>
          <w:rFonts w:ascii="宋体" w:hAnsi="宋体" w:cs="宋体" w:eastAsia="宋体" w:hint="default"/>
          <w:w w:val="100"/>
        </w:rPr>
        <w:t>2</w:t>
      </w:r>
      <w:r>
        <w:rPr>
          <w:w w:val="100"/>
        </w:rPr>
        <w:t>）设计、执行和维护必要的内部控制，</w:t>
      </w:r>
      <w:r>
        <w:rPr>
          <w:spacing w:val="-69"/>
          <w:w w:val="100"/>
        </w:rPr>
        <w:t> </w:t>
      </w:r>
      <w:r>
        <w:rPr>
          <w:spacing w:val="-69"/>
          <w:w w:val="100"/>
        </w:rPr>
      </w:r>
      <w:r>
        <w:rPr>
          <w:spacing w:val="5"/>
        </w:rPr>
        <w:t>以使财务报表不存在由于舞弊或错误导致的重大错报。</w:t>
      </w:r>
      <w:r>
        <w:rPr/>
      </w:r>
    </w:p>
    <w:p>
      <w:pPr>
        <w:pStyle w:val="Heading2"/>
        <w:spacing w:line="240" w:lineRule="auto" w:before="135"/>
        <w:ind w:left="560" w:right="0"/>
        <w:jc w:val="left"/>
        <w:rPr>
          <w:b w:val="0"/>
          <w:bCs w:val="0"/>
        </w:rPr>
      </w:pPr>
      <w:r>
        <w:rPr/>
        <w:t>二、注册会计师的责任</w:t>
      </w:r>
      <w:r>
        <w:rPr>
          <w:b w:val="0"/>
          <w:bCs w:val="0"/>
        </w:rPr>
      </w:r>
    </w:p>
    <w:p>
      <w:pPr>
        <w:spacing w:line="240" w:lineRule="auto" w:before="3"/>
        <w:rPr>
          <w:rFonts w:ascii="宋体" w:hAnsi="宋体" w:cs="宋体" w:eastAsia="宋体" w:hint="default"/>
          <w:b/>
          <w:bCs/>
          <w:sz w:val="14"/>
          <w:szCs w:val="14"/>
        </w:rPr>
      </w:pPr>
    </w:p>
    <w:p>
      <w:pPr>
        <w:pStyle w:val="BodyText"/>
        <w:spacing w:line="297" w:lineRule="auto"/>
        <w:ind w:right="129" w:firstLine="436"/>
        <w:jc w:val="both"/>
      </w:pPr>
      <w:r>
        <w:rPr>
          <w:spacing w:val="3"/>
          <w:w w:val="100"/>
        </w:rPr>
        <w:t>我们的责任是在执行审计工作的基础上对财务报表发表审计意见。我们按照中国注册会计</w:t>
      </w:r>
      <w:r>
        <w:rPr>
          <w:w w:val="100"/>
        </w:rPr>
        <w:t> </w:t>
      </w:r>
      <w:r>
        <w:rPr>
          <w:spacing w:val="4"/>
          <w:w w:val="100"/>
        </w:rPr>
        <w:t>师审计准则的规定执行了审计工作。中国注册会计师审计准则要求我们遵守中国注册会计师职</w:t>
      </w:r>
      <w:r>
        <w:rPr>
          <w:spacing w:val="7"/>
          <w:w w:val="100"/>
        </w:rPr>
        <w:t> </w:t>
      </w:r>
      <w:r>
        <w:rPr>
          <w:spacing w:val="5"/>
        </w:rPr>
        <w:t>业道德守则，计划和执行审计工作以对财务报表是否不存在重大错报获取合理保证。</w:t>
      </w:r>
      <w:r>
        <w:rPr/>
      </w:r>
    </w:p>
    <w:p>
      <w:pPr>
        <w:pStyle w:val="BodyText"/>
        <w:spacing w:line="297" w:lineRule="auto" w:before="136"/>
        <w:ind w:right="131" w:firstLine="436"/>
        <w:jc w:val="both"/>
      </w:pPr>
      <w:r>
        <w:rPr>
          <w:spacing w:val="2"/>
        </w:rPr>
        <w:t>审计工作涉及实施审计程序，以获取有关财务报表金额和披露的审计证据。选择的审计程</w:t>
      </w:r>
      <w:r>
        <w:rPr>
          <w:spacing w:val="7"/>
          <w:w w:val="100"/>
        </w:rPr>
        <w:t> </w:t>
      </w:r>
      <w:r>
        <w:rPr>
          <w:spacing w:val="2"/>
        </w:rPr>
        <w:t>序取决于注册会计师的判断，包括对由于舞弊或错误导致的财务报表重大错报风险的评估。在</w:t>
      </w:r>
      <w:r>
        <w:rPr>
          <w:spacing w:val="17"/>
        </w:rPr>
        <w:t> </w:t>
      </w:r>
      <w:r>
        <w:rPr>
          <w:spacing w:val="17"/>
        </w:rPr>
      </w:r>
      <w:r>
        <w:rPr>
          <w:spacing w:val="3"/>
        </w:rPr>
        <w:t>进行风险评估时，注册会计师考虑与财务报表编制和公允列报相关的内部控制，以设计恰当的</w:t>
      </w:r>
      <w:r>
        <w:rPr>
          <w:spacing w:val="-17"/>
        </w:rPr>
        <w:t> </w:t>
      </w:r>
      <w:r>
        <w:rPr>
          <w:spacing w:val="-17"/>
        </w:rPr>
      </w:r>
      <w:r>
        <w:rPr>
          <w:spacing w:val="2"/>
        </w:rPr>
        <w:t>审计程序，审计工作还包括评价管理层选用会计政策的恰当性和作出会计估计的合理性，以及</w:t>
      </w:r>
      <w:r>
        <w:rPr>
          <w:spacing w:val="-5"/>
        </w:rPr>
        <w:t> </w:t>
      </w:r>
      <w:r>
        <w:rPr>
          <w:spacing w:val="-5"/>
        </w:rPr>
      </w:r>
      <w:r>
        <w:rPr>
          <w:spacing w:val="5"/>
        </w:rPr>
        <w:t>评价财务报表的总体列报。</w:t>
      </w:r>
    </w:p>
    <w:p>
      <w:pPr>
        <w:pStyle w:val="BodyText"/>
        <w:spacing w:line="460" w:lineRule="exact" w:before="10"/>
        <w:ind w:left="560" w:right="0" w:firstLine="14"/>
        <w:jc w:val="left"/>
      </w:pPr>
      <w:r>
        <w:rPr>
          <w:spacing w:val="5"/>
        </w:rPr>
        <w:t>我们相信，我们获取的审计证据是充分、适当的，为发表审计意见提供了基础。</w:t>
      </w:r>
      <w:r>
        <w:rPr>
          <w:spacing w:val="-26"/>
        </w:rPr>
        <w:t> </w:t>
      </w:r>
      <w:r>
        <w:rPr>
          <w:spacing w:val="-26"/>
        </w:rPr>
      </w:r>
      <w:r>
        <w:rPr>
          <w:rFonts w:ascii="宋体" w:hAnsi="宋体" w:cs="宋体" w:eastAsia="宋体" w:hint="default"/>
          <w:b/>
          <w:bCs/>
        </w:rPr>
        <w:t>三、审计意见</w:t>
      </w:r>
      <w:r>
        <w:rPr>
          <w:rFonts w:ascii="宋体" w:hAnsi="宋体" w:cs="宋体" w:eastAsia="宋体" w:hint="default"/>
          <w:b/>
          <w:bCs/>
          <w:spacing w:val="-104"/>
        </w:rPr>
        <w:t> </w:t>
      </w:r>
      <w:r>
        <w:rPr/>
        <w:t>我们认为，锦州港公司财务报表在所有重大方面按照企业会计准则的规定编制，公允反映</w:t>
      </w:r>
    </w:p>
    <w:p>
      <w:pPr>
        <w:pStyle w:val="BodyText"/>
        <w:spacing w:line="297" w:lineRule="auto" w:before="3"/>
        <w:ind w:right="0"/>
        <w:jc w:val="left"/>
      </w:pPr>
      <w:r>
        <w:rPr>
          <w:spacing w:val="5"/>
        </w:rPr>
        <w:t>了锦州港公司</w:t>
      </w:r>
      <w:r>
        <w:rPr>
          <w:spacing w:val="-46"/>
        </w:rPr>
        <w:t> </w:t>
      </w:r>
      <w:r>
        <w:rPr>
          <w:rFonts w:ascii="宋体" w:hAnsi="宋体" w:cs="宋体" w:eastAsia="宋体" w:hint="default"/>
        </w:rPr>
        <w:t>2015</w:t>
      </w:r>
      <w:r>
        <w:rPr>
          <w:rFonts w:ascii="宋体" w:hAnsi="宋体" w:cs="宋体" w:eastAsia="宋体" w:hint="default"/>
          <w:spacing w:val="-51"/>
        </w:rPr>
        <w:t> </w:t>
      </w:r>
      <w:r>
        <w:rPr/>
        <w:t>年</w:t>
      </w:r>
      <w:r>
        <w:rPr>
          <w:spacing w:val="-41"/>
        </w:rPr>
        <w:t> </w:t>
      </w:r>
      <w:r>
        <w:rPr>
          <w:rFonts w:ascii="宋体" w:hAnsi="宋体" w:cs="宋体" w:eastAsia="宋体" w:hint="default"/>
        </w:rPr>
        <w:t>12</w:t>
      </w:r>
      <w:r>
        <w:rPr>
          <w:rFonts w:ascii="宋体" w:hAnsi="宋体" w:cs="宋体" w:eastAsia="宋体" w:hint="default"/>
          <w:spacing w:val="-51"/>
        </w:rPr>
        <w:t> </w:t>
      </w:r>
      <w:r>
        <w:rPr/>
        <w:t>月</w:t>
      </w:r>
      <w:r>
        <w:rPr>
          <w:spacing w:val="-43"/>
        </w:rPr>
        <w:t> </w:t>
      </w:r>
      <w:r>
        <w:rPr>
          <w:rFonts w:ascii="宋体" w:hAnsi="宋体" w:cs="宋体" w:eastAsia="宋体" w:hint="default"/>
        </w:rPr>
        <w:t>31</w:t>
      </w:r>
      <w:r>
        <w:rPr>
          <w:rFonts w:ascii="宋体" w:hAnsi="宋体" w:cs="宋体" w:eastAsia="宋体" w:hint="default"/>
          <w:spacing w:val="-51"/>
        </w:rPr>
        <w:t> </w:t>
      </w:r>
      <w:r>
        <w:rPr>
          <w:spacing w:val="5"/>
        </w:rPr>
        <w:t>日的合并及公司财务状况以及</w:t>
      </w:r>
      <w:r>
        <w:rPr>
          <w:spacing w:val="-45"/>
        </w:rPr>
        <w:t> </w:t>
      </w:r>
      <w:r>
        <w:rPr>
          <w:rFonts w:ascii="宋体" w:hAnsi="宋体" w:cs="宋体" w:eastAsia="宋体" w:hint="default"/>
        </w:rPr>
        <w:t>2015</w:t>
      </w:r>
      <w:r>
        <w:rPr>
          <w:rFonts w:ascii="宋体" w:hAnsi="宋体" w:cs="宋体" w:eastAsia="宋体" w:hint="default"/>
          <w:spacing w:val="-51"/>
        </w:rPr>
        <w:t> </w:t>
      </w:r>
      <w:r>
        <w:rPr>
          <w:spacing w:val="6"/>
        </w:rPr>
        <w:t>年度的合并及公司经营成果</w:t>
      </w:r>
      <w:r>
        <w:rPr>
          <w:spacing w:val="-100"/>
        </w:rPr>
        <w:t> </w:t>
      </w:r>
      <w:r>
        <w:rPr>
          <w:spacing w:val="5"/>
        </w:rPr>
        <w:t>和合并及公司现金流量。</w:t>
      </w:r>
      <w:r>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tbl>
      <w:tblPr>
        <w:tblW w:w="0" w:type="auto"/>
        <w:jc w:val="left"/>
        <w:tblInd w:w="187" w:type="dxa"/>
        <w:tblLayout w:type="fixed"/>
        <w:tblCellMar>
          <w:top w:w="0" w:type="dxa"/>
          <w:left w:w="0" w:type="dxa"/>
          <w:bottom w:w="0" w:type="dxa"/>
          <w:right w:w="0" w:type="dxa"/>
        </w:tblCellMar>
        <w:tblLook w:val="01E0"/>
      </w:tblPr>
      <w:tblGrid>
        <w:gridCol w:w="3089"/>
        <w:gridCol w:w="3677"/>
      </w:tblGrid>
      <w:tr>
        <w:trPr>
          <w:trHeight w:val="1636" w:hRule="exact"/>
        </w:trPr>
        <w:tc>
          <w:tcPr>
            <w:tcW w:w="3089"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pacing w:val="6"/>
                <w:sz w:val="21"/>
                <w:szCs w:val="21"/>
              </w:rPr>
              <w:t>致同会计师事务所</w:t>
            </w:r>
            <w:r>
              <w:rPr>
                <w:rFonts w:ascii="宋体" w:hAnsi="宋体" w:cs="宋体" w:eastAsia="宋体" w:hint="default"/>
                <w:sz w:val="21"/>
                <w:szCs w:val="21"/>
              </w:rPr>
            </w:r>
          </w:p>
          <w:p>
            <w:pPr>
              <w:pStyle w:val="TableParagraph"/>
              <w:spacing w:line="240" w:lineRule="auto" w:before="63"/>
              <w:ind w:left="200" w:right="0"/>
              <w:jc w:val="left"/>
              <w:rPr>
                <w:rFonts w:ascii="宋体" w:hAnsi="宋体" w:cs="宋体" w:eastAsia="宋体" w:hint="default"/>
                <w:sz w:val="21"/>
                <w:szCs w:val="21"/>
              </w:rPr>
            </w:pPr>
            <w:r>
              <w:rPr>
                <w:rFonts w:ascii="宋体" w:hAnsi="宋体" w:cs="宋体" w:eastAsia="宋体" w:hint="default"/>
                <w:spacing w:val="6"/>
                <w:sz w:val="21"/>
                <w:szCs w:val="21"/>
              </w:rPr>
              <w:t>（特殊普通合伙）</w:t>
            </w:r>
            <w:r>
              <w:rPr>
                <w:rFonts w:ascii="宋体" w:hAnsi="宋体" w:cs="宋体" w:eastAsia="宋体" w:hint="default"/>
                <w:sz w:val="21"/>
                <w:szCs w:val="21"/>
              </w:rPr>
            </w:r>
          </w:p>
        </w:tc>
        <w:tc>
          <w:tcPr>
            <w:tcW w:w="3677" w:type="dxa"/>
            <w:tcBorders>
              <w:top w:val="nil" w:sz="6" w:space="0" w:color="auto"/>
              <w:left w:val="nil" w:sz="6" w:space="0" w:color="auto"/>
              <w:bottom w:val="nil" w:sz="6" w:space="0" w:color="auto"/>
              <w:right w:val="nil" w:sz="6" w:space="0" w:color="auto"/>
            </w:tcBorders>
          </w:tcPr>
          <w:p>
            <w:pPr>
              <w:pStyle w:val="TableParagraph"/>
              <w:spacing w:line="211" w:lineRule="exact"/>
              <w:ind w:left="1141" w:right="0"/>
              <w:jc w:val="left"/>
              <w:rPr>
                <w:rFonts w:ascii="宋体" w:hAnsi="宋体" w:cs="宋体" w:eastAsia="宋体" w:hint="default"/>
                <w:sz w:val="21"/>
                <w:szCs w:val="21"/>
              </w:rPr>
            </w:pPr>
            <w:r>
              <w:rPr>
                <w:rFonts w:ascii="宋体" w:hAnsi="宋体" w:cs="宋体" w:eastAsia="宋体" w:hint="default"/>
                <w:sz w:val="21"/>
                <w:szCs w:val="21"/>
              </w:rPr>
              <w:t>中国注册会计师：关涛</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141" w:right="0"/>
              <w:jc w:val="left"/>
              <w:rPr>
                <w:rFonts w:ascii="宋体" w:hAnsi="宋体" w:cs="宋体" w:eastAsia="宋体" w:hint="default"/>
                <w:sz w:val="21"/>
                <w:szCs w:val="21"/>
              </w:rPr>
            </w:pPr>
            <w:r>
              <w:rPr>
                <w:rFonts w:ascii="宋体" w:hAnsi="宋体" w:cs="宋体" w:eastAsia="宋体" w:hint="default"/>
                <w:sz w:val="21"/>
                <w:szCs w:val="21"/>
              </w:rPr>
              <w:t>中国注册会计师：陶怡</w:t>
            </w:r>
          </w:p>
        </w:tc>
      </w:tr>
      <w:tr>
        <w:trPr>
          <w:trHeight w:val="616" w:hRule="exact"/>
        </w:trPr>
        <w:tc>
          <w:tcPr>
            <w:tcW w:w="308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中国·北京</w:t>
            </w:r>
          </w:p>
        </w:tc>
        <w:tc>
          <w:tcPr>
            <w:tcW w:w="367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374" w:right="0"/>
              <w:jc w:val="left"/>
              <w:rPr>
                <w:rFonts w:ascii="宋体" w:hAnsi="宋体" w:cs="宋体" w:eastAsia="宋体" w:hint="default"/>
                <w:sz w:val="21"/>
                <w:szCs w:val="21"/>
              </w:rPr>
            </w:pPr>
            <w:r>
              <w:rPr>
                <w:rFonts w:ascii="宋体" w:hAnsi="宋体" w:cs="宋体" w:eastAsia="宋体" w:hint="default"/>
                <w:sz w:val="21"/>
                <w:szCs w:val="21"/>
              </w:rPr>
              <w:t>二Ｏ一六年四月十五日</w:t>
            </w:r>
          </w:p>
        </w:tc>
      </w:tr>
    </w:tbl>
    <w:p>
      <w:pPr>
        <w:spacing w:after="0" w:line="240" w:lineRule="auto"/>
        <w:jc w:val="left"/>
        <w:rPr>
          <w:rFonts w:ascii="宋体" w:hAnsi="宋体" w:cs="宋体" w:eastAsia="宋体" w:hint="default"/>
          <w:sz w:val="21"/>
          <w:szCs w:val="21"/>
        </w:rPr>
        <w:sectPr>
          <w:type w:val="continuous"/>
          <w:pgSz w:w="11910" w:h="16840"/>
          <w:pgMar w:top="1120" w:bottom="1380" w:left="1660" w:right="11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pStyle w:val="Heading2"/>
        <w:spacing w:line="240" w:lineRule="auto"/>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pStyle w:val="BodyText"/>
        <w:spacing w:line="240" w:lineRule="auto"/>
        <w:ind w:left="218" w:right="-16"/>
        <w:jc w:val="left"/>
      </w:pPr>
      <w:r>
        <w:rPr/>
        <w:t>编制单位</w:t>
      </w:r>
      <w:r>
        <w:rPr>
          <w:rFonts w:ascii="宋体" w:hAnsi="宋体" w:cs="宋体" w:eastAsia="宋体" w:hint="default"/>
        </w:rPr>
        <w:t>:</w:t>
      </w:r>
      <w:r>
        <w:rPr>
          <w:rFonts w:ascii="宋体" w:hAnsi="宋体" w:cs="宋体" w:eastAsia="宋体" w:hint="default"/>
          <w:spacing w:val="1"/>
        </w:rPr>
        <w:t> </w:t>
      </w:r>
      <w:r>
        <w:rPr/>
        <w:t>锦州港股份有限公司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72" w:lineRule="exact" w:before="135"/>
        <w:ind w:left="218" w:right="-16"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64" w:val="left" w:leader="none"/>
        </w:tabs>
        <w:spacing w:line="240" w:lineRule="auto" w:before="139"/>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164" w:space="387"/>
            <w:col w:w="1954" w:space="1229"/>
            <w:col w:w="255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556,682,527.59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758,217,238.78</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49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w w:val="100"/>
                <w:sz w:val="21"/>
                <w:szCs w:val="21"/>
              </w:rPr>
              <w:t> </w:t>
            </w: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64,223,381.97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89,428,144.04</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114,411,570.95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97,308,106.65</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74,405,170.03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98,304,656.23</w:t>
            </w: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62,535,955.64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39,818,449.97</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325,495,866.04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250,138,437.16</w:t>
            </w: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174,971,757.96</w:t>
            </w:r>
          </w:p>
        </w:tc>
      </w:tr>
      <w:tr>
        <w:trPr>
          <w:trHeight w:val="2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453,000.00</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37,065,277.40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111,708,726.70</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1,235,272,749.62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1,619,895,517.49</w:t>
            </w: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300,000.00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300,000.00</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1,352,299.06</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856,944,827.15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861,562,387.34</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8,676,850,130.63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7,996,063,537.86</w:t>
            </w: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307,993,851.94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945,373,953.44</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298,457,755.04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216,013,438.10</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5,780,173.66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12,235,685.17</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40,206,636.48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43,561,278.92</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581,000,000.00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500,000,000.00</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10,768,885,673.96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10,575,110,280.83</w:t>
            </w: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12,004,158,423.58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12,195,005,798.32</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1,300,470,000.00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1,442,307,351.78</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49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w w:val="100"/>
                <w:sz w:val="21"/>
                <w:szCs w:val="21"/>
              </w:rPr>
              <w:t> </w:t>
            </w: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323,943,446.67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312,264,298.92</w:t>
            </w: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352,121,613.07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935,008,697.35</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205,502,361.32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201,143,784.35</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74,347,923.38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83,893,984.18</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5,247,272.49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6,839,002.71</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30,230,336.04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14,861,445.32</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3,905,361.57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4,082,432.85</w:t>
            </w: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6"/>
              <w:jc w:val="right"/>
              <w:rPr>
                <w:rFonts w:ascii="宋体" w:hAnsi="宋体" w:cs="宋体" w:eastAsia="宋体" w:hint="default"/>
                <w:sz w:val="21"/>
                <w:szCs w:val="21"/>
              </w:rPr>
            </w:pPr>
            <w:r>
              <w:rPr>
                <w:rFonts w:ascii="宋体"/>
                <w:spacing w:val="-1"/>
                <w:sz w:val="21"/>
              </w:rPr>
              <w:t>47,719,817.93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6"/>
              <w:jc w:val="right"/>
              <w:rPr>
                <w:rFonts w:ascii="宋体" w:hAnsi="宋体" w:cs="宋体" w:eastAsia="宋体" w:hint="default"/>
                <w:sz w:val="21"/>
                <w:szCs w:val="21"/>
              </w:rPr>
            </w:pPr>
            <w:r>
              <w:rPr>
                <w:rFonts w:ascii="宋体"/>
                <w:spacing w:val="-1"/>
                <w:sz w:val="21"/>
              </w:rPr>
              <w:t>67,752,303.89</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303,060,000.00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394,210,000.00</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211,854.00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211,854.00</w:t>
            </w: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2,646,759,986.47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3,462,575,155.35</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1,625,600,000.00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2,191,667,500.00</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1,000,000,000.00</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646,900.00</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716,602,220.96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589,125,848.02</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3,342,202,220.96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2,781,440,248.02</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5,988,962,207.43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6,244,015,403.37</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2,002,291,500.00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2,002,291,500.00</w:t>
            </w:r>
          </w:p>
        </w:tc>
      </w:tr>
      <w:tr>
        <w:trPr>
          <w:trHeight w:val="2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2,663,512,625.64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2,663,512,625.64</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14,017,620.60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5,598,313.76</w:t>
            </w: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343,635,666.80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320,435,500.20</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859,882,221.21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822,094,453.04</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5,883,339,634.25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5,813,932,392.64</w:t>
            </w: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131,856,581.90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137,058,002.31</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6,015,196,216.15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5,950,990,394.95</w:t>
            </w:r>
          </w:p>
        </w:tc>
      </w:tr>
      <w:tr>
        <w:trPr>
          <w:trHeight w:val="2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12,004,158,423.58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12,195,005,798.32</w:t>
            </w:r>
          </w:p>
        </w:tc>
      </w:tr>
    </w:tbl>
    <w:p>
      <w:pPr>
        <w:spacing w:line="240" w:lineRule="auto" w:before="7"/>
        <w:rPr>
          <w:rFonts w:ascii="宋体" w:hAnsi="宋体" w:cs="宋体" w:eastAsia="宋体" w:hint="default"/>
          <w:sz w:val="15"/>
          <w:szCs w:val="15"/>
        </w:rPr>
      </w:pPr>
    </w:p>
    <w:p>
      <w:pPr>
        <w:pStyle w:val="BodyText"/>
        <w:tabs>
          <w:tab w:pos="2949" w:val="left" w:leader="none"/>
        </w:tabs>
        <w:spacing w:line="240" w:lineRule="auto" w:before="36"/>
        <w:ind w:left="218" w:right="0"/>
        <w:jc w:val="left"/>
      </w:pPr>
      <w:r>
        <w:rPr>
          <w:spacing w:val="-2"/>
        </w:rPr>
        <w:t>法定代表人：徐健</w:t>
        <w:tab/>
        <w:t>主管会计工作负责人：王兴山会计机构负责人：陈晓建</w:t>
      </w:r>
    </w:p>
    <w:p>
      <w:pPr>
        <w:spacing w:after="0" w:line="240" w:lineRule="auto"/>
        <w:jc w:val="left"/>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22"/>
          <w:pgSz w:w="11910" w:h="16840"/>
          <w:pgMar w:footer="1195" w:header="877" w:top="110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left="218" w:right="0"/>
        <w:jc w:val="left"/>
      </w:pPr>
      <w:r>
        <w:rPr>
          <w:spacing w:val="-2"/>
        </w:rPr>
        <w:t>编制单位</w:t>
      </w:r>
      <w:r>
        <w:rPr>
          <w:rFonts w:ascii="宋体" w:hAnsi="宋体" w:cs="宋体" w:eastAsia="宋体" w:hint="default"/>
          <w:spacing w:val="-2"/>
        </w:rPr>
        <w:t>:</w:t>
      </w:r>
      <w:r>
        <w:rPr>
          <w:spacing w:val="-2"/>
        </w:rPr>
        <w:t>锦州港股份有限公司</w:t>
      </w:r>
    </w:p>
    <w:p>
      <w:pPr>
        <w:spacing w:before="36"/>
        <w:ind w:left="218" w:right="-16"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056" w:space="495"/>
            <w:col w:w="1954" w:space="1229"/>
            <w:col w:w="2556"/>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9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484,826,553.48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651,758,703.01</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9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64,223,381.97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73,718,144.04</w:t>
            </w:r>
          </w:p>
        </w:tc>
      </w:tr>
      <w:tr>
        <w:trPr>
          <w:trHeight w:val="30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173,835,591.17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128,386,359.80</w:t>
            </w: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45,932,513.25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62,483,848.28</w:t>
            </w:r>
          </w:p>
        </w:tc>
      </w:tr>
      <w:tr>
        <w:trPr>
          <w:trHeight w:val="29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9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96,509,381.30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96,618,119.11</w:t>
            </w: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262,933,098.92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235,035,822.18</w:t>
            </w: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174,971,757.96</w:t>
            </w:r>
          </w:p>
        </w:tc>
      </w:tr>
      <w:tr>
        <w:trPr>
          <w:trHeight w:val="29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453,000.00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453,000.00</w:t>
            </w: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25,961,798.72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110,158,110.09</w:t>
            </w:r>
          </w:p>
        </w:tc>
      </w:tr>
      <w:tr>
        <w:trPr>
          <w:trHeight w:val="29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1,154,675,318.81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1,533,583,864.47</w:t>
            </w: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9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300,000.00</w:t>
            </w: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1,352,299.06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1,805,299.06</w:t>
            </w:r>
          </w:p>
        </w:tc>
      </w:tr>
      <w:tr>
        <w:trPr>
          <w:trHeight w:val="29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1,172,351,515.15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1,177,345,136.08</w:t>
            </w: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9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8,092,713,349.58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7,473,554,888.60</w:t>
            </w: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308,199,682.67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913,824,784.17</w:t>
            </w: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9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9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01"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294,287,289.90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211,511,175.76</w:t>
            </w:r>
          </w:p>
        </w:tc>
      </w:tr>
      <w:tr>
        <w:trPr>
          <w:trHeight w:val="29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1,887,872.97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4,939,678.57</w:t>
            </w:r>
          </w:p>
        </w:tc>
      </w:tr>
      <w:tr>
        <w:trPr>
          <w:trHeight w:val="29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33,254,713.42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37,054,422.01</w:t>
            </w: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581,000,000.00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500,000,000.00</w:t>
            </w:r>
          </w:p>
        </w:tc>
      </w:tr>
      <w:tr>
        <w:trPr>
          <w:trHeight w:val="29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10,485,346,722.75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10,320,335,384.25</w:t>
            </w: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11,640,022,041.56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11,853,919,248.72</w:t>
            </w: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9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1,300,470,000.00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1,442,307,351.78</w:t>
            </w:r>
          </w:p>
        </w:tc>
      </w:tr>
      <w:tr>
        <w:trPr>
          <w:trHeight w:val="56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323,943,446.67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312,264,298.92</w:t>
            </w: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370,680,363.56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959,084,134.19</w:t>
            </w:r>
          </w:p>
        </w:tc>
      </w:tr>
      <w:tr>
        <w:trPr>
          <w:trHeight w:val="29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104,024,181.90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137,156,712.72</w:t>
            </w: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64,940,011.00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79,091,909.28</w:t>
            </w:r>
          </w:p>
        </w:tc>
      </w:tr>
      <w:tr>
        <w:trPr>
          <w:trHeight w:val="29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1,045,020.31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4,802,387.16</w:t>
            </w: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30,230,336.04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14,861,445.32</w:t>
            </w:r>
          </w:p>
        </w:tc>
      </w:tr>
      <w:tr>
        <w:trPr>
          <w:trHeight w:val="29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3,816,349.18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3,816,318.45</w:t>
            </w: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83,795,863.16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66,067,886.55</w:t>
            </w: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9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303,060,000.00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394,210,000.00</w:t>
            </w: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211,854.00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211,854.00</w:t>
            </w:r>
          </w:p>
        </w:tc>
      </w:tr>
      <w:tr>
        <w:trPr>
          <w:trHeight w:val="29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96"/>
              <w:jc w:val="right"/>
              <w:rPr>
                <w:rFonts w:ascii="宋体" w:hAnsi="宋体" w:cs="宋体" w:eastAsia="宋体" w:hint="default"/>
                <w:sz w:val="21"/>
                <w:szCs w:val="21"/>
              </w:rPr>
            </w:pPr>
            <w:r>
              <w:rPr>
                <w:rFonts w:ascii="宋体"/>
                <w:spacing w:val="-1"/>
                <w:sz w:val="21"/>
              </w:rPr>
              <w:t>2,586,217,425.82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3,413,874,298.37</w:t>
            </w: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1,625,600,000.00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2,191,667,500.00</w:t>
            </w:r>
          </w:p>
        </w:tc>
      </w:tr>
      <w:tr>
        <w:trPr>
          <w:trHeight w:val="29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1,000,000,000.00</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9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9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9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713,145,970.96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589,125,848.02</w:t>
            </w: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9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3,338,745,970.96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2,780,793,348.02</w:t>
            </w: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5,924,963,396.78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6,194,667,646.39</w:t>
            </w:r>
          </w:p>
        </w:tc>
      </w:tr>
      <w:tr>
        <w:trPr>
          <w:trHeight w:val="29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2,002,291,500.00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2,002,291,500.00</w:t>
            </w:r>
          </w:p>
        </w:tc>
      </w:tr>
      <w:tr>
        <w:trPr>
          <w:trHeight w:val="29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9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2,663,512,625.64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2,663,512,625.64</w:t>
            </w: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9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13,140,227.20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5,256,106.75</w:t>
            </w:r>
          </w:p>
        </w:tc>
      </w:tr>
      <w:tr>
        <w:trPr>
          <w:trHeight w:val="29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343,635,666.80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320,435,500.20</w:t>
            </w: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692,478,625.14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667,755,869.74</w:t>
            </w:r>
          </w:p>
        </w:tc>
      </w:tr>
      <w:tr>
        <w:trPr>
          <w:trHeight w:val="30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5,715,058,644.78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5,659,251,602.33</w:t>
            </w:r>
          </w:p>
        </w:tc>
      </w:tr>
      <w:tr>
        <w:trPr>
          <w:trHeight w:val="29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11,640,022,041.56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11,853,919,248.72</w:t>
            </w:r>
          </w:p>
        </w:tc>
      </w:tr>
    </w:tbl>
    <w:p>
      <w:pPr>
        <w:spacing w:line="240" w:lineRule="auto" w:before="7"/>
        <w:rPr>
          <w:rFonts w:ascii="宋体" w:hAnsi="宋体" w:cs="宋体" w:eastAsia="宋体" w:hint="default"/>
          <w:sz w:val="15"/>
          <w:szCs w:val="15"/>
        </w:rPr>
      </w:pPr>
    </w:p>
    <w:p>
      <w:pPr>
        <w:pStyle w:val="BodyText"/>
        <w:tabs>
          <w:tab w:pos="2949" w:val="left" w:leader="none"/>
        </w:tabs>
        <w:spacing w:line="240" w:lineRule="auto" w:before="36"/>
        <w:ind w:left="218" w:right="0"/>
        <w:jc w:val="left"/>
      </w:pPr>
      <w:r>
        <w:rPr>
          <w:spacing w:val="-2"/>
        </w:rPr>
        <w:t>法定代表人：徐健</w:t>
        <w:tab/>
        <w:t>主管会计工作负责人：王兴山会计机构负责人：陈晓建</w:t>
      </w:r>
    </w:p>
    <w:p>
      <w:pPr>
        <w:spacing w:after="0" w:line="240" w:lineRule="auto"/>
        <w:jc w:val="left"/>
        <w:sectPr>
          <w:footerReference w:type="default" r:id="rId23"/>
          <w:pgSz w:w="11910" w:h="16840"/>
          <w:pgMar w:footer="1195" w:header="877" w:top="1100" w:bottom="1380" w:left="1580" w:right="1040"/>
          <w:pgNumType w:start="41"/>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spacing w:before="36"/>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078"/>
        <w:gridCol w:w="994"/>
        <w:gridCol w:w="1985"/>
        <w:gridCol w:w="1985"/>
      </w:tblGrid>
      <w:tr>
        <w:trPr>
          <w:trHeight w:val="413"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76"/>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5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5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41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1,805,549,385.99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2,126,994,651.77</w:t>
            </w:r>
          </w:p>
        </w:tc>
      </w:tr>
      <w:tr>
        <w:trPr>
          <w:trHeight w:val="413"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2"/>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1,805,549,385.99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2,126,994,651.77</w:t>
            </w:r>
          </w:p>
        </w:tc>
      </w:tr>
      <w:tr>
        <w:trPr>
          <w:trHeight w:val="413"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41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1,707,588,106.64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1,969,722,477.00</w:t>
            </w:r>
          </w:p>
        </w:tc>
      </w:tr>
      <w:tr>
        <w:trPr>
          <w:trHeight w:val="41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2"/>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1,367,438,226.98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1,608,151,670.51</w:t>
            </w:r>
          </w:p>
        </w:tc>
      </w:tr>
      <w:tr>
        <w:trPr>
          <w:trHeight w:val="413"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41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41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6,380,475.77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7,051,338.34</w:t>
            </w:r>
          </w:p>
        </w:tc>
      </w:tr>
      <w:tr>
        <w:trPr>
          <w:trHeight w:val="41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8,192,159.14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10,732,749.26</w:t>
            </w:r>
          </w:p>
        </w:tc>
      </w:tr>
      <w:tr>
        <w:trPr>
          <w:trHeight w:val="413"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100,219,314.75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127,506,269.49</w:t>
            </w:r>
          </w:p>
        </w:tc>
      </w:tr>
      <w:tr>
        <w:trPr>
          <w:trHeight w:val="413"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223,530,330.69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215,882,283.25</w:t>
            </w:r>
          </w:p>
        </w:tc>
      </w:tr>
      <w:tr>
        <w:trPr>
          <w:trHeight w:val="41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1,827,599.31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398,166.15</w:t>
            </w:r>
          </w:p>
        </w:tc>
      </w:tr>
      <w:tr>
        <w:trPr>
          <w:trHeight w:val="559"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34,301,163.40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38,235,532.48</w:t>
            </w:r>
          </w:p>
        </w:tc>
      </w:tr>
      <w:tr>
        <w:trPr>
          <w:trHeight w:val="559"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32,776,602.73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38,235,532.48</w:t>
            </w:r>
          </w:p>
        </w:tc>
      </w:tr>
      <w:tr>
        <w:trPr>
          <w:trHeight w:val="413"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132,262,442.75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195,507,707.25</w:t>
            </w:r>
          </w:p>
        </w:tc>
      </w:tr>
      <w:tr>
        <w:trPr>
          <w:trHeight w:val="41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36,396,432.14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119,008,515.67</w:t>
            </w:r>
          </w:p>
        </w:tc>
      </w:tr>
      <w:tr>
        <w:trPr>
          <w:trHeight w:val="413"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14,273,093.33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92,213,731.88</w:t>
            </w:r>
          </w:p>
        </w:tc>
      </w:tr>
      <w:tr>
        <w:trPr>
          <w:trHeight w:val="413"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3"/>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2,212,514.92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6,550,398.52</w:t>
            </w:r>
          </w:p>
        </w:tc>
      </w:tr>
      <w:tr>
        <w:trPr>
          <w:trHeight w:val="41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2,037,362.77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6,296,014.87</w:t>
            </w:r>
          </w:p>
        </w:tc>
      </w:tr>
      <w:tr>
        <w:trPr>
          <w:trHeight w:val="413"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8"/>
              <w:jc w:val="left"/>
              <w:rPr>
                <w:rFonts w:ascii="宋体" w:hAnsi="宋体" w:cs="宋体" w:eastAsia="宋体" w:hint="default"/>
                <w:sz w:val="21"/>
                <w:szCs w:val="21"/>
              </w:rPr>
            </w:pPr>
            <w:r>
              <w:rPr>
                <w:rFonts w:ascii="宋体" w:hAnsi="宋体" w:cs="宋体" w:eastAsia="宋体" w:hint="default"/>
                <w:spacing w:val="-3"/>
                <w:sz w:val="21"/>
                <w:szCs w:val="21"/>
              </w:rPr>
              <w:t>四、利润总额（亏损总额以“－”号填列）</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166,446,359.97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307,965,824.40</w:t>
            </w:r>
          </w:p>
        </w:tc>
      </w:tr>
    </w:tbl>
    <w:p>
      <w:pPr>
        <w:spacing w:after="0" w:line="244"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078"/>
        <w:gridCol w:w="994"/>
        <w:gridCol w:w="1985"/>
        <w:gridCol w:w="1985"/>
      </w:tblGrid>
      <w:tr>
        <w:trPr>
          <w:trHeight w:val="413"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36,974,382.97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76,048,247.26</w:t>
            </w:r>
          </w:p>
        </w:tc>
      </w:tr>
      <w:tr>
        <w:trPr>
          <w:trHeight w:val="413"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129,471,977.00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231,917,577.14</w:t>
            </w:r>
          </w:p>
        </w:tc>
      </w:tr>
      <w:tr>
        <w:trPr>
          <w:trHeight w:val="41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129,065,845.77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220,825,148.69</w:t>
            </w:r>
          </w:p>
        </w:tc>
      </w:tr>
      <w:tr>
        <w:trPr>
          <w:trHeight w:val="413"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1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406,131.23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11,092,428.45</w:t>
            </w:r>
          </w:p>
        </w:tc>
      </w:tr>
      <w:tr>
        <w:trPr>
          <w:trHeight w:val="413"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（一）以后不能重分类进损益的其他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384"/>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41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410"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129,471,977.00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231,917,577.14</w:t>
            </w:r>
          </w:p>
        </w:tc>
      </w:tr>
      <w:tr>
        <w:trPr>
          <w:trHeight w:val="413"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84"/>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129,065,845.77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220,825,148.69</w:t>
            </w:r>
          </w:p>
        </w:tc>
      </w:tr>
      <w:tr>
        <w:trPr>
          <w:trHeight w:val="413"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406,131.23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11,092,428.45</w:t>
            </w:r>
          </w:p>
        </w:tc>
      </w:tr>
      <w:tr>
        <w:trPr>
          <w:trHeight w:val="411"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0.06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0.11</w:t>
            </w:r>
          </w:p>
        </w:tc>
      </w:tr>
      <w:tr>
        <w:trPr>
          <w:trHeight w:val="413"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94"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0.11</w:t>
            </w:r>
          </w:p>
        </w:tc>
      </w:tr>
    </w:tbl>
    <w:p>
      <w:pPr>
        <w:spacing w:line="240" w:lineRule="auto" w:before="5"/>
        <w:rPr>
          <w:rFonts w:ascii="宋体" w:hAnsi="宋体" w:cs="宋体" w:eastAsia="宋体" w:hint="default"/>
          <w:sz w:val="15"/>
          <w:szCs w:val="15"/>
        </w:rPr>
      </w:pPr>
    </w:p>
    <w:p>
      <w:pPr>
        <w:pStyle w:val="BodyText"/>
        <w:spacing w:line="240" w:lineRule="auto" w:before="36"/>
        <w:ind w:left="218" w:right="0"/>
        <w:jc w:val="left"/>
      </w:pPr>
      <w:r>
        <w:rPr>
          <w:spacing w:val="-5"/>
        </w:rPr>
        <w:t>本期发生同一控制下企业合并的，被合并方在合并前实现的净利润为：</w:t>
      </w:r>
      <w:r>
        <w:rPr>
          <w:rFonts w:ascii="宋体" w:hAnsi="宋体" w:cs="宋体" w:eastAsia="宋体" w:hint="default"/>
          <w:spacing w:val="-5"/>
        </w:rPr>
        <w:t>0</w:t>
      </w:r>
      <w:r>
        <w:rPr>
          <w:rFonts w:ascii="宋体" w:hAnsi="宋体" w:cs="宋体" w:eastAsia="宋体" w:hint="default"/>
          <w:spacing w:val="51"/>
        </w:rPr>
        <w:t> </w:t>
      </w:r>
      <w:r>
        <w:rPr/>
        <w:t>元</w:t>
      </w:r>
      <w:r>
        <w:rPr>
          <w:rFonts w:ascii="宋体" w:hAnsi="宋体" w:cs="宋体" w:eastAsia="宋体" w:hint="default"/>
        </w:rPr>
        <w:t>,</w:t>
      </w:r>
      <w:r>
        <w:rPr/>
        <w:t>上期被合并方实现的</w:t>
      </w:r>
      <w:r>
        <w:rPr>
          <w:spacing w:val="-96"/>
        </w:rPr>
        <w:t> </w:t>
      </w:r>
      <w:r>
        <w:rPr>
          <w:spacing w:val="-96"/>
        </w:rPr>
      </w:r>
      <w:r>
        <w:rPr/>
        <w:t>净利润为：</w:t>
      </w:r>
      <w:r>
        <w:rPr>
          <w:rFonts w:ascii="宋体" w:hAnsi="宋体" w:cs="宋体" w:eastAsia="宋体" w:hint="default"/>
        </w:rPr>
        <w:t>0</w:t>
      </w:r>
      <w:r>
        <w:rPr>
          <w:rFonts w:ascii="宋体" w:hAnsi="宋体" w:cs="宋体" w:eastAsia="宋体" w:hint="default"/>
          <w:spacing w:val="3"/>
        </w:rPr>
        <w:t> </w:t>
      </w:r>
      <w:r>
        <w:rPr>
          <w:spacing w:val="-3"/>
        </w:rPr>
        <w:t>元。</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tabs>
          <w:tab w:pos="2949" w:val="left" w:leader="none"/>
        </w:tabs>
        <w:spacing w:line="240" w:lineRule="auto"/>
        <w:ind w:left="218" w:right="0"/>
        <w:jc w:val="left"/>
      </w:pPr>
      <w:r>
        <w:rPr>
          <w:spacing w:val="-2"/>
        </w:rPr>
        <w:t>法定代表人：徐健</w:t>
        <w:tab/>
        <w:t>主管会计工作负责人：王兴山会计机构负责人：陈晓建</w:t>
      </w:r>
    </w:p>
    <w:p>
      <w:pPr>
        <w:spacing w:after="0" w:line="240" w:lineRule="auto"/>
        <w:jc w:val="left"/>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spacing w:before="36"/>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1,326,520,459.21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1,882,733,429.67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972,724,548.84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1,519,101,420.04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5,632,770.93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5,381,408.01</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5,696,372.82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6,587,685.52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83,623,699.08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115,165,952.68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224,334,074.44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216,546,095.91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1,742,021.22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39,525.74</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72,880,120.37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27,824,730.59</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27,823,966.74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27,570,772.99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105,647,092.25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47,736,072.36</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28,592,386.33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125,952,225.22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14,043,952.52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99,250,503.87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1,762,756.64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2,389,282.88</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1,598,682.90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2,196,093.33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132,476,721.94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171,299,014.70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16,475,888.94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40,955,050.45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116,000,833.00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130,343,964.25</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116,000,833.00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130,343,964.25</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tabs>
          <w:tab w:pos="2949" w:val="left" w:leader="none"/>
        </w:tabs>
        <w:spacing w:line="240" w:lineRule="auto" w:before="36"/>
        <w:ind w:left="218" w:right="0"/>
        <w:jc w:val="left"/>
      </w:pPr>
      <w:r>
        <w:rPr>
          <w:spacing w:val="-2"/>
        </w:rPr>
        <w:t>法定代表人：徐健</w:t>
        <w:tab/>
        <w:t>主管会计工作负责人：王兴山会计机构负责人：陈晓建</w:t>
      </w:r>
    </w:p>
    <w:p>
      <w:pPr>
        <w:spacing w:after="0" w:line="240" w:lineRule="auto"/>
        <w:jc w:val="left"/>
        <w:sectPr>
          <w:type w:val="continuous"/>
          <w:pgSz w:w="11910" w:h="16840"/>
          <w:pgMar w:top="1120" w:bottom="1380" w:left="1580" w:right="10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880"/>
        </w:sectPr>
      </w:pPr>
    </w:p>
    <w:p>
      <w:pPr>
        <w:spacing w:line="357" w:lineRule="auto" w:before="36"/>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880"/>
          <w:cols w:num="2" w:equalWidth="0">
            <w:col w:w="5399" w:space="40"/>
            <w:col w:w="4011"/>
          </w:cols>
        </w:sectPr>
      </w:pP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3651"/>
        <w:gridCol w:w="1136"/>
        <w:gridCol w:w="2218"/>
        <w:gridCol w:w="2201"/>
      </w:tblGrid>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1,896,550,720.27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2,212,803,050.62</w:t>
            </w: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5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5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5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5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
              <w:jc w:val="right"/>
              <w:rPr>
                <w:rFonts w:ascii="宋体" w:hAnsi="宋体" w:cs="宋体" w:eastAsia="宋体" w:hint="default"/>
                <w:sz w:val="21"/>
                <w:szCs w:val="21"/>
              </w:rPr>
            </w:pPr>
            <w:r>
              <w:rPr>
                <w:rFonts w:ascii="宋体" w:hAnsi="宋体" w:cs="宋体" w:eastAsia="宋体" w:hint="default"/>
                <w:spacing w:val="-20"/>
                <w:sz w:val="21"/>
                <w:szCs w:val="21"/>
              </w:rPr>
              <w:t>七、</w:t>
            </w:r>
            <w:r>
              <w:rPr>
                <w:rFonts w:ascii="宋体" w:hAnsi="宋体" w:cs="宋体" w:eastAsia="宋体" w:hint="default"/>
                <w:spacing w:val="-20"/>
                <w:sz w:val="21"/>
                <w:szCs w:val="21"/>
              </w:rPr>
              <w:t>70</w:t>
            </w:r>
            <w:r>
              <w:rPr>
                <w:rFonts w:ascii="宋体" w:hAnsi="宋体" w:cs="宋体" w:eastAsia="宋体" w:hint="default"/>
                <w:spacing w:val="-20"/>
                <w:sz w:val="21"/>
                <w:szCs w:val="21"/>
              </w:rPr>
              <w:t>（</w:t>
            </w:r>
            <w:r>
              <w:rPr>
                <w:rFonts w:ascii="宋体" w:hAnsi="宋体" w:cs="宋体" w:eastAsia="宋体" w:hint="default"/>
                <w:spacing w:val="-20"/>
                <w:sz w:val="21"/>
                <w:szCs w:val="21"/>
              </w:rPr>
              <w:t>1</w:t>
            </w:r>
            <w:r>
              <w:rPr>
                <w:rFonts w:ascii="宋体" w:hAnsi="宋体" w:cs="宋体" w:eastAsia="宋体" w:hint="default"/>
                <w:spacing w:val="-20"/>
                <w:sz w:val="21"/>
                <w:szCs w:val="21"/>
              </w:rPr>
              <w:t>）</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160,374,201.99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121,788,026.66</w:t>
            </w: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2,056,924,922.26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2,334,591,077.28</w:t>
            </w: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1,138,841,950.88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1,581,994,414.25</w:t>
            </w: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5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176,624,832.73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181,183,570.42</w:t>
            </w:r>
          </w:p>
        </w:tc>
      </w:tr>
      <w:tr>
        <w:trPr>
          <w:trHeight w:val="35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84,764,685.68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148,148,794.82</w:t>
            </w: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7"/>
              <w:jc w:val="right"/>
              <w:rPr>
                <w:rFonts w:ascii="宋体" w:hAnsi="宋体" w:cs="宋体" w:eastAsia="宋体" w:hint="default"/>
                <w:sz w:val="21"/>
                <w:szCs w:val="21"/>
              </w:rPr>
            </w:pPr>
            <w:r>
              <w:rPr>
                <w:rFonts w:ascii="宋体" w:hAnsi="宋体" w:cs="宋体" w:eastAsia="宋体" w:hint="default"/>
                <w:spacing w:val="-20"/>
                <w:sz w:val="21"/>
                <w:szCs w:val="21"/>
              </w:rPr>
              <w:t>七、</w:t>
            </w:r>
            <w:r>
              <w:rPr>
                <w:rFonts w:ascii="宋体" w:hAnsi="宋体" w:cs="宋体" w:eastAsia="宋体" w:hint="default"/>
                <w:spacing w:val="-20"/>
                <w:sz w:val="21"/>
                <w:szCs w:val="21"/>
              </w:rPr>
              <w:t>70</w:t>
            </w:r>
            <w:r>
              <w:rPr>
                <w:rFonts w:ascii="宋体" w:hAnsi="宋体" w:cs="宋体" w:eastAsia="宋体" w:hint="default"/>
                <w:spacing w:val="-20"/>
                <w:sz w:val="21"/>
                <w:szCs w:val="21"/>
              </w:rPr>
              <w:t>（</w:t>
            </w:r>
            <w:r>
              <w:rPr>
                <w:rFonts w:ascii="宋体" w:hAnsi="宋体" w:cs="宋体" w:eastAsia="宋体" w:hint="default"/>
                <w:spacing w:val="-20"/>
                <w:sz w:val="21"/>
                <w:szCs w:val="21"/>
              </w:rPr>
              <w:t>2</w:t>
            </w:r>
            <w:r>
              <w:rPr>
                <w:rFonts w:ascii="宋体" w:hAnsi="宋体" w:cs="宋体" w:eastAsia="宋体" w:hint="default"/>
                <w:spacing w:val="-20"/>
                <w:sz w:val="21"/>
                <w:szCs w:val="21"/>
              </w:rPr>
              <w:t>）</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111,276,193.33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107,639,667.05</w:t>
            </w: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1,511,507,662.62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2,018,966,446.54</w:t>
            </w: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545,417,259.64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315,624,630.74</w:t>
            </w: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169,115,100.00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35,024,498.22</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349,826.00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88,435,578.56</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3,222,489.64</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7"/>
              <w:jc w:val="right"/>
              <w:rPr>
                <w:rFonts w:ascii="宋体" w:hAnsi="宋体" w:cs="宋体" w:eastAsia="宋体" w:hint="default"/>
                <w:sz w:val="21"/>
                <w:szCs w:val="21"/>
              </w:rPr>
            </w:pPr>
            <w:r>
              <w:rPr>
                <w:rFonts w:ascii="宋体" w:hAnsi="宋体" w:cs="宋体" w:eastAsia="宋体" w:hint="default"/>
                <w:spacing w:val="-20"/>
                <w:sz w:val="21"/>
                <w:szCs w:val="21"/>
              </w:rPr>
              <w:t>七、</w:t>
            </w:r>
            <w:r>
              <w:rPr>
                <w:rFonts w:ascii="宋体" w:hAnsi="宋体" w:cs="宋体" w:eastAsia="宋体" w:hint="default"/>
                <w:spacing w:val="-20"/>
                <w:sz w:val="21"/>
                <w:szCs w:val="21"/>
              </w:rPr>
              <w:t>70</w:t>
            </w:r>
            <w:r>
              <w:rPr>
                <w:rFonts w:ascii="宋体" w:hAnsi="宋体" w:cs="宋体" w:eastAsia="宋体" w:hint="default"/>
                <w:spacing w:val="-20"/>
                <w:sz w:val="21"/>
                <w:szCs w:val="21"/>
              </w:rPr>
              <w:t>（</w:t>
            </w:r>
            <w:r>
              <w:rPr>
                <w:rFonts w:ascii="宋体" w:hAnsi="宋体" w:cs="宋体" w:eastAsia="宋体" w:hint="default"/>
                <w:spacing w:val="-20"/>
                <w:sz w:val="21"/>
                <w:szCs w:val="21"/>
              </w:rPr>
              <w:t>3</w:t>
            </w:r>
            <w:r>
              <w:rPr>
                <w:rFonts w:ascii="宋体" w:hAnsi="宋体" w:cs="宋体" w:eastAsia="宋体" w:hint="default"/>
                <w:spacing w:val="-20"/>
                <w:sz w:val="21"/>
                <w:szCs w:val="21"/>
              </w:rPr>
              <w:t>）</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81,453,000.00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4,367,599.70</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8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1136"/>
        <w:gridCol w:w="2218"/>
        <w:gridCol w:w="2201"/>
      </w:tblGrid>
      <w:tr>
        <w:trPr>
          <w:trHeight w:val="35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289,164,913.86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92,803,178.26</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1,032,596,412.73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779,451,284.75</w:t>
            </w:r>
          </w:p>
        </w:tc>
      </w:tr>
      <w:tr>
        <w:trPr>
          <w:trHeight w:val="35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551,000,000.00</w:t>
            </w: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53"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
              <w:jc w:val="right"/>
              <w:rPr>
                <w:rFonts w:ascii="宋体" w:hAnsi="宋体" w:cs="宋体" w:eastAsia="宋体" w:hint="default"/>
                <w:sz w:val="21"/>
                <w:szCs w:val="21"/>
              </w:rPr>
            </w:pPr>
            <w:r>
              <w:rPr>
                <w:rFonts w:ascii="宋体" w:hAnsi="宋体" w:cs="宋体" w:eastAsia="宋体" w:hint="default"/>
                <w:spacing w:val="-20"/>
                <w:sz w:val="21"/>
                <w:szCs w:val="21"/>
              </w:rPr>
              <w:t>七、</w:t>
            </w:r>
            <w:r>
              <w:rPr>
                <w:rFonts w:ascii="宋体" w:hAnsi="宋体" w:cs="宋体" w:eastAsia="宋体" w:hint="default"/>
                <w:spacing w:val="-20"/>
                <w:sz w:val="21"/>
                <w:szCs w:val="21"/>
              </w:rPr>
              <w:t>70</w:t>
            </w:r>
            <w:r>
              <w:rPr>
                <w:rFonts w:ascii="宋体" w:hAnsi="宋体" w:cs="宋体" w:eastAsia="宋体" w:hint="default"/>
                <w:spacing w:val="-20"/>
                <w:sz w:val="21"/>
                <w:szCs w:val="21"/>
              </w:rPr>
              <w:t>（</w:t>
            </w:r>
            <w:r>
              <w:rPr>
                <w:rFonts w:ascii="宋体" w:hAnsi="宋体" w:cs="宋体" w:eastAsia="宋体" w:hint="default"/>
                <w:spacing w:val="-20"/>
                <w:sz w:val="21"/>
                <w:szCs w:val="21"/>
              </w:rPr>
              <w:t>4</w:t>
            </w:r>
            <w:r>
              <w:rPr>
                <w:rFonts w:ascii="宋体" w:hAnsi="宋体" w:cs="宋体" w:eastAsia="宋体" w:hint="default"/>
                <w:spacing w:val="-20"/>
                <w:sz w:val="21"/>
                <w:szCs w:val="21"/>
              </w:rPr>
              <w:t>）</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588,061,405.05</w:t>
            </w: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1,113,596,412.73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1,918,512,689.80</w:t>
            </w: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-824,431,498.87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-1,825,709,511.54</w:t>
            </w:r>
          </w:p>
        </w:tc>
      </w:tr>
      <w:tr>
        <w:trPr>
          <w:trHeight w:val="35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2,663,470,000.00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2,230,307,351.78</w:t>
            </w: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
              <w:jc w:val="right"/>
              <w:rPr>
                <w:rFonts w:ascii="宋体" w:hAnsi="宋体" w:cs="宋体" w:eastAsia="宋体" w:hint="default"/>
                <w:sz w:val="21"/>
                <w:szCs w:val="21"/>
              </w:rPr>
            </w:pPr>
            <w:r>
              <w:rPr>
                <w:rFonts w:ascii="宋体" w:hAnsi="宋体" w:cs="宋体" w:eastAsia="宋体" w:hint="default"/>
                <w:spacing w:val="-20"/>
                <w:sz w:val="21"/>
                <w:szCs w:val="21"/>
              </w:rPr>
              <w:t>七、</w:t>
            </w:r>
            <w:r>
              <w:rPr>
                <w:rFonts w:ascii="宋体" w:hAnsi="宋体" w:cs="宋体" w:eastAsia="宋体" w:hint="default"/>
                <w:spacing w:val="-20"/>
                <w:sz w:val="21"/>
                <w:szCs w:val="21"/>
              </w:rPr>
              <w:t>70</w:t>
            </w:r>
            <w:r>
              <w:rPr>
                <w:rFonts w:ascii="宋体" w:hAnsi="宋体" w:cs="宋体" w:eastAsia="宋体" w:hint="default"/>
                <w:spacing w:val="-20"/>
                <w:sz w:val="21"/>
                <w:szCs w:val="21"/>
              </w:rPr>
              <w:t>（</w:t>
            </w:r>
            <w:r>
              <w:rPr>
                <w:rFonts w:ascii="宋体" w:hAnsi="宋体" w:cs="宋体" w:eastAsia="宋体" w:hint="default"/>
                <w:spacing w:val="-20"/>
                <w:sz w:val="21"/>
                <w:szCs w:val="21"/>
              </w:rPr>
              <w:t>5</w:t>
            </w:r>
            <w:r>
              <w:rPr>
                <w:rFonts w:ascii="宋体" w:hAnsi="宋体" w:cs="宋体" w:eastAsia="宋体" w:hint="default"/>
                <w:spacing w:val="-20"/>
                <w:sz w:val="21"/>
                <w:szCs w:val="21"/>
              </w:rPr>
              <w:t>）</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140,679,456.08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237,399,055.00</w:t>
            </w: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2,804,149,456.08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2,467,706,406.78</w:t>
            </w: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2,465,524,851.78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1,304,090,000.00</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289,722,986.75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281,089,317.00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1,622,774.61</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7"/>
              <w:jc w:val="right"/>
              <w:rPr>
                <w:rFonts w:ascii="宋体" w:hAnsi="宋体" w:cs="宋体" w:eastAsia="宋体" w:hint="default"/>
                <w:sz w:val="21"/>
                <w:szCs w:val="21"/>
              </w:rPr>
            </w:pPr>
            <w:r>
              <w:rPr>
                <w:rFonts w:ascii="宋体" w:hAnsi="宋体" w:cs="宋体" w:eastAsia="宋体" w:hint="default"/>
                <w:spacing w:val="-20"/>
                <w:sz w:val="21"/>
                <w:szCs w:val="21"/>
              </w:rPr>
              <w:t>七、</w:t>
            </w:r>
            <w:r>
              <w:rPr>
                <w:rFonts w:ascii="宋体" w:hAnsi="宋体" w:cs="宋体" w:eastAsia="宋体" w:hint="default"/>
                <w:spacing w:val="-20"/>
                <w:sz w:val="21"/>
                <w:szCs w:val="21"/>
              </w:rPr>
              <w:t>70</w:t>
            </w:r>
            <w:r>
              <w:rPr>
                <w:rFonts w:ascii="宋体" w:hAnsi="宋体" w:cs="宋体" w:eastAsia="宋体" w:hint="default"/>
                <w:spacing w:val="-20"/>
                <w:sz w:val="21"/>
                <w:szCs w:val="21"/>
              </w:rPr>
              <w:t>（</w:t>
            </w:r>
            <w:r>
              <w:rPr>
                <w:rFonts w:ascii="宋体" w:hAnsi="宋体" w:cs="宋体" w:eastAsia="宋体" w:hint="default"/>
                <w:spacing w:val="-20"/>
                <w:sz w:val="21"/>
                <w:szCs w:val="21"/>
              </w:rPr>
              <w:t>6</w:t>
            </w:r>
            <w:r>
              <w:rPr>
                <w:rFonts w:ascii="宋体" w:hAnsi="宋体" w:cs="宋体" w:eastAsia="宋体" w:hint="default"/>
                <w:spacing w:val="-20"/>
                <w:sz w:val="21"/>
                <w:szCs w:val="21"/>
              </w:rPr>
              <w:t>）</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1,301,500.58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3,258,968.28</w:t>
            </w: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2,756,549,339.11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1,588,438,285.28</w:t>
            </w: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47,600,116.97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879,268,121.50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-34,102.68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-67,634.64</w:t>
            </w: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-231,448,224.94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-630,884,393.94</w:t>
            </w:r>
          </w:p>
        </w:tc>
      </w:tr>
      <w:tr>
        <w:trPr>
          <w:trHeight w:val="3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463,852,939.86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1,094,737,333.80</w:t>
            </w:r>
          </w:p>
        </w:tc>
      </w:tr>
      <w:tr>
        <w:trPr>
          <w:trHeight w:val="35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136" w:type="dxa"/>
            <w:tcBorders>
              <w:top w:val="single" w:sz="6" w:space="0" w:color="000000"/>
              <w:left w:val="single" w:sz="6" w:space="0" w:color="000000"/>
              <w:bottom w:val="single" w:sz="6" w:space="0" w:color="000000"/>
              <w:right w:val="single" w:sz="6" w:space="0" w:color="000000"/>
            </w:tcBorders>
          </w:tcPr>
          <w:p>
            <w:pP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232,404,714.92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463,852,939.86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tabs>
          <w:tab w:pos="2949" w:val="left" w:leader="none"/>
        </w:tabs>
        <w:spacing w:line="240" w:lineRule="auto" w:before="36"/>
        <w:ind w:left="218" w:right="0"/>
        <w:jc w:val="left"/>
      </w:pPr>
      <w:r>
        <w:rPr>
          <w:spacing w:val="-2"/>
        </w:rPr>
        <w:t>法定代表人：徐健</w:t>
        <w:tab/>
        <w:t>主管会计工作负责人：王兴山会计机构负责人：陈晓建</w:t>
      </w:r>
    </w:p>
    <w:p>
      <w:pPr>
        <w:spacing w:after="0" w:line="240" w:lineRule="auto"/>
        <w:jc w:val="left"/>
        <w:sectPr>
          <w:pgSz w:w="11910" w:h="16840"/>
          <w:pgMar w:header="877" w:footer="1195" w:top="1100" w:bottom="1380" w:left="1580" w:right="88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760"/>
        </w:sectPr>
      </w:pPr>
    </w:p>
    <w:p>
      <w:pPr>
        <w:spacing w:before="36"/>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760"/>
          <w:cols w:num="2" w:equalWidth="0">
            <w:col w:w="5480" w:space="40"/>
            <w:col w:w="4050"/>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1277"/>
        <w:gridCol w:w="2208"/>
        <w:gridCol w:w="2197"/>
      </w:tblGrid>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42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1,264,581,759.57</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1,924,560,137.62</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718,088,517.59</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346,674,280.38</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1,982,670,277.16</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2,271,234,418.00</w:t>
            </w: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659,970,194.51</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1,520,834,948.86</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150,491,392.68</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154,576,650.42</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55,198,855.70</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95,222,562.40</w:t>
            </w:r>
          </w:p>
        </w:tc>
      </w:tr>
      <w:tr>
        <w:trPr>
          <w:trHeight w:val="2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619,814,864.41</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298,035,858.40</w:t>
            </w: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1,485,475,307.30</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2,068,670,020.08</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497,194,969.86</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202,564,397.92</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169,115,100.00</w:t>
            </w:r>
          </w:p>
        </w:tc>
        <w:tc>
          <w:tcPr>
            <w:tcW w:w="2197"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79,226,929.81</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253,957.60</w:t>
            </w:r>
          </w:p>
        </w:tc>
      </w:tr>
      <w:tr>
        <w:trPr>
          <w:trHeight w:val="49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w:t>
            </w:r>
            <w:r>
              <w:rPr>
                <w:rFonts w:ascii="宋体" w:hAnsi="宋体" w:cs="宋体" w:eastAsia="宋体" w:hint="default"/>
                <w:w w:val="100"/>
                <w:sz w:val="21"/>
                <w:szCs w:val="21"/>
              </w:rPr>
              <w:t> </w:t>
            </w:r>
            <w:r>
              <w:rPr>
                <w:rFonts w:ascii="宋体" w:hAnsi="宋体" w:cs="宋体" w:eastAsia="宋体" w:hint="default"/>
                <w:sz w:val="21"/>
                <w:szCs w:val="21"/>
              </w:rPr>
              <w:t>期资产收回的现金净额</w:t>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20,063,677.27</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88,418,065.82</w:t>
            </w:r>
          </w:p>
        </w:tc>
      </w:tr>
      <w:tr>
        <w:trPr>
          <w:trHeight w:val="49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w:t>
            </w:r>
            <w:r>
              <w:rPr>
                <w:rFonts w:ascii="宋体" w:hAnsi="宋体" w:cs="宋体" w:eastAsia="宋体" w:hint="default"/>
                <w:w w:val="100"/>
                <w:sz w:val="21"/>
                <w:szCs w:val="21"/>
              </w:rPr>
              <w:t> </w:t>
            </w:r>
            <w:r>
              <w:rPr>
                <w:rFonts w:ascii="宋体" w:hAnsi="宋体" w:cs="宋体" w:eastAsia="宋体" w:hint="default"/>
                <w:sz w:val="21"/>
                <w:szCs w:val="21"/>
              </w:rPr>
              <w:t>现金净额</w:t>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4,210,380.00</w:t>
            </w:r>
          </w:p>
        </w:tc>
        <w:tc>
          <w:tcPr>
            <w:tcW w:w="2197"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81,453,000.00</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4,367,599.70</w:t>
            </w: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354,069,087.08</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93,039,623.12</w:t>
            </w:r>
          </w:p>
        </w:tc>
      </w:tr>
      <w:tr>
        <w:trPr>
          <w:trHeight w:val="49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w:t>
            </w:r>
            <w:r>
              <w:rPr>
                <w:rFonts w:ascii="宋体" w:hAnsi="宋体" w:cs="宋体" w:eastAsia="宋体" w:hint="default"/>
                <w:w w:val="100"/>
                <w:sz w:val="21"/>
                <w:szCs w:val="21"/>
              </w:rPr>
              <w:t> </w:t>
            </w:r>
            <w:r>
              <w:rPr>
                <w:rFonts w:ascii="宋体" w:hAnsi="宋体" w:cs="宋体" w:eastAsia="宋体" w:hint="default"/>
                <w:sz w:val="21"/>
                <w:szCs w:val="21"/>
              </w:rPr>
              <w:t>期资产支付的现金</w:t>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1,008,003,559.79</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696,073,464.65</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5,000,000.00</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551,100,000.00</w:t>
            </w:r>
          </w:p>
        </w:tc>
      </w:tr>
      <w:tr>
        <w:trPr>
          <w:trHeight w:val="49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w:t>
            </w:r>
            <w:r>
              <w:rPr>
                <w:rFonts w:ascii="宋体" w:hAnsi="宋体" w:cs="宋体" w:eastAsia="宋体" w:hint="default"/>
                <w:w w:val="100"/>
                <w:sz w:val="21"/>
                <w:szCs w:val="21"/>
              </w:rPr>
              <w:t> </w:t>
            </w:r>
            <w:r>
              <w:rPr>
                <w:rFonts w:ascii="宋体" w:hAnsi="宋体" w:cs="宋体" w:eastAsia="宋体" w:hint="default"/>
                <w:sz w:val="21"/>
                <w:szCs w:val="21"/>
              </w:rPr>
              <w:t>现金净额</w:t>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81,000,000.00</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588,061,405.05</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1,094,003,559.79</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1,835,234,869.70</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-739,934,472.71</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-1,742,195,246.58</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7"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2,663,470,000.00</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2,230,307,351.78</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137,179,456.08</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230,000,000.00</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2,800,649,456.08</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2,460,307,351.78</w:t>
            </w: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2,465,524,851.78</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1,304,090,000.00</w:t>
            </w:r>
          </w:p>
        </w:tc>
      </w:tr>
      <w:tr>
        <w:trPr>
          <w:trHeight w:val="49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分配股利、利润或偿付利息支付的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288,100,212.15</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279,504,854.95</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798,848.87</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3,258,968.28</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2,754,423,912.80</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1,586,853,823.23</w:t>
            </w: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46,225,543.28</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873,453,528.55</w:t>
            </w:r>
          </w:p>
        </w:tc>
      </w:tr>
      <w:tr>
        <w:trPr>
          <w:trHeight w:val="49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159"/>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b/>
                <w:bCs/>
                <w:w w:val="100"/>
                <w:sz w:val="21"/>
                <w:szCs w:val="21"/>
              </w:rPr>
              <w:t> </w:t>
            </w:r>
            <w:r>
              <w:rPr>
                <w:rFonts w:ascii="宋体" w:hAnsi="宋体" w:cs="宋体" w:eastAsia="宋体" w:hint="default"/>
                <w:b/>
                <w:bCs/>
                <w:sz w:val="21"/>
                <w:szCs w:val="21"/>
              </w:rPr>
              <w:t>影响</w:t>
            </w:r>
            <w:r>
              <w:rPr>
                <w:rFonts w:ascii="宋体" w:hAnsi="宋体" w:cs="宋体" w:eastAsia="宋体" w:hint="default"/>
                <w:sz w:val="21"/>
                <w:szCs w:val="21"/>
              </w:rPr>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-97,337.71</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-62,763.50</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-196,611,297.28</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-666,240,083.61</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357,394,404.09</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1,023,634,487.70</w:t>
            </w: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277"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160,783,106.81</w:t>
            </w:r>
          </w:p>
        </w:tc>
        <w:tc>
          <w:tcPr>
            <w:tcW w:w="219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357,394,404.09</w:t>
            </w:r>
          </w:p>
        </w:tc>
      </w:tr>
    </w:tbl>
    <w:p>
      <w:pPr>
        <w:pStyle w:val="BodyText"/>
        <w:tabs>
          <w:tab w:pos="2949" w:val="left" w:leader="none"/>
        </w:tabs>
        <w:spacing w:line="241" w:lineRule="exact"/>
        <w:ind w:left="218" w:right="0"/>
        <w:jc w:val="left"/>
      </w:pPr>
      <w:r>
        <w:rPr>
          <w:spacing w:val="-2"/>
        </w:rPr>
        <w:t>法定代表人：徐健</w:t>
        <w:tab/>
        <w:t>主管会计工作负责人：王兴山会计机构负责人：陈晓建</w:t>
      </w:r>
    </w:p>
    <w:p>
      <w:pPr>
        <w:spacing w:after="0" w:line="241" w:lineRule="exact"/>
        <w:jc w:val="left"/>
        <w:sectPr>
          <w:type w:val="continuous"/>
          <w:pgSz w:w="11910" w:h="16840"/>
          <w:pgMar w:top="1120" w:bottom="1380" w:left="1580" w:right="76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24"/>
          <w:footerReference w:type="default" r:id="rId25"/>
          <w:pgSz w:w="16840" w:h="11910" w:orient="landscape"/>
          <w:pgMar w:header="882" w:footer="1195" w:top="1120" w:bottom="1380" w:left="420" w:right="1160"/>
          <w:pgNumType w:start="48"/>
        </w:sectPr>
      </w:pPr>
    </w:p>
    <w:p>
      <w:pPr>
        <w:spacing w:before="36"/>
        <w:ind w:left="726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420" w:right="1160"/>
          <w:cols w:num="2" w:equalWidth="0">
            <w:col w:w="9086" w:space="40"/>
            <w:col w:w="6134"/>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95"/>
        <w:gridCol w:w="1394"/>
        <w:gridCol w:w="709"/>
        <w:gridCol w:w="708"/>
        <w:gridCol w:w="566"/>
        <w:gridCol w:w="1378"/>
        <w:gridCol w:w="608"/>
        <w:gridCol w:w="569"/>
        <w:gridCol w:w="1133"/>
        <w:gridCol w:w="1135"/>
        <w:gridCol w:w="709"/>
        <w:gridCol w:w="1133"/>
        <w:gridCol w:w="1277"/>
        <w:gridCol w:w="1419"/>
      </w:tblGrid>
      <w:tr>
        <w:trPr>
          <w:trHeight w:val="250" w:hRule="exact"/>
        </w:trPr>
        <w:tc>
          <w:tcPr>
            <w:tcW w:w="22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273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593" w:right="0"/>
              <w:jc w:val="center"/>
              <w:rPr>
                <w:rFonts w:ascii="宋体" w:hAnsi="宋体" w:cs="宋体" w:eastAsia="宋体" w:hint="default"/>
                <w:sz w:val="13"/>
                <w:szCs w:val="13"/>
              </w:rPr>
            </w:pPr>
            <w:r>
              <w:rPr>
                <w:rFonts w:ascii="宋体" w:hAnsi="宋体" w:cs="宋体" w:eastAsia="宋体" w:hint="default"/>
                <w:sz w:val="13"/>
                <w:szCs w:val="13"/>
              </w:rPr>
              <w:t>本期</w:t>
            </w:r>
          </w:p>
        </w:tc>
      </w:tr>
      <w:tr>
        <w:trPr>
          <w:trHeight w:val="550" w:hRule="exact"/>
        </w:trPr>
        <w:tc>
          <w:tcPr>
            <w:tcW w:w="2295" w:type="dxa"/>
            <w:vMerge/>
            <w:tcBorders>
              <w:left w:val="single" w:sz="4" w:space="0" w:color="000000"/>
              <w:right w:val="single" w:sz="4" w:space="0" w:color="000000"/>
            </w:tcBorders>
          </w:tcPr>
          <w:p>
            <w:pPr/>
          </w:p>
        </w:tc>
        <w:tc>
          <w:tcPr>
            <w:tcW w:w="1004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588"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2"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9"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62" w:hRule="exact"/>
        </w:trPr>
        <w:tc>
          <w:tcPr>
            <w:tcW w:w="2295" w:type="dxa"/>
            <w:vMerge/>
            <w:tcBorders>
              <w:left w:val="single" w:sz="4" w:space="0" w:color="000000"/>
              <w:right w:val="single" w:sz="4" w:space="0" w:color="000000"/>
            </w:tcBorders>
          </w:tcPr>
          <w:p>
            <w:pPr/>
          </w:p>
        </w:tc>
        <w:tc>
          <w:tcPr>
            <w:tcW w:w="13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19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97"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3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424"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60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38" w:lineRule="auto"/>
              <w:ind w:left="167" w:right="105" w:hanging="65"/>
              <w:jc w:val="left"/>
              <w:rPr>
                <w:rFonts w:ascii="宋体" w:hAnsi="宋体" w:cs="宋体" w:eastAsia="宋体" w:hint="default"/>
                <w:sz w:val="13"/>
                <w:szCs w:val="13"/>
              </w:rPr>
            </w:pPr>
            <w:r>
              <w:rPr>
                <w:rFonts w:ascii="宋体" w:hAnsi="宋体" w:cs="宋体" w:eastAsia="宋体" w:hint="default"/>
                <w:sz w:val="13"/>
                <w:szCs w:val="13"/>
              </w:rPr>
              <w:t>减：库</w:t>
            </w:r>
            <w:r>
              <w:rPr>
                <w:rFonts w:ascii="宋体" w:hAnsi="宋体" w:cs="宋体" w:eastAsia="宋体" w:hint="default"/>
                <w:w w:val="99"/>
                <w:sz w:val="13"/>
                <w:szCs w:val="13"/>
              </w:rPr>
              <w:t> </w:t>
            </w:r>
            <w:r>
              <w:rPr>
                <w:rFonts w:ascii="宋体" w:hAnsi="宋体" w:cs="宋体" w:eastAsia="宋体" w:hint="default"/>
                <w:sz w:val="13"/>
                <w:szCs w:val="13"/>
              </w:rPr>
              <w:t>存股</w:t>
            </w:r>
          </w:p>
        </w:tc>
        <w:tc>
          <w:tcPr>
            <w:tcW w:w="569" w:type="dxa"/>
            <w:vMerge w:val="restart"/>
            <w:tcBorders>
              <w:top w:val="single" w:sz="4" w:space="0" w:color="000000"/>
              <w:left w:val="single" w:sz="4" w:space="0" w:color="000000"/>
              <w:right w:val="single" w:sz="4" w:space="0" w:color="000000"/>
            </w:tcBorders>
          </w:tcPr>
          <w:p>
            <w:pPr>
              <w:pStyle w:val="TableParagraph"/>
              <w:spacing w:line="338" w:lineRule="auto" w:before="47"/>
              <w:ind w:left="151" w:right="146"/>
              <w:jc w:val="both"/>
              <w:rPr>
                <w:rFonts w:ascii="宋体" w:hAnsi="宋体" w:cs="宋体" w:eastAsia="宋体" w:hint="default"/>
                <w:sz w:val="13"/>
                <w:szCs w:val="13"/>
              </w:rPr>
            </w:pPr>
            <w:r>
              <w:rPr>
                <w:rFonts w:ascii="宋体" w:hAnsi="宋体" w:cs="宋体" w:eastAsia="宋体" w:hint="default"/>
                <w:sz w:val="13"/>
                <w:szCs w:val="13"/>
              </w:rPr>
              <w:t>其他</w:t>
            </w:r>
            <w:r>
              <w:rPr>
                <w:rFonts w:ascii="宋体" w:hAnsi="宋体" w:cs="宋体" w:eastAsia="宋体" w:hint="default"/>
                <w:w w:val="99"/>
                <w:sz w:val="13"/>
                <w:szCs w:val="13"/>
              </w:rPr>
              <w:t> </w:t>
            </w:r>
            <w:r>
              <w:rPr>
                <w:rFonts w:ascii="宋体" w:hAnsi="宋体" w:cs="宋体" w:eastAsia="宋体" w:hint="default"/>
                <w:sz w:val="13"/>
                <w:szCs w:val="13"/>
              </w:rPr>
              <w:t>综合</w:t>
            </w:r>
            <w:r>
              <w:rPr>
                <w:rFonts w:ascii="宋体" w:hAnsi="宋体" w:cs="宋体" w:eastAsia="宋体" w:hint="default"/>
                <w:w w:val="99"/>
                <w:sz w:val="13"/>
                <w:szCs w:val="13"/>
              </w:rPr>
              <w:t> </w:t>
            </w:r>
            <w:r>
              <w:rPr>
                <w:rFonts w:ascii="宋体" w:hAnsi="宋体" w:cs="宋体" w:eastAsia="宋体" w:hint="default"/>
                <w:sz w:val="13"/>
                <w:szCs w:val="13"/>
              </w:rPr>
              <w:t>收益</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300"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299"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38" w:lineRule="auto"/>
              <w:ind w:left="153" w:right="154"/>
              <w:jc w:val="left"/>
              <w:rPr>
                <w:rFonts w:ascii="宋体" w:hAnsi="宋体" w:cs="宋体" w:eastAsia="宋体" w:hint="default"/>
                <w:sz w:val="13"/>
                <w:szCs w:val="13"/>
              </w:rPr>
            </w:pPr>
            <w:r>
              <w:rPr>
                <w:rFonts w:ascii="宋体" w:hAnsi="宋体" w:cs="宋体" w:eastAsia="宋体" w:hint="default"/>
                <w:sz w:val="13"/>
                <w:szCs w:val="13"/>
              </w:rPr>
              <w:t>一般风</w:t>
            </w:r>
            <w:r>
              <w:rPr>
                <w:rFonts w:ascii="宋体" w:hAnsi="宋体" w:cs="宋体" w:eastAsia="宋体" w:hint="default"/>
                <w:w w:val="99"/>
                <w:sz w:val="13"/>
                <w:szCs w:val="13"/>
              </w:rPr>
              <w:t> </w:t>
            </w:r>
            <w:r>
              <w:rPr>
                <w:rFonts w:ascii="宋体" w:hAnsi="宋体" w:cs="宋体" w:eastAsia="宋体" w:hint="default"/>
                <w:sz w:val="13"/>
                <w:szCs w:val="13"/>
              </w:rPr>
              <w:t>险准备</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235"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277"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r>
      <w:tr>
        <w:trPr>
          <w:trHeight w:val="368" w:hRule="exact"/>
        </w:trPr>
        <w:tc>
          <w:tcPr>
            <w:tcW w:w="2295" w:type="dxa"/>
            <w:vMerge/>
            <w:tcBorders>
              <w:left w:val="single" w:sz="4" w:space="0" w:color="000000"/>
              <w:bottom w:val="single" w:sz="4" w:space="0" w:color="000000"/>
              <w:right w:val="single" w:sz="4" w:space="0" w:color="000000"/>
            </w:tcBorders>
          </w:tcPr>
          <w:p>
            <w:pPr/>
          </w:p>
        </w:tc>
        <w:tc>
          <w:tcPr>
            <w:tcW w:w="1394" w:type="dxa"/>
            <w:vMerge/>
            <w:tcBorders>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53"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53"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48"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378" w:type="dxa"/>
            <w:vMerge/>
            <w:tcBorders>
              <w:left w:val="single" w:sz="4" w:space="0" w:color="000000"/>
              <w:bottom w:val="single" w:sz="4" w:space="0" w:color="000000"/>
              <w:right w:val="single" w:sz="4" w:space="0" w:color="000000"/>
            </w:tcBorders>
          </w:tcPr>
          <w:p>
            <w:pPr/>
          </w:p>
        </w:tc>
        <w:tc>
          <w:tcPr>
            <w:tcW w:w="608"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r>
      <w:tr>
        <w:trPr>
          <w:trHeight w:val="178"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2,002,291,500.00</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24" w:right="0"/>
              <w:jc w:val="center"/>
              <w:rPr>
                <w:rFonts w:ascii="宋体" w:hAnsi="宋体" w:cs="宋体" w:eastAsia="宋体" w:hint="default"/>
                <w:sz w:val="13"/>
                <w:szCs w:val="13"/>
              </w:rPr>
            </w:pPr>
            <w:r>
              <w:rPr>
                <w:rFonts w:ascii="宋体"/>
                <w:sz w:val="13"/>
              </w:rPr>
              <w:t>2,663,512,625.64</w:t>
            </w:r>
          </w:p>
        </w:tc>
        <w:tc>
          <w:tcPr>
            <w:tcW w:w="6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5,598,313.76</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320,437,791.06</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822,092,162.18</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137,058,002.31</w:t>
            </w:r>
            <w:r>
              <w:rPr>
                <w:rFonts w:ascii="宋体"/>
                <w:sz w:val="13"/>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5,950,990,394.95</w:t>
            </w:r>
            <w:r>
              <w:rPr>
                <w:rFonts w:ascii="宋体"/>
                <w:sz w:val="13"/>
              </w:rPr>
            </w:r>
          </w:p>
        </w:tc>
      </w:tr>
      <w:tr>
        <w:trPr>
          <w:trHeight w:val="180"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5"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4"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4"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4"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-2,290.86</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2,290.86</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2,002,291,500.00</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24" w:right="0"/>
              <w:jc w:val="center"/>
              <w:rPr>
                <w:rFonts w:ascii="宋体" w:hAnsi="宋体" w:cs="宋体" w:eastAsia="宋体" w:hint="default"/>
                <w:sz w:val="13"/>
                <w:szCs w:val="13"/>
              </w:rPr>
            </w:pPr>
            <w:r>
              <w:rPr>
                <w:rFonts w:ascii="宋体"/>
                <w:sz w:val="13"/>
              </w:rPr>
              <w:t>2,663,512,625.64</w:t>
            </w:r>
          </w:p>
        </w:tc>
        <w:tc>
          <w:tcPr>
            <w:tcW w:w="6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5,598,313.76</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320,435,500.20</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822,094,453.04</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137,058,002.31</w:t>
            </w:r>
            <w:r>
              <w:rPr>
                <w:rFonts w:ascii="宋体"/>
                <w:sz w:val="13"/>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5,950,990,394.95</w:t>
            </w:r>
            <w:r>
              <w:rPr>
                <w:rFonts w:ascii="宋体"/>
                <w:sz w:val="13"/>
              </w:rPr>
            </w:r>
          </w:p>
        </w:tc>
      </w:tr>
      <w:tr>
        <w:trPr>
          <w:trHeight w:val="346"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5" w:right="0"/>
              <w:jc w:val="left"/>
              <w:rPr>
                <w:rFonts w:ascii="宋体" w:hAnsi="宋体" w:cs="宋体" w:eastAsia="宋体" w:hint="default"/>
                <w:sz w:val="13"/>
                <w:szCs w:val="13"/>
              </w:rPr>
            </w:pPr>
            <w:r>
              <w:rPr>
                <w:rFonts w:ascii="宋体" w:hAnsi="宋体" w:cs="宋体" w:eastAsia="宋体" w:hint="default"/>
                <w:sz w:val="13"/>
                <w:szCs w:val="13"/>
              </w:rPr>
              <w:t>三、本期增减变动金额（减少以</w:t>
            </w:r>
          </w:p>
          <w:p>
            <w:pPr>
              <w:pStyle w:val="TableParagraph"/>
              <w:spacing w:line="169" w:lineRule="exact"/>
              <w:ind w:left="105" w:right="0"/>
              <w:jc w:val="left"/>
              <w:rPr>
                <w:rFonts w:ascii="宋体" w:hAnsi="宋体" w:cs="宋体" w:eastAsia="宋体" w:hint="default"/>
                <w:sz w:val="13"/>
                <w:szCs w:val="13"/>
              </w:rPr>
            </w:pPr>
            <w:r>
              <w:rPr>
                <w:rFonts w:ascii="宋体" w:hAnsi="宋体" w:cs="宋体" w:eastAsia="宋体" w:hint="default"/>
                <w:sz w:val="13"/>
                <w:szCs w:val="13"/>
              </w:rPr>
              <w:t>“－”号填列）</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8,419,306.84</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23,200,166.60</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37,787,768.17</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-5,201,420.41</w:t>
            </w:r>
            <w:r>
              <w:rPr>
                <w:rFonts w:ascii="宋体"/>
                <w:sz w:val="13"/>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64,205,821.20</w:t>
            </w:r>
            <w:r>
              <w:rPr>
                <w:rFonts w:ascii="宋体"/>
                <w:sz w:val="13"/>
              </w:rPr>
            </w:r>
          </w:p>
        </w:tc>
      </w:tr>
      <w:tr>
        <w:trPr>
          <w:trHeight w:val="180"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129,065,845.77</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406,131.23</w:t>
            </w:r>
            <w:r>
              <w:rPr>
                <w:rFonts w:ascii="宋体"/>
                <w:sz w:val="13"/>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129,471,977.00</w:t>
            </w:r>
            <w:r>
              <w:rPr>
                <w:rFonts w:ascii="宋体"/>
                <w:sz w:val="13"/>
              </w:rPr>
            </w:r>
          </w:p>
        </w:tc>
      </w:tr>
      <w:tr>
        <w:trPr>
          <w:trHeight w:val="178"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-4,331,813.07</w:t>
            </w:r>
            <w:r>
              <w:rPr>
                <w:rFonts w:ascii="宋体"/>
                <w:sz w:val="13"/>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-4,331,813.07</w:t>
            </w:r>
            <w:r>
              <w:rPr>
                <w:rFonts w:ascii="宋体"/>
                <w:sz w:val="13"/>
              </w:rPr>
            </w:r>
          </w:p>
        </w:tc>
      </w:tr>
      <w:tr>
        <w:trPr>
          <w:trHeight w:val="178"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．股东投入的普通股</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-490,000.00</w:t>
            </w:r>
            <w:r>
              <w:rPr>
                <w:rFonts w:ascii="宋体"/>
                <w:sz w:val="13"/>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-490,000.00</w:t>
            </w:r>
            <w:r>
              <w:rPr>
                <w:rFonts w:ascii="宋体"/>
                <w:sz w:val="13"/>
              </w:rPr>
            </w:r>
          </w:p>
        </w:tc>
      </w:tr>
      <w:tr>
        <w:trPr>
          <w:trHeight w:val="180"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5"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．其他权益工具持有者投入资本</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．股份支付计入所有者权益的金额</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5"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3"/>
              <w:jc w:val="right"/>
              <w:rPr>
                <w:rFonts w:ascii="宋体" w:hAnsi="宋体" w:cs="宋体" w:eastAsia="宋体" w:hint="default"/>
                <w:sz w:val="13"/>
                <w:szCs w:val="13"/>
              </w:rPr>
            </w:pPr>
            <w:r>
              <w:rPr>
                <w:rFonts w:ascii="宋体"/>
                <w:w w:val="95"/>
                <w:sz w:val="13"/>
              </w:rPr>
              <w:t>-3,841,813.07</w:t>
            </w:r>
            <w:r>
              <w:rPr>
                <w:rFonts w:ascii="宋体"/>
                <w:sz w:val="13"/>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3"/>
              <w:jc w:val="right"/>
              <w:rPr>
                <w:rFonts w:ascii="宋体" w:hAnsi="宋体" w:cs="宋体" w:eastAsia="宋体" w:hint="default"/>
                <w:sz w:val="13"/>
                <w:szCs w:val="13"/>
              </w:rPr>
            </w:pPr>
            <w:r>
              <w:rPr>
                <w:rFonts w:ascii="宋体"/>
                <w:w w:val="95"/>
                <w:sz w:val="13"/>
              </w:rPr>
              <w:t>-3,841,813.07</w:t>
            </w:r>
            <w:r>
              <w:rPr>
                <w:rFonts w:ascii="宋体"/>
                <w:sz w:val="13"/>
              </w:rPr>
            </w:r>
          </w:p>
        </w:tc>
      </w:tr>
      <w:tr>
        <w:trPr>
          <w:trHeight w:val="178"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23,200,166.60</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-91,278,077.60</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-1,445,672.59</w:t>
            </w:r>
            <w:r>
              <w:rPr>
                <w:rFonts w:ascii="宋体"/>
                <w:sz w:val="13"/>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-69,523,583.59</w:t>
            </w:r>
            <w:r>
              <w:rPr>
                <w:rFonts w:ascii="宋体"/>
                <w:sz w:val="13"/>
              </w:rPr>
            </w:r>
          </w:p>
        </w:tc>
      </w:tr>
      <w:tr>
        <w:trPr>
          <w:trHeight w:val="180"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23,200,166.60</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-23,200,166.60</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．提取一般风险准备</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．对所有者（或股东）的分配</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-68,077,911.00</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-1,445,672.59</w:t>
            </w:r>
            <w:r>
              <w:rPr>
                <w:rFonts w:ascii="宋体"/>
                <w:sz w:val="13"/>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-69,523,583.59</w:t>
            </w:r>
            <w:r>
              <w:rPr>
                <w:rFonts w:ascii="宋体"/>
                <w:sz w:val="13"/>
              </w:rPr>
            </w:r>
          </w:p>
        </w:tc>
      </w:tr>
      <w:tr>
        <w:trPr>
          <w:trHeight w:val="180"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5"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．资本公积转增资本（或股本）</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．盈余公积转增资本（或股本）</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5"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8,419,306.84</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169,934.02</w:t>
            </w:r>
            <w:r>
              <w:rPr>
                <w:rFonts w:ascii="宋体"/>
                <w:sz w:val="13"/>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8,589,240.86</w:t>
            </w:r>
            <w:r>
              <w:rPr>
                <w:rFonts w:ascii="宋体"/>
                <w:sz w:val="13"/>
              </w:rPr>
            </w:r>
          </w:p>
        </w:tc>
      </w:tr>
      <w:tr>
        <w:trPr>
          <w:trHeight w:val="180"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15,937,738.24</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381,242.58</w:t>
            </w:r>
            <w:r>
              <w:rPr>
                <w:rFonts w:ascii="宋体"/>
                <w:sz w:val="13"/>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16,318,980.82</w:t>
            </w:r>
            <w:r>
              <w:rPr>
                <w:rFonts w:ascii="宋体"/>
                <w:sz w:val="13"/>
              </w:rPr>
            </w:r>
          </w:p>
        </w:tc>
      </w:tr>
      <w:tr>
        <w:trPr>
          <w:trHeight w:val="178"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7,518,431.40</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211,308.56</w:t>
            </w:r>
            <w:r>
              <w:rPr>
                <w:rFonts w:ascii="宋体"/>
                <w:sz w:val="13"/>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7,729,739.96</w:t>
            </w:r>
            <w:r>
              <w:rPr>
                <w:rFonts w:ascii="宋体"/>
                <w:sz w:val="13"/>
              </w:rPr>
            </w:r>
          </w:p>
        </w:tc>
      </w:tr>
      <w:tr>
        <w:trPr>
          <w:trHeight w:val="1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3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2,002,291,500.00</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24" w:right="0"/>
              <w:jc w:val="center"/>
              <w:rPr>
                <w:rFonts w:ascii="宋体" w:hAnsi="宋体" w:cs="宋体" w:eastAsia="宋体" w:hint="default"/>
                <w:sz w:val="13"/>
                <w:szCs w:val="13"/>
              </w:rPr>
            </w:pPr>
            <w:r>
              <w:rPr>
                <w:rFonts w:ascii="宋体"/>
                <w:sz w:val="13"/>
              </w:rPr>
              <w:t>2,663,512,625.64</w:t>
            </w:r>
          </w:p>
        </w:tc>
        <w:tc>
          <w:tcPr>
            <w:tcW w:w="6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14,017,620.60</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343,635,666.80</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859,882,221.21</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131,856,581.90</w:t>
            </w:r>
            <w:r>
              <w:rPr>
                <w:rFonts w:ascii="宋体"/>
                <w:sz w:val="13"/>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6,015,196,216.15</w:t>
            </w:r>
            <w:r>
              <w:rPr>
                <w:rFonts w:ascii="宋体"/>
                <w:sz w:val="13"/>
              </w:rPr>
            </w:r>
          </w:p>
        </w:tc>
      </w:tr>
    </w:tbl>
    <w:p>
      <w:pPr>
        <w:spacing w:after="0" w:line="145" w:lineRule="exact"/>
        <w:jc w:val="right"/>
        <w:rPr>
          <w:rFonts w:ascii="宋体" w:hAnsi="宋体" w:cs="宋体" w:eastAsia="宋体" w:hint="default"/>
          <w:sz w:val="13"/>
          <w:szCs w:val="13"/>
        </w:rPr>
        <w:sectPr>
          <w:type w:val="continuous"/>
          <w:pgSz w:w="16840" w:h="11910" w:orient="landscape"/>
          <w:pgMar w:top="1120" w:bottom="1380" w:left="420" w:right="11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285"/>
        <w:gridCol w:w="1260"/>
        <w:gridCol w:w="674"/>
        <w:gridCol w:w="709"/>
        <w:gridCol w:w="566"/>
        <w:gridCol w:w="1313"/>
        <w:gridCol w:w="708"/>
        <w:gridCol w:w="711"/>
        <w:gridCol w:w="1133"/>
        <w:gridCol w:w="1274"/>
        <w:gridCol w:w="711"/>
        <w:gridCol w:w="1133"/>
        <w:gridCol w:w="1277"/>
        <w:gridCol w:w="1472"/>
      </w:tblGrid>
      <w:tr>
        <w:trPr>
          <w:trHeight w:val="250"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294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596" w:right="0"/>
              <w:jc w:val="center"/>
              <w:rPr>
                <w:rFonts w:ascii="宋体" w:hAnsi="宋体" w:cs="宋体" w:eastAsia="宋体" w:hint="default"/>
                <w:sz w:val="13"/>
                <w:szCs w:val="13"/>
              </w:rPr>
            </w:pPr>
            <w:r>
              <w:rPr>
                <w:rFonts w:ascii="宋体" w:hAnsi="宋体" w:cs="宋体" w:eastAsia="宋体" w:hint="default"/>
                <w:sz w:val="13"/>
                <w:szCs w:val="13"/>
              </w:rPr>
              <w:t>上期</w:t>
            </w:r>
          </w:p>
        </w:tc>
      </w:tr>
      <w:tr>
        <w:trPr>
          <w:trHeight w:val="482" w:hRule="exact"/>
        </w:trPr>
        <w:tc>
          <w:tcPr>
            <w:tcW w:w="2285" w:type="dxa"/>
            <w:vMerge/>
            <w:tcBorders>
              <w:left w:val="single" w:sz="4" w:space="0" w:color="000000"/>
              <w:right w:val="single" w:sz="4" w:space="0" w:color="000000"/>
            </w:tcBorders>
          </w:tcPr>
          <w:p>
            <w:pPr/>
          </w:p>
        </w:tc>
        <w:tc>
          <w:tcPr>
            <w:tcW w:w="1019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595"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4"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4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6"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91" w:hRule="exact"/>
        </w:trPr>
        <w:tc>
          <w:tcPr>
            <w:tcW w:w="2285" w:type="dxa"/>
            <w:vMerge/>
            <w:tcBorders>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2"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19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580"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391"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338" w:lineRule="auto"/>
              <w:ind w:left="283" w:right="101" w:hanging="180"/>
              <w:jc w:val="left"/>
              <w:rPr>
                <w:rFonts w:ascii="宋体" w:hAnsi="宋体" w:cs="宋体" w:eastAsia="宋体" w:hint="default"/>
                <w:sz w:val="13"/>
                <w:szCs w:val="13"/>
              </w:rPr>
            </w:pPr>
            <w:r>
              <w:rPr>
                <w:rFonts w:ascii="宋体" w:hAnsi="宋体" w:cs="宋体" w:eastAsia="宋体" w:hint="default"/>
                <w:spacing w:val="-7"/>
                <w:sz w:val="13"/>
                <w:szCs w:val="13"/>
              </w:rPr>
              <w:t>减：库存</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338" w:lineRule="auto"/>
              <w:ind w:left="153" w:right="156"/>
              <w:jc w:val="left"/>
              <w:rPr>
                <w:rFonts w:ascii="宋体" w:hAnsi="宋体" w:cs="宋体" w:eastAsia="宋体" w:hint="default"/>
                <w:sz w:val="13"/>
                <w:szCs w:val="13"/>
              </w:rPr>
            </w:pPr>
            <w:r>
              <w:rPr>
                <w:rFonts w:ascii="宋体" w:hAnsi="宋体" w:cs="宋体" w:eastAsia="宋体" w:hint="default"/>
                <w:sz w:val="13"/>
                <w:szCs w:val="13"/>
              </w:rPr>
              <w:t>其他综</w:t>
            </w:r>
            <w:r>
              <w:rPr>
                <w:rFonts w:ascii="宋体" w:hAnsi="宋体" w:cs="宋体" w:eastAsia="宋体" w:hint="default"/>
                <w:w w:val="99"/>
                <w:sz w:val="13"/>
                <w:szCs w:val="13"/>
              </w:rPr>
              <w:t> </w:t>
            </w:r>
            <w:r>
              <w:rPr>
                <w:rFonts w:ascii="宋体" w:hAnsi="宋体" w:cs="宋体" w:eastAsia="宋体" w:hint="default"/>
                <w:sz w:val="13"/>
                <w:szCs w:val="13"/>
              </w:rPr>
              <w:t>合收益</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300"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371"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338" w:lineRule="auto"/>
              <w:ind w:left="156" w:right="154"/>
              <w:jc w:val="left"/>
              <w:rPr>
                <w:rFonts w:ascii="宋体" w:hAnsi="宋体" w:cs="宋体" w:eastAsia="宋体" w:hint="default"/>
                <w:sz w:val="13"/>
                <w:szCs w:val="13"/>
              </w:rPr>
            </w:pPr>
            <w:r>
              <w:rPr>
                <w:rFonts w:ascii="宋体" w:hAnsi="宋体" w:cs="宋体" w:eastAsia="宋体" w:hint="default"/>
                <w:sz w:val="13"/>
                <w:szCs w:val="13"/>
              </w:rPr>
              <w:t>一般风</w:t>
            </w:r>
            <w:r>
              <w:rPr>
                <w:rFonts w:ascii="宋体" w:hAnsi="宋体" w:cs="宋体" w:eastAsia="宋体" w:hint="default"/>
                <w:w w:val="99"/>
                <w:sz w:val="13"/>
                <w:szCs w:val="13"/>
              </w:rPr>
              <w:t> </w:t>
            </w:r>
            <w:r>
              <w:rPr>
                <w:rFonts w:ascii="宋体" w:hAnsi="宋体" w:cs="宋体" w:eastAsia="宋体" w:hint="default"/>
                <w:sz w:val="13"/>
                <w:szCs w:val="13"/>
              </w:rPr>
              <w:t>险准备</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235"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277" w:type="dxa"/>
            <w:vMerge/>
            <w:tcBorders>
              <w:left w:val="single" w:sz="4" w:space="0" w:color="000000"/>
              <w:right w:val="single" w:sz="4" w:space="0" w:color="000000"/>
            </w:tcBorders>
          </w:tcPr>
          <w:p>
            <w:pPr/>
          </w:p>
        </w:tc>
        <w:tc>
          <w:tcPr>
            <w:tcW w:w="1472" w:type="dxa"/>
            <w:vMerge/>
            <w:tcBorders>
              <w:left w:val="single" w:sz="4" w:space="0" w:color="000000"/>
              <w:right w:val="single" w:sz="4" w:space="0" w:color="000000"/>
            </w:tcBorders>
          </w:tcPr>
          <w:p>
            <w:pPr/>
          </w:p>
        </w:tc>
      </w:tr>
      <w:tr>
        <w:trPr>
          <w:trHeight w:val="314" w:hRule="exact"/>
        </w:trPr>
        <w:tc>
          <w:tcPr>
            <w:tcW w:w="2285"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36"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54"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51"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313"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472" w:type="dxa"/>
            <w:vMerge/>
            <w:tcBorders>
              <w:left w:val="single" w:sz="4" w:space="0" w:color="000000"/>
              <w:bottom w:val="single" w:sz="4" w:space="0" w:color="000000"/>
              <w:right w:val="single" w:sz="4" w:space="0" w:color="000000"/>
            </w:tcBorders>
          </w:tcPr>
          <w:p>
            <w:pPr/>
          </w:p>
        </w:tc>
      </w:tr>
      <w:tr>
        <w:trPr>
          <w:trHeight w:val="1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2,002,291,500.00</w:t>
            </w:r>
            <w:r>
              <w:rPr>
                <w:rFonts w:ascii="宋体"/>
                <w:sz w:val="13"/>
              </w:rPr>
            </w:r>
          </w:p>
        </w:tc>
        <w:tc>
          <w:tcPr>
            <w:tcW w:w="6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55" w:right="0"/>
              <w:jc w:val="center"/>
              <w:rPr>
                <w:rFonts w:ascii="宋体" w:hAnsi="宋体" w:cs="宋体" w:eastAsia="宋体" w:hint="default"/>
                <w:sz w:val="13"/>
                <w:szCs w:val="13"/>
              </w:rPr>
            </w:pPr>
            <w:r>
              <w:rPr>
                <w:rFonts w:ascii="宋体"/>
                <w:sz w:val="13"/>
              </w:rPr>
              <w:t>2,663,512,625.64</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294,368,998.20</w:t>
            </w:r>
            <w:r>
              <w:rPr>
                <w:rFonts w:ascii="宋体"/>
                <w:sz w:val="13"/>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4" w:right="0"/>
              <w:jc w:val="center"/>
              <w:rPr>
                <w:rFonts w:ascii="宋体" w:hAnsi="宋体" w:cs="宋体" w:eastAsia="宋体" w:hint="default"/>
                <w:sz w:val="13"/>
                <w:szCs w:val="13"/>
              </w:rPr>
            </w:pPr>
            <w:r>
              <w:rPr>
                <w:rFonts w:ascii="宋体"/>
                <w:sz w:val="13"/>
              </w:rPr>
              <w:t>673,366,023.14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41,186,876.50</w:t>
            </w:r>
            <w:r>
              <w:rPr>
                <w:rFonts w:ascii="宋体"/>
                <w:sz w:val="13"/>
              </w:rPr>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5,674,726,023.48</w:t>
            </w:r>
            <w:r>
              <w:rPr>
                <w:rFonts w:ascii="宋体"/>
                <w:sz w:val="13"/>
              </w:rPr>
            </w:r>
          </w:p>
        </w:tc>
      </w:tr>
      <w:tr>
        <w:trPr>
          <w:trHeight w:val="18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26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34" w:right="0"/>
              <w:jc w:val="center"/>
              <w:rPr>
                <w:rFonts w:ascii="宋体" w:hAnsi="宋体" w:cs="宋体" w:eastAsia="宋体" w:hint="default"/>
                <w:sz w:val="13"/>
                <w:szCs w:val="13"/>
              </w:rPr>
            </w:pPr>
            <w:r>
              <w:rPr>
                <w:rFonts w:ascii="宋体"/>
                <w:sz w:val="13"/>
              </w:rPr>
              <w:t>4,027,070.71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-4,027,070.71</w:t>
            </w:r>
            <w:r>
              <w:rPr>
                <w:rFonts w:ascii="宋体"/>
                <w:sz w:val="13"/>
              </w:rPr>
            </w: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4"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26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4"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26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364"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2,002,291,500.00</w:t>
            </w:r>
            <w:r>
              <w:rPr>
                <w:rFonts w:ascii="宋体"/>
                <w:sz w:val="13"/>
              </w:rPr>
            </w:r>
          </w:p>
        </w:tc>
        <w:tc>
          <w:tcPr>
            <w:tcW w:w="6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55" w:right="0"/>
              <w:jc w:val="center"/>
              <w:rPr>
                <w:rFonts w:ascii="宋体" w:hAnsi="宋体" w:cs="宋体" w:eastAsia="宋体" w:hint="default"/>
                <w:sz w:val="13"/>
                <w:szCs w:val="13"/>
              </w:rPr>
            </w:pPr>
            <w:r>
              <w:rPr>
                <w:rFonts w:ascii="宋体"/>
                <w:sz w:val="13"/>
              </w:rPr>
              <w:t>2,663,512,625.64</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294,368,998.20</w:t>
            </w:r>
            <w:r>
              <w:rPr>
                <w:rFonts w:ascii="宋体"/>
                <w:sz w:val="13"/>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4" w:right="0"/>
              <w:jc w:val="center"/>
              <w:rPr>
                <w:rFonts w:ascii="宋体" w:hAnsi="宋体" w:cs="宋体" w:eastAsia="宋体" w:hint="default"/>
                <w:sz w:val="13"/>
                <w:szCs w:val="13"/>
              </w:rPr>
            </w:pPr>
            <w:r>
              <w:rPr>
                <w:rFonts w:ascii="宋体"/>
                <w:sz w:val="13"/>
              </w:rPr>
              <w:t>677,393,093.85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37,159,805.79</w:t>
            </w:r>
            <w:r>
              <w:rPr>
                <w:rFonts w:ascii="宋体"/>
                <w:sz w:val="13"/>
              </w:rPr>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5,674,726,023.48</w:t>
            </w:r>
            <w:r>
              <w:rPr>
                <w:rFonts w:ascii="宋体"/>
                <w:sz w:val="13"/>
              </w:rPr>
            </w:r>
          </w:p>
        </w:tc>
      </w:tr>
      <w:tr>
        <w:trPr>
          <w:trHeight w:val="34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5" w:right="0"/>
              <w:jc w:val="left"/>
              <w:rPr>
                <w:rFonts w:ascii="宋体" w:hAnsi="宋体" w:cs="宋体" w:eastAsia="宋体" w:hint="default"/>
                <w:sz w:val="13"/>
                <w:szCs w:val="13"/>
              </w:rPr>
            </w:pPr>
            <w:r>
              <w:rPr>
                <w:rFonts w:ascii="宋体" w:hAnsi="宋体" w:cs="宋体" w:eastAsia="宋体" w:hint="default"/>
                <w:sz w:val="13"/>
                <w:szCs w:val="13"/>
              </w:rPr>
              <w:t>三、本期增减变动金额（减少以</w:t>
            </w:r>
          </w:p>
          <w:p>
            <w:pPr>
              <w:pStyle w:val="TableParagraph"/>
              <w:spacing w:line="169" w:lineRule="exact"/>
              <w:ind w:left="105" w:right="0"/>
              <w:jc w:val="left"/>
              <w:rPr>
                <w:rFonts w:ascii="宋体" w:hAnsi="宋体" w:cs="宋体" w:eastAsia="宋体" w:hint="default"/>
                <w:sz w:val="13"/>
                <w:szCs w:val="13"/>
              </w:rPr>
            </w:pPr>
            <w:r>
              <w:rPr>
                <w:rFonts w:ascii="宋体" w:hAnsi="宋体" w:cs="宋体" w:eastAsia="宋体" w:hint="default"/>
                <w:sz w:val="13"/>
                <w:szCs w:val="13"/>
              </w:rPr>
              <w:t>“－”号填列）</w:t>
            </w:r>
          </w:p>
        </w:tc>
        <w:tc>
          <w:tcPr>
            <w:tcW w:w="126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5,598,313.76</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26,068,792.86</w:t>
            </w:r>
            <w:r>
              <w:rPr>
                <w:rFonts w:ascii="宋体"/>
                <w:sz w:val="13"/>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4" w:right="0"/>
              <w:jc w:val="center"/>
              <w:rPr>
                <w:rFonts w:ascii="宋体" w:hAnsi="宋体" w:cs="宋体" w:eastAsia="宋体" w:hint="default"/>
                <w:sz w:val="13"/>
                <w:szCs w:val="13"/>
              </w:rPr>
            </w:pPr>
            <w:r>
              <w:rPr>
                <w:rFonts w:ascii="宋体"/>
                <w:sz w:val="13"/>
              </w:rPr>
              <w:t>144,699,068.33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99,898,196.52</w:t>
            </w:r>
            <w:r>
              <w:rPr>
                <w:rFonts w:ascii="宋体"/>
                <w:sz w:val="13"/>
              </w:rPr>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276,264,371.47</w:t>
            </w:r>
            <w:r>
              <w:rPr>
                <w:rFonts w:ascii="宋体"/>
                <w:sz w:val="13"/>
              </w:rPr>
            </w:r>
          </w:p>
        </w:tc>
      </w:tr>
      <w:tr>
        <w:trPr>
          <w:trHeight w:val="1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4" w:right="0"/>
              <w:jc w:val="center"/>
              <w:rPr>
                <w:rFonts w:ascii="宋体" w:hAnsi="宋体" w:cs="宋体" w:eastAsia="宋体" w:hint="default"/>
                <w:sz w:val="13"/>
                <w:szCs w:val="13"/>
              </w:rPr>
            </w:pPr>
            <w:r>
              <w:rPr>
                <w:rFonts w:ascii="宋体"/>
                <w:sz w:val="13"/>
              </w:rPr>
              <w:t>220,825,148.69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11,092,428.45</w:t>
            </w:r>
            <w:r>
              <w:rPr>
                <w:rFonts w:ascii="宋体"/>
                <w:sz w:val="13"/>
              </w:rPr>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231,917,577.14</w:t>
            </w:r>
            <w:r>
              <w:rPr>
                <w:rFonts w:ascii="宋体"/>
                <w:sz w:val="13"/>
              </w:rPr>
            </w:r>
          </w:p>
        </w:tc>
      </w:tr>
      <w:tr>
        <w:trPr>
          <w:trHeight w:val="18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5"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26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90,459,266.76</w:t>
            </w:r>
            <w:r>
              <w:rPr>
                <w:rFonts w:ascii="宋体"/>
                <w:sz w:val="13"/>
              </w:rPr>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90,459,266.76</w:t>
            </w:r>
            <w:r>
              <w:rPr>
                <w:rFonts w:ascii="宋体"/>
                <w:sz w:val="13"/>
              </w:rPr>
            </w:r>
          </w:p>
        </w:tc>
      </w:tr>
      <w:tr>
        <w:trPr>
          <w:trHeight w:val="1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．股东投入的普通股</w:t>
            </w:r>
          </w:p>
        </w:tc>
        <w:tc>
          <w:tcPr>
            <w:tcW w:w="126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90,459,266.76</w:t>
            </w:r>
            <w:r>
              <w:rPr>
                <w:rFonts w:ascii="宋体"/>
                <w:sz w:val="13"/>
              </w:rPr>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90,459,266.76</w:t>
            </w:r>
            <w:r>
              <w:rPr>
                <w:rFonts w:ascii="宋体"/>
                <w:sz w:val="13"/>
              </w:rPr>
            </w:r>
          </w:p>
        </w:tc>
      </w:tr>
      <w:tr>
        <w:trPr>
          <w:trHeight w:val="18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．其他权益工具持有者投入资本</w:t>
            </w:r>
          </w:p>
        </w:tc>
        <w:tc>
          <w:tcPr>
            <w:tcW w:w="126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．股份支付计入所有者权益的金额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26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26,068,792.86</w:t>
            </w:r>
            <w:r>
              <w:rPr>
                <w:rFonts w:ascii="宋体"/>
                <w:sz w:val="13"/>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4" w:right="0"/>
              <w:jc w:val="center"/>
              <w:rPr>
                <w:rFonts w:ascii="宋体" w:hAnsi="宋体" w:cs="宋体" w:eastAsia="宋体" w:hint="default"/>
                <w:sz w:val="13"/>
                <w:szCs w:val="13"/>
              </w:rPr>
            </w:pPr>
            <w:r>
              <w:rPr>
                <w:rFonts w:ascii="宋体"/>
                <w:sz w:val="13"/>
              </w:rPr>
              <w:t>-76,126,080.36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-1,761,564.06</w:t>
            </w:r>
            <w:r>
              <w:rPr>
                <w:rFonts w:ascii="宋体"/>
                <w:sz w:val="13"/>
              </w:rPr>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-51,818,851.56</w:t>
            </w:r>
            <w:r>
              <w:rPr>
                <w:rFonts w:ascii="宋体"/>
                <w:sz w:val="13"/>
              </w:rPr>
            </w:r>
          </w:p>
        </w:tc>
      </w:tr>
      <w:tr>
        <w:trPr>
          <w:trHeight w:val="1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26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26,068,792.86</w:t>
            </w:r>
            <w:r>
              <w:rPr>
                <w:rFonts w:ascii="宋体"/>
                <w:sz w:val="13"/>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4" w:right="0"/>
              <w:jc w:val="center"/>
              <w:rPr>
                <w:rFonts w:ascii="宋体" w:hAnsi="宋体" w:cs="宋体" w:eastAsia="宋体" w:hint="default"/>
                <w:sz w:val="13"/>
                <w:szCs w:val="13"/>
              </w:rPr>
            </w:pPr>
            <w:r>
              <w:rPr>
                <w:rFonts w:ascii="宋体"/>
                <w:sz w:val="13"/>
              </w:rPr>
              <w:t>-26,068,792.86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5"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．提取一般风险准备</w:t>
            </w:r>
          </w:p>
        </w:tc>
        <w:tc>
          <w:tcPr>
            <w:tcW w:w="126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．对所有者（或股东）的分配</w:t>
            </w:r>
          </w:p>
        </w:tc>
        <w:tc>
          <w:tcPr>
            <w:tcW w:w="126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4" w:right="0"/>
              <w:jc w:val="center"/>
              <w:rPr>
                <w:rFonts w:ascii="宋体" w:hAnsi="宋体" w:cs="宋体" w:eastAsia="宋体" w:hint="default"/>
                <w:sz w:val="13"/>
                <w:szCs w:val="13"/>
              </w:rPr>
            </w:pPr>
            <w:r>
              <w:rPr>
                <w:rFonts w:ascii="宋体"/>
                <w:sz w:val="13"/>
              </w:rPr>
              <w:t>-50,057,287.50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-1,761,564.06</w:t>
            </w:r>
            <w:r>
              <w:rPr>
                <w:rFonts w:ascii="宋体"/>
                <w:sz w:val="13"/>
              </w:rPr>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-51,818,851.56</w:t>
            </w:r>
            <w:r>
              <w:rPr>
                <w:rFonts w:ascii="宋体"/>
                <w:sz w:val="13"/>
              </w:rPr>
            </w:r>
          </w:p>
        </w:tc>
      </w:tr>
      <w:tr>
        <w:trPr>
          <w:trHeight w:val="18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26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．资本公积转增资本（或股本）</w:t>
            </w:r>
          </w:p>
        </w:tc>
        <w:tc>
          <w:tcPr>
            <w:tcW w:w="126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5"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．盈余公积转增资本（或股本）</w:t>
            </w:r>
          </w:p>
        </w:tc>
        <w:tc>
          <w:tcPr>
            <w:tcW w:w="126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126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26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5,598,313.76</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108,065.37</w:t>
            </w:r>
            <w:r>
              <w:rPr>
                <w:rFonts w:ascii="宋体"/>
                <w:sz w:val="13"/>
              </w:rPr>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5,706,379.13</w:t>
            </w:r>
            <w:r>
              <w:rPr>
                <w:rFonts w:ascii="宋体"/>
                <w:sz w:val="13"/>
              </w:rPr>
            </w:r>
          </w:p>
        </w:tc>
      </w:tr>
      <w:tr>
        <w:trPr>
          <w:trHeight w:val="1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26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13,147,401.99</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347,981.33</w:t>
            </w:r>
            <w:r>
              <w:rPr>
                <w:rFonts w:ascii="宋体"/>
                <w:sz w:val="13"/>
              </w:rPr>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13,495,383.32</w:t>
            </w:r>
            <w:r>
              <w:rPr>
                <w:rFonts w:ascii="宋体"/>
                <w:sz w:val="13"/>
              </w:rPr>
            </w:r>
          </w:p>
        </w:tc>
      </w:tr>
      <w:tr>
        <w:trPr>
          <w:trHeight w:val="18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5"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26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7,549,088.23</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239,915.96</w:t>
            </w:r>
            <w:r>
              <w:rPr>
                <w:rFonts w:ascii="宋体"/>
                <w:sz w:val="13"/>
              </w:rPr>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7,789,004.19</w:t>
            </w:r>
            <w:r>
              <w:rPr>
                <w:rFonts w:ascii="宋体"/>
                <w:sz w:val="13"/>
              </w:rPr>
            </w:r>
          </w:p>
        </w:tc>
      </w:tr>
      <w:tr>
        <w:trPr>
          <w:trHeight w:val="1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2,002,291,500.00</w:t>
            </w:r>
            <w:r>
              <w:rPr>
                <w:rFonts w:ascii="宋体"/>
                <w:sz w:val="13"/>
              </w:rPr>
            </w:r>
          </w:p>
        </w:tc>
        <w:tc>
          <w:tcPr>
            <w:tcW w:w="6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55" w:right="0"/>
              <w:jc w:val="center"/>
              <w:rPr>
                <w:rFonts w:ascii="宋体" w:hAnsi="宋体" w:cs="宋体" w:eastAsia="宋体" w:hint="default"/>
                <w:sz w:val="13"/>
                <w:szCs w:val="13"/>
              </w:rPr>
            </w:pPr>
            <w:r>
              <w:rPr>
                <w:rFonts w:ascii="宋体"/>
                <w:sz w:val="13"/>
              </w:rPr>
              <w:t>2,663,512,625.64</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5,598,313.76</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320,437,791.06</w:t>
            </w:r>
            <w:r>
              <w:rPr>
                <w:rFonts w:ascii="宋体"/>
                <w:sz w:val="13"/>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4" w:right="0"/>
              <w:jc w:val="center"/>
              <w:rPr>
                <w:rFonts w:ascii="宋体" w:hAnsi="宋体" w:cs="宋体" w:eastAsia="宋体" w:hint="default"/>
                <w:sz w:val="13"/>
                <w:szCs w:val="13"/>
              </w:rPr>
            </w:pPr>
            <w:r>
              <w:rPr>
                <w:rFonts w:ascii="宋体"/>
                <w:sz w:val="13"/>
              </w:rPr>
              <w:t>822,092,162.18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137,058,002.31</w:t>
            </w:r>
            <w:r>
              <w:rPr>
                <w:rFonts w:ascii="宋体"/>
                <w:sz w:val="13"/>
              </w:rPr>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5,950,990,394.95</w:t>
            </w:r>
            <w:r>
              <w:rPr>
                <w:rFonts w:ascii="宋体"/>
                <w:sz w:val="13"/>
              </w:rPr>
            </w:r>
          </w:p>
        </w:tc>
      </w:tr>
    </w:tbl>
    <w:p>
      <w:pPr>
        <w:spacing w:line="240" w:lineRule="auto" w:before="5"/>
        <w:rPr>
          <w:rFonts w:ascii="宋体" w:hAnsi="宋体" w:cs="宋体" w:eastAsia="宋体" w:hint="default"/>
          <w:sz w:val="15"/>
          <w:szCs w:val="15"/>
        </w:rPr>
      </w:pPr>
    </w:p>
    <w:p>
      <w:pPr>
        <w:pStyle w:val="BodyText"/>
        <w:tabs>
          <w:tab w:pos="3835" w:val="left" w:leader="none"/>
        </w:tabs>
        <w:spacing w:line="240" w:lineRule="auto" w:before="36"/>
        <w:ind w:left="1104" w:right="0"/>
        <w:jc w:val="left"/>
      </w:pPr>
      <w:r>
        <w:rPr>
          <w:spacing w:val="-2"/>
        </w:rPr>
        <w:t>法定代表人：徐健</w:t>
        <w:tab/>
        <w:t>主管会计工作负责人：王兴山会计机构负责人：陈晓建</w:t>
      </w:r>
    </w:p>
    <w:p>
      <w:pPr>
        <w:spacing w:after="0" w:line="240" w:lineRule="auto"/>
        <w:jc w:val="left"/>
        <w:sectPr>
          <w:pgSz w:w="16840" w:h="11910" w:orient="landscape"/>
          <w:pgMar w:header="882" w:footer="1195" w:top="1120" w:bottom="1380" w:left="420" w:right="960"/>
        </w:sectPr>
      </w:pPr>
    </w:p>
    <w:p>
      <w:pPr>
        <w:spacing w:line="272" w:lineRule="exact" w:before="145"/>
        <w:ind w:left="726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4592" w:val="left" w:leader="none"/>
        </w:tabs>
        <w:spacing w:line="240" w:lineRule="auto" w:before="139"/>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footerReference w:type="default" r:id="rId26"/>
          <w:pgSz w:w="16840" w:h="11910" w:orient="landscape"/>
          <w:pgMar w:footer="1195" w:header="882" w:top="1120" w:bottom="1380" w:left="420" w:right="1160"/>
          <w:cols w:num="2" w:equalWidth="0">
            <w:col w:w="9191" w:space="40"/>
            <w:col w:w="602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51"/>
        <w:gridCol w:w="1378"/>
        <w:gridCol w:w="711"/>
        <w:gridCol w:w="708"/>
        <w:gridCol w:w="566"/>
        <w:gridCol w:w="1277"/>
        <w:gridCol w:w="992"/>
        <w:gridCol w:w="1277"/>
        <w:gridCol w:w="1135"/>
        <w:gridCol w:w="1275"/>
        <w:gridCol w:w="1560"/>
        <w:gridCol w:w="1702"/>
      </w:tblGrid>
      <w:tr>
        <w:trPr>
          <w:trHeight w:val="185" w:hRule="exact"/>
        </w:trPr>
        <w:tc>
          <w:tcPr>
            <w:tcW w:w="245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2580" w:type="dxa"/>
            <w:gridSpan w:val="11"/>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2" w:right="0"/>
              <w:jc w:val="center"/>
              <w:rPr>
                <w:rFonts w:ascii="宋体" w:hAnsi="宋体" w:cs="宋体" w:eastAsia="宋体" w:hint="default"/>
                <w:sz w:val="13"/>
                <w:szCs w:val="13"/>
              </w:rPr>
            </w:pPr>
            <w:r>
              <w:rPr>
                <w:rFonts w:ascii="宋体" w:hAnsi="宋体" w:cs="宋体" w:eastAsia="宋体" w:hint="default"/>
                <w:sz w:val="13"/>
                <w:szCs w:val="13"/>
              </w:rPr>
              <w:t>本期</w:t>
            </w:r>
          </w:p>
        </w:tc>
      </w:tr>
      <w:tr>
        <w:trPr>
          <w:trHeight w:val="326" w:hRule="exact"/>
        </w:trPr>
        <w:tc>
          <w:tcPr>
            <w:tcW w:w="2451" w:type="dxa"/>
            <w:vMerge/>
            <w:tcBorders>
              <w:left w:val="single" w:sz="6" w:space="0" w:color="000000"/>
              <w:right w:val="single" w:sz="6" w:space="0" w:color="000000"/>
            </w:tcBorders>
          </w:tcPr>
          <w:p>
            <w:pPr/>
          </w:p>
        </w:tc>
        <w:tc>
          <w:tcPr>
            <w:tcW w:w="1378" w:type="dxa"/>
            <w:vMerge w:val="restart"/>
            <w:tcBorders>
              <w:top w:val="single" w:sz="6" w:space="0" w:color="000000"/>
              <w:left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1985"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47"/>
              <w:ind w:left="600"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71"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99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1135"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275"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70"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46"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88"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12" w:hRule="exact"/>
        </w:trPr>
        <w:tc>
          <w:tcPr>
            <w:tcW w:w="2451" w:type="dxa"/>
            <w:vMerge/>
            <w:tcBorders>
              <w:left w:val="single" w:sz="6" w:space="0" w:color="000000"/>
              <w:bottom w:val="single" w:sz="6" w:space="0" w:color="000000"/>
              <w:right w:val="single" w:sz="6" w:space="0" w:color="000000"/>
            </w:tcBorders>
          </w:tcPr>
          <w:p>
            <w:pPr/>
          </w:p>
        </w:tc>
        <w:tc>
          <w:tcPr>
            <w:tcW w:w="1378" w:type="dxa"/>
            <w:vMerge/>
            <w:tcBorders>
              <w:left w:val="single" w:sz="6" w:space="0" w:color="000000"/>
              <w:bottom w:val="single" w:sz="6" w:space="0" w:color="000000"/>
              <w:right w:val="single" w:sz="4" w:space="0" w:color="000000"/>
            </w:tcBorders>
          </w:tcPr>
          <w:p>
            <w:pPr/>
          </w:p>
        </w:tc>
        <w:tc>
          <w:tcPr>
            <w:tcW w:w="711"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2"/>
              <w:ind w:left="155"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70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2"/>
              <w:ind w:left="153"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56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2"/>
              <w:ind w:left="148"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77"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135" w:type="dxa"/>
            <w:vMerge/>
            <w:tcBorders>
              <w:left w:val="single" w:sz="6" w:space="0" w:color="000000"/>
              <w:bottom w:val="single" w:sz="6" w:space="0" w:color="000000"/>
              <w:right w:val="single" w:sz="6" w:space="0" w:color="000000"/>
            </w:tcBorders>
          </w:tcPr>
          <w:p>
            <w:pPr/>
          </w:p>
        </w:tc>
        <w:tc>
          <w:tcPr>
            <w:tcW w:w="1275"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r>
      <w:tr>
        <w:trPr>
          <w:trHeight w:val="1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378" w:type="dxa"/>
            <w:tcBorders>
              <w:top w:val="single" w:sz="6" w:space="0" w:color="000000"/>
              <w:left w:val="single" w:sz="6" w:space="0" w:color="000000"/>
              <w:bottom w:val="single" w:sz="6"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2,002,291,500.00</w:t>
            </w:r>
            <w:r>
              <w:rPr>
                <w:rFonts w:ascii="宋体"/>
                <w:sz w:val="13"/>
              </w:rPr>
            </w: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2,663,512,625.64</w:t>
            </w:r>
            <w:r>
              <w:rPr>
                <w:rFonts w:ascii="宋体"/>
                <w:sz w:val="13"/>
              </w:rPr>
            </w: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32" w:right="0"/>
              <w:jc w:val="center"/>
              <w:rPr>
                <w:rFonts w:ascii="宋体" w:hAnsi="宋体" w:cs="宋体" w:eastAsia="宋体" w:hint="default"/>
                <w:sz w:val="13"/>
                <w:szCs w:val="13"/>
              </w:rPr>
            </w:pPr>
            <w:r>
              <w:rPr>
                <w:rFonts w:ascii="宋体"/>
                <w:sz w:val="13"/>
              </w:rPr>
              <w:t>5,256,106.75</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320,437,791.06</w:t>
            </w:r>
            <w:r>
              <w:rPr>
                <w:rFonts w:ascii="宋体"/>
                <w:sz w:val="13"/>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667,776,487.44</w:t>
            </w:r>
            <w:r>
              <w:rPr>
                <w:rFonts w:ascii="宋体"/>
                <w:sz w:val="13"/>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5,659,274,510.89</w:t>
            </w:r>
            <w:r>
              <w:rPr>
                <w:rFonts w:ascii="宋体"/>
                <w:sz w:val="13"/>
              </w:rPr>
            </w:r>
          </w:p>
        </w:tc>
      </w:tr>
      <w:tr>
        <w:trPr>
          <w:trHeight w:val="185"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378"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378"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362"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378"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-2,290.86</w:t>
            </w:r>
            <w:r>
              <w:rPr>
                <w:rFonts w:ascii="宋体"/>
                <w:sz w:val="13"/>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-20,617.70</w:t>
            </w:r>
            <w:r>
              <w:rPr>
                <w:rFonts w:ascii="宋体"/>
                <w:sz w:val="13"/>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-22,908.56</w:t>
            </w:r>
            <w:r>
              <w:rPr>
                <w:rFonts w:ascii="宋体"/>
                <w:sz w:val="13"/>
              </w:rPr>
            </w:r>
          </w:p>
        </w:tc>
      </w:tr>
      <w:tr>
        <w:trPr>
          <w:trHeight w:val="18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378" w:type="dxa"/>
            <w:tcBorders>
              <w:top w:val="single" w:sz="6" w:space="0" w:color="000000"/>
              <w:left w:val="single" w:sz="6" w:space="0" w:color="000000"/>
              <w:bottom w:val="single" w:sz="6"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2,002,291,500.00</w:t>
            </w:r>
            <w:r>
              <w:rPr>
                <w:rFonts w:ascii="宋体"/>
                <w:sz w:val="13"/>
              </w:rPr>
            </w: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2,663,512,625.64</w:t>
            </w:r>
            <w:r>
              <w:rPr>
                <w:rFonts w:ascii="宋体"/>
                <w:sz w:val="13"/>
              </w:rPr>
            </w: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32" w:right="0"/>
              <w:jc w:val="center"/>
              <w:rPr>
                <w:rFonts w:ascii="宋体" w:hAnsi="宋体" w:cs="宋体" w:eastAsia="宋体" w:hint="default"/>
                <w:sz w:val="13"/>
                <w:szCs w:val="13"/>
              </w:rPr>
            </w:pPr>
            <w:r>
              <w:rPr>
                <w:rFonts w:ascii="宋体"/>
                <w:sz w:val="13"/>
              </w:rPr>
              <w:t>5,256,106.75</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320,435,500.20</w:t>
            </w:r>
            <w:r>
              <w:rPr>
                <w:rFonts w:ascii="宋体"/>
                <w:sz w:val="13"/>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667,755,869.74</w:t>
            </w:r>
            <w:r>
              <w:rPr>
                <w:rFonts w:ascii="宋体"/>
                <w:sz w:val="13"/>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5,659,251,602.33</w:t>
            </w:r>
            <w:r>
              <w:rPr>
                <w:rFonts w:ascii="宋体"/>
                <w:sz w:val="13"/>
              </w:rPr>
            </w:r>
          </w:p>
        </w:tc>
      </w:tr>
      <w:tr>
        <w:trPr>
          <w:trHeight w:val="35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三、本期增减变动金额（减少以“－”</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号填列）</w:t>
            </w:r>
          </w:p>
        </w:tc>
        <w:tc>
          <w:tcPr>
            <w:tcW w:w="1378"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32" w:right="0"/>
              <w:jc w:val="center"/>
              <w:rPr>
                <w:rFonts w:ascii="宋体" w:hAnsi="宋体" w:cs="宋体" w:eastAsia="宋体" w:hint="default"/>
                <w:sz w:val="13"/>
                <w:szCs w:val="13"/>
              </w:rPr>
            </w:pPr>
            <w:r>
              <w:rPr>
                <w:rFonts w:ascii="宋体"/>
                <w:sz w:val="13"/>
              </w:rPr>
              <w:t>7,884,120.45</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23,200,166.60</w:t>
            </w:r>
            <w:r>
              <w:rPr>
                <w:rFonts w:ascii="宋体"/>
                <w:sz w:val="13"/>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24,722,755.40</w:t>
            </w:r>
            <w:r>
              <w:rPr>
                <w:rFonts w:ascii="宋体"/>
                <w:sz w:val="13"/>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55,807,042.45</w:t>
            </w:r>
            <w:r>
              <w:rPr>
                <w:rFonts w:ascii="宋体"/>
                <w:sz w:val="13"/>
              </w:rPr>
            </w:r>
          </w:p>
        </w:tc>
      </w:tr>
      <w:tr>
        <w:trPr>
          <w:trHeight w:val="185"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378"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116,000,833.00</w:t>
            </w:r>
            <w:r>
              <w:rPr>
                <w:rFonts w:ascii="宋体"/>
                <w:sz w:val="13"/>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116,000,833.00</w:t>
            </w:r>
            <w:r>
              <w:rPr>
                <w:rFonts w:ascii="宋体"/>
                <w:sz w:val="13"/>
              </w:rPr>
            </w:r>
          </w:p>
        </w:tc>
      </w:tr>
      <w:tr>
        <w:trPr>
          <w:trHeight w:val="1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378"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．股东投入的普通股</w:t>
            </w:r>
          </w:p>
        </w:tc>
        <w:tc>
          <w:tcPr>
            <w:tcW w:w="1378"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．其他权益工具持有者投入资本</w:t>
            </w:r>
          </w:p>
        </w:tc>
        <w:tc>
          <w:tcPr>
            <w:tcW w:w="1378"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．股份支付计入所有者权益的金额</w:t>
            </w:r>
          </w:p>
        </w:tc>
        <w:tc>
          <w:tcPr>
            <w:tcW w:w="1378"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378"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378"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23,200,166.60</w:t>
            </w:r>
            <w:r>
              <w:rPr>
                <w:rFonts w:ascii="宋体"/>
                <w:sz w:val="13"/>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-91,278,077.60</w:t>
            </w:r>
            <w:r>
              <w:rPr>
                <w:rFonts w:ascii="宋体"/>
                <w:sz w:val="13"/>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-68,077,911.00</w:t>
            </w:r>
            <w:r>
              <w:rPr>
                <w:rFonts w:ascii="宋体"/>
                <w:sz w:val="13"/>
              </w:rPr>
            </w:r>
          </w:p>
        </w:tc>
      </w:tr>
      <w:tr>
        <w:trPr>
          <w:trHeight w:val="1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378"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23,200,166.60</w:t>
            </w:r>
            <w:r>
              <w:rPr>
                <w:rFonts w:ascii="宋体"/>
                <w:sz w:val="13"/>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-23,200,166.60</w:t>
            </w:r>
            <w:r>
              <w:rPr>
                <w:rFonts w:ascii="宋体"/>
                <w:sz w:val="13"/>
              </w:rPr>
            </w: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．对所有者（或股东）的分配</w:t>
            </w:r>
          </w:p>
        </w:tc>
        <w:tc>
          <w:tcPr>
            <w:tcW w:w="1378"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-68,077,911.00</w:t>
            </w:r>
            <w:r>
              <w:rPr>
                <w:rFonts w:ascii="宋体"/>
                <w:sz w:val="13"/>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-68,077,911.00</w:t>
            </w:r>
            <w:r>
              <w:rPr>
                <w:rFonts w:ascii="宋体"/>
                <w:sz w:val="13"/>
              </w:rPr>
            </w:r>
          </w:p>
        </w:tc>
      </w:tr>
      <w:tr>
        <w:trPr>
          <w:trHeight w:val="1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．其他</w:t>
            </w:r>
          </w:p>
        </w:tc>
        <w:tc>
          <w:tcPr>
            <w:tcW w:w="1378"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378"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18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．资本公积转增资本（或股本）</w:t>
            </w:r>
          </w:p>
        </w:tc>
        <w:tc>
          <w:tcPr>
            <w:tcW w:w="1378"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．盈余公积转增资本（或股本）</w:t>
            </w:r>
          </w:p>
        </w:tc>
        <w:tc>
          <w:tcPr>
            <w:tcW w:w="1378"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1378"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378"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68"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378"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32" w:right="0"/>
              <w:jc w:val="center"/>
              <w:rPr>
                <w:rFonts w:ascii="宋体" w:hAnsi="宋体" w:cs="宋体" w:eastAsia="宋体" w:hint="default"/>
                <w:sz w:val="13"/>
                <w:szCs w:val="13"/>
              </w:rPr>
            </w:pPr>
            <w:r>
              <w:rPr>
                <w:rFonts w:ascii="宋体"/>
                <w:sz w:val="13"/>
              </w:rPr>
              <w:t>7,884,120.45</w:t>
            </w:r>
          </w:p>
        </w:tc>
        <w:tc>
          <w:tcPr>
            <w:tcW w:w="12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7,884,120.45</w:t>
            </w:r>
            <w:r>
              <w:rPr>
                <w:rFonts w:ascii="宋体"/>
                <w:sz w:val="13"/>
              </w:rPr>
            </w:r>
          </w:p>
        </w:tc>
      </w:tr>
      <w:tr>
        <w:trPr>
          <w:trHeight w:val="185"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378"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67" w:right="0"/>
              <w:jc w:val="center"/>
              <w:rPr>
                <w:rFonts w:ascii="宋体" w:hAnsi="宋体" w:cs="宋体" w:eastAsia="宋体" w:hint="default"/>
                <w:sz w:val="13"/>
                <w:szCs w:val="13"/>
              </w:rPr>
            </w:pPr>
            <w:r>
              <w:rPr>
                <w:rFonts w:ascii="宋体"/>
                <w:sz w:val="13"/>
              </w:rPr>
              <w:t>14,737,061.40</w:t>
            </w:r>
          </w:p>
        </w:tc>
        <w:tc>
          <w:tcPr>
            <w:tcW w:w="12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14,737,061.40</w:t>
            </w:r>
            <w:r>
              <w:rPr>
                <w:rFonts w:ascii="宋体"/>
                <w:sz w:val="13"/>
              </w:rPr>
            </w:r>
          </w:p>
        </w:tc>
      </w:tr>
      <w:tr>
        <w:trPr>
          <w:trHeight w:val="1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378"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32" w:right="0"/>
              <w:jc w:val="center"/>
              <w:rPr>
                <w:rFonts w:ascii="宋体" w:hAnsi="宋体" w:cs="宋体" w:eastAsia="宋体" w:hint="default"/>
                <w:sz w:val="13"/>
                <w:szCs w:val="13"/>
              </w:rPr>
            </w:pPr>
            <w:r>
              <w:rPr>
                <w:rFonts w:ascii="宋体"/>
                <w:sz w:val="13"/>
              </w:rPr>
              <w:t>6,852,940.95</w:t>
            </w:r>
          </w:p>
        </w:tc>
        <w:tc>
          <w:tcPr>
            <w:tcW w:w="12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6,852,940.95</w:t>
            </w:r>
            <w:r>
              <w:rPr>
                <w:rFonts w:ascii="宋体"/>
                <w:sz w:val="13"/>
              </w:rPr>
            </w:r>
          </w:p>
        </w:tc>
      </w:tr>
      <w:tr>
        <w:trPr>
          <w:trHeight w:val="185"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378"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378" w:type="dxa"/>
            <w:tcBorders>
              <w:top w:val="single" w:sz="6" w:space="0" w:color="000000"/>
              <w:left w:val="single" w:sz="6" w:space="0" w:color="000000"/>
              <w:bottom w:val="single" w:sz="6"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2,002,291,500.00</w:t>
            </w:r>
            <w:r>
              <w:rPr>
                <w:rFonts w:ascii="宋体"/>
                <w:sz w:val="13"/>
              </w:rPr>
            </w: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2,663,512,625.64</w:t>
            </w:r>
            <w:r>
              <w:rPr>
                <w:rFonts w:ascii="宋体"/>
                <w:sz w:val="13"/>
              </w:rPr>
            </w:r>
          </w:p>
        </w:tc>
        <w:tc>
          <w:tcPr>
            <w:tcW w:w="9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67" w:right="0"/>
              <w:jc w:val="center"/>
              <w:rPr>
                <w:rFonts w:ascii="宋体" w:hAnsi="宋体" w:cs="宋体" w:eastAsia="宋体" w:hint="default"/>
                <w:sz w:val="13"/>
                <w:szCs w:val="13"/>
              </w:rPr>
            </w:pPr>
            <w:r>
              <w:rPr>
                <w:rFonts w:ascii="宋体"/>
                <w:sz w:val="13"/>
              </w:rPr>
              <w:t>13,140,227.20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343,635,666.80</w:t>
            </w:r>
            <w:r>
              <w:rPr>
                <w:rFonts w:ascii="宋体"/>
                <w:sz w:val="13"/>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692,478,625.14</w:t>
            </w:r>
            <w:r>
              <w:rPr>
                <w:rFonts w:ascii="宋体"/>
                <w:sz w:val="13"/>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5,715,058,644.78</w:t>
            </w:r>
            <w:r>
              <w:rPr>
                <w:rFonts w:ascii="宋体"/>
                <w:sz w:val="13"/>
              </w:rPr>
            </w:r>
          </w:p>
        </w:tc>
      </w:tr>
    </w:tbl>
    <w:p>
      <w:pPr>
        <w:spacing w:after="0" w:line="145" w:lineRule="exact"/>
        <w:jc w:val="right"/>
        <w:rPr>
          <w:rFonts w:ascii="宋体" w:hAnsi="宋体" w:cs="宋体" w:eastAsia="宋体" w:hint="default"/>
          <w:sz w:val="13"/>
          <w:szCs w:val="13"/>
        </w:rPr>
        <w:sectPr>
          <w:type w:val="continuous"/>
          <w:pgSz w:w="16840" w:h="11910" w:orient="landscape"/>
          <w:pgMar w:top="1120" w:bottom="1380" w:left="420" w:right="1160"/>
        </w:sectPr>
      </w:pPr>
    </w:p>
    <w:p>
      <w:pPr>
        <w:spacing w:line="240" w:lineRule="auto" w:before="8"/>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396"/>
        <w:gridCol w:w="1294"/>
        <w:gridCol w:w="709"/>
        <w:gridCol w:w="708"/>
        <w:gridCol w:w="566"/>
        <w:gridCol w:w="1277"/>
        <w:gridCol w:w="1064"/>
        <w:gridCol w:w="1022"/>
        <w:gridCol w:w="1315"/>
        <w:gridCol w:w="1273"/>
        <w:gridCol w:w="1418"/>
        <w:gridCol w:w="1560"/>
      </w:tblGrid>
      <w:tr>
        <w:trPr>
          <w:trHeight w:val="182"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1"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2206" w:type="dxa"/>
            <w:gridSpan w:val="11"/>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0"/>
              <w:jc w:val="center"/>
              <w:rPr>
                <w:rFonts w:ascii="宋体" w:hAnsi="宋体" w:cs="宋体" w:eastAsia="宋体" w:hint="default"/>
                <w:sz w:val="13"/>
                <w:szCs w:val="13"/>
              </w:rPr>
            </w:pPr>
            <w:r>
              <w:rPr>
                <w:rFonts w:ascii="宋体" w:hAnsi="宋体" w:cs="宋体" w:eastAsia="宋体" w:hint="default"/>
                <w:sz w:val="13"/>
                <w:szCs w:val="13"/>
              </w:rPr>
              <w:t>上期</w:t>
            </w:r>
          </w:p>
        </w:tc>
      </w:tr>
      <w:tr>
        <w:trPr>
          <w:trHeight w:val="329" w:hRule="exact"/>
        </w:trPr>
        <w:tc>
          <w:tcPr>
            <w:tcW w:w="2396" w:type="dxa"/>
            <w:vMerge/>
            <w:tcBorders>
              <w:left w:val="single" w:sz="6" w:space="0" w:color="000000"/>
              <w:right w:val="single" w:sz="6" w:space="0" w:color="000000"/>
            </w:tcBorders>
          </w:tcPr>
          <w:p>
            <w:pPr/>
          </w:p>
        </w:tc>
        <w:tc>
          <w:tcPr>
            <w:tcW w:w="1294" w:type="dxa"/>
            <w:vMerge w:val="restart"/>
            <w:tcBorders>
              <w:top w:val="single" w:sz="6" w:space="0" w:color="000000"/>
              <w:left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3"/>
                <w:szCs w:val="13"/>
              </w:rPr>
            </w:pPr>
            <w:r>
              <w:rPr>
                <w:rFonts w:ascii="宋体" w:hAnsi="宋体" w:cs="宋体" w:eastAsia="宋体" w:hint="default"/>
                <w:sz w:val="13"/>
                <w:szCs w:val="13"/>
              </w:rPr>
              <w:t>股本</w:t>
            </w:r>
          </w:p>
        </w:tc>
        <w:tc>
          <w:tcPr>
            <w:tcW w:w="1983"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49"/>
              <w:ind w:left="597"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71"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1315"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88"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27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79"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10" w:hRule="exact"/>
        </w:trPr>
        <w:tc>
          <w:tcPr>
            <w:tcW w:w="2396" w:type="dxa"/>
            <w:vMerge/>
            <w:tcBorders>
              <w:left w:val="single" w:sz="6" w:space="0" w:color="000000"/>
              <w:bottom w:val="single" w:sz="6" w:space="0" w:color="000000"/>
              <w:right w:val="single" w:sz="6" w:space="0" w:color="000000"/>
            </w:tcBorders>
          </w:tcPr>
          <w:p>
            <w:pPr/>
          </w:p>
        </w:tc>
        <w:tc>
          <w:tcPr>
            <w:tcW w:w="1294" w:type="dxa"/>
            <w:vMerge/>
            <w:tcBorders>
              <w:left w:val="single" w:sz="6" w:space="0" w:color="000000"/>
              <w:bottom w:val="single" w:sz="6" w:space="0" w:color="000000"/>
              <w:right w:val="single" w:sz="4" w:space="0" w:color="000000"/>
            </w:tcBorders>
          </w:tcPr>
          <w:p>
            <w:pPr/>
          </w:p>
        </w:tc>
        <w:tc>
          <w:tcPr>
            <w:tcW w:w="70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2"/>
              <w:ind w:left="153"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70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2"/>
              <w:ind w:left="153"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56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2"/>
              <w:ind w:left="148"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77" w:type="dxa"/>
            <w:vMerge/>
            <w:tcBorders>
              <w:left w:val="single" w:sz="6" w:space="0" w:color="000000"/>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315" w:type="dxa"/>
            <w:vMerge/>
            <w:tcBorders>
              <w:left w:val="single" w:sz="6" w:space="0" w:color="000000"/>
              <w:bottom w:val="single" w:sz="6" w:space="0" w:color="000000"/>
              <w:right w:val="single" w:sz="6" w:space="0" w:color="000000"/>
            </w:tcBorders>
          </w:tcPr>
          <w:p>
            <w:pPr/>
          </w:p>
        </w:tc>
        <w:tc>
          <w:tcPr>
            <w:tcW w:w="1273"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r>
      <w:tr>
        <w:trPr>
          <w:trHeight w:val="185"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294" w:type="dxa"/>
            <w:tcBorders>
              <w:top w:val="single" w:sz="6" w:space="0" w:color="000000"/>
              <w:left w:val="single" w:sz="6" w:space="0" w:color="000000"/>
              <w:bottom w:val="single" w:sz="6" w:space="0" w:color="000000"/>
              <w:right w:val="single" w:sz="4" w:space="0" w:color="000000"/>
            </w:tcBorders>
          </w:tcPr>
          <w:p>
            <w:pPr>
              <w:pStyle w:val="TableParagraph"/>
              <w:spacing w:line="148" w:lineRule="exact"/>
              <w:ind w:left="139" w:right="0"/>
              <w:jc w:val="left"/>
              <w:rPr>
                <w:rFonts w:ascii="宋体" w:hAnsi="宋体" w:cs="宋体" w:eastAsia="宋体" w:hint="default"/>
                <w:sz w:val="13"/>
                <w:szCs w:val="13"/>
              </w:rPr>
            </w:pPr>
            <w:r>
              <w:rPr>
                <w:rFonts w:ascii="宋体"/>
                <w:sz w:val="13"/>
              </w:rPr>
              <w:t>2,002,291,500.00</w:t>
            </w: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148" w:lineRule="exact"/>
              <w:ind w:left="26" w:right="0"/>
              <w:jc w:val="center"/>
              <w:rPr>
                <w:rFonts w:ascii="宋体" w:hAnsi="宋体" w:cs="宋体" w:eastAsia="宋体" w:hint="default"/>
                <w:sz w:val="13"/>
                <w:szCs w:val="13"/>
              </w:rPr>
            </w:pPr>
            <w:r>
              <w:rPr>
                <w:rFonts w:ascii="宋体"/>
                <w:sz w:val="13"/>
              </w:rPr>
              <w:t>2,663,512,625.64</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99"/>
              <w:jc w:val="right"/>
              <w:rPr>
                <w:rFonts w:ascii="宋体" w:hAnsi="宋体" w:cs="宋体" w:eastAsia="宋体" w:hint="default"/>
                <w:sz w:val="13"/>
                <w:szCs w:val="13"/>
              </w:rPr>
            </w:pPr>
            <w:r>
              <w:rPr>
                <w:rFonts w:ascii="宋体"/>
                <w:w w:val="95"/>
                <w:sz w:val="13"/>
              </w:rPr>
              <w:t>294,368,998.20</w:t>
            </w:r>
            <w:r>
              <w:rPr>
                <w:rFonts w:ascii="宋体"/>
                <w:sz w:val="13"/>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98"/>
              <w:jc w:val="right"/>
              <w:rPr>
                <w:rFonts w:ascii="宋体" w:hAnsi="宋体" w:cs="宋体" w:eastAsia="宋体" w:hint="default"/>
                <w:sz w:val="13"/>
                <w:szCs w:val="13"/>
              </w:rPr>
            </w:pPr>
            <w:r>
              <w:rPr>
                <w:rFonts w:ascii="宋体"/>
                <w:w w:val="95"/>
                <w:sz w:val="13"/>
              </w:rPr>
              <w:t>613,558,603.55</w:t>
            </w:r>
            <w:r>
              <w:rPr>
                <w:rFonts w:ascii="宋体"/>
                <w:sz w:val="13"/>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99"/>
              <w:jc w:val="right"/>
              <w:rPr>
                <w:rFonts w:ascii="宋体" w:hAnsi="宋体" w:cs="宋体" w:eastAsia="宋体" w:hint="default"/>
                <w:sz w:val="13"/>
                <w:szCs w:val="13"/>
              </w:rPr>
            </w:pPr>
            <w:r>
              <w:rPr>
                <w:rFonts w:ascii="宋体"/>
                <w:w w:val="95"/>
                <w:sz w:val="13"/>
              </w:rPr>
              <w:t>5,573,731,727.39</w:t>
            </w:r>
            <w:r>
              <w:rPr>
                <w:rFonts w:ascii="宋体"/>
                <w:sz w:val="13"/>
              </w:rPr>
            </w:r>
          </w:p>
        </w:tc>
      </w:tr>
      <w:tr>
        <w:trPr>
          <w:trHeight w:val="1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294"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362"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294"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94"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294" w:type="dxa"/>
            <w:tcBorders>
              <w:top w:val="single" w:sz="6" w:space="0" w:color="000000"/>
              <w:left w:val="single" w:sz="6" w:space="0" w:color="000000"/>
              <w:bottom w:val="single" w:sz="6" w:space="0" w:color="000000"/>
              <w:right w:val="single" w:sz="4" w:space="0" w:color="000000"/>
            </w:tcBorders>
          </w:tcPr>
          <w:p>
            <w:pPr>
              <w:pStyle w:val="TableParagraph"/>
              <w:spacing w:line="148" w:lineRule="exact"/>
              <w:ind w:left="139" w:right="0"/>
              <w:jc w:val="left"/>
              <w:rPr>
                <w:rFonts w:ascii="宋体" w:hAnsi="宋体" w:cs="宋体" w:eastAsia="宋体" w:hint="default"/>
                <w:sz w:val="13"/>
                <w:szCs w:val="13"/>
              </w:rPr>
            </w:pPr>
            <w:r>
              <w:rPr>
                <w:rFonts w:ascii="宋体"/>
                <w:sz w:val="13"/>
              </w:rPr>
              <w:t>2,002,291,500.00</w:t>
            </w: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148" w:lineRule="exact"/>
              <w:ind w:left="26" w:right="0"/>
              <w:jc w:val="center"/>
              <w:rPr>
                <w:rFonts w:ascii="宋体" w:hAnsi="宋体" w:cs="宋体" w:eastAsia="宋体" w:hint="default"/>
                <w:sz w:val="13"/>
                <w:szCs w:val="13"/>
              </w:rPr>
            </w:pPr>
            <w:r>
              <w:rPr>
                <w:rFonts w:ascii="宋体"/>
                <w:sz w:val="13"/>
              </w:rPr>
              <w:t>2,663,512,625.64</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99"/>
              <w:jc w:val="right"/>
              <w:rPr>
                <w:rFonts w:ascii="宋体" w:hAnsi="宋体" w:cs="宋体" w:eastAsia="宋体" w:hint="default"/>
                <w:sz w:val="13"/>
                <w:szCs w:val="13"/>
              </w:rPr>
            </w:pPr>
            <w:r>
              <w:rPr>
                <w:rFonts w:ascii="宋体"/>
                <w:w w:val="95"/>
                <w:sz w:val="13"/>
              </w:rPr>
              <w:t>294,368,998.20</w:t>
            </w:r>
            <w:r>
              <w:rPr>
                <w:rFonts w:ascii="宋体"/>
                <w:sz w:val="13"/>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98"/>
              <w:jc w:val="right"/>
              <w:rPr>
                <w:rFonts w:ascii="宋体" w:hAnsi="宋体" w:cs="宋体" w:eastAsia="宋体" w:hint="default"/>
                <w:sz w:val="13"/>
                <w:szCs w:val="13"/>
              </w:rPr>
            </w:pPr>
            <w:r>
              <w:rPr>
                <w:rFonts w:ascii="宋体"/>
                <w:w w:val="95"/>
                <w:sz w:val="13"/>
              </w:rPr>
              <w:t>613,558,603.55</w:t>
            </w:r>
            <w:r>
              <w:rPr>
                <w:rFonts w:ascii="宋体"/>
                <w:sz w:val="13"/>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99"/>
              <w:jc w:val="right"/>
              <w:rPr>
                <w:rFonts w:ascii="宋体" w:hAnsi="宋体" w:cs="宋体" w:eastAsia="宋体" w:hint="default"/>
                <w:sz w:val="13"/>
                <w:szCs w:val="13"/>
              </w:rPr>
            </w:pPr>
            <w:r>
              <w:rPr>
                <w:rFonts w:ascii="宋体"/>
                <w:w w:val="95"/>
                <w:sz w:val="13"/>
              </w:rPr>
              <w:t>5,573,731,727.39</w:t>
            </w:r>
            <w:r>
              <w:rPr>
                <w:rFonts w:ascii="宋体"/>
                <w:sz w:val="13"/>
              </w:rPr>
            </w:r>
          </w:p>
        </w:tc>
      </w:tr>
      <w:tr>
        <w:trPr>
          <w:trHeight w:val="35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三、本期增减变动金额（减少以“－”</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号填列）</w:t>
            </w:r>
          </w:p>
        </w:tc>
        <w:tc>
          <w:tcPr>
            <w:tcW w:w="1294"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5,256,106.75</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9"/>
              <w:jc w:val="right"/>
              <w:rPr>
                <w:rFonts w:ascii="宋体" w:hAnsi="宋体" w:cs="宋体" w:eastAsia="宋体" w:hint="default"/>
                <w:sz w:val="13"/>
                <w:szCs w:val="13"/>
              </w:rPr>
            </w:pPr>
            <w:r>
              <w:rPr>
                <w:rFonts w:ascii="宋体"/>
                <w:w w:val="95"/>
                <w:sz w:val="13"/>
              </w:rPr>
              <w:t>26,068,792.86</w:t>
            </w:r>
            <w:r>
              <w:rPr>
                <w:rFonts w:ascii="宋体"/>
                <w:sz w:val="13"/>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54,217,883.89</w:t>
            </w:r>
            <w:r>
              <w:rPr>
                <w:rFonts w:ascii="宋体"/>
                <w:sz w:val="13"/>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9"/>
              <w:jc w:val="right"/>
              <w:rPr>
                <w:rFonts w:ascii="宋体" w:hAnsi="宋体" w:cs="宋体" w:eastAsia="宋体" w:hint="default"/>
                <w:sz w:val="13"/>
                <w:szCs w:val="13"/>
              </w:rPr>
            </w:pPr>
            <w:r>
              <w:rPr>
                <w:rFonts w:ascii="宋体"/>
                <w:w w:val="95"/>
                <w:sz w:val="13"/>
              </w:rPr>
              <w:t>85,542,783.50</w:t>
            </w:r>
            <w:r>
              <w:rPr>
                <w:rFonts w:ascii="宋体"/>
                <w:sz w:val="13"/>
              </w:rPr>
            </w:r>
          </w:p>
        </w:tc>
      </w:tr>
      <w:tr>
        <w:trPr>
          <w:trHeight w:val="1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294"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130,343,964.25</w:t>
            </w:r>
            <w:r>
              <w:rPr>
                <w:rFonts w:ascii="宋体"/>
                <w:sz w:val="13"/>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9"/>
              <w:jc w:val="right"/>
              <w:rPr>
                <w:rFonts w:ascii="宋体" w:hAnsi="宋体" w:cs="宋体" w:eastAsia="宋体" w:hint="default"/>
                <w:sz w:val="13"/>
                <w:szCs w:val="13"/>
              </w:rPr>
            </w:pPr>
            <w:r>
              <w:rPr>
                <w:rFonts w:ascii="宋体"/>
                <w:w w:val="95"/>
                <w:sz w:val="13"/>
              </w:rPr>
              <w:t>130,343,964.25</w:t>
            </w:r>
            <w:r>
              <w:rPr>
                <w:rFonts w:ascii="宋体"/>
                <w:sz w:val="13"/>
              </w:rPr>
            </w:r>
          </w:p>
        </w:tc>
      </w:tr>
      <w:tr>
        <w:trPr>
          <w:trHeight w:val="185"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294"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1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．股东投入的普通股</w:t>
            </w:r>
          </w:p>
        </w:tc>
        <w:tc>
          <w:tcPr>
            <w:tcW w:w="1294"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．其他权益工具持有者投入资本</w:t>
            </w:r>
          </w:p>
        </w:tc>
        <w:tc>
          <w:tcPr>
            <w:tcW w:w="1294"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．股份支付计入所有者权益的金额</w:t>
            </w:r>
          </w:p>
        </w:tc>
        <w:tc>
          <w:tcPr>
            <w:tcW w:w="1294"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94"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294"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9"/>
              <w:jc w:val="right"/>
              <w:rPr>
                <w:rFonts w:ascii="宋体" w:hAnsi="宋体" w:cs="宋体" w:eastAsia="宋体" w:hint="default"/>
                <w:sz w:val="13"/>
                <w:szCs w:val="13"/>
              </w:rPr>
            </w:pPr>
            <w:r>
              <w:rPr>
                <w:rFonts w:ascii="宋体"/>
                <w:w w:val="95"/>
                <w:sz w:val="13"/>
              </w:rPr>
              <w:t>26,068,792.86</w:t>
            </w:r>
            <w:r>
              <w:rPr>
                <w:rFonts w:ascii="宋体"/>
                <w:sz w:val="13"/>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-76,126,080.36</w:t>
            </w:r>
            <w:r>
              <w:rPr>
                <w:rFonts w:ascii="宋体"/>
                <w:sz w:val="13"/>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9"/>
              <w:jc w:val="right"/>
              <w:rPr>
                <w:rFonts w:ascii="宋体" w:hAnsi="宋体" w:cs="宋体" w:eastAsia="宋体" w:hint="default"/>
                <w:sz w:val="13"/>
                <w:szCs w:val="13"/>
              </w:rPr>
            </w:pPr>
            <w:r>
              <w:rPr>
                <w:rFonts w:ascii="宋体"/>
                <w:w w:val="95"/>
                <w:sz w:val="13"/>
              </w:rPr>
              <w:t>-50,057,287.50</w:t>
            </w:r>
            <w:r>
              <w:rPr>
                <w:rFonts w:ascii="宋体"/>
                <w:sz w:val="13"/>
              </w:rPr>
            </w:r>
          </w:p>
        </w:tc>
      </w:tr>
      <w:tr>
        <w:trPr>
          <w:trHeight w:val="185"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294"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9"/>
              <w:jc w:val="right"/>
              <w:rPr>
                <w:rFonts w:ascii="宋体" w:hAnsi="宋体" w:cs="宋体" w:eastAsia="宋体" w:hint="default"/>
                <w:sz w:val="13"/>
                <w:szCs w:val="13"/>
              </w:rPr>
            </w:pPr>
            <w:r>
              <w:rPr>
                <w:rFonts w:ascii="宋体"/>
                <w:w w:val="95"/>
                <w:sz w:val="13"/>
              </w:rPr>
              <w:t>26,068,792.86</w:t>
            </w:r>
            <w:r>
              <w:rPr>
                <w:rFonts w:ascii="宋体"/>
                <w:sz w:val="13"/>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-26,068,792.86</w:t>
            </w:r>
            <w:r>
              <w:rPr>
                <w:rFonts w:ascii="宋体"/>
                <w:sz w:val="13"/>
              </w:rPr>
            </w: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．对所有者（或股东）的分配</w:t>
            </w:r>
          </w:p>
        </w:tc>
        <w:tc>
          <w:tcPr>
            <w:tcW w:w="1294"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-50,057,287.50</w:t>
            </w:r>
            <w:r>
              <w:rPr>
                <w:rFonts w:ascii="宋体"/>
                <w:sz w:val="13"/>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9"/>
              <w:jc w:val="right"/>
              <w:rPr>
                <w:rFonts w:ascii="宋体" w:hAnsi="宋体" w:cs="宋体" w:eastAsia="宋体" w:hint="default"/>
                <w:sz w:val="13"/>
                <w:szCs w:val="13"/>
              </w:rPr>
            </w:pPr>
            <w:r>
              <w:rPr>
                <w:rFonts w:ascii="宋体"/>
                <w:w w:val="95"/>
                <w:sz w:val="13"/>
              </w:rPr>
              <w:t>-50,057,287.50</w:t>
            </w:r>
            <w:r>
              <w:rPr>
                <w:rFonts w:ascii="宋体"/>
                <w:sz w:val="13"/>
              </w:rPr>
            </w:r>
          </w:p>
        </w:tc>
      </w:tr>
      <w:tr>
        <w:trPr>
          <w:trHeight w:val="185"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．其他</w:t>
            </w:r>
          </w:p>
        </w:tc>
        <w:tc>
          <w:tcPr>
            <w:tcW w:w="1294"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294"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．资本公积转增资本（或股本）</w:t>
            </w:r>
          </w:p>
        </w:tc>
        <w:tc>
          <w:tcPr>
            <w:tcW w:w="1294"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．盈余公积转增资本（或股本）</w:t>
            </w:r>
          </w:p>
        </w:tc>
        <w:tc>
          <w:tcPr>
            <w:tcW w:w="1294"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1294"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1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94"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68"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294"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5,256,106.75</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9"/>
              <w:jc w:val="right"/>
              <w:rPr>
                <w:rFonts w:ascii="宋体" w:hAnsi="宋体" w:cs="宋体" w:eastAsia="宋体" w:hint="default"/>
                <w:sz w:val="13"/>
                <w:szCs w:val="13"/>
              </w:rPr>
            </w:pPr>
            <w:r>
              <w:rPr>
                <w:rFonts w:ascii="宋体"/>
                <w:w w:val="95"/>
                <w:sz w:val="13"/>
              </w:rPr>
              <w:t>5,256,106.75</w:t>
            </w:r>
            <w:r>
              <w:rPr>
                <w:rFonts w:ascii="宋体"/>
                <w:sz w:val="13"/>
              </w:rPr>
            </w:r>
          </w:p>
        </w:tc>
      </w:tr>
      <w:tr>
        <w:trPr>
          <w:trHeight w:val="1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294"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right="101"/>
              <w:jc w:val="right"/>
              <w:rPr>
                <w:rFonts w:ascii="宋体" w:hAnsi="宋体" w:cs="宋体" w:eastAsia="宋体" w:hint="default"/>
                <w:sz w:val="13"/>
                <w:szCs w:val="13"/>
              </w:rPr>
            </w:pPr>
            <w:r>
              <w:rPr>
                <w:rFonts w:ascii="宋体"/>
                <w:w w:val="95"/>
                <w:sz w:val="13"/>
              </w:rPr>
              <w:t>11,979,898.56</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right="99"/>
              <w:jc w:val="right"/>
              <w:rPr>
                <w:rFonts w:ascii="宋体" w:hAnsi="宋体" w:cs="宋体" w:eastAsia="宋体" w:hint="default"/>
                <w:sz w:val="13"/>
                <w:szCs w:val="13"/>
              </w:rPr>
            </w:pPr>
            <w:r>
              <w:rPr>
                <w:rFonts w:ascii="宋体"/>
                <w:w w:val="95"/>
                <w:sz w:val="13"/>
              </w:rPr>
              <w:t>11,979,898.56</w:t>
            </w:r>
            <w:r>
              <w:rPr>
                <w:rFonts w:ascii="宋体"/>
                <w:sz w:val="13"/>
              </w:rPr>
            </w:r>
          </w:p>
        </w:tc>
      </w:tr>
      <w:tr>
        <w:trPr>
          <w:trHeight w:val="185"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294"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6,723,791.81</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9"/>
              <w:jc w:val="right"/>
              <w:rPr>
                <w:rFonts w:ascii="宋体" w:hAnsi="宋体" w:cs="宋体" w:eastAsia="宋体" w:hint="default"/>
                <w:sz w:val="13"/>
                <w:szCs w:val="13"/>
              </w:rPr>
            </w:pPr>
            <w:r>
              <w:rPr>
                <w:rFonts w:ascii="宋体"/>
                <w:w w:val="95"/>
                <w:sz w:val="13"/>
              </w:rPr>
              <w:t>6,723,791.81</w:t>
            </w:r>
            <w:r>
              <w:rPr>
                <w:rFonts w:ascii="宋体"/>
                <w:sz w:val="13"/>
              </w:rPr>
            </w:r>
          </w:p>
        </w:tc>
      </w:tr>
      <w:tr>
        <w:trPr>
          <w:trHeight w:val="1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294"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294" w:type="dxa"/>
            <w:tcBorders>
              <w:top w:val="single" w:sz="6" w:space="0" w:color="000000"/>
              <w:left w:val="single" w:sz="6" w:space="0" w:color="000000"/>
              <w:bottom w:val="single" w:sz="6" w:space="0" w:color="000000"/>
              <w:right w:val="single" w:sz="4" w:space="0" w:color="000000"/>
            </w:tcBorders>
          </w:tcPr>
          <w:p>
            <w:pPr>
              <w:pStyle w:val="TableParagraph"/>
              <w:spacing w:line="145" w:lineRule="exact"/>
              <w:ind w:left="139" w:right="0"/>
              <w:jc w:val="left"/>
              <w:rPr>
                <w:rFonts w:ascii="宋体" w:hAnsi="宋体" w:cs="宋体" w:eastAsia="宋体" w:hint="default"/>
                <w:sz w:val="13"/>
                <w:szCs w:val="13"/>
              </w:rPr>
            </w:pPr>
            <w:r>
              <w:rPr>
                <w:rFonts w:ascii="宋体"/>
                <w:sz w:val="13"/>
              </w:rPr>
              <w:t>2,002,291,500.00</w:t>
            </w: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24" w:right="0"/>
              <w:jc w:val="center"/>
              <w:rPr>
                <w:rFonts w:ascii="宋体" w:hAnsi="宋体" w:cs="宋体" w:eastAsia="宋体" w:hint="default"/>
                <w:sz w:val="13"/>
                <w:szCs w:val="13"/>
              </w:rPr>
            </w:pPr>
            <w:r>
              <w:rPr>
                <w:rFonts w:ascii="宋体"/>
                <w:sz w:val="13"/>
              </w:rPr>
              <w:t>2,663,512,625.64</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5,256,106.75</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9"/>
              <w:jc w:val="right"/>
              <w:rPr>
                <w:rFonts w:ascii="宋体" w:hAnsi="宋体" w:cs="宋体" w:eastAsia="宋体" w:hint="default"/>
                <w:sz w:val="13"/>
                <w:szCs w:val="13"/>
              </w:rPr>
            </w:pPr>
            <w:r>
              <w:rPr>
                <w:rFonts w:ascii="宋体"/>
                <w:w w:val="95"/>
                <w:sz w:val="13"/>
              </w:rPr>
              <w:t>320,437,791.06</w:t>
            </w:r>
            <w:r>
              <w:rPr>
                <w:rFonts w:ascii="宋体"/>
                <w:sz w:val="13"/>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667,776,487.44</w:t>
            </w:r>
            <w:r>
              <w:rPr>
                <w:rFonts w:ascii="宋体"/>
                <w:sz w:val="13"/>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9"/>
              <w:jc w:val="right"/>
              <w:rPr>
                <w:rFonts w:ascii="宋体" w:hAnsi="宋体" w:cs="宋体" w:eastAsia="宋体" w:hint="default"/>
                <w:sz w:val="13"/>
                <w:szCs w:val="13"/>
              </w:rPr>
            </w:pPr>
            <w:r>
              <w:rPr>
                <w:rFonts w:ascii="宋体"/>
                <w:w w:val="95"/>
                <w:sz w:val="13"/>
              </w:rPr>
              <w:t>5,659,274,510.89</w:t>
            </w:r>
            <w:r>
              <w:rPr>
                <w:rFonts w:ascii="宋体"/>
                <w:sz w:val="13"/>
              </w:rPr>
            </w:r>
          </w:p>
        </w:tc>
      </w:tr>
    </w:tbl>
    <w:p>
      <w:pPr>
        <w:spacing w:line="240" w:lineRule="auto" w:before="5"/>
        <w:rPr>
          <w:rFonts w:ascii="宋体" w:hAnsi="宋体" w:cs="宋体" w:eastAsia="宋体" w:hint="default"/>
          <w:sz w:val="15"/>
          <w:szCs w:val="15"/>
        </w:rPr>
      </w:pPr>
    </w:p>
    <w:p>
      <w:pPr>
        <w:pStyle w:val="BodyText"/>
        <w:tabs>
          <w:tab w:pos="3835" w:val="left" w:leader="none"/>
        </w:tabs>
        <w:spacing w:line="240" w:lineRule="auto" w:before="36"/>
        <w:ind w:left="1104" w:right="0"/>
        <w:jc w:val="left"/>
      </w:pPr>
      <w:r>
        <w:rPr>
          <w:spacing w:val="-2"/>
        </w:rPr>
        <w:t>法定代表人：徐健</w:t>
        <w:tab/>
        <w:t>主管会计工作负责人：王兴山会计机构负责人：陈晓建</w:t>
      </w:r>
    </w:p>
    <w:p>
      <w:pPr>
        <w:spacing w:after="0" w:line="240" w:lineRule="auto"/>
        <w:jc w:val="left"/>
        <w:sectPr>
          <w:footerReference w:type="default" r:id="rId27"/>
          <w:pgSz w:w="16840" w:h="11910" w:orient="landscape"/>
          <w:pgMar w:footer="1195" w:header="882" w:top="1120" w:bottom="1380" w:left="420" w:right="1320"/>
        </w:sectPr>
      </w:pPr>
    </w:p>
    <w:p>
      <w:pPr>
        <w:spacing w:line="240" w:lineRule="auto" w:before="9"/>
        <w:rPr>
          <w:rFonts w:ascii="宋体" w:hAnsi="宋体" w:cs="宋体" w:eastAsia="宋体" w:hint="default"/>
          <w:sz w:val="29"/>
          <w:szCs w:val="29"/>
        </w:rPr>
      </w:pPr>
    </w:p>
    <w:p>
      <w:pPr>
        <w:pStyle w:val="Heading2"/>
        <w:spacing w:line="240" w:lineRule="auto"/>
        <w:ind w:left="138" w:right="0"/>
        <w:jc w:val="both"/>
        <w:rPr>
          <w:b w:val="0"/>
          <w:bCs w:val="0"/>
        </w:rPr>
      </w:pPr>
      <w:r>
        <w:rPr/>
        <w:t>三、公司基本情况</w:t>
      </w:r>
      <w:r>
        <w:rPr>
          <w:b w:val="0"/>
          <w:bCs w:val="0"/>
        </w:rPr>
      </w:r>
    </w:p>
    <w:p>
      <w:pPr>
        <w:pStyle w:val="Heading2"/>
        <w:spacing w:line="240" w:lineRule="auto" w:before="58"/>
        <w:ind w:left="138" w:right="0"/>
        <w:jc w:val="both"/>
        <w:rPr>
          <w:b w:val="0"/>
          <w:bCs w:val="0"/>
        </w:rPr>
      </w:pPr>
      <w:r>
        <w:rPr>
          <w:rFonts w:ascii="Calibri" w:hAnsi="Calibri" w:cs="Calibri" w:eastAsia="Calibri" w:hint="default"/>
        </w:rPr>
        <w:t>1.    </w:t>
      </w:r>
      <w:r>
        <w:rPr>
          <w:rFonts w:ascii="Calibri" w:hAnsi="Calibri" w:cs="Calibri" w:eastAsia="Calibri" w:hint="default"/>
          <w:spacing w:val="20"/>
        </w:rPr>
        <w:t> </w:t>
      </w:r>
      <w:r>
        <w:rPr/>
        <w:t>公司概况</w:t>
      </w:r>
      <w:r>
        <w:rPr>
          <w:b w:val="0"/>
          <w:bCs w:val="0"/>
        </w:rPr>
      </w:r>
    </w:p>
    <w:p>
      <w:pPr>
        <w:pStyle w:val="BodyText"/>
        <w:spacing w:line="237" w:lineRule="auto" w:before="32"/>
        <w:ind w:right="208"/>
        <w:jc w:val="both"/>
      </w:pPr>
      <w:r>
        <w:rPr>
          <w:spacing w:val="-6"/>
        </w:rPr>
        <w:t>锦州港股份有限公司（以下简称公司或本公司）是</w:t>
      </w:r>
      <w:r>
        <w:rPr>
          <w:spacing w:val="-47"/>
        </w:rPr>
        <w:t> </w:t>
      </w:r>
      <w:r>
        <w:rPr>
          <w:rFonts w:ascii="宋体" w:hAnsi="宋体" w:cs="宋体" w:eastAsia="宋体" w:hint="default"/>
        </w:rPr>
        <w:t>1992</w:t>
      </w:r>
      <w:r>
        <w:rPr>
          <w:rFonts w:ascii="宋体" w:hAnsi="宋体" w:cs="宋体" w:eastAsia="宋体" w:hint="default"/>
          <w:spacing w:val="-47"/>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47"/>
        </w:rPr>
        <w:t> </w:t>
      </w:r>
      <w:r>
        <w:rPr>
          <w:rFonts w:ascii="宋体" w:hAnsi="宋体" w:cs="宋体" w:eastAsia="宋体" w:hint="default"/>
        </w:rPr>
        <w:t>30</w:t>
      </w:r>
      <w:r>
        <w:rPr>
          <w:rFonts w:ascii="宋体" w:hAnsi="宋体" w:cs="宋体" w:eastAsia="宋体" w:hint="default"/>
          <w:spacing w:val="-49"/>
        </w:rPr>
        <w:t> </w:t>
      </w:r>
      <w:r>
        <w:rPr/>
        <w:t>日经辽宁省经济体制改革委员</w:t>
      </w:r>
      <w:r>
        <w:rPr>
          <w:spacing w:val="-103"/>
        </w:rPr>
        <w:t> </w:t>
      </w:r>
      <w:r>
        <w:rPr>
          <w:spacing w:val="-103"/>
        </w:rPr>
      </w:r>
      <w:r>
        <w:rPr/>
        <w:t>会辽体改发</w:t>
      </w:r>
      <w:r>
        <w:rPr>
          <w:rFonts w:ascii="宋体" w:hAnsi="宋体" w:cs="宋体" w:eastAsia="宋体" w:hint="default"/>
        </w:rPr>
        <w:t>[1992]93</w:t>
      </w:r>
      <w:r>
        <w:rPr>
          <w:rFonts w:ascii="宋体" w:hAnsi="宋体" w:cs="宋体" w:eastAsia="宋体" w:hint="default"/>
          <w:spacing w:val="-18"/>
        </w:rPr>
        <w:t> </w:t>
      </w:r>
      <w:r>
        <w:rPr>
          <w:spacing w:val="-3"/>
        </w:rPr>
        <w:t>号文件批准，以定向募集方式，由锦州港务局（现已更名为锦州港国有资产</w:t>
      </w:r>
      <w:r>
        <w:rPr>
          <w:spacing w:val="-91"/>
        </w:rPr>
        <w:t> </w:t>
      </w:r>
      <w:r>
        <w:rPr>
          <w:spacing w:val="-91"/>
        </w:rPr>
      </w:r>
      <w:r>
        <w:rPr>
          <w:spacing w:val="-2"/>
        </w:rPr>
        <w:t>经营管理有限公司）、中国石化大庆石油化工总厂和中国石油锦州石油化工公司共同出资组建的</w:t>
      </w:r>
      <w:r>
        <w:rPr>
          <w:spacing w:val="-25"/>
        </w:rPr>
        <w:t> </w:t>
      </w:r>
      <w:r>
        <w:rPr>
          <w:spacing w:val="-25"/>
        </w:rPr>
      </w:r>
      <w:r>
        <w:rPr/>
        <w:t>股份有限公司。</w:t>
      </w:r>
    </w:p>
    <w:p>
      <w:pPr>
        <w:spacing w:line="240" w:lineRule="auto" w:before="3"/>
        <w:rPr>
          <w:rFonts w:ascii="宋体" w:hAnsi="宋体" w:cs="宋体" w:eastAsia="宋体" w:hint="default"/>
          <w:sz w:val="16"/>
          <w:szCs w:val="16"/>
        </w:rPr>
      </w:pPr>
    </w:p>
    <w:p>
      <w:pPr>
        <w:pStyle w:val="BodyText"/>
        <w:spacing w:line="240" w:lineRule="auto"/>
        <w:ind w:right="270"/>
        <w:jc w:val="both"/>
      </w:pPr>
      <w:r>
        <w:rPr>
          <w:rFonts w:ascii="宋体" w:hAnsi="宋体" w:cs="宋体" w:eastAsia="宋体" w:hint="default"/>
        </w:rPr>
        <w:t>1995</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20</w:t>
      </w:r>
      <w:r>
        <w:rPr>
          <w:rFonts w:ascii="宋体" w:hAnsi="宋体" w:cs="宋体" w:eastAsia="宋体" w:hint="default"/>
          <w:spacing w:val="-55"/>
        </w:rPr>
        <w:t> </w:t>
      </w:r>
      <w:r>
        <w:rPr/>
        <w:t>日，中国石化大庆石油化工总厂因国家对石油产业政策的调整而改变经营策略，</w:t>
      </w:r>
      <w:r>
        <w:rPr>
          <w:w w:val="100"/>
        </w:rPr>
        <w:t> </w:t>
      </w:r>
      <w:r>
        <w:rPr/>
        <w:t>将所持有的本公司股份全部转让给东方集团股份有限公司。</w:t>
      </w:r>
    </w:p>
    <w:p>
      <w:pPr>
        <w:spacing w:line="240" w:lineRule="auto" w:before="3"/>
        <w:rPr>
          <w:rFonts w:ascii="宋体" w:hAnsi="宋体" w:cs="宋体" w:eastAsia="宋体" w:hint="default"/>
          <w:sz w:val="16"/>
          <w:szCs w:val="16"/>
        </w:rPr>
      </w:pPr>
    </w:p>
    <w:p>
      <w:pPr>
        <w:pStyle w:val="BodyText"/>
        <w:spacing w:line="274" w:lineRule="exact"/>
        <w:ind w:right="0"/>
        <w:jc w:val="both"/>
      </w:pPr>
      <w:r>
        <w:rPr>
          <w:rFonts w:ascii="宋体" w:hAnsi="宋体" w:cs="宋体" w:eastAsia="宋体" w:hint="default"/>
        </w:rPr>
        <w:t>1998</w:t>
      </w:r>
      <w:r>
        <w:rPr>
          <w:rFonts w:ascii="宋体" w:hAnsi="宋体" w:cs="宋体" w:eastAsia="宋体" w:hint="default"/>
          <w:spacing w:val="-47"/>
        </w:rPr>
        <w:t> </w:t>
      </w:r>
      <w:r>
        <w:rPr/>
        <w:t>年</w:t>
      </w:r>
      <w:r>
        <w:rPr>
          <w:spacing w:val="-45"/>
        </w:rPr>
        <w:t> </w:t>
      </w:r>
      <w:r>
        <w:rPr>
          <w:rFonts w:ascii="宋体" w:hAnsi="宋体" w:cs="宋体" w:eastAsia="宋体" w:hint="default"/>
        </w:rPr>
        <w:t>4</w:t>
      </w:r>
      <w:r>
        <w:rPr>
          <w:rFonts w:ascii="宋体" w:hAnsi="宋体" w:cs="宋体" w:eastAsia="宋体" w:hint="default"/>
          <w:spacing w:val="-47"/>
        </w:rPr>
        <w:t> </w:t>
      </w:r>
      <w:r>
        <w:rPr/>
        <w:t>月</w:t>
      </w:r>
      <w:r>
        <w:rPr>
          <w:spacing w:val="-45"/>
        </w:rPr>
        <w:t> </w:t>
      </w:r>
      <w:r>
        <w:rPr>
          <w:rFonts w:ascii="宋体" w:hAnsi="宋体" w:cs="宋体" w:eastAsia="宋体" w:hint="default"/>
        </w:rPr>
        <w:t>29</w:t>
      </w:r>
      <w:r>
        <w:rPr>
          <w:rFonts w:ascii="宋体" w:hAnsi="宋体" w:cs="宋体" w:eastAsia="宋体" w:hint="default"/>
          <w:spacing w:val="-47"/>
        </w:rPr>
        <w:t> </w:t>
      </w:r>
      <w:r>
        <w:rPr>
          <w:spacing w:val="-3"/>
        </w:rPr>
        <w:t>日经国务院证券委员会（证委发</w:t>
      </w:r>
      <w:r>
        <w:rPr>
          <w:rFonts w:ascii="宋体" w:hAnsi="宋体" w:cs="宋体" w:eastAsia="宋体" w:hint="default"/>
          <w:spacing w:val="-3"/>
        </w:rPr>
        <w:t>[1998]2</w:t>
      </w:r>
      <w:r>
        <w:rPr>
          <w:rFonts w:ascii="宋体" w:hAnsi="宋体" w:cs="宋体" w:eastAsia="宋体" w:hint="default"/>
          <w:spacing w:val="-47"/>
        </w:rPr>
        <w:t> </w:t>
      </w:r>
      <w:r>
        <w:rPr>
          <w:spacing w:val="-6"/>
        </w:rPr>
        <w:t>号文件）批准，公司发行</w:t>
      </w:r>
      <w:r>
        <w:rPr>
          <w:spacing w:val="-43"/>
        </w:rPr>
        <w:t> </w:t>
      </w:r>
      <w:r>
        <w:rPr>
          <w:rFonts w:ascii="宋体" w:hAnsi="宋体" w:cs="宋体" w:eastAsia="宋体" w:hint="default"/>
        </w:rPr>
        <w:t>B</w:t>
      </w:r>
      <w:r>
        <w:rPr>
          <w:rFonts w:ascii="宋体" w:hAnsi="宋体" w:cs="宋体" w:eastAsia="宋体" w:hint="default"/>
          <w:spacing w:val="-47"/>
        </w:rPr>
        <w:t> </w:t>
      </w:r>
      <w:r>
        <w:rPr>
          <w:spacing w:val="-5"/>
        </w:rPr>
        <w:t>股股票，并于</w:t>
      </w:r>
    </w:p>
    <w:p>
      <w:pPr>
        <w:pStyle w:val="BodyText"/>
        <w:spacing w:line="273" w:lineRule="exact"/>
        <w:ind w:right="0"/>
        <w:jc w:val="both"/>
      </w:pPr>
      <w:r>
        <w:rPr>
          <w:rFonts w:ascii="宋体" w:hAnsi="宋体" w:cs="宋体" w:eastAsia="宋体" w:hint="default"/>
          <w:w w:val="100"/>
        </w:rPr>
        <w:t>1998</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5</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19</w:t>
      </w:r>
      <w:r>
        <w:rPr>
          <w:rFonts w:ascii="宋体" w:hAnsi="宋体" w:cs="宋体" w:eastAsia="宋体" w:hint="default"/>
          <w:spacing w:val="-55"/>
        </w:rPr>
        <w:t> </w:t>
      </w:r>
      <w:r>
        <w:rPr>
          <w:w w:val="100"/>
        </w:rPr>
        <w:t>日</w:t>
      </w:r>
      <w:r>
        <w:rPr>
          <w:spacing w:val="-3"/>
          <w:w w:val="100"/>
        </w:rPr>
        <w:t>在</w:t>
      </w:r>
      <w:r>
        <w:rPr>
          <w:w w:val="100"/>
        </w:rPr>
        <w:t>上</w:t>
      </w:r>
      <w:r>
        <w:rPr>
          <w:spacing w:val="-3"/>
          <w:w w:val="100"/>
        </w:rPr>
        <w:t>海</w:t>
      </w:r>
      <w:r>
        <w:rPr>
          <w:w w:val="100"/>
        </w:rPr>
        <w:t>证券</w:t>
      </w:r>
      <w:r>
        <w:rPr>
          <w:spacing w:val="-3"/>
          <w:w w:val="100"/>
        </w:rPr>
        <w:t>交</w:t>
      </w:r>
      <w:r>
        <w:rPr>
          <w:w w:val="100"/>
        </w:rPr>
        <w:t>易</w:t>
      </w:r>
      <w:r>
        <w:rPr>
          <w:spacing w:val="-3"/>
          <w:w w:val="100"/>
        </w:rPr>
        <w:t>所</w:t>
      </w:r>
      <w:r>
        <w:rPr>
          <w:w w:val="100"/>
        </w:rPr>
        <w:t>挂</w:t>
      </w:r>
      <w:r>
        <w:rPr>
          <w:spacing w:val="-3"/>
          <w:w w:val="100"/>
        </w:rPr>
        <w:t>牌</w:t>
      </w:r>
      <w:r>
        <w:rPr>
          <w:w w:val="100"/>
        </w:rPr>
        <w:t>上</w:t>
      </w:r>
      <w:r>
        <w:rPr>
          <w:spacing w:val="-3"/>
          <w:w w:val="100"/>
        </w:rPr>
        <w:t>市</w:t>
      </w:r>
      <w:r>
        <w:rPr>
          <w:w w:val="100"/>
        </w:rPr>
        <w:t>交</w:t>
      </w:r>
      <w:r>
        <w:rPr>
          <w:spacing w:val="-3"/>
          <w:w w:val="100"/>
        </w:rPr>
        <w:t>易</w:t>
      </w:r>
      <w:r>
        <w:rPr>
          <w:spacing w:val="-94"/>
          <w:w w:val="100"/>
        </w:rPr>
        <w:t>；</w:t>
      </w:r>
      <w:r>
        <w:rPr>
          <w:rFonts w:ascii="宋体" w:hAnsi="宋体" w:cs="宋体" w:eastAsia="宋体" w:hint="default"/>
          <w:w w:val="100"/>
        </w:rPr>
        <w:t>1999</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4</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30</w:t>
      </w:r>
      <w:r>
        <w:rPr>
          <w:rFonts w:ascii="宋体" w:hAnsi="宋体" w:cs="宋体" w:eastAsia="宋体" w:hint="default"/>
          <w:spacing w:val="-55"/>
        </w:rPr>
        <w:t> </w:t>
      </w:r>
      <w:r>
        <w:rPr>
          <w:w w:val="100"/>
        </w:rPr>
        <w:t>日</w:t>
      </w:r>
      <w:r>
        <w:rPr>
          <w:spacing w:val="-3"/>
          <w:w w:val="100"/>
        </w:rPr>
        <w:t>经</w:t>
      </w:r>
      <w:r>
        <w:rPr>
          <w:w w:val="100"/>
        </w:rPr>
        <w:t>中</w:t>
      </w:r>
      <w:r>
        <w:rPr>
          <w:spacing w:val="-3"/>
          <w:w w:val="100"/>
        </w:rPr>
        <w:t>国</w:t>
      </w:r>
      <w:r>
        <w:rPr>
          <w:w w:val="100"/>
        </w:rPr>
        <w:t>证券</w:t>
      </w:r>
      <w:r>
        <w:rPr>
          <w:spacing w:val="-3"/>
          <w:w w:val="100"/>
        </w:rPr>
        <w:t>监</w:t>
      </w:r>
      <w:r>
        <w:rPr>
          <w:w w:val="100"/>
        </w:rPr>
        <w:t>督</w:t>
      </w:r>
      <w:r>
        <w:rPr>
          <w:spacing w:val="-3"/>
          <w:w w:val="100"/>
        </w:rPr>
        <w:t>管</w:t>
      </w:r>
      <w:r>
        <w:rPr>
          <w:w w:val="100"/>
        </w:rPr>
        <w:t>理</w:t>
      </w:r>
      <w:r>
        <w:rPr>
          <w:spacing w:val="-3"/>
          <w:w w:val="100"/>
        </w:rPr>
        <w:t>委员</w:t>
      </w:r>
      <w:r>
        <w:rPr>
          <w:w w:val="100"/>
        </w:rPr>
        <w:t>会</w:t>
      </w:r>
    </w:p>
    <w:p>
      <w:pPr>
        <w:pStyle w:val="BodyText"/>
        <w:spacing w:line="240" w:lineRule="auto"/>
        <w:ind w:right="272"/>
        <w:jc w:val="both"/>
      </w:pPr>
      <w:r>
        <w:rPr/>
        <w:t>（证监发行字</w:t>
      </w:r>
      <w:r>
        <w:rPr>
          <w:rFonts w:ascii="宋体" w:hAnsi="宋体" w:cs="宋体" w:eastAsia="宋体" w:hint="default"/>
        </w:rPr>
        <w:t>[1999]46</w:t>
      </w:r>
      <w:r>
        <w:rPr>
          <w:rFonts w:ascii="宋体" w:hAnsi="宋体" w:cs="宋体" w:eastAsia="宋体" w:hint="default"/>
          <w:spacing w:val="-55"/>
        </w:rPr>
        <w:t> </w:t>
      </w:r>
      <w:r>
        <w:rPr/>
        <w:t>号文件）批准，公司发行</w:t>
      </w:r>
      <w:r>
        <w:rPr>
          <w:spacing w:val="-53"/>
        </w:rPr>
        <w:t> </w:t>
      </w:r>
      <w:r>
        <w:rPr>
          <w:rFonts w:ascii="宋体" w:hAnsi="宋体" w:cs="宋体" w:eastAsia="宋体" w:hint="default"/>
        </w:rPr>
        <w:t>A</w:t>
      </w:r>
      <w:r>
        <w:rPr>
          <w:rFonts w:ascii="宋体" w:hAnsi="宋体" w:cs="宋体" w:eastAsia="宋体" w:hint="default"/>
          <w:spacing w:val="-55"/>
        </w:rPr>
        <w:t> </w:t>
      </w:r>
      <w:r>
        <w:rPr/>
        <w:t>股股票，并于</w:t>
      </w:r>
      <w:r>
        <w:rPr>
          <w:spacing w:val="-53"/>
        </w:rPr>
        <w:t> </w:t>
      </w:r>
      <w:r>
        <w:rPr>
          <w:rFonts w:ascii="宋体" w:hAnsi="宋体" w:cs="宋体" w:eastAsia="宋体" w:hint="default"/>
        </w:rPr>
        <w:t>1999</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2"/>
        </w:rPr>
        <w:t> </w:t>
      </w:r>
      <w:r>
        <w:rPr>
          <w:rFonts w:ascii="宋体" w:hAnsi="宋体" w:cs="宋体" w:eastAsia="宋体" w:hint="default"/>
        </w:rPr>
        <w:t>9</w:t>
      </w:r>
      <w:r>
        <w:rPr>
          <w:rFonts w:ascii="宋体" w:hAnsi="宋体" w:cs="宋体" w:eastAsia="宋体" w:hint="default"/>
          <w:spacing w:val="-53"/>
        </w:rPr>
        <w:t> </w:t>
      </w:r>
      <w:r>
        <w:rPr/>
        <w:t>日在上海证券交</w:t>
      </w:r>
      <w:r>
        <w:rPr>
          <w:w w:val="100"/>
        </w:rPr>
        <w:t> </w:t>
      </w:r>
      <w:r>
        <w:rPr/>
        <w:t>易所挂牌上市。</w:t>
      </w:r>
    </w:p>
    <w:p>
      <w:pPr>
        <w:spacing w:line="240" w:lineRule="auto" w:before="3"/>
        <w:rPr>
          <w:rFonts w:ascii="宋体" w:hAnsi="宋体" w:cs="宋体" w:eastAsia="宋体" w:hint="default"/>
          <w:sz w:val="16"/>
          <w:szCs w:val="16"/>
        </w:rPr>
      </w:pPr>
    </w:p>
    <w:p>
      <w:pPr>
        <w:pStyle w:val="BodyText"/>
        <w:spacing w:line="274" w:lineRule="exact"/>
        <w:ind w:right="0"/>
        <w:jc w:val="both"/>
      </w:pPr>
      <w:r>
        <w:rPr/>
        <w:t>根据</w:t>
      </w:r>
      <w:r>
        <w:rPr>
          <w:spacing w:val="-53"/>
        </w:rPr>
        <w:t> </w:t>
      </w:r>
      <w:r>
        <w:rPr>
          <w:rFonts w:ascii="宋体" w:hAnsi="宋体" w:cs="宋体" w:eastAsia="宋体" w:hint="default"/>
        </w:rPr>
        <w:t>2008</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11</w:t>
      </w:r>
      <w:r>
        <w:rPr>
          <w:rFonts w:ascii="宋体" w:hAnsi="宋体" w:cs="宋体" w:eastAsia="宋体" w:hint="default"/>
          <w:spacing w:val="-55"/>
        </w:rPr>
        <w:t> </w:t>
      </w:r>
      <w:r>
        <w:rPr/>
        <w:t>日公司第一次临时股东大会决议通过的《关于公司向特定对象非公开发行股</w:t>
      </w:r>
    </w:p>
    <w:p>
      <w:pPr>
        <w:pStyle w:val="BodyText"/>
        <w:spacing w:line="272" w:lineRule="exact"/>
        <w:ind w:right="0"/>
        <w:jc w:val="both"/>
      </w:pPr>
      <w:r>
        <w:rPr>
          <w:spacing w:val="-11"/>
        </w:rPr>
        <w:t>票方案的议案》，公司于</w:t>
      </w:r>
      <w:r>
        <w:rPr>
          <w:spacing w:val="-42"/>
        </w:rPr>
        <w:t> </w:t>
      </w:r>
      <w:r>
        <w:rPr>
          <w:rFonts w:ascii="宋体" w:hAnsi="宋体" w:cs="宋体" w:eastAsia="宋体" w:hint="default"/>
        </w:rPr>
        <w:t>2009</w:t>
      </w:r>
      <w:r>
        <w:rPr>
          <w:rFonts w:ascii="宋体" w:hAnsi="宋体" w:cs="宋体" w:eastAsia="宋体" w:hint="default"/>
          <w:spacing w:val="-43"/>
        </w:rPr>
        <w:t> </w:t>
      </w:r>
      <w:r>
        <w:rPr/>
        <w:t>年</w:t>
      </w:r>
      <w:r>
        <w:rPr>
          <w:spacing w:val="-46"/>
        </w:rPr>
        <w:t> </w:t>
      </w:r>
      <w:r>
        <w:rPr>
          <w:rFonts w:ascii="宋体" w:hAnsi="宋体" w:cs="宋体" w:eastAsia="宋体" w:hint="default"/>
        </w:rPr>
        <w:t>3</w:t>
      </w:r>
      <w:r>
        <w:rPr>
          <w:rFonts w:ascii="宋体" w:hAnsi="宋体" w:cs="宋体" w:eastAsia="宋体" w:hint="default"/>
          <w:spacing w:val="-43"/>
        </w:rPr>
        <w:t> </w:t>
      </w:r>
      <w:r>
        <w:rPr/>
        <w:t>月</w:t>
      </w:r>
      <w:r>
        <w:rPr>
          <w:spacing w:val="-46"/>
        </w:rPr>
        <w:t> </w:t>
      </w:r>
      <w:r>
        <w:rPr>
          <w:rFonts w:ascii="宋体" w:hAnsi="宋体" w:cs="宋体" w:eastAsia="宋体" w:hint="default"/>
        </w:rPr>
        <w:t>30</w:t>
      </w:r>
      <w:r>
        <w:rPr>
          <w:rFonts w:ascii="宋体" w:hAnsi="宋体" w:cs="宋体" w:eastAsia="宋体" w:hint="default"/>
          <w:spacing w:val="-46"/>
        </w:rPr>
        <w:t> </w:t>
      </w:r>
      <w:r>
        <w:rPr>
          <w:spacing w:val="-4"/>
        </w:rPr>
        <w:t>日完成向大连港集团有限公司发行人民币普通股（</w:t>
      </w:r>
      <w:r>
        <w:rPr>
          <w:rFonts w:ascii="宋体" w:hAnsi="宋体" w:cs="宋体" w:eastAsia="宋体" w:hint="default"/>
          <w:spacing w:val="-4"/>
        </w:rPr>
        <w:t>A</w:t>
      </w:r>
      <w:r>
        <w:rPr>
          <w:rFonts w:ascii="宋体" w:hAnsi="宋体" w:cs="宋体" w:eastAsia="宋体" w:hint="default"/>
          <w:spacing w:val="-46"/>
        </w:rPr>
        <w:t> </w:t>
      </w:r>
      <w:r>
        <w:rPr/>
        <w:t>股）</w:t>
      </w:r>
    </w:p>
    <w:p>
      <w:pPr>
        <w:pStyle w:val="BodyText"/>
        <w:spacing w:line="273" w:lineRule="exact"/>
        <w:ind w:right="0"/>
        <w:jc w:val="both"/>
      </w:pPr>
      <w:r>
        <w:rPr>
          <w:rFonts w:ascii="宋体" w:hAnsi="宋体" w:cs="宋体" w:eastAsia="宋体" w:hint="default"/>
        </w:rPr>
        <w:t>246,000,000</w:t>
      </w:r>
      <w:r>
        <w:rPr>
          <w:rFonts w:ascii="宋体" w:hAnsi="宋体" w:cs="宋体" w:eastAsia="宋体" w:hint="default"/>
          <w:spacing w:val="-54"/>
        </w:rPr>
        <w:t> </w:t>
      </w:r>
      <w:r>
        <w:rPr/>
        <w:t>股的相关事宜。公司变更后的总股本为</w:t>
      </w:r>
      <w:r>
        <w:rPr>
          <w:spacing w:val="-53"/>
        </w:rPr>
        <w:t> </w:t>
      </w:r>
      <w:r>
        <w:rPr>
          <w:rFonts w:ascii="宋体" w:hAnsi="宋体" w:cs="宋体" w:eastAsia="宋体" w:hint="default"/>
        </w:rPr>
        <w:t>1,301,489,475</w:t>
      </w:r>
      <w:r>
        <w:rPr>
          <w:rFonts w:ascii="宋体" w:hAnsi="宋体" w:cs="宋体" w:eastAsia="宋体" w:hint="default"/>
          <w:spacing w:val="-54"/>
        </w:rPr>
        <w:t> </w:t>
      </w:r>
      <w:r>
        <w:rPr>
          <w:spacing w:val="-3"/>
        </w:rPr>
        <w:t>股。</w:t>
      </w:r>
      <w:r>
        <w:rPr/>
      </w:r>
    </w:p>
    <w:p>
      <w:pPr>
        <w:spacing w:line="240" w:lineRule="auto" w:before="5"/>
        <w:rPr>
          <w:rFonts w:ascii="宋体" w:hAnsi="宋体" w:cs="宋体" w:eastAsia="宋体" w:hint="default"/>
          <w:sz w:val="16"/>
          <w:szCs w:val="16"/>
        </w:rPr>
      </w:pPr>
    </w:p>
    <w:p>
      <w:pPr>
        <w:pStyle w:val="BodyText"/>
        <w:spacing w:line="273" w:lineRule="exact"/>
        <w:ind w:right="0"/>
        <w:jc w:val="both"/>
      </w:pPr>
      <w:r>
        <w:rPr/>
        <w:t>根据</w:t>
      </w:r>
      <w:r>
        <w:rPr>
          <w:spacing w:val="-50"/>
        </w:rPr>
        <w:t> </w:t>
      </w:r>
      <w:r>
        <w:rPr>
          <w:rFonts w:ascii="宋体" w:hAnsi="宋体" w:cs="宋体" w:eastAsia="宋体" w:hint="default"/>
        </w:rPr>
        <w:t>2009</w:t>
      </w:r>
      <w:r>
        <w:rPr>
          <w:rFonts w:ascii="宋体" w:hAnsi="宋体" w:cs="宋体" w:eastAsia="宋体" w:hint="default"/>
          <w:spacing w:val="-52"/>
        </w:rPr>
        <w:t> </w:t>
      </w:r>
      <w:r>
        <w:rPr/>
        <w:t>年</w:t>
      </w:r>
      <w:r>
        <w:rPr>
          <w:spacing w:val="-50"/>
        </w:rPr>
        <w:t> </w:t>
      </w:r>
      <w:r>
        <w:rPr>
          <w:rFonts w:ascii="宋体" w:hAnsi="宋体" w:cs="宋体" w:eastAsia="宋体" w:hint="default"/>
        </w:rPr>
        <w:t>5</w:t>
      </w:r>
      <w:r>
        <w:rPr>
          <w:rFonts w:ascii="宋体" w:hAnsi="宋体" w:cs="宋体" w:eastAsia="宋体" w:hint="default"/>
          <w:spacing w:val="-52"/>
        </w:rPr>
        <w:t> </w:t>
      </w:r>
      <w:r>
        <w:rPr/>
        <w:t>月</w:t>
      </w:r>
      <w:r>
        <w:rPr>
          <w:spacing w:val="-50"/>
        </w:rPr>
        <w:t> </w:t>
      </w:r>
      <w:r>
        <w:rPr>
          <w:rFonts w:ascii="宋体" w:hAnsi="宋体" w:cs="宋体" w:eastAsia="宋体" w:hint="default"/>
        </w:rPr>
        <w:t>8</w:t>
      </w:r>
      <w:r>
        <w:rPr>
          <w:rFonts w:ascii="宋体" w:hAnsi="宋体" w:cs="宋体" w:eastAsia="宋体" w:hint="default"/>
          <w:spacing w:val="-52"/>
        </w:rPr>
        <w:t> </w:t>
      </w:r>
      <w:r>
        <w:rPr/>
        <w:t>日公司</w:t>
      </w:r>
      <w:r>
        <w:rPr>
          <w:spacing w:val="-49"/>
        </w:rPr>
        <w:t> </w:t>
      </w:r>
      <w:r>
        <w:rPr>
          <w:rFonts w:ascii="宋体" w:hAnsi="宋体" w:cs="宋体" w:eastAsia="宋体" w:hint="default"/>
        </w:rPr>
        <w:t>2008</w:t>
      </w:r>
      <w:r>
        <w:rPr>
          <w:rFonts w:ascii="宋体" w:hAnsi="宋体" w:cs="宋体" w:eastAsia="宋体" w:hint="default"/>
          <w:spacing w:val="-50"/>
        </w:rPr>
        <w:t> </w:t>
      </w:r>
      <w:r>
        <w:rPr>
          <w:spacing w:val="-4"/>
        </w:rPr>
        <w:t>年年度股东大会决议通过的《</w:t>
      </w:r>
      <w:r>
        <w:rPr>
          <w:rFonts w:ascii="宋体" w:hAnsi="宋体" w:cs="宋体" w:eastAsia="宋体" w:hint="default"/>
          <w:spacing w:val="-4"/>
        </w:rPr>
        <w:t>2008</w:t>
      </w:r>
      <w:r>
        <w:rPr>
          <w:rFonts w:ascii="宋体" w:hAnsi="宋体" w:cs="宋体" w:eastAsia="宋体" w:hint="default"/>
          <w:spacing w:val="-52"/>
        </w:rPr>
        <w:t> </w:t>
      </w:r>
      <w:r>
        <w:rPr/>
        <w:t>年度利润分配预案及资本公积</w:t>
      </w:r>
    </w:p>
    <w:p>
      <w:pPr>
        <w:pStyle w:val="BodyText"/>
        <w:spacing w:line="272" w:lineRule="exact"/>
        <w:ind w:right="0"/>
        <w:jc w:val="both"/>
      </w:pPr>
      <w:r>
        <w:rPr/>
        <w:t>转增股本方案》，公司于</w:t>
      </w:r>
      <w:r>
        <w:rPr>
          <w:spacing w:val="-55"/>
        </w:rPr>
        <w:t> </w:t>
      </w:r>
      <w:r>
        <w:rPr>
          <w:rFonts w:ascii="宋体" w:hAnsi="宋体" w:cs="宋体" w:eastAsia="宋体" w:hint="default"/>
        </w:rPr>
        <w:t>2009</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月实施了</w:t>
      </w:r>
      <w:r>
        <w:rPr>
          <w:spacing w:val="-53"/>
        </w:rPr>
        <w:t> </w:t>
      </w:r>
      <w:r>
        <w:rPr>
          <w:rFonts w:ascii="宋体" w:hAnsi="宋体" w:cs="宋体" w:eastAsia="宋体" w:hint="default"/>
        </w:rPr>
        <w:t>2008</w:t>
      </w:r>
      <w:r>
        <w:rPr>
          <w:rFonts w:ascii="宋体" w:hAnsi="宋体" w:cs="宋体" w:eastAsia="宋体" w:hint="default"/>
          <w:spacing w:val="-55"/>
        </w:rPr>
        <w:t> </w:t>
      </w:r>
      <w:r>
        <w:rPr/>
        <w:t>年度利润分配及资本公积转增股本方案：以定</w:t>
      </w:r>
    </w:p>
    <w:p>
      <w:pPr>
        <w:pStyle w:val="BodyText"/>
        <w:spacing w:line="272" w:lineRule="exact"/>
        <w:ind w:right="0"/>
        <w:jc w:val="both"/>
      </w:pPr>
      <w:r>
        <w:rPr/>
        <w:t>向增发后股本</w:t>
      </w:r>
      <w:r>
        <w:rPr>
          <w:spacing w:val="-47"/>
        </w:rPr>
        <w:t> </w:t>
      </w:r>
      <w:r>
        <w:rPr>
          <w:rFonts w:ascii="宋体" w:hAnsi="宋体" w:cs="宋体" w:eastAsia="宋体" w:hint="default"/>
        </w:rPr>
        <w:t>1,301,489,475</w:t>
      </w:r>
      <w:r>
        <w:rPr>
          <w:rFonts w:ascii="宋体" w:hAnsi="宋体" w:cs="宋体" w:eastAsia="宋体" w:hint="default"/>
          <w:spacing w:val="-46"/>
        </w:rPr>
        <w:t> </w:t>
      </w:r>
      <w:r>
        <w:rPr>
          <w:spacing w:val="-6"/>
        </w:rPr>
        <w:t>股为基数，向公司股东每</w:t>
      </w:r>
      <w:r>
        <w:rPr>
          <w:spacing w:val="-47"/>
        </w:rPr>
        <w:t> </w:t>
      </w:r>
      <w:r>
        <w:rPr>
          <w:rFonts w:ascii="宋体" w:hAnsi="宋体" w:cs="宋体" w:eastAsia="宋体" w:hint="default"/>
        </w:rPr>
        <w:t>10</w:t>
      </w:r>
      <w:r>
        <w:rPr>
          <w:rFonts w:ascii="宋体" w:hAnsi="宋体" w:cs="宋体" w:eastAsia="宋体" w:hint="default"/>
          <w:spacing w:val="-50"/>
        </w:rPr>
        <w:t> </w:t>
      </w:r>
      <w:r>
        <w:rPr/>
        <w:t>股送</w:t>
      </w:r>
      <w:r>
        <w:rPr>
          <w:spacing w:val="-50"/>
        </w:rPr>
        <w:t> </w:t>
      </w:r>
      <w:r>
        <w:rPr>
          <w:rFonts w:ascii="宋体" w:hAnsi="宋体" w:cs="宋体" w:eastAsia="宋体" w:hint="default"/>
        </w:rPr>
        <w:t>1.5</w:t>
      </w:r>
      <w:r>
        <w:rPr>
          <w:rFonts w:ascii="宋体" w:hAnsi="宋体" w:cs="宋体" w:eastAsia="宋体" w:hint="default"/>
          <w:spacing w:val="-50"/>
        </w:rPr>
        <w:t> </w:t>
      </w:r>
      <w:r>
        <w:rPr>
          <w:spacing w:val="-5"/>
        </w:rPr>
        <w:t>股，以资本公积金向公司股东</w:t>
      </w:r>
    </w:p>
    <w:p>
      <w:pPr>
        <w:pStyle w:val="BodyText"/>
        <w:spacing w:line="273" w:lineRule="exact"/>
        <w:ind w:right="0"/>
        <w:jc w:val="both"/>
      </w:pPr>
      <w:r>
        <w:rPr/>
        <w:t>每</w:t>
      </w:r>
      <w:r>
        <w:rPr>
          <w:spacing w:val="-54"/>
        </w:rPr>
        <w:t> </w:t>
      </w:r>
      <w:r>
        <w:rPr>
          <w:rFonts w:ascii="宋体" w:hAnsi="宋体" w:cs="宋体" w:eastAsia="宋体" w:hint="default"/>
        </w:rPr>
        <w:t>10</w:t>
      </w:r>
      <w:r>
        <w:rPr>
          <w:rFonts w:ascii="宋体" w:hAnsi="宋体" w:cs="宋体" w:eastAsia="宋体" w:hint="default"/>
          <w:spacing w:val="-56"/>
        </w:rPr>
        <w:t> </w:t>
      </w:r>
      <w:r>
        <w:rPr/>
        <w:t>股转增</w:t>
      </w:r>
      <w:r>
        <w:rPr>
          <w:spacing w:val="-54"/>
        </w:rPr>
        <w:t> </w:t>
      </w:r>
      <w:r>
        <w:rPr>
          <w:rFonts w:ascii="宋体" w:hAnsi="宋体" w:cs="宋体" w:eastAsia="宋体" w:hint="default"/>
        </w:rPr>
        <w:t>0.5</w:t>
      </w:r>
      <w:r>
        <w:rPr>
          <w:rFonts w:ascii="宋体" w:hAnsi="宋体" w:cs="宋体" w:eastAsia="宋体" w:hint="default"/>
          <w:spacing w:val="-54"/>
        </w:rPr>
        <w:t> </w:t>
      </w:r>
      <w:r>
        <w:rPr/>
        <w:t>股。公司变更后的总股本为</w:t>
      </w:r>
      <w:r>
        <w:rPr>
          <w:spacing w:val="-54"/>
        </w:rPr>
        <w:t> </w:t>
      </w:r>
      <w:r>
        <w:rPr>
          <w:rFonts w:ascii="宋体" w:hAnsi="宋体" w:cs="宋体" w:eastAsia="宋体" w:hint="default"/>
        </w:rPr>
        <w:t>1,561,787,370</w:t>
      </w:r>
      <w:r>
        <w:rPr>
          <w:rFonts w:ascii="宋体" w:hAnsi="宋体" w:cs="宋体" w:eastAsia="宋体" w:hint="default"/>
          <w:spacing w:val="-54"/>
        </w:rPr>
        <w:t> </w:t>
      </w:r>
      <w:r>
        <w:rPr>
          <w:spacing w:val="-3"/>
        </w:rPr>
        <w:t>股。</w:t>
      </w:r>
      <w:r>
        <w:rPr/>
      </w:r>
    </w:p>
    <w:p>
      <w:pPr>
        <w:spacing w:line="240" w:lineRule="auto" w:before="3"/>
        <w:rPr>
          <w:rFonts w:ascii="宋体" w:hAnsi="宋体" w:cs="宋体" w:eastAsia="宋体" w:hint="default"/>
          <w:sz w:val="16"/>
          <w:szCs w:val="16"/>
        </w:rPr>
      </w:pPr>
    </w:p>
    <w:p>
      <w:pPr>
        <w:pStyle w:val="BodyText"/>
        <w:spacing w:line="274" w:lineRule="exact"/>
        <w:ind w:right="0"/>
        <w:jc w:val="both"/>
      </w:pPr>
      <w:r>
        <w:rPr/>
        <w:t>根据</w:t>
      </w:r>
      <w:r>
        <w:rPr>
          <w:spacing w:val="-53"/>
        </w:rPr>
        <w:t> </w:t>
      </w:r>
      <w:r>
        <w:rPr>
          <w:rFonts w:ascii="宋体" w:hAnsi="宋体" w:cs="宋体" w:eastAsia="宋体" w:hint="default"/>
        </w:rPr>
        <w:t>2013</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9</w:t>
      </w:r>
      <w:r>
        <w:rPr>
          <w:rFonts w:ascii="宋体" w:hAnsi="宋体" w:cs="宋体" w:eastAsia="宋体" w:hint="default"/>
          <w:spacing w:val="-55"/>
        </w:rPr>
        <w:t> </w:t>
      </w:r>
      <w:r>
        <w:rPr/>
        <w:t>日公司</w:t>
      </w:r>
      <w:r>
        <w:rPr>
          <w:spacing w:val="-52"/>
        </w:rPr>
        <w:t> </w:t>
      </w:r>
      <w:r>
        <w:rPr>
          <w:rFonts w:ascii="宋体" w:hAnsi="宋体" w:cs="宋体" w:eastAsia="宋体" w:hint="default"/>
        </w:rPr>
        <w:t>2013</w:t>
      </w:r>
      <w:r>
        <w:rPr>
          <w:rFonts w:ascii="宋体" w:hAnsi="宋体" w:cs="宋体" w:eastAsia="宋体" w:hint="default"/>
          <w:spacing w:val="-53"/>
        </w:rPr>
        <w:t> </w:t>
      </w:r>
      <w:r>
        <w:rPr/>
        <w:t>年第一次临时股东大会审议决议，并经中国证券监督管理委员会</w:t>
      </w:r>
    </w:p>
    <w:p>
      <w:pPr>
        <w:pStyle w:val="BodyText"/>
        <w:spacing w:line="237" w:lineRule="auto" w:before="2"/>
        <w:ind w:right="207"/>
        <w:jc w:val="both"/>
      </w:pPr>
      <w:r>
        <w:rPr>
          <w:spacing w:val="-2"/>
        </w:rPr>
        <w:t>《关于核准锦州港股份有限公司非公开发行股票的批复》（证监许可</w:t>
      </w:r>
      <w:r>
        <w:rPr>
          <w:rFonts w:ascii="宋体" w:hAnsi="宋体" w:cs="宋体" w:eastAsia="宋体" w:hint="default"/>
          <w:spacing w:val="-2"/>
        </w:rPr>
        <w:t>[2013]1150</w:t>
      </w:r>
      <w:r>
        <w:rPr>
          <w:rFonts w:ascii="宋体" w:hAnsi="宋体" w:cs="宋体" w:eastAsia="宋体" w:hint="default"/>
        </w:rPr>
        <w:t> </w:t>
      </w:r>
      <w:r>
        <w:rPr>
          <w:spacing w:val="-5"/>
        </w:rPr>
        <w:t>号）核准，本公</w:t>
      </w:r>
      <w:r>
        <w:rPr>
          <w:spacing w:val="-93"/>
        </w:rPr>
        <w:t> </w:t>
      </w:r>
      <w:r>
        <w:rPr>
          <w:spacing w:val="-93"/>
        </w:rPr>
      </w:r>
      <w:r>
        <w:rPr>
          <w:spacing w:val="-2"/>
        </w:rPr>
        <w:t>司向特定对象—西藏海涵交通发展有限公司、西藏天圣交通发展投资有限公司非公开发行Ａ股股</w:t>
      </w:r>
      <w:r>
        <w:rPr>
          <w:spacing w:val="-26"/>
        </w:rPr>
        <w:t> </w:t>
      </w:r>
      <w:r>
        <w:rPr>
          <w:spacing w:val="-26"/>
        </w:rPr>
      </w:r>
      <w:r>
        <w:rPr/>
        <w:t>票</w:t>
      </w:r>
      <w:r>
        <w:rPr>
          <w:spacing w:val="-54"/>
        </w:rPr>
        <w:t> </w:t>
      </w:r>
      <w:r>
        <w:rPr>
          <w:rFonts w:ascii="宋体" w:hAnsi="宋体" w:cs="宋体" w:eastAsia="宋体" w:hint="default"/>
        </w:rPr>
        <w:t>440,504,130</w:t>
      </w:r>
      <w:r>
        <w:rPr>
          <w:rFonts w:ascii="宋体" w:hAnsi="宋体" w:cs="宋体" w:eastAsia="宋体" w:hint="default"/>
          <w:spacing w:val="-56"/>
        </w:rPr>
        <w:t> </w:t>
      </w:r>
      <w:r>
        <w:rPr/>
        <w:t>股。公司变更后的总股本为</w:t>
      </w:r>
      <w:r>
        <w:rPr>
          <w:spacing w:val="-53"/>
        </w:rPr>
        <w:t> </w:t>
      </w:r>
      <w:r>
        <w:rPr>
          <w:rFonts w:ascii="宋体" w:hAnsi="宋体" w:cs="宋体" w:eastAsia="宋体" w:hint="default"/>
        </w:rPr>
        <w:t>2,002,291,500</w:t>
      </w:r>
      <w:r>
        <w:rPr>
          <w:rFonts w:ascii="宋体" w:hAnsi="宋体" w:cs="宋体" w:eastAsia="宋体" w:hint="default"/>
          <w:spacing w:val="-1"/>
        </w:rPr>
        <w:t> </w:t>
      </w:r>
      <w:r>
        <w:rPr>
          <w:spacing w:val="-3"/>
        </w:rPr>
        <w:t>股。</w:t>
      </w:r>
      <w:r>
        <w:rPr/>
      </w:r>
    </w:p>
    <w:p>
      <w:pPr>
        <w:spacing w:line="240" w:lineRule="auto" w:before="3"/>
        <w:rPr>
          <w:rFonts w:ascii="宋体" w:hAnsi="宋体" w:cs="宋体" w:eastAsia="宋体" w:hint="default"/>
          <w:sz w:val="16"/>
          <w:szCs w:val="16"/>
        </w:rPr>
      </w:pPr>
    </w:p>
    <w:p>
      <w:pPr>
        <w:pStyle w:val="BodyText"/>
        <w:spacing w:line="240" w:lineRule="auto"/>
        <w:ind w:right="217"/>
        <w:jc w:val="both"/>
      </w:pPr>
      <w:r>
        <w:rPr/>
        <w:t>公司住所：锦州经济技术开发区锦港大街一段</w:t>
      </w:r>
      <w:r>
        <w:rPr>
          <w:spacing w:val="-55"/>
        </w:rPr>
        <w:t> </w:t>
      </w:r>
      <w:r>
        <w:rPr>
          <w:rFonts w:ascii="宋体" w:hAnsi="宋体" w:cs="宋体" w:eastAsia="宋体" w:hint="default"/>
        </w:rPr>
        <w:t>1</w:t>
      </w:r>
      <w:r>
        <w:rPr>
          <w:rFonts w:ascii="宋体" w:hAnsi="宋体" w:cs="宋体" w:eastAsia="宋体" w:hint="default"/>
          <w:spacing w:val="-55"/>
        </w:rPr>
        <w:t> </w:t>
      </w:r>
      <w:r>
        <w:rPr/>
        <w:t>号。公司法定代表人：徐健。公司注册资本：人</w:t>
      </w:r>
      <w:r>
        <w:rPr>
          <w:w w:val="100"/>
        </w:rPr>
        <w:t> </w:t>
      </w:r>
      <w:r>
        <w:rPr/>
        <w:t>民币贰拾亿零贰佰贰拾玖万壹仟伍佰元。</w:t>
      </w:r>
    </w:p>
    <w:p>
      <w:pPr>
        <w:spacing w:line="240" w:lineRule="auto" w:before="5"/>
        <w:rPr>
          <w:rFonts w:ascii="宋体" w:hAnsi="宋体" w:cs="宋体" w:eastAsia="宋体" w:hint="default"/>
          <w:sz w:val="16"/>
          <w:szCs w:val="16"/>
        </w:rPr>
      </w:pPr>
    </w:p>
    <w:p>
      <w:pPr>
        <w:pStyle w:val="BodyText"/>
        <w:spacing w:line="237" w:lineRule="auto"/>
        <w:ind w:right="217"/>
        <w:jc w:val="both"/>
      </w:pPr>
      <w:r>
        <w:rPr>
          <w:spacing w:val="-2"/>
        </w:rPr>
        <w:t>本公司建立了股东大会、董事会、监事会的法人治理结构，目前公司设有董监事会秘书处、总裁</w:t>
      </w:r>
      <w:r>
        <w:rPr>
          <w:spacing w:val="-26"/>
        </w:rPr>
        <w:t> </w:t>
      </w:r>
      <w:r>
        <w:rPr>
          <w:spacing w:val="-26"/>
        </w:rPr>
      </w:r>
      <w:r>
        <w:rPr>
          <w:spacing w:val="-2"/>
        </w:rPr>
        <w:t>办公室、人力资源部、计划财务部、综合管理部、党群工作部、审计监察部、法律事务部、研究</w:t>
      </w:r>
      <w:r>
        <w:rPr>
          <w:spacing w:val="-25"/>
        </w:rPr>
        <w:t> </w:t>
      </w:r>
      <w:r>
        <w:rPr>
          <w:spacing w:val="-25"/>
        </w:rPr>
      </w:r>
      <w:r>
        <w:rPr>
          <w:spacing w:val="-2"/>
        </w:rPr>
        <w:t>发展部、物资供应部、港口建设部、港口规划部、行政保卫部、动力运行部、业务部、贸易部、</w:t>
      </w:r>
      <w:r>
        <w:rPr>
          <w:spacing w:val="-25"/>
        </w:rPr>
        <w:t> </w:t>
      </w:r>
      <w:r>
        <w:rPr>
          <w:spacing w:val="-25"/>
        </w:rPr>
      </w:r>
      <w:r>
        <w:rPr/>
        <w:t>安全管理部、技术设备部等部门。</w:t>
      </w:r>
    </w:p>
    <w:p>
      <w:pPr>
        <w:spacing w:line="240" w:lineRule="auto" w:before="6"/>
        <w:rPr>
          <w:rFonts w:ascii="宋体" w:hAnsi="宋体" w:cs="宋体" w:eastAsia="宋体" w:hint="default"/>
          <w:sz w:val="16"/>
          <w:szCs w:val="16"/>
        </w:rPr>
      </w:pPr>
    </w:p>
    <w:p>
      <w:pPr>
        <w:pStyle w:val="BodyText"/>
        <w:spacing w:line="237" w:lineRule="auto"/>
        <w:ind w:right="208"/>
        <w:jc w:val="both"/>
      </w:pPr>
      <w:r>
        <w:rPr/>
        <w:t>本公司及子公司（以下简称“本集团”）主要经营活动为提供港口及相关服务</w:t>
      </w:r>
      <w:r>
        <w:rPr>
          <w:rFonts w:ascii="宋体" w:hAnsi="宋体" w:cs="宋体" w:eastAsia="宋体" w:hint="default"/>
        </w:rPr>
        <w:t>,</w:t>
      </w:r>
      <w:r>
        <w:rPr>
          <w:rFonts w:ascii="宋体" w:hAnsi="宋体" w:cs="宋体" w:eastAsia="宋体" w:hint="default"/>
          <w:spacing w:val="-4"/>
        </w:rPr>
        <w:t> </w:t>
      </w:r>
      <w:r>
        <w:rPr/>
        <w:t>是北方区域性枢</w:t>
      </w:r>
      <w:r>
        <w:rPr>
          <w:w w:val="100"/>
        </w:rPr>
        <w:t> </w:t>
      </w:r>
      <w:r>
        <w:rPr>
          <w:spacing w:val="-6"/>
        </w:rPr>
        <w:t>纽港口运营企业。主要经营范围：港务管理、港口装卸，水运辅助业（除客货运输）；公路运输；</w:t>
      </w:r>
      <w:r>
        <w:rPr>
          <w:spacing w:val="-54"/>
        </w:rPr>
        <w:t> </w:t>
      </w:r>
      <w:r>
        <w:rPr>
          <w:spacing w:val="-54"/>
        </w:rPr>
      </w:r>
      <w:r>
        <w:rPr>
          <w:spacing w:val="-2"/>
        </w:rPr>
        <w:t>粮食收购；粮食批发；金属材料、矿粉、煤炭销售；成品油批发；物资仓储；国内船舶代理、货</w:t>
      </w:r>
      <w:r>
        <w:rPr>
          <w:spacing w:val="-25"/>
        </w:rPr>
        <w:t> </w:t>
      </w:r>
      <w:r>
        <w:rPr>
          <w:spacing w:val="-25"/>
        </w:rPr>
      </w:r>
      <w:r>
        <w:rPr>
          <w:spacing w:val="-2"/>
        </w:rPr>
        <w:t>物代理等。本集团客户群集中在港口经济腹地的上下游企业，包括石油、钢铁生产、粮食购销、</w:t>
      </w:r>
      <w:r>
        <w:rPr>
          <w:spacing w:val="-25"/>
        </w:rPr>
        <w:t> </w:t>
      </w:r>
      <w:r>
        <w:rPr>
          <w:spacing w:val="-25"/>
        </w:rPr>
      </w:r>
      <w:r>
        <w:rPr/>
        <w:t>物流企业等。</w:t>
      </w:r>
    </w:p>
    <w:p>
      <w:pPr>
        <w:spacing w:line="240" w:lineRule="auto" w:before="6"/>
        <w:rPr>
          <w:rFonts w:ascii="宋体" w:hAnsi="宋体" w:cs="宋体" w:eastAsia="宋体" w:hint="default"/>
          <w:sz w:val="16"/>
          <w:szCs w:val="16"/>
        </w:rPr>
      </w:pPr>
    </w:p>
    <w:p>
      <w:pPr>
        <w:pStyle w:val="BodyText"/>
        <w:spacing w:line="240" w:lineRule="auto"/>
        <w:ind w:right="0"/>
        <w:jc w:val="both"/>
      </w:pPr>
      <w:r>
        <w:rPr/>
        <w:t>本财务报表及财务报表附注业经本公司第八届董事会第二十八次会议于</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2"/>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15</w:t>
      </w:r>
      <w:r>
        <w:rPr>
          <w:rFonts w:ascii="宋体" w:hAnsi="宋体" w:cs="宋体" w:eastAsia="宋体" w:hint="default"/>
          <w:spacing w:val="-55"/>
        </w:rPr>
        <w:t> </w:t>
      </w:r>
      <w:r>
        <w:rPr/>
        <w:t>日批准。</w:t>
      </w:r>
    </w:p>
    <w:p>
      <w:pPr>
        <w:spacing w:line="240" w:lineRule="auto" w:before="3"/>
        <w:rPr>
          <w:rFonts w:ascii="宋体" w:hAnsi="宋体" w:cs="宋体" w:eastAsia="宋体" w:hint="default"/>
          <w:sz w:val="25"/>
          <w:szCs w:val="25"/>
        </w:rPr>
      </w:pPr>
    </w:p>
    <w:p>
      <w:pPr>
        <w:pStyle w:val="Heading2"/>
        <w:spacing w:line="240" w:lineRule="auto" w:before="0"/>
        <w:ind w:left="138" w:right="0"/>
        <w:jc w:val="both"/>
        <w:rPr>
          <w:b w:val="0"/>
          <w:bCs w:val="0"/>
        </w:rPr>
      </w:pPr>
      <w:r>
        <w:rPr>
          <w:rFonts w:ascii="Calibri" w:hAnsi="Calibri" w:cs="Calibri" w:eastAsia="Calibri" w:hint="default"/>
        </w:rPr>
        <w:t>2.    </w:t>
      </w:r>
      <w:r>
        <w:rPr>
          <w:rFonts w:ascii="Calibri" w:hAnsi="Calibri" w:cs="Calibri" w:eastAsia="Calibri" w:hint="default"/>
          <w:spacing w:val="21"/>
        </w:rPr>
        <w:t> </w:t>
      </w:r>
      <w:r>
        <w:rPr/>
        <w:t>合并财务报表范围</w:t>
      </w:r>
      <w:r>
        <w:rPr>
          <w:b w:val="0"/>
          <w:bCs w:val="0"/>
        </w:rPr>
      </w:r>
    </w:p>
    <w:p>
      <w:pPr>
        <w:pStyle w:val="BodyText"/>
        <w:spacing w:line="274" w:lineRule="exact" w:before="29"/>
        <w:ind w:right="0"/>
        <w:jc w:val="both"/>
      </w:pPr>
      <w:r>
        <w:rPr/>
        <w:t>报告期本集团合并范围包括母公司及</w:t>
      </w:r>
      <w:r>
        <w:rPr>
          <w:spacing w:val="-43"/>
        </w:rPr>
        <w:t> </w:t>
      </w:r>
      <w:r>
        <w:rPr>
          <w:rFonts w:ascii="宋体" w:hAnsi="宋体" w:cs="宋体" w:eastAsia="宋体" w:hint="default"/>
        </w:rPr>
        <w:t>8</w:t>
      </w:r>
      <w:r>
        <w:rPr>
          <w:rFonts w:ascii="宋体" w:hAnsi="宋体" w:cs="宋体" w:eastAsia="宋体" w:hint="default"/>
          <w:spacing w:val="-43"/>
        </w:rPr>
        <w:t> </w:t>
      </w:r>
      <w:r>
        <w:rPr/>
        <w:t>家子公司。本期因新设成立，新增</w:t>
      </w:r>
      <w:r>
        <w:rPr>
          <w:spacing w:val="25"/>
        </w:rPr>
        <w:t> </w:t>
      </w:r>
      <w:r>
        <w:rPr>
          <w:rFonts w:ascii="宋体" w:hAnsi="宋体" w:cs="宋体" w:eastAsia="宋体" w:hint="default"/>
        </w:rPr>
        <w:t>1</w:t>
      </w:r>
      <w:r>
        <w:rPr>
          <w:rFonts w:ascii="宋体" w:hAnsi="宋体" w:cs="宋体" w:eastAsia="宋体" w:hint="default"/>
          <w:spacing w:val="-43"/>
        </w:rPr>
        <w:t> </w:t>
      </w:r>
      <w:r>
        <w:rPr/>
        <w:t>家子公司；因处置，</w:t>
      </w:r>
    </w:p>
    <w:p>
      <w:pPr>
        <w:pStyle w:val="BodyText"/>
        <w:spacing w:line="274" w:lineRule="exact"/>
        <w:ind w:right="0"/>
        <w:jc w:val="both"/>
      </w:pPr>
      <w:r>
        <w:rPr/>
        <w:t>减少</w:t>
      </w:r>
      <w:r>
        <w:rPr>
          <w:spacing w:val="-54"/>
        </w:rPr>
        <w:t> </w:t>
      </w:r>
      <w:r>
        <w:rPr>
          <w:rFonts w:ascii="宋体" w:hAnsi="宋体" w:cs="宋体" w:eastAsia="宋体" w:hint="default"/>
        </w:rPr>
        <w:t>1</w:t>
      </w:r>
      <w:r>
        <w:rPr>
          <w:rFonts w:ascii="宋体" w:hAnsi="宋体" w:cs="宋体" w:eastAsia="宋体" w:hint="default"/>
          <w:spacing w:val="-56"/>
        </w:rPr>
        <w:t> </w:t>
      </w:r>
      <w:r>
        <w:rPr/>
        <w:t>家子公司。详见附注“合并范围的变动”和附注“在其他主体中的权益”。</w:t>
      </w:r>
    </w:p>
    <w:p>
      <w:pPr>
        <w:spacing w:after="0" w:line="274" w:lineRule="exact"/>
        <w:jc w:val="both"/>
        <w:sectPr>
          <w:headerReference w:type="default" r:id="rId28"/>
          <w:footerReference w:type="default" r:id="rId29"/>
          <w:pgSz w:w="11910" w:h="16840"/>
          <w:pgMar w:header="882" w:footer="1195" w:top="1120" w:bottom="1380" w:left="1660" w:right="1060"/>
          <w:pgNumType w:start="52"/>
        </w:sectPr>
      </w:pPr>
    </w:p>
    <w:p>
      <w:pPr>
        <w:spacing w:line="240" w:lineRule="auto" w:before="1"/>
        <w:rPr>
          <w:rFonts w:ascii="宋体" w:hAnsi="宋体" w:cs="宋体" w:eastAsia="宋体" w:hint="default"/>
          <w:sz w:val="25"/>
          <w:szCs w:val="25"/>
        </w:rPr>
      </w:pPr>
    </w:p>
    <w:p>
      <w:pPr>
        <w:pStyle w:val="Heading2"/>
        <w:spacing w:line="240" w:lineRule="auto"/>
        <w:ind w:left="138" w:right="0"/>
        <w:jc w:val="left"/>
        <w:rPr>
          <w:b w:val="0"/>
          <w:bCs w:val="0"/>
        </w:rPr>
      </w:pPr>
      <w:r>
        <w:rPr/>
        <w:t>四、财务报表的编制基础</w:t>
      </w:r>
      <w:r>
        <w:rPr>
          <w:b w:val="0"/>
          <w:bCs w:val="0"/>
        </w:rPr>
      </w:r>
    </w:p>
    <w:p>
      <w:pPr>
        <w:pStyle w:val="BodyText"/>
        <w:tabs>
          <w:tab w:pos="562" w:val="left" w:leader="none"/>
        </w:tabs>
        <w:spacing w:line="247" w:lineRule="auto" w:before="58"/>
        <w:ind w:right="132"/>
        <w:jc w:val="left"/>
      </w:pPr>
      <w:r>
        <w:rPr>
          <w:rFonts w:ascii="Calibri" w:hAnsi="Calibri" w:cs="Calibri" w:eastAsia="Calibri" w:hint="default"/>
          <w:b/>
          <w:bCs/>
        </w:rPr>
        <w:t>1.</w:t>
        <w:tab/>
      </w:r>
      <w:r>
        <w:rPr>
          <w:rFonts w:ascii="宋体" w:hAnsi="宋体" w:cs="宋体" w:eastAsia="宋体" w:hint="default"/>
          <w:b/>
          <w:bCs/>
        </w:rPr>
        <w:t>编制基础</w:t>
      </w:r>
      <w:r>
        <w:rPr>
          <w:rFonts w:ascii="宋体" w:hAnsi="宋体" w:cs="宋体" w:eastAsia="宋体" w:hint="default"/>
          <w:b/>
          <w:bCs/>
          <w:w w:val="100"/>
        </w:rPr>
        <w:t> </w:t>
      </w:r>
      <w:r>
        <w:rPr>
          <w:spacing w:val="-2"/>
        </w:rPr>
        <w:t>本财务报表按照财政部颁布的企业会计准则及其应用指南、解释及其他有关规定（统称“企业会</w:t>
      </w:r>
      <w:r>
        <w:rPr>
          <w:spacing w:val="-25"/>
        </w:rPr>
        <w:t> </w:t>
      </w:r>
      <w:r>
        <w:rPr>
          <w:spacing w:val="-25"/>
        </w:rPr>
      </w:r>
      <w:r>
        <w:rPr>
          <w:spacing w:val="-3"/>
        </w:rPr>
        <w:t>计准则”）编制。此外，本集团还按照中国证监会《公开发行证券的公司信息披露编报规则第 </w:t>
      </w:r>
      <w:r>
        <w:rPr>
          <w:rFonts w:ascii="宋体" w:hAnsi="宋体" w:cs="宋体" w:eastAsia="宋体" w:hint="default"/>
          <w:spacing w:val="-3"/>
        </w:rPr>
        <w:t>15</w:t>
      </w:r>
      <w:r>
        <w:rPr>
          <w:rFonts w:ascii="宋体" w:hAnsi="宋体" w:cs="宋体" w:eastAsia="宋体" w:hint="default"/>
          <w:spacing w:val="-81"/>
        </w:rPr>
        <w:t> </w:t>
      </w:r>
      <w:r>
        <w:rPr>
          <w:spacing w:val="-2"/>
        </w:rPr>
        <w:t>号—财务报告的一般规定》（</w:t>
      </w:r>
      <w:r>
        <w:rPr>
          <w:rFonts w:ascii="宋体" w:hAnsi="宋体" w:cs="宋体" w:eastAsia="宋体" w:hint="default"/>
          <w:spacing w:val="-2"/>
        </w:rPr>
        <w:t>2014</w:t>
      </w:r>
      <w:r>
        <w:rPr>
          <w:rFonts w:ascii="宋体" w:hAnsi="宋体" w:cs="宋体" w:eastAsia="宋体" w:hint="default"/>
          <w:spacing w:val="1"/>
        </w:rPr>
        <w:t> </w:t>
      </w:r>
      <w:r>
        <w:rPr>
          <w:spacing w:val="-2"/>
        </w:rPr>
        <w:t>年修订）披露有关财务信息。</w:t>
      </w:r>
    </w:p>
    <w:p>
      <w:pPr>
        <w:spacing w:line="240" w:lineRule="auto" w:before="12"/>
        <w:rPr>
          <w:rFonts w:ascii="宋体" w:hAnsi="宋体" w:cs="宋体" w:eastAsia="宋体" w:hint="default"/>
          <w:sz w:val="15"/>
          <w:szCs w:val="15"/>
        </w:rPr>
      </w:pPr>
    </w:p>
    <w:p>
      <w:pPr>
        <w:pStyle w:val="BodyText"/>
        <w:spacing w:line="240" w:lineRule="auto"/>
        <w:ind w:right="0"/>
        <w:jc w:val="left"/>
      </w:pPr>
      <w:r>
        <w:rPr/>
        <w:t>本财务报表以持续经营为基础列报。</w:t>
      </w:r>
    </w:p>
    <w:p>
      <w:pPr>
        <w:spacing w:line="240" w:lineRule="auto" w:before="3"/>
        <w:rPr>
          <w:rFonts w:ascii="宋体" w:hAnsi="宋体" w:cs="宋体" w:eastAsia="宋体" w:hint="default"/>
          <w:sz w:val="25"/>
          <w:szCs w:val="25"/>
        </w:rPr>
      </w:pPr>
    </w:p>
    <w:p>
      <w:pPr>
        <w:pStyle w:val="BodyText"/>
        <w:tabs>
          <w:tab w:pos="562" w:val="left" w:leader="none"/>
        </w:tabs>
        <w:spacing w:line="252" w:lineRule="auto"/>
        <w:ind w:right="128"/>
        <w:jc w:val="left"/>
      </w:pPr>
      <w:r>
        <w:rPr>
          <w:rFonts w:ascii="Calibri" w:hAnsi="Calibri" w:cs="Calibri" w:eastAsia="Calibri" w:hint="default"/>
          <w:b/>
          <w:bCs/>
        </w:rPr>
        <w:t>2.</w:t>
        <w:tab/>
      </w:r>
      <w:r>
        <w:rPr>
          <w:rFonts w:ascii="宋体" w:hAnsi="宋体" w:cs="宋体" w:eastAsia="宋体" w:hint="default"/>
          <w:b/>
          <w:bCs/>
        </w:rPr>
        <w:t>持续经营</w:t>
      </w:r>
      <w:r>
        <w:rPr>
          <w:rFonts w:ascii="宋体" w:hAnsi="宋体" w:cs="宋体" w:eastAsia="宋体" w:hint="default"/>
          <w:b/>
          <w:bCs/>
          <w:w w:val="100"/>
        </w:rPr>
        <w:t> </w:t>
      </w:r>
      <w:r>
        <w:rPr>
          <w:spacing w:val="-6"/>
          <w:w w:val="100"/>
        </w:rPr>
        <w:t>本公司会计核算以权责发生制为基础，本财务报表均以历史成本为计量基础。资产如果发生减值，</w:t>
      </w:r>
      <w:r>
        <w:rPr>
          <w:w w:val="100"/>
        </w:rPr>
        <w:t> </w:t>
      </w:r>
      <w:r>
        <w:rPr/>
        <w:t>则按照相关规定计提相应的减值准备。</w:t>
      </w:r>
    </w:p>
    <w:p>
      <w:pPr>
        <w:spacing w:line="240" w:lineRule="auto" w:before="6"/>
        <w:rPr>
          <w:rFonts w:ascii="宋体" w:hAnsi="宋体" w:cs="宋体" w:eastAsia="宋体" w:hint="default"/>
          <w:sz w:val="24"/>
          <w:szCs w:val="24"/>
        </w:rPr>
      </w:pPr>
    </w:p>
    <w:p>
      <w:pPr>
        <w:spacing w:line="290" w:lineRule="auto" w:before="0"/>
        <w:ind w:left="138" w:right="4869"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28" w:lineRule="exact"/>
        <w:ind w:right="0"/>
        <w:jc w:val="left"/>
      </w:pPr>
      <w:r>
        <w:rPr/>
        <w:t>本公司根据自身生产经营特点确定并采用具体的会计政策和会计估计，包括收入确认和计量。具</w:t>
      </w:r>
    </w:p>
    <w:p>
      <w:pPr>
        <w:pStyle w:val="BodyText"/>
        <w:spacing w:line="273" w:lineRule="exact"/>
        <w:ind w:right="0"/>
        <w:jc w:val="left"/>
      </w:pPr>
      <w:r>
        <w:rPr/>
        <w:t>体会计政策参见附注“重要会计政策、会计估计的变更”。</w:t>
      </w:r>
    </w:p>
    <w:p>
      <w:pPr>
        <w:pStyle w:val="Heading2"/>
        <w:tabs>
          <w:tab w:pos="562" w:val="left" w:leader="none"/>
        </w:tabs>
        <w:spacing w:line="240" w:lineRule="auto" w:before="58"/>
        <w:ind w:left="138" w:right="0"/>
        <w:jc w:val="left"/>
        <w:rPr>
          <w:b w:val="0"/>
          <w:bCs w:val="0"/>
        </w:rPr>
      </w:pPr>
      <w:r>
        <w:rPr>
          <w:rFonts w:ascii="Calibri" w:hAnsi="Calibri" w:cs="Calibri" w:eastAsia="Calibri" w:hint="default"/>
        </w:rPr>
        <w:t>1.</w:t>
        <w:tab/>
      </w:r>
      <w:r>
        <w:rPr/>
        <w:t>遵循企业会计准则的声明</w:t>
      </w:r>
      <w:r>
        <w:rPr>
          <w:b w:val="0"/>
          <w:bCs w:val="0"/>
        </w:rPr>
      </w:r>
    </w:p>
    <w:p>
      <w:pPr>
        <w:pStyle w:val="BodyText"/>
        <w:spacing w:line="274" w:lineRule="exact" w:before="29"/>
        <w:ind w:right="0"/>
        <w:jc w:val="left"/>
      </w:pPr>
      <w:r>
        <w:rPr>
          <w:spacing w:val="-5"/>
        </w:rPr>
        <w:t>本财务报表符合企业会计准则的要求，真实、完整地反映了本公司</w:t>
      </w:r>
      <w:r>
        <w:rPr>
          <w:spacing w:val="-45"/>
        </w:rPr>
        <w:t> </w:t>
      </w:r>
      <w:r>
        <w:rPr>
          <w:rFonts w:ascii="宋体" w:hAnsi="宋体" w:cs="宋体" w:eastAsia="宋体" w:hint="default"/>
        </w:rPr>
        <w:t>2015</w:t>
      </w:r>
      <w:r>
        <w:rPr>
          <w:rFonts w:ascii="宋体" w:hAnsi="宋体" w:cs="宋体" w:eastAsia="宋体" w:hint="default"/>
          <w:spacing w:val="-47"/>
        </w:rPr>
        <w:t> </w:t>
      </w:r>
      <w:r>
        <w:rPr/>
        <w:t>年</w:t>
      </w:r>
      <w:r>
        <w:rPr>
          <w:spacing w:val="-45"/>
        </w:rPr>
        <w:t> </w:t>
      </w:r>
      <w:r>
        <w:rPr>
          <w:rFonts w:ascii="宋体" w:hAnsi="宋体" w:cs="宋体" w:eastAsia="宋体" w:hint="default"/>
        </w:rPr>
        <w:t>12</w:t>
      </w:r>
      <w:r>
        <w:rPr>
          <w:rFonts w:ascii="宋体" w:hAnsi="宋体" w:cs="宋体" w:eastAsia="宋体" w:hint="default"/>
          <w:spacing w:val="-47"/>
        </w:rPr>
        <w:t> </w:t>
      </w:r>
      <w:r>
        <w:rPr/>
        <w:t>月</w:t>
      </w:r>
      <w:r>
        <w:rPr>
          <w:spacing w:val="-43"/>
        </w:rPr>
        <w:t> </w:t>
      </w:r>
      <w:r>
        <w:rPr>
          <w:rFonts w:ascii="宋体" w:hAnsi="宋体" w:cs="宋体" w:eastAsia="宋体" w:hint="default"/>
        </w:rPr>
        <w:t>31</w:t>
      </w:r>
      <w:r>
        <w:rPr>
          <w:rFonts w:ascii="宋体" w:hAnsi="宋体" w:cs="宋体" w:eastAsia="宋体" w:hint="default"/>
          <w:spacing w:val="-47"/>
        </w:rPr>
        <w:t> </w:t>
      </w:r>
      <w:r>
        <w:rPr/>
        <w:t>日合并及母公</w:t>
      </w:r>
    </w:p>
    <w:p>
      <w:pPr>
        <w:pStyle w:val="BodyText"/>
        <w:spacing w:line="274" w:lineRule="exact"/>
        <w:ind w:right="0"/>
        <w:jc w:val="left"/>
      </w:pPr>
      <w:r>
        <w:rPr/>
        <w:t>司的财务状况以及</w:t>
      </w:r>
      <w:r>
        <w:rPr>
          <w:spacing w:val="-55"/>
        </w:rPr>
        <w:t> </w:t>
      </w:r>
      <w:r>
        <w:rPr>
          <w:rFonts w:ascii="宋体" w:hAnsi="宋体" w:cs="宋体" w:eastAsia="宋体" w:hint="default"/>
        </w:rPr>
        <w:t>2015</w:t>
      </w:r>
      <w:r>
        <w:rPr>
          <w:rFonts w:ascii="宋体" w:hAnsi="宋体" w:cs="宋体" w:eastAsia="宋体" w:hint="default"/>
          <w:spacing w:val="-57"/>
        </w:rPr>
        <w:t> </w:t>
      </w:r>
      <w:r>
        <w:rPr/>
        <w:t>年度合并及母公司的经营成果和合并及母公司现金流量等有关信息。</w:t>
      </w:r>
    </w:p>
    <w:p>
      <w:pPr>
        <w:spacing w:line="240" w:lineRule="auto" w:before="0"/>
        <w:rPr>
          <w:rFonts w:ascii="宋体" w:hAnsi="宋体" w:cs="宋体" w:eastAsia="宋体" w:hint="default"/>
          <w:sz w:val="25"/>
          <w:szCs w:val="25"/>
        </w:rPr>
      </w:pPr>
    </w:p>
    <w:p>
      <w:pPr>
        <w:pStyle w:val="Heading2"/>
        <w:tabs>
          <w:tab w:pos="562" w:val="left" w:leader="none"/>
        </w:tabs>
        <w:spacing w:line="240" w:lineRule="auto" w:before="0"/>
        <w:ind w:left="138" w:right="0"/>
        <w:jc w:val="left"/>
        <w:rPr>
          <w:b w:val="0"/>
          <w:bCs w:val="0"/>
        </w:rPr>
      </w:pPr>
      <w:r>
        <w:rPr>
          <w:rFonts w:ascii="Calibri" w:hAnsi="Calibri" w:cs="Calibri" w:eastAsia="Calibri" w:hint="default"/>
        </w:rPr>
        <w:t>2.</w:t>
        <w:tab/>
      </w:r>
      <w:r>
        <w:rPr/>
        <w:t>会计期间</w:t>
      </w:r>
      <w:r>
        <w:rPr>
          <w:b w:val="0"/>
          <w:bCs w:val="0"/>
        </w:rPr>
      </w:r>
    </w:p>
    <w:p>
      <w:pPr>
        <w:pStyle w:val="BodyText"/>
        <w:spacing w:line="240" w:lineRule="auto" w:before="32"/>
        <w:ind w:right="0"/>
        <w:jc w:val="left"/>
      </w:pPr>
      <w:r>
        <w:rPr/>
        <w:t>本集团会计期间采用公历年度，即每年自</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2"/>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日止。</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before="0"/>
        <w:ind w:left="138" w:right="0"/>
        <w:jc w:val="left"/>
        <w:rPr>
          <w:b w:val="0"/>
          <w:bCs w:val="0"/>
        </w:rPr>
      </w:pPr>
      <w:r>
        <w:rPr>
          <w:rFonts w:ascii="Calibri" w:hAnsi="Calibri" w:cs="Calibri" w:eastAsia="Calibri" w:hint="default"/>
        </w:rPr>
        <w:t>3.</w:t>
        <w:tab/>
      </w:r>
      <w:r>
        <w:rPr/>
        <w:t>营业周期</w:t>
      </w:r>
      <w:r>
        <w:rPr>
          <w:b w:val="0"/>
          <w:bCs w:val="0"/>
        </w:rPr>
      </w:r>
    </w:p>
    <w:p>
      <w:pPr>
        <w:pStyle w:val="BodyText"/>
        <w:spacing w:line="240" w:lineRule="auto" w:before="29"/>
        <w:ind w:right="0"/>
        <w:jc w:val="left"/>
      </w:pPr>
      <w:r>
        <w:rPr/>
        <w:t>本集团的营业周期为</w:t>
      </w:r>
      <w:r>
        <w:rPr>
          <w:spacing w:val="-53"/>
        </w:rPr>
        <w:t> </w:t>
      </w:r>
      <w:r>
        <w:rPr>
          <w:rFonts w:ascii="宋体" w:hAnsi="宋体" w:cs="宋体" w:eastAsia="宋体" w:hint="default"/>
        </w:rPr>
        <w:t>12</w:t>
      </w:r>
      <w:r>
        <w:rPr>
          <w:rFonts w:ascii="宋体" w:hAnsi="宋体" w:cs="宋体" w:eastAsia="宋体" w:hint="default"/>
          <w:spacing w:val="-54"/>
        </w:rPr>
        <w:t> </w:t>
      </w:r>
      <w:r>
        <w:rPr/>
        <w:t>个月。</w:t>
      </w:r>
    </w:p>
    <w:p>
      <w:pPr>
        <w:spacing w:line="240" w:lineRule="auto" w:before="3"/>
        <w:rPr>
          <w:rFonts w:ascii="宋体" w:hAnsi="宋体" w:cs="宋体" w:eastAsia="宋体" w:hint="default"/>
          <w:sz w:val="25"/>
          <w:szCs w:val="25"/>
        </w:rPr>
      </w:pPr>
    </w:p>
    <w:p>
      <w:pPr>
        <w:tabs>
          <w:tab w:pos="562" w:val="left" w:leader="none"/>
        </w:tabs>
        <w:spacing w:line="266" w:lineRule="auto" w:before="0"/>
        <w:ind w:left="138" w:right="5182" w:firstLine="0"/>
        <w:jc w:val="left"/>
        <w:rPr>
          <w:rFonts w:ascii="宋体" w:hAnsi="宋体" w:cs="宋体" w:eastAsia="宋体" w:hint="default"/>
          <w:sz w:val="21"/>
          <w:szCs w:val="21"/>
        </w:rPr>
      </w:pPr>
      <w:r>
        <w:rPr>
          <w:rFonts w:ascii="Calibri" w:hAnsi="Calibri" w:cs="Calibri" w:eastAsia="Calibri" w:hint="default"/>
          <w:b/>
          <w:bCs/>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本公司及子公司以人民币为记账本位币。</w:t>
      </w:r>
    </w:p>
    <w:p>
      <w:pPr>
        <w:spacing w:line="240" w:lineRule="auto" w:before="6"/>
        <w:rPr>
          <w:rFonts w:ascii="宋体" w:hAnsi="宋体" w:cs="宋体" w:eastAsia="宋体" w:hint="default"/>
          <w:sz w:val="23"/>
          <w:szCs w:val="23"/>
        </w:rPr>
      </w:pPr>
    </w:p>
    <w:p>
      <w:pPr>
        <w:pStyle w:val="Heading2"/>
        <w:tabs>
          <w:tab w:pos="562" w:val="left" w:leader="none"/>
        </w:tabs>
        <w:spacing w:line="240" w:lineRule="auto" w:before="0"/>
        <w:ind w:left="138" w:right="0"/>
        <w:jc w:val="left"/>
        <w:rPr>
          <w:b w:val="0"/>
          <w:bCs w:val="0"/>
        </w:rPr>
      </w:pPr>
      <w:r>
        <w:rPr>
          <w:rFonts w:ascii="Calibri" w:hAnsi="Calibri" w:cs="Calibri" w:eastAsia="Calibri" w:hint="default"/>
        </w:rPr>
        <w:t>5.</w:t>
        <w:tab/>
      </w:r>
      <w:r>
        <w:rPr/>
        <w:t>同一控制下和非同一控制下企业合并的会计处理方法</w:t>
      </w:r>
      <w:r>
        <w:rPr>
          <w:b w:val="0"/>
          <w:bCs w:val="0"/>
        </w:rPr>
      </w:r>
    </w:p>
    <w:p>
      <w:pPr>
        <w:pStyle w:val="BodyText"/>
        <w:spacing w:line="237" w:lineRule="auto" w:before="32"/>
        <w:ind w:right="0"/>
        <w:jc w:val="left"/>
      </w:pPr>
      <w:r>
        <w:rPr/>
        <w:t>（</w:t>
      </w:r>
      <w:r>
        <w:rPr>
          <w:rFonts w:ascii="宋体" w:hAnsi="宋体" w:cs="宋体" w:eastAsia="宋体" w:hint="default"/>
        </w:rPr>
        <w:t>1</w:t>
      </w:r>
      <w:r>
        <w:rPr/>
        <w:t>）同一控制下的企业合并</w:t>
      </w:r>
      <w:r>
        <w:rPr>
          <w:w w:val="100"/>
        </w:rPr>
        <w:t> </w:t>
      </w:r>
      <w:r>
        <w:rPr>
          <w:spacing w:val="-2"/>
        </w:rPr>
        <w:t>对于同一控制下的企业合并，合并方在合并中取得的被合并方的资产、负债，除因会计政策不同</w:t>
      </w:r>
      <w:r>
        <w:rPr>
          <w:spacing w:val="-25"/>
        </w:rPr>
        <w:t> </w:t>
      </w:r>
      <w:r>
        <w:rPr>
          <w:spacing w:val="-25"/>
        </w:rPr>
      </w:r>
      <w:r>
        <w:rPr>
          <w:spacing w:val="-2"/>
        </w:rPr>
        <w:t>而进行的调整以外，按合并日被合并方在最终控制方合并财务报表中的账面价值计量。合并对价</w:t>
      </w:r>
      <w:r>
        <w:rPr>
          <w:spacing w:val="-25"/>
        </w:rPr>
        <w:t> </w:t>
      </w:r>
      <w:r>
        <w:rPr>
          <w:spacing w:val="-25"/>
        </w:rPr>
      </w:r>
      <w:r>
        <w:rPr>
          <w:spacing w:val="-2"/>
        </w:rPr>
        <w:t>的账面价值（或发行股份面值总额）与合并中取得的净资产账面价值的差额调整资本公积（股本</w:t>
      </w:r>
      <w:r>
        <w:rPr>
          <w:spacing w:val="-25"/>
        </w:rPr>
        <w:t> </w:t>
      </w:r>
      <w:r>
        <w:rPr>
          <w:spacing w:val="-25"/>
        </w:rPr>
      </w:r>
      <w:r>
        <w:rPr/>
        <w:t>溢价</w:t>
      </w:r>
      <w:r>
        <w:rPr>
          <w:rFonts w:ascii="宋体" w:hAnsi="宋体" w:cs="宋体" w:eastAsia="宋体" w:hint="default"/>
        </w:rPr>
        <w:t>/</w:t>
      </w:r>
      <w:r>
        <w:rPr/>
        <w:t>资本溢价），资本公积（股本溢价</w:t>
      </w:r>
      <w:r>
        <w:rPr>
          <w:rFonts w:ascii="宋体" w:hAnsi="宋体" w:cs="宋体" w:eastAsia="宋体" w:hint="default"/>
        </w:rPr>
        <w:t>/</w:t>
      </w:r>
      <w:r>
        <w:rPr/>
        <w:t>资本溢价）不足冲减的，调整留存收益。</w:t>
      </w:r>
      <w:r>
        <w:rPr>
          <w:w w:val="100"/>
        </w:rPr>
        <w:t> </w:t>
      </w:r>
      <w:r>
        <w:rPr/>
        <w:t>通过多次交易分步实现同一控制下的企业合并</w:t>
      </w:r>
      <w:r>
        <w:rPr>
          <w:w w:val="100"/>
        </w:rPr>
        <w:t> </w:t>
      </w:r>
      <w:r>
        <w:rPr>
          <w:spacing w:val="-2"/>
        </w:rPr>
        <w:t>在个别财务报表中，以合并日持股比例计算的合并日应享有被合并方净资产在最终控制方合并财</w:t>
      </w:r>
      <w:r>
        <w:rPr>
          <w:spacing w:val="-25"/>
        </w:rPr>
        <w:t> </w:t>
      </w:r>
      <w:r>
        <w:rPr>
          <w:spacing w:val="-25"/>
        </w:rPr>
      </w:r>
      <w:r>
        <w:rPr>
          <w:spacing w:val="-2"/>
        </w:rPr>
        <w:t>务报表中的账面价值的份额作为该项投资的初始投资成本；初始投资成本与合并前持有投资的账</w:t>
      </w:r>
      <w:r>
        <w:rPr>
          <w:spacing w:val="-25"/>
        </w:rPr>
        <w:t> </w:t>
      </w:r>
      <w:r>
        <w:rPr>
          <w:spacing w:val="-25"/>
        </w:rPr>
      </w:r>
      <w:r>
        <w:rPr>
          <w:spacing w:val="-4"/>
        </w:rPr>
        <w:t>面价值加上合并日新支付对价的账面价值之和的差额，调整资本公积（股本溢价</w:t>
      </w:r>
      <w:r>
        <w:rPr>
          <w:rFonts w:ascii="宋体" w:hAnsi="宋体" w:cs="宋体" w:eastAsia="宋体" w:hint="default"/>
          <w:spacing w:val="-4"/>
        </w:rPr>
        <w:t>/</w:t>
      </w:r>
      <w:r>
        <w:rPr>
          <w:spacing w:val="-4"/>
        </w:rPr>
        <w:t>资本溢价），资</w:t>
      </w:r>
      <w:r>
        <w:rPr>
          <w:spacing w:val="-35"/>
        </w:rPr>
        <w:t> </w:t>
      </w:r>
      <w:r>
        <w:rPr>
          <w:spacing w:val="-35"/>
        </w:rPr>
      </w:r>
      <w:r>
        <w:rPr/>
        <w:t>本公积不足冲减的，调整留存收益。</w:t>
      </w:r>
      <w:r>
        <w:rPr>
          <w:w w:val="100"/>
        </w:rPr>
        <w:t> </w:t>
      </w:r>
      <w:r>
        <w:rPr>
          <w:spacing w:val="-2"/>
        </w:rPr>
        <w:t>在合并财务报表中，合并方在合并中取得的被合并方的资产、负债，除因会计政策不同而进行的</w:t>
      </w:r>
      <w:r>
        <w:rPr>
          <w:spacing w:val="-25"/>
        </w:rPr>
        <w:t> </w:t>
      </w:r>
      <w:r>
        <w:rPr>
          <w:spacing w:val="-25"/>
        </w:rPr>
      </w:r>
      <w:r>
        <w:rPr>
          <w:spacing w:val="-2"/>
        </w:rPr>
        <w:t>调整以外，按合并日在最终控制方合并财务报表中的账面价值计量；合并前持有投资的账面价值</w:t>
      </w:r>
      <w:r>
        <w:rPr>
          <w:spacing w:val="-25"/>
        </w:rPr>
        <w:t> </w:t>
      </w:r>
      <w:r>
        <w:rPr>
          <w:spacing w:val="-25"/>
        </w:rPr>
      </w:r>
      <w:r>
        <w:rPr>
          <w:spacing w:val="-2"/>
        </w:rPr>
        <w:t>加上合并日新支付对价的账面价值之和，与合并中取得的净资产账面价值的差额，调整资本公积</w:t>
      </w:r>
    </w:p>
    <w:p>
      <w:pPr>
        <w:pStyle w:val="BodyText"/>
        <w:spacing w:line="237" w:lineRule="auto"/>
        <w:ind w:right="128"/>
        <w:jc w:val="both"/>
      </w:pPr>
      <w:r>
        <w:rPr>
          <w:spacing w:val="-4"/>
        </w:rPr>
        <w:t>（股本溢价</w:t>
      </w:r>
      <w:r>
        <w:rPr>
          <w:rFonts w:ascii="宋体" w:hAnsi="宋体" w:cs="宋体" w:eastAsia="宋体" w:hint="default"/>
          <w:spacing w:val="-4"/>
        </w:rPr>
        <w:t>/</w:t>
      </w:r>
      <w:r>
        <w:rPr>
          <w:spacing w:val="-4"/>
        </w:rPr>
        <w:t>资本溢价），资本公积不足冲减的，调整留存收益。合并方在取得被合并方控制权之</w:t>
      </w:r>
      <w:r>
        <w:rPr>
          <w:spacing w:val="-35"/>
        </w:rPr>
        <w:t> </w:t>
      </w:r>
      <w:r>
        <w:rPr>
          <w:spacing w:val="-35"/>
        </w:rPr>
      </w:r>
      <w:r>
        <w:rPr>
          <w:spacing w:val="-2"/>
        </w:rPr>
        <w:t>前持有的长期股权投资，在取得原股权之日与合并方与被合并方同处于同一方最终控制之日孰晚</w:t>
      </w:r>
      <w:r>
        <w:rPr>
          <w:spacing w:val="-25"/>
        </w:rPr>
        <w:t> </w:t>
      </w:r>
      <w:r>
        <w:rPr>
          <w:spacing w:val="-25"/>
        </w:rPr>
      </w:r>
      <w:r>
        <w:rPr>
          <w:spacing w:val="-2"/>
        </w:rPr>
        <w:t>日起至合并日之间已确认有关损益、其他综合收益和其他所有者权益变动，应分别冲减比较报表</w:t>
      </w:r>
      <w:r>
        <w:rPr>
          <w:spacing w:val="-25"/>
        </w:rPr>
        <w:t> </w:t>
      </w:r>
      <w:r>
        <w:rPr>
          <w:spacing w:val="-25"/>
        </w:rPr>
      </w:r>
      <w:r>
        <w:rPr/>
        <w:t>期间的期初留存收益或当期损益。</w:t>
      </w:r>
    </w:p>
    <w:p>
      <w:pPr>
        <w:spacing w:after="0" w:line="23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37" w:lineRule="auto" w:before="38"/>
        <w:ind w:right="0"/>
        <w:jc w:val="left"/>
      </w:pPr>
      <w:r>
        <w:rPr/>
        <w:t>（</w:t>
      </w:r>
      <w:r>
        <w:rPr>
          <w:rFonts w:ascii="宋体" w:hAnsi="宋体" w:cs="宋体" w:eastAsia="宋体" w:hint="default"/>
        </w:rPr>
        <w:t>2</w:t>
      </w:r>
      <w:r>
        <w:rPr/>
        <w:t>）非同一控制下的企业合并</w:t>
      </w:r>
      <w:r>
        <w:rPr>
          <w:w w:val="100"/>
        </w:rPr>
        <w:t> </w:t>
      </w:r>
      <w:r>
        <w:rPr>
          <w:spacing w:val="-2"/>
        </w:rPr>
        <w:t>对于非同一控制下的企业合并，合并成本为购买日为取得对被购买方的控制权而付出的资产、发</w:t>
      </w:r>
      <w:r>
        <w:rPr>
          <w:spacing w:val="-25"/>
        </w:rPr>
        <w:t> </w:t>
      </w:r>
      <w:r>
        <w:rPr>
          <w:spacing w:val="-25"/>
        </w:rPr>
      </w:r>
      <w:r>
        <w:rPr>
          <w:spacing w:val="-2"/>
        </w:rPr>
        <w:t>生或承担的负债以及发行的权益性证券的公允价值。在购买日，取得的被购买方的资产、负债及</w:t>
      </w:r>
      <w:r>
        <w:rPr>
          <w:spacing w:val="-25"/>
        </w:rPr>
        <w:t> </w:t>
      </w:r>
      <w:r>
        <w:rPr>
          <w:spacing w:val="-25"/>
        </w:rPr>
      </w:r>
      <w:r>
        <w:rPr/>
        <w:t>或有负债按公允价值确认。</w:t>
      </w:r>
      <w:r>
        <w:rPr>
          <w:w w:val="100"/>
        </w:rPr>
        <w:t> </w:t>
      </w:r>
      <w:r>
        <w:rPr>
          <w:spacing w:val="-2"/>
        </w:rPr>
        <w:t>对合并成本大于合并中取得的被购买方可辨认净资产公允价值份额的差额，确认为商誉，按成本</w:t>
      </w:r>
      <w:r>
        <w:rPr>
          <w:spacing w:val="-25"/>
        </w:rPr>
        <w:t> </w:t>
      </w:r>
      <w:r>
        <w:rPr>
          <w:spacing w:val="-25"/>
        </w:rPr>
      </w:r>
      <w:r>
        <w:rPr>
          <w:spacing w:val="-2"/>
        </w:rPr>
        <w:t>扣除累计减值准备进行后续计量；对合并成本小于合并中取得的被购买方可辨认净资产公允价值</w:t>
      </w:r>
      <w:r>
        <w:rPr>
          <w:spacing w:val="-25"/>
        </w:rPr>
        <w:t> </w:t>
      </w:r>
      <w:r>
        <w:rPr>
          <w:spacing w:val="-25"/>
        </w:rPr>
      </w:r>
      <w:r>
        <w:rPr/>
        <w:t>份额的差额，经复核后计入当期损益。</w:t>
      </w:r>
      <w:r>
        <w:rPr>
          <w:w w:val="100"/>
        </w:rPr>
        <w:t> </w:t>
      </w:r>
      <w:r>
        <w:rPr>
          <w:spacing w:val="-5"/>
          <w:w w:val="100"/>
        </w:rPr>
        <w:t>所涉及的或有对价按其在购买日的公允价值计入合并成本，购买日后</w:t>
      </w:r>
      <w:r>
        <w:rPr>
          <w:spacing w:val="-45"/>
          <w:w w:val="100"/>
        </w:rPr>
        <w:t> </w:t>
      </w:r>
      <w:r>
        <w:rPr>
          <w:rFonts w:ascii="宋体" w:hAnsi="宋体" w:cs="宋体" w:eastAsia="宋体" w:hint="default"/>
          <w:w w:val="100"/>
        </w:rPr>
        <w:t>12</w:t>
      </w:r>
      <w:r>
        <w:rPr>
          <w:rFonts w:ascii="宋体" w:hAnsi="宋体" w:cs="宋体" w:eastAsia="宋体" w:hint="default"/>
          <w:spacing w:val="-45"/>
          <w:w w:val="100"/>
        </w:rPr>
        <w:t> </w:t>
      </w:r>
      <w:r>
        <w:rPr>
          <w:spacing w:val="-2"/>
          <w:w w:val="100"/>
        </w:rPr>
        <w:t>个月内出现对购买日已存</w:t>
      </w:r>
      <w:r>
        <w:rPr>
          <w:spacing w:val="-102"/>
          <w:w w:val="100"/>
        </w:rPr>
        <w:t> </w:t>
      </w:r>
      <w:r>
        <w:rPr>
          <w:spacing w:val="-102"/>
          <w:w w:val="100"/>
        </w:rPr>
      </w:r>
      <w:r>
        <w:rPr/>
        <w:t>在情况的新的或进一步证据而需要调整或有对价的，相应调整合并商誉。）</w:t>
      </w:r>
      <w:r>
        <w:rPr>
          <w:w w:val="100"/>
        </w:rPr>
        <w:t> </w:t>
      </w:r>
      <w:r>
        <w:rPr/>
        <w:t>通过多次交易分步实现非同一控制下的企业合并</w:t>
      </w:r>
      <w:r>
        <w:rPr>
          <w:w w:val="100"/>
        </w:rPr>
        <w:t> </w:t>
      </w:r>
      <w:r>
        <w:rPr>
          <w:spacing w:val="-2"/>
        </w:rPr>
        <w:t>在个别财务报表中，以购买日之前所持被购买方的股权投资的账面价值与购买日新增投资成本之</w:t>
      </w:r>
      <w:r>
        <w:rPr>
          <w:spacing w:val="-25"/>
        </w:rPr>
        <w:t> </w:t>
      </w:r>
      <w:r>
        <w:rPr>
          <w:spacing w:val="-25"/>
        </w:rPr>
      </w:r>
      <w:r>
        <w:rPr>
          <w:spacing w:val="-2"/>
        </w:rPr>
        <w:t>和，作为该项投资的初始投资成本。购买日之前持有的股权投资因采用权益法核算而确认的其他</w:t>
      </w:r>
      <w:r>
        <w:rPr>
          <w:spacing w:val="-25"/>
        </w:rPr>
        <w:t> </w:t>
      </w:r>
      <w:r>
        <w:rPr>
          <w:spacing w:val="-25"/>
        </w:rPr>
      </w:r>
      <w:r>
        <w:rPr>
          <w:spacing w:val="-2"/>
        </w:rPr>
        <w:t>综合收益，购买日对这部分其他综合收益不作处理，在处置该项投资时采用与被投资单位直接处</w:t>
      </w:r>
      <w:r>
        <w:rPr>
          <w:spacing w:val="-25"/>
        </w:rPr>
        <w:t> </w:t>
      </w:r>
      <w:r>
        <w:rPr>
          <w:spacing w:val="-25"/>
        </w:rPr>
      </w:r>
      <w:r>
        <w:rPr>
          <w:spacing w:val="-2"/>
        </w:rPr>
        <w:t>置相关资产或负债相同的基础进行会计处理；因被投资方除净损益、其他综合收益和利润分配以</w:t>
      </w:r>
      <w:r>
        <w:rPr>
          <w:spacing w:val="-25"/>
        </w:rPr>
        <w:t> </w:t>
      </w:r>
      <w:r>
        <w:rPr>
          <w:spacing w:val="-25"/>
        </w:rPr>
      </w:r>
      <w:r>
        <w:rPr>
          <w:spacing w:val="-2"/>
        </w:rPr>
        <w:t>外的其他所有者权益变动而确认的所有者权益，在处置该项投资时转入处置期间的当期损益。购</w:t>
      </w:r>
      <w:r>
        <w:rPr>
          <w:spacing w:val="-25"/>
        </w:rPr>
        <w:t> </w:t>
      </w:r>
      <w:r>
        <w:rPr>
          <w:spacing w:val="-25"/>
        </w:rPr>
      </w:r>
      <w:r>
        <w:rPr>
          <w:spacing w:val="-2"/>
        </w:rPr>
        <w:t>买日之前持有的股权投资采用公允价值计量的，原计入其他综合收益的累计公允价值变动在改按</w:t>
      </w:r>
      <w:r>
        <w:rPr>
          <w:spacing w:val="-25"/>
        </w:rPr>
        <w:t> </w:t>
      </w:r>
      <w:r>
        <w:rPr>
          <w:spacing w:val="-25"/>
        </w:rPr>
      </w:r>
      <w:r>
        <w:rPr/>
        <w:t>成本法核算时转入当期损益。</w:t>
      </w:r>
      <w:r>
        <w:rPr>
          <w:w w:val="100"/>
        </w:rPr>
        <w:t> </w:t>
      </w:r>
      <w:r>
        <w:rPr>
          <w:spacing w:val="-2"/>
        </w:rPr>
        <w:t>在合并财务报表中，合并成本为购买日支付的对价与购买日之前已经持有的被购买方的股权在购</w:t>
      </w:r>
      <w:r>
        <w:rPr>
          <w:spacing w:val="-25"/>
        </w:rPr>
        <w:t> </w:t>
      </w:r>
      <w:r>
        <w:rPr>
          <w:spacing w:val="-25"/>
        </w:rPr>
      </w:r>
      <w:r>
        <w:rPr>
          <w:spacing w:val="-2"/>
        </w:rPr>
        <w:t>买日的公允价值之和。对于购买日之前已经持有的被购买方的股权，按照该股权在购买日的公允</w:t>
      </w:r>
      <w:r>
        <w:rPr>
          <w:spacing w:val="-25"/>
        </w:rPr>
        <w:t> </w:t>
      </w:r>
      <w:r>
        <w:rPr>
          <w:spacing w:val="-25"/>
        </w:rPr>
      </w:r>
      <w:r>
        <w:rPr>
          <w:spacing w:val="-2"/>
        </w:rPr>
        <w:t>价值进行重新计量，公允价值与其账面价值之间的差额计入当期收益；购买日之前已经持有的被</w:t>
      </w:r>
      <w:r>
        <w:rPr>
          <w:spacing w:val="-25"/>
        </w:rPr>
        <w:t> </w:t>
      </w:r>
      <w:r>
        <w:rPr>
          <w:spacing w:val="-25"/>
        </w:rPr>
      </w:r>
      <w:r>
        <w:rPr>
          <w:spacing w:val="-2"/>
        </w:rPr>
        <w:t>购买方的股权涉及其他综合收益、其他所有者权益变动转为购买日当期收益，由于被投资方重新</w:t>
      </w:r>
      <w:r>
        <w:rPr>
          <w:spacing w:val="-25"/>
        </w:rPr>
        <w:t> </w:t>
      </w:r>
      <w:r>
        <w:rPr>
          <w:spacing w:val="-25"/>
        </w:rPr>
      </w:r>
      <w:r>
        <w:rPr/>
        <w:t>计量设定收益计划净负债或净资产变动而产生的其他综合收益除外。</w:t>
      </w:r>
    </w:p>
    <w:p>
      <w:pPr>
        <w:pStyle w:val="BodyText"/>
        <w:spacing w:line="237" w:lineRule="auto" w:before="1"/>
        <w:ind w:right="0"/>
        <w:jc w:val="left"/>
      </w:pPr>
      <w:r>
        <w:rPr/>
        <w:t>（</w:t>
      </w:r>
      <w:r>
        <w:rPr>
          <w:rFonts w:ascii="宋体" w:hAnsi="宋体" w:cs="宋体" w:eastAsia="宋体" w:hint="default"/>
        </w:rPr>
        <w:t>3</w:t>
      </w:r>
      <w:r>
        <w:rPr/>
        <w:t>）企业合并中有关交易费用的处理</w:t>
      </w:r>
      <w:r>
        <w:rPr>
          <w:w w:val="100"/>
        </w:rPr>
        <w:t> </w:t>
      </w:r>
      <w:r>
        <w:rPr>
          <w:spacing w:val="-2"/>
        </w:rPr>
        <w:t>为进行企业合并发生的审计、法律服务、评估咨询等中介费用以及其他相关管理费用，于发生时</w:t>
      </w:r>
      <w:r>
        <w:rPr>
          <w:spacing w:val="-25"/>
        </w:rPr>
        <w:t> </w:t>
      </w:r>
      <w:r>
        <w:rPr>
          <w:spacing w:val="-25"/>
        </w:rPr>
      </w:r>
      <w:r>
        <w:rPr>
          <w:spacing w:val="-2"/>
        </w:rPr>
        <w:t>计入当期损益。作为合并对价发行的权益性证券或债务性证券的交易费用，计入权益性证券或债</w:t>
      </w:r>
      <w:r>
        <w:rPr>
          <w:spacing w:val="-25"/>
        </w:rPr>
        <w:t> </w:t>
      </w:r>
      <w:r>
        <w:rPr>
          <w:spacing w:val="-25"/>
        </w:rPr>
      </w:r>
      <w:r>
        <w:rPr/>
        <w:t>务性证券的初始确认金额。</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tabs>
          <w:tab w:pos="562" w:val="left" w:leader="none"/>
        </w:tabs>
        <w:spacing w:line="240" w:lineRule="auto" w:before="0"/>
        <w:ind w:left="138" w:right="0"/>
        <w:jc w:val="left"/>
        <w:rPr>
          <w:b w:val="0"/>
          <w:bCs w:val="0"/>
        </w:rPr>
      </w:pPr>
      <w:r>
        <w:rPr>
          <w:rFonts w:ascii="Calibri" w:hAnsi="Calibri" w:cs="Calibri" w:eastAsia="Calibri" w:hint="default"/>
        </w:rPr>
        <w:t>6.</w:t>
        <w:tab/>
      </w:r>
      <w:r>
        <w:rPr/>
        <w:t>合并财务报表的编制方法</w:t>
      </w:r>
      <w:r>
        <w:rPr>
          <w:b w:val="0"/>
          <w:bCs w:val="0"/>
        </w:rPr>
      </w:r>
    </w:p>
    <w:p>
      <w:pPr>
        <w:pStyle w:val="BodyText"/>
        <w:spacing w:line="297" w:lineRule="auto" w:before="29"/>
        <w:ind w:right="0"/>
        <w:jc w:val="left"/>
      </w:pPr>
      <w:r>
        <w:rPr/>
        <w:t>（</w:t>
      </w:r>
      <w:r>
        <w:rPr>
          <w:rFonts w:ascii="宋体" w:hAnsi="宋体" w:cs="宋体" w:eastAsia="宋体" w:hint="default"/>
        </w:rPr>
        <w:t>1</w:t>
      </w:r>
      <w:r>
        <w:rPr/>
        <w:t>）合并范围</w:t>
      </w:r>
      <w:r>
        <w:rPr>
          <w:w w:val="100"/>
        </w:rPr>
        <w:t> </w:t>
      </w:r>
      <w:r>
        <w:rPr>
          <w:spacing w:val="-2"/>
        </w:rPr>
        <w:t>合并财务报表的合并范围以控制为基础予以确定。控制，是指本公司拥有对被投资单位的权力，</w:t>
      </w:r>
      <w:r>
        <w:rPr>
          <w:spacing w:val="-25"/>
        </w:rPr>
        <w:t> </w:t>
      </w:r>
      <w:r>
        <w:rPr>
          <w:spacing w:val="-25"/>
        </w:rPr>
      </w:r>
      <w:r>
        <w:rPr>
          <w:spacing w:val="-2"/>
        </w:rPr>
        <w:t>通过参与被投资单位的相关活动而享有可变回报，并且有能力运用对被投资单位的权力影响其回</w:t>
      </w:r>
      <w:r>
        <w:rPr>
          <w:spacing w:val="-25"/>
        </w:rPr>
        <w:t> </w:t>
      </w:r>
      <w:r>
        <w:rPr>
          <w:spacing w:val="-25"/>
        </w:rPr>
      </w:r>
      <w:r>
        <w:rPr>
          <w:spacing w:val="-2"/>
        </w:rPr>
        <w:t>报金额。子公司，是指被本公司控制的主体（含企业、被投资单位中可分割的部分、结构化主体</w:t>
      </w:r>
      <w:r>
        <w:rPr>
          <w:spacing w:val="-26"/>
        </w:rPr>
        <w:t> </w:t>
      </w:r>
      <w:r>
        <w:rPr>
          <w:spacing w:val="-26"/>
        </w:rPr>
      </w:r>
      <w:r>
        <w:rPr/>
        <w:t>等）。</w:t>
      </w:r>
    </w:p>
    <w:p>
      <w:pPr>
        <w:pStyle w:val="BodyText"/>
        <w:spacing w:line="221" w:lineRule="exact"/>
        <w:ind w:right="0"/>
        <w:jc w:val="left"/>
      </w:pPr>
      <w:r>
        <w:rPr/>
        <w:t>（</w:t>
      </w:r>
      <w:r>
        <w:rPr>
          <w:rFonts w:ascii="宋体" w:hAnsi="宋体" w:cs="宋体" w:eastAsia="宋体" w:hint="default"/>
        </w:rPr>
        <w:t>2</w:t>
      </w:r>
      <w:r>
        <w:rPr/>
        <w:t>）合并财务报表的编制方法</w:t>
      </w:r>
    </w:p>
    <w:p>
      <w:pPr>
        <w:pStyle w:val="BodyText"/>
        <w:spacing w:line="297" w:lineRule="auto" w:before="66"/>
        <w:ind w:right="0"/>
        <w:jc w:val="left"/>
      </w:pPr>
      <w:r>
        <w:rPr>
          <w:spacing w:val="-2"/>
        </w:rPr>
        <w:t>合并财务报表以本公司和子公司的财务报表为基础，根据其他有关资料，由本公司编制。在编制</w:t>
      </w:r>
      <w:r>
        <w:rPr>
          <w:spacing w:val="-25"/>
        </w:rPr>
        <w:t> </w:t>
      </w:r>
      <w:r>
        <w:rPr>
          <w:spacing w:val="-25"/>
        </w:rPr>
      </w:r>
      <w:r>
        <w:rPr>
          <w:spacing w:val="-2"/>
        </w:rPr>
        <w:t>合并财务报表时，本公司和子公司的会计政策和会计期间要求保持一致，公司间的重大交易和往</w:t>
      </w:r>
      <w:r>
        <w:rPr>
          <w:spacing w:val="-25"/>
        </w:rPr>
        <w:t> </w:t>
      </w:r>
      <w:r>
        <w:rPr>
          <w:spacing w:val="-25"/>
        </w:rPr>
      </w:r>
      <w:r>
        <w:rPr/>
        <w:t>来余额予以抵销。</w:t>
      </w:r>
      <w:r>
        <w:rPr>
          <w:w w:val="100"/>
        </w:rPr>
        <w:t> </w:t>
      </w:r>
      <w:r>
        <w:rPr>
          <w:spacing w:val="-2"/>
        </w:rPr>
        <w:t>在报告期内因同一控制下企业合并增加的子公司以及业务，视同该子公司以及业务自同受最终控</w:t>
      </w:r>
      <w:r>
        <w:rPr>
          <w:spacing w:val="-25"/>
        </w:rPr>
        <w:t> </w:t>
      </w:r>
      <w:r>
        <w:rPr>
          <w:spacing w:val="-25"/>
        </w:rPr>
      </w:r>
      <w:r>
        <w:rPr>
          <w:spacing w:val="-2"/>
        </w:rPr>
        <w:t>制方控制之日起纳入本公司的合并范围，将其自同受最终控制方控制之日起的经营成果、现金流</w:t>
      </w:r>
    </w:p>
    <w:p>
      <w:pPr>
        <w:pStyle w:val="BodyText"/>
        <w:spacing w:line="237" w:lineRule="auto" w:before="15"/>
        <w:ind w:right="0"/>
        <w:jc w:val="left"/>
      </w:pPr>
      <w:r>
        <w:rPr/>
        <w:t>量分别纳入合并利润表、合并现金流量表中。</w:t>
      </w:r>
      <w:r>
        <w:rPr>
          <w:w w:val="100"/>
        </w:rPr>
        <w:t> </w:t>
      </w:r>
      <w:r>
        <w:rPr>
          <w:spacing w:val="-2"/>
        </w:rPr>
        <w:t>在报告期内因非同一控制下企业合并增加的子公司以及业务，将该子公司以及业务自购买日至报</w:t>
      </w:r>
      <w:r>
        <w:rPr>
          <w:spacing w:val="-25"/>
        </w:rPr>
        <w:t> </w:t>
      </w:r>
      <w:r>
        <w:rPr>
          <w:spacing w:val="-25"/>
        </w:rPr>
      </w:r>
      <w:r>
        <w:rPr/>
        <w:t>告期末的收入、费用、利润纳入合并利润表，将其现金流量纳入合并现金流量表。</w:t>
      </w:r>
      <w:r>
        <w:rPr>
          <w:w w:val="100"/>
        </w:rPr>
        <w:t> </w:t>
      </w:r>
      <w:r>
        <w:rPr>
          <w:spacing w:val="-2"/>
        </w:rPr>
        <w:t>子公司的股东权益中不属于本公司所拥有的部分，作为少数股东权益在合并资产负债表中股东权</w:t>
      </w:r>
      <w:r>
        <w:rPr>
          <w:spacing w:val="-25"/>
        </w:rPr>
        <w:t> </w:t>
      </w:r>
      <w:r>
        <w:rPr>
          <w:spacing w:val="-25"/>
        </w:rPr>
      </w:r>
      <w:r>
        <w:rPr>
          <w:spacing w:val="-2"/>
        </w:rPr>
        <w:t>益项下单独列示；子公司当期净损益中属于少数股东权益的份额，在合并利润表中净利润项目下</w:t>
      </w:r>
      <w:r>
        <w:rPr>
          <w:spacing w:val="-25"/>
        </w:rPr>
        <w:t> </w:t>
      </w:r>
      <w:r>
        <w:rPr>
          <w:spacing w:val="-25"/>
        </w:rPr>
      </w:r>
      <w:r>
        <w:rPr>
          <w:spacing w:val="-2"/>
        </w:rPr>
        <w:t>以“少数股东损益”项目列示。少数股东分担的子公司的亏损超过了少数股东在该子公司期初所</w:t>
      </w:r>
      <w:r>
        <w:rPr>
          <w:spacing w:val="-27"/>
        </w:rPr>
        <w:t> </w:t>
      </w:r>
      <w:r>
        <w:rPr>
          <w:spacing w:val="-27"/>
        </w:rPr>
      </w:r>
      <w:r>
        <w:rPr/>
        <w:t>有者权益中所享有的份额，其余额仍冲减少数股东权益。</w:t>
      </w:r>
    </w:p>
    <w:p>
      <w:pPr>
        <w:pStyle w:val="BodyText"/>
        <w:spacing w:line="274" w:lineRule="exact"/>
        <w:ind w:right="0"/>
        <w:jc w:val="left"/>
      </w:pPr>
      <w:r>
        <w:rPr/>
        <w:t>（</w:t>
      </w:r>
      <w:r>
        <w:rPr>
          <w:rFonts w:ascii="宋体" w:hAnsi="宋体" w:cs="宋体" w:eastAsia="宋体" w:hint="default"/>
        </w:rPr>
        <w:t>3</w:t>
      </w:r>
      <w:r>
        <w:rPr/>
        <w:t>）购买子公司少数股东股权</w:t>
      </w:r>
    </w:p>
    <w:p>
      <w:pPr>
        <w:spacing w:after="0" w:line="274" w:lineRule="exact"/>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37" w:lineRule="auto" w:before="38"/>
        <w:ind w:right="137"/>
        <w:jc w:val="both"/>
      </w:pPr>
      <w:r>
        <w:rPr>
          <w:spacing w:val="-2"/>
        </w:rPr>
        <w:t>因购买少数股权新取得的长期股权投资成本与按照新增持股比例计算应享有子公司自购买日或合</w:t>
      </w:r>
      <w:r>
        <w:rPr>
          <w:spacing w:val="-25"/>
        </w:rPr>
        <w:t> </w:t>
      </w:r>
      <w:r>
        <w:rPr>
          <w:spacing w:val="-25"/>
        </w:rPr>
      </w:r>
      <w:r>
        <w:rPr>
          <w:spacing w:val="-2"/>
        </w:rPr>
        <w:t>并日开始持续计算的净资产份额之间的差额，以及在不丧失控制权的情况下因部分处置对子公司</w:t>
      </w:r>
      <w:r>
        <w:rPr>
          <w:spacing w:val="-25"/>
        </w:rPr>
        <w:t> </w:t>
      </w:r>
      <w:r>
        <w:rPr>
          <w:spacing w:val="-25"/>
        </w:rPr>
      </w:r>
      <w:r>
        <w:rPr>
          <w:spacing w:val="-2"/>
        </w:rPr>
        <w:t>的股权投资而取得的处置价款与处置长期股权投资相对应享有子公司自购买日或合并日开始持续</w:t>
      </w:r>
      <w:r>
        <w:rPr>
          <w:spacing w:val="-25"/>
        </w:rPr>
        <w:t> </w:t>
      </w:r>
      <w:r>
        <w:rPr>
          <w:spacing w:val="-25"/>
        </w:rPr>
      </w:r>
      <w:r>
        <w:rPr>
          <w:spacing w:val="-2"/>
        </w:rPr>
        <w:t>计算的净资产份额之间的差额，均调整合并资产负债表中的资本公积（股本溢价），资本公积不</w:t>
      </w:r>
      <w:r>
        <w:rPr>
          <w:spacing w:val="-25"/>
        </w:rPr>
        <w:t> </w:t>
      </w:r>
      <w:r>
        <w:rPr>
          <w:spacing w:val="-25"/>
        </w:rPr>
      </w:r>
      <w:r>
        <w:rPr/>
        <w:t>足冲减的，调整留存收益。</w:t>
      </w:r>
    </w:p>
    <w:p>
      <w:pPr>
        <w:pStyle w:val="BodyText"/>
        <w:spacing w:line="237" w:lineRule="auto" w:before="1"/>
        <w:ind w:right="0"/>
        <w:jc w:val="left"/>
      </w:pPr>
      <w:r>
        <w:rPr/>
        <w:t>（</w:t>
      </w:r>
      <w:r>
        <w:rPr>
          <w:rFonts w:ascii="宋体" w:hAnsi="宋体" w:cs="宋体" w:eastAsia="宋体" w:hint="default"/>
        </w:rPr>
        <w:t>4</w:t>
      </w:r>
      <w:r>
        <w:rPr/>
        <w:t>）丧失子公司控制权的处理</w:t>
      </w:r>
      <w:r>
        <w:rPr>
          <w:w w:val="100"/>
        </w:rPr>
        <w:t> </w:t>
      </w:r>
      <w:r>
        <w:rPr>
          <w:spacing w:val="-2"/>
        </w:rPr>
        <w:t>因处置部分股权投资或其他原因丧失了对原有子公司控制权的，剩余股权按照其在丧失控制权日</w:t>
      </w:r>
      <w:r>
        <w:rPr>
          <w:spacing w:val="-25"/>
        </w:rPr>
        <w:t> </w:t>
      </w:r>
      <w:r>
        <w:rPr>
          <w:spacing w:val="-25"/>
        </w:rPr>
      </w:r>
      <w:r>
        <w:rPr>
          <w:spacing w:val="-2"/>
        </w:rPr>
        <w:t>的公允价值进行重新计量；处置股权取得的对价与剩余股权公允价值之和，减去按原持股比例计</w:t>
      </w:r>
      <w:r>
        <w:rPr>
          <w:spacing w:val="-25"/>
        </w:rPr>
        <w:t> </w:t>
      </w:r>
      <w:r>
        <w:rPr>
          <w:spacing w:val="-25"/>
        </w:rPr>
      </w:r>
      <w:r>
        <w:rPr>
          <w:spacing w:val="-2"/>
        </w:rPr>
        <w:t>算应享有原有子公司自购买日开始持续计算的净资产账面价值的份额与商誉之和，形成的差额计</w:t>
      </w:r>
      <w:r>
        <w:rPr>
          <w:spacing w:val="-25"/>
        </w:rPr>
        <w:t> </w:t>
      </w:r>
      <w:r>
        <w:rPr>
          <w:spacing w:val="-25"/>
        </w:rPr>
      </w:r>
      <w:r>
        <w:rPr/>
        <w:t>入丧失控制权当期的投资收益。</w:t>
      </w:r>
      <w:r>
        <w:rPr>
          <w:w w:val="100"/>
        </w:rPr>
        <w:t> </w:t>
      </w:r>
      <w:r>
        <w:rPr>
          <w:spacing w:val="-2"/>
        </w:rPr>
        <w:t>与原有子公司的股权投资相关的其他综合收益等，在丧失控制权时转入当期损益，由于被投资方</w:t>
      </w:r>
      <w:r>
        <w:rPr>
          <w:spacing w:val="-25"/>
        </w:rPr>
        <w:t> </w:t>
      </w:r>
      <w:r>
        <w:rPr>
          <w:spacing w:val="-25"/>
        </w:rPr>
      </w:r>
      <w:r>
        <w:rPr/>
        <w:t>重新计量设定收益计划净负债或净资产变动而产生的其他综合收益除外。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tabs>
          <w:tab w:pos="562" w:val="left" w:leader="none"/>
        </w:tabs>
        <w:spacing w:line="252" w:lineRule="auto" w:before="0"/>
        <w:ind w:left="138" w:right="137" w:firstLine="0"/>
        <w:jc w:val="left"/>
        <w:rPr>
          <w:rFonts w:ascii="宋体" w:hAnsi="宋体" w:cs="宋体" w:eastAsia="宋体" w:hint="default"/>
          <w:sz w:val="21"/>
          <w:szCs w:val="21"/>
        </w:rPr>
      </w:pPr>
      <w:r>
        <w:rPr>
          <w:rFonts w:ascii="Calibri" w:hAnsi="Calibri" w:cs="Calibri" w:eastAsia="Calibri" w:hint="default"/>
          <w:b/>
          <w:bCs/>
          <w:sz w:val="21"/>
          <w:szCs w:val="21"/>
        </w:rPr>
        <w:t>7.</w:t>
        <w:tab/>
      </w:r>
      <w:r>
        <w:rPr>
          <w:rFonts w:ascii="宋体" w:hAnsi="宋体" w:cs="宋体" w:eastAsia="宋体" w:hint="default"/>
          <w:b/>
          <w:bCs/>
          <w:sz w:val="21"/>
          <w:szCs w:val="21"/>
        </w:rPr>
        <w:t>合营安排分类及共同经营会计处理方法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合营安排，是指一项由两个或两个以上的参与方共同控制的安排。本集团合营安排分为共同经营</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和合营企业。</w:t>
      </w:r>
    </w:p>
    <w:p>
      <w:pPr>
        <w:pStyle w:val="BodyText"/>
        <w:spacing w:line="272" w:lineRule="exact" w:before="16"/>
        <w:ind w:right="1799"/>
        <w:jc w:val="left"/>
      </w:pPr>
      <w:r>
        <w:rPr/>
        <w:t>（</w:t>
      </w:r>
      <w:r>
        <w:rPr>
          <w:rFonts w:ascii="宋体" w:hAnsi="宋体" w:cs="宋体" w:eastAsia="宋体" w:hint="default"/>
        </w:rPr>
        <w:t>1</w:t>
      </w:r>
      <w:r>
        <w:rPr/>
        <w:t>）共同经营</w:t>
      </w:r>
      <w:r>
        <w:rPr>
          <w:w w:val="100"/>
        </w:rPr>
        <w:t> </w:t>
      </w:r>
      <w:r>
        <w:rPr>
          <w:spacing w:val="-2"/>
        </w:rPr>
        <w:t>共同经营是指本公司享有该安排相关资产且承担该安排相关负债的合营安排。</w:t>
      </w:r>
    </w:p>
    <w:p>
      <w:pPr>
        <w:pStyle w:val="BodyText"/>
        <w:spacing w:line="246" w:lineRule="exact"/>
        <w:ind w:right="0"/>
        <w:jc w:val="left"/>
      </w:pPr>
      <w:r>
        <w:rPr/>
        <w:t>本集团确认其与共同经营中利益份额相关的下列项目，并按照相关企业会计准则的规定进行会计</w:t>
      </w:r>
    </w:p>
    <w:p>
      <w:pPr>
        <w:pStyle w:val="BodyText"/>
        <w:spacing w:line="272" w:lineRule="exact"/>
        <w:ind w:right="0"/>
        <w:jc w:val="left"/>
      </w:pPr>
      <w:r>
        <w:rPr/>
        <w:t>处理：</w:t>
      </w:r>
    </w:p>
    <w:p>
      <w:pPr>
        <w:pStyle w:val="BodyText"/>
        <w:spacing w:line="272" w:lineRule="exact"/>
        <w:ind w:right="0"/>
        <w:jc w:val="left"/>
      </w:pPr>
      <w:r>
        <w:rPr/>
        <w:t>①确认单独所持有的资产，以及按其份额确认共同持有的资产；</w:t>
      </w:r>
    </w:p>
    <w:p>
      <w:pPr>
        <w:pStyle w:val="BodyText"/>
        <w:spacing w:line="272" w:lineRule="exact"/>
        <w:ind w:right="0"/>
        <w:jc w:val="left"/>
      </w:pPr>
      <w:r>
        <w:rPr/>
        <w:t>②确认单独所承担的负债，以及按其份额确认共同承担的负债；</w:t>
      </w:r>
    </w:p>
    <w:p>
      <w:pPr>
        <w:pStyle w:val="BodyText"/>
        <w:spacing w:line="273" w:lineRule="exact"/>
        <w:ind w:right="0"/>
        <w:jc w:val="left"/>
      </w:pPr>
      <w:r>
        <w:rPr/>
        <w:t>③确认出售其享有的共同经营产出份额所产生的收入；</w:t>
      </w:r>
    </w:p>
    <w:p>
      <w:pPr>
        <w:pStyle w:val="BodyText"/>
        <w:spacing w:line="273" w:lineRule="exact"/>
        <w:ind w:right="0"/>
        <w:jc w:val="left"/>
      </w:pPr>
      <w:r>
        <w:rPr/>
        <w:t>④按其份额确认共同经营因出售产出所产生的收入；</w:t>
      </w:r>
    </w:p>
    <w:p>
      <w:pPr>
        <w:pStyle w:val="BodyText"/>
        <w:spacing w:line="272" w:lineRule="exact"/>
        <w:ind w:right="0"/>
        <w:jc w:val="left"/>
      </w:pPr>
      <w:r>
        <w:rPr/>
        <w:t>⑤确认单独所发生的费用，以及按其份额确认共同经营发生的费用。</w:t>
      </w:r>
    </w:p>
    <w:p>
      <w:pPr>
        <w:pStyle w:val="BodyText"/>
        <w:spacing w:line="272" w:lineRule="exact" w:before="27"/>
        <w:ind w:right="1799"/>
        <w:jc w:val="left"/>
      </w:pPr>
      <w:r>
        <w:rPr/>
        <w:t>（</w:t>
      </w:r>
      <w:r>
        <w:rPr>
          <w:rFonts w:ascii="宋体" w:hAnsi="宋体" w:cs="宋体" w:eastAsia="宋体" w:hint="default"/>
        </w:rPr>
        <w:t>2</w:t>
      </w:r>
      <w:r>
        <w:rPr/>
        <w:t>）合营企业</w:t>
      </w:r>
      <w:r>
        <w:rPr>
          <w:w w:val="100"/>
        </w:rPr>
        <w:t> </w:t>
      </w:r>
      <w:r>
        <w:rPr>
          <w:spacing w:val="-2"/>
        </w:rPr>
        <w:t>合营企业是指本集团仅对该安排的净资产享有权利的合营安排。</w:t>
      </w:r>
    </w:p>
    <w:p>
      <w:pPr>
        <w:pStyle w:val="BodyText"/>
        <w:spacing w:line="272" w:lineRule="exact" w:before="1"/>
        <w:ind w:left="135" w:right="0" w:firstLine="2"/>
        <w:jc w:val="left"/>
      </w:pPr>
      <w:r>
        <w:rPr>
          <w:spacing w:val="-2"/>
        </w:rPr>
        <w:t>本集团按照长期股权投资有关权益法核算的规定对合营企业的投资进行会计处理。</w:t>
      </w:r>
      <w:r>
        <w:rPr>
          <w:spacing w:val="-38"/>
        </w:rPr>
        <w:t> </w:t>
      </w:r>
      <w:r>
        <w:rPr>
          <w:spacing w:val="-38"/>
        </w:rPr>
      </w:r>
      <w:r>
        <w:rPr/>
        <w:t>本集团将具有投资企业经营和财务决策控制权的合营安排判断为合营企业。</w:t>
      </w:r>
    </w:p>
    <w:p>
      <w:pPr>
        <w:pStyle w:val="BodyText"/>
        <w:spacing w:line="249" w:lineRule="exact"/>
        <w:ind w:right="0"/>
        <w:jc w:val="left"/>
      </w:pPr>
      <w:r>
        <w:rPr/>
        <w:t>本集团按照长期股权投资有关权益法核算的规定对合营企业的投资进行会计处理。</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tabs>
          <w:tab w:pos="562" w:val="left" w:leader="none"/>
        </w:tabs>
        <w:spacing w:line="252" w:lineRule="auto"/>
        <w:ind w:right="137"/>
        <w:jc w:val="left"/>
      </w:pPr>
      <w:r>
        <w:rPr>
          <w:rFonts w:ascii="Calibri" w:hAnsi="Calibri" w:cs="Calibri" w:eastAsia="Calibri" w:hint="default"/>
          <w:b/>
          <w:bCs/>
        </w:rPr>
        <w:t>8.</w:t>
        <w:tab/>
      </w:r>
      <w:r>
        <w:rPr>
          <w:rFonts w:ascii="宋体" w:hAnsi="宋体" w:cs="宋体" w:eastAsia="宋体" w:hint="default"/>
          <w:b/>
          <w:bCs/>
        </w:rPr>
        <w:t>现金及现金等价物的确定标准</w:t>
      </w:r>
      <w:r>
        <w:rPr>
          <w:rFonts w:ascii="宋体" w:hAnsi="宋体" w:cs="宋体" w:eastAsia="宋体" w:hint="default"/>
          <w:b/>
          <w:bCs/>
          <w:w w:val="100"/>
        </w:rPr>
        <w:t> </w:t>
      </w:r>
      <w:r>
        <w:rPr>
          <w:spacing w:val="-2"/>
        </w:rPr>
        <w:t>现金是指库存现金以及可以随时用于支付的存款。现金等价物，是指本集团持有的期限短、流动</w:t>
      </w:r>
      <w:r>
        <w:rPr>
          <w:spacing w:val="-25"/>
        </w:rPr>
        <w:t> </w:t>
      </w:r>
      <w:r>
        <w:rPr>
          <w:spacing w:val="-25"/>
        </w:rPr>
      </w:r>
      <w:r>
        <w:rPr/>
        <w:t>性强、易于转换为已知金额现金、价值变动风险很小的投资。</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tabs>
          <w:tab w:pos="562" w:val="left" w:leader="none"/>
        </w:tabs>
        <w:spacing w:line="266" w:lineRule="auto" w:before="0"/>
        <w:ind w:left="138" w:right="137" w:firstLine="0"/>
        <w:jc w:val="left"/>
        <w:rPr>
          <w:rFonts w:ascii="宋体" w:hAnsi="宋体" w:cs="宋体" w:eastAsia="宋体" w:hint="default"/>
          <w:sz w:val="21"/>
          <w:szCs w:val="21"/>
        </w:rPr>
      </w:pPr>
      <w:r>
        <w:rPr>
          <w:rFonts w:ascii="Calibri" w:hAnsi="Calibri" w:cs="Calibri" w:eastAsia="Calibri" w:hint="default"/>
          <w:b/>
          <w:bCs/>
          <w:sz w:val="21"/>
          <w:szCs w:val="21"/>
        </w:rPr>
        <w:t>9.</w:t>
        <w:tab/>
      </w:r>
      <w:r>
        <w:rPr>
          <w:rFonts w:ascii="宋体" w:hAnsi="宋体" w:cs="宋体" w:eastAsia="宋体" w:hint="default"/>
          <w:b/>
          <w:bCs/>
          <w:sz w:val="21"/>
          <w:szCs w:val="21"/>
        </w:rPr>
        <w:t>外币业务和外币报表折算</w:t>
      </w:r>
      <w:r>
        <w:rPr>
          <w:rFonts w:ascii="宋体" w:hAnsi="宋体" w:cs="宋体" w:eastAsia="宋体" w:hint="default"/>
          <w:b/>
          <w:bCs/>
          <w:w w:val="100"/>
          <w:sz w:val="21"/>
          <w:szCs w:val="21"/>
        </w:rPr>
        <w:t> </w:t>
      </w:r>
      <w:r>
        <w:rPr>
          <w:rFonts w:ascii="宋体" w:hAnsi="宋体" w:cs="宋体" w:eastAsia="宋体" w:hint="default"/>
          <w:sz w:val="21"/>
          <w:szCs w:val="21"/>
        </w:rPr>
        <w:t>本集团发生外币业务，按交易发生日的即期汇率折算为记账本位币金额。</w:t>
      </w:r>
    </w:p>
    <w:p>
      <w:pPr>
        <w:spacing w:line="240" w:lineRule="auto" w:before="9"/>
        <w:rPr>
          <w:rFonts w:ascii="宋体" w:hAnsi="宋体" w:cs="宋体" w:eastAsia="宋体" w:hint="default"/>
          <w:sz w:val="14"/>
          <w:szCs w:val="14"/>
        </w:rPr>
      </w:pPr>
    </w:p>
    <w:p>
      <w:pPr>
        <w:pStyle w:val="BodyText"/>
        <w:spacing w:line="237" w:lineRule="auto"/>
        <w:ind w:right="137"/>
        <w:jc w:val="both"/>
      </w:pPr>
      <w:r>
        <w:rPr>
          <w:spacing w:val="-2"/>
        </w:rPr>
        <w:t>资产负债表日，对外币货币性项目，采用资产负债表日即期汇率折算。因资产负债表日即期汇率</w:t>
      </w:r>
      <w:r>
        <w:rPr>
          <w:spacing w:val="-25"/>
        </w:rPr>
        <w:t> </w:t>
      </w:r>
      <w:r>
        <w:rPr>
          <w:spacing w:val="-25"/>
        </w:rPr>
      </w:r>
      <w:r>
        <w:rPr>
          <w:spacing w:val="-2"/>
        </w:rPr>
        <w:t>与初始确认时或者前一资产负债表日即期汇率不同而产生的汇兑差额，计入当期损益；对以历史</w:t>
      </w:r>
      <w:r>
        <w:rPr>
          <w:spacing w:val="-25"/>
        </w:rPr>
        <w:t> </w:t>
      </w:r>
      <w:r>
        <w:rPr>
          <w:spacing w:val="-25"/>
        </w:rPr>
      </w:r>
      <w:r>
        <w:rPr>
          <w:spacing w:val="-2"/>
        </w:rPr>
        <w:t>成本计量的外币非货币性项目，仍采用交易发生日的即期汇率折算；对以公允价值计量的外币非</w:t>
      </w:r>
      <w:r>
        <w:rPr>
          <w:spacing w:val="-25"/>
        </w:rPr>
        <w:t> </w:t>
      </w:r>
      <w:r>
        <w:rPr>
          <w:spacing w:val="-25"/>
        </w:rPr>
      </w:r>
      <w:r>
        <w:rPr>
          <w:spacing w:val="-2"/>
        </w:rPr>
        <w:t>货币性项目，采用公允价值确定日的即期汇率折算，折算后的记账本位币金额与原记账本位币金</w:t>
      </w:r>
      <w:r>
        <w:rPr>
          <w:spacing w:val="-25"/>
        </w:rPr>
        <w:t> </w:t>
      </w:r>
      <w:r>
        <w:rPr>
          <w:spacing w:val="-25"/>
        </w:rPr>
      </w:r>
      <w:r>
        <w:rPr/>
        <w:t>额的差额，计入当期损益。</w:t>
      </w:r>
    </w:p>
    <w:p>
      <w:pPr>
        <w:spacing w:after="0" w:line="23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66" w:lineRule="auto" w:before="36"/>
        <w:ind w:right="0"/>
        <w:jc w:val="left"/>
      </w:pPr>
      <w:r>
        <w:rPr>
          <w:rFonts w:ascii="Calibri" w:hAnsi="Calibri" w:cs="Calibri" w:eastAsia="Calibri" w:hint="default"/>
          <w:b/>
          <w:bCs/>
        </w:rPr>
        <w:t>10.</w:t>
      </w:r>
      <w:r>
        <w:rPr>
          <w:rFonts w:ascii="Calibri" w:hAnsi="Calibri" w:cs="Calibri" w:eastAsia="Calibri" w:hint="default"/>
          <w:b/>
          <w:bCs/>
          <w:spacing w:val="12"/>
        </w:rPr>
        <w:t> </w:t>
      </w:r>
      <w:r>
        <w:rPr>
          <w:rFonts w:ascii="宋体" w:hAnsi="宋体" w:cs="宋体" w:eastAsia="宋体" w:hint="default"/>
          <w:b/>
          <w:bCs/>
        </w:rPr>
        <w:t>金融工具</w:t>
      </w:r>
      <w:r>
        <w:rPr>
          <w:rFonts w:ascii="宋体" w:hAnsi="宋体" w:cs="宋体" w:eastAsia="宋体" w:hint="default"/>
          <w:b/>
          <w:bCs/>
          <w:w w:val="100"/>
        </w:rPr>
        <w:t> </w:t>
      </w:r>
      <w:r>
        <w:rPr>
          <w:spacing w:val="-2"/>
        </w:rPr>
        <w:t>金融工具是指形成一个企业的金融资产，并形成其他单位的金融负债或权益工具的合同。</w:t>
      </w:r>
    </w:p>
    <w:p>
      <w:pPr>
        <w:pStyle w:val="BodyText"/>
        <w:spacing w:line="247" w:lineRule="exact"/>
        <w:ind w:right="0"/>
        <w:jc w:val="left"/>
      </w:pPr>
      <w:r>
        <w:rPr/>
        <w:t>（</w:t>
      </w:r>
      <w:r>
        <w:rPr>
          <w:rFonts w:ascii="宋体" w:hAnsi="宋体" w:cs="宋体" w:eastAsia="宋体" w:hint="default"/>
        </w:rPr>
        <w:t>1</w:t>
      </w:r>
      <w:r>
        <w:rPr/>
        <w:t>）金融工具的确认和终止确认</w:t>
      </w:r>
    </w:p>
    <w:p>
      <w:pPr>
        <w:pStyle w:val="BodyText"/>
        <w:spacing w:line="272" w:lineRule="exact" w:before="27"/>
        <w:ind w:right="0"/>
        <w:jc w:val="left"/>
      </w:pPr>
      <w:r>
        <w:rPr>
          <w:spacing w:val="-2"/>
        </w:rPr>
        <w:t>本集团于成为金融工具合同的一方时确认一项金融资产或金融负债。</w:t>
      </w:r>
      <w:r>
        <w:rPr>
          <w:spacing w:val="-48"/>
        </w:rPr>
        <w:t> </w:t>
      </w:r>
      <w:r>
        <w:rPr>
          <w:spacing w:val="-48"/>
        </w:rPr>
      </w:r>
      <w:r>
        <w:rPr/>
        <w:t>金融资产满足下列条件之一的，终止确认：</w:t>
      </w:r>
    </w:p>
    <w:p>
      <w:pPr>
        <w:pStyle w:val="BodyText"/>
        <w:spacing w:line="247" w:lineRule="exact"/>
        <w:ind w:right="0"/>
        <w:jc w:val="left"/>
      </w:pPr>
      <w:r>
        <w:rPr/>
        <w:t>①</w:t>
      </w:r>
      <w:r>
        <w:rPr>
          <w:spacing w:val="-3"/>
        </w:rPr>
        <w:t> </w:t>
      </w:r>
      <w:r>
        <w:rPr/>
        <w:t>收取该金融资产现金流量的合同权利终止；</w:t>
      </w:r>
    </w:p>
    <w:p>
      <w:pPr>
        <w:pStyle w:val="BodyText"/>
        <w:spacing w:line="237" w:lineRule="auto"/>
        <w:ind w:right="0"/>
        <w:jc w:val="left"/>
      </w:pPr>
      <w:r>
        <w:rPr/>
        <w:t>②</w:t>
      </w:r>
      <w:r>
        <w:rPr>
          <w:spacing w:val="-1"/>
        </w:rPr>
        <w:t> </w:t>
      </w:r>
      <w:r>
        <w:rPr/>
        <w:t>该金融资产已转移，且符合下述金融资产转移的终止确认条件。</w:t>
      </w:r>
      <w:r>
        <w:rPr>
          <w:w w:val="100"/>
        </w:rPr>
        <w:t> </w:t>
      </w:r>
      <w:r>
        <w:rPr>
          <w:spacing w:val="-6"/>
        </w:rPr>
        <w:t>金融负债的现时义务全部或部分已经解除的，终止确认该金融负债或其一部分。本集团（债务人）</w:t>
      </w:r>
      <w:r>
        <w:rPr>
          <w:spacing w:val="-54"/>
        </w:rPr>
        <w:t> </w:t>
      </w:r>
      <w:r>
        <w:rPr>
          <w:spacing w:val="-54"/>
        </w:rPr>
      </w:r>
      <w:r>
        <w:rPr>
          <w:spacing w:val="-2"/>
        </w:rPr>
        <w:t>与债权人之间签订协议，以承担新金融负债方式替换现存金融负债，且新金融负债与现存金融负</w:t>
      </w:r>
      <w:r>
        <w:rPr>
          <w:spacing w:val="-25"/>
        </w:rPr>
        <w:t> </w:t>
      </w:r>
      <w:r>
        <w:rPr>
          <w:spacing w:val="-25"/>
        </w:rPr>
      </w:r>
      <w:r>
        <w:rPr/>
        <w:t>债的合同条款实质上不同的，终止确认现存金融负债，并同时确认新金融负债。</w:t>
      </w:r>
      <w:r>
        <w:rPr>
          <w:w w:val="100"/>
        </w:rPr>
        <w:t> </w:t>
      </w:r>
      <w:r>
        <w:rPr/>
        <w:t>以常规方式买卖金融资产，按交易日进行会计确认和终止确认。</w:t>
      </w:r>
    </w:p>
    <w:p>
      <w:pPr>
        <w:pStyle w:val="BodyText"/>
        <w:spacing w:line="237" w:lineRule="auto" w:before="1"/>
        <w:ind w:right="124"/>
        <w:jc w:val="left"/>
      </w:pPr>
      <w:r>
        <w:rPr/>
        <w:t>（</w:t>
      </w:r>
      <w:r>
        <w:rPr>
          <w:rFonts w:ascii="宋体" w:hAnsi="宋体" w:cs="宋体" w:eastAsia="宋体" w:hint="default"/>
        </w:rPr>
        <w:t>2</w:t>
      </w:r>
      <w:r>
        <w:rPr/>
        <w:t>）金融资产分类和计量</w:t>
      </w:r>
      <w:r>
        <w:rPr>
          <w:w w:val="100"/>
        </w:rPr>
        <w:t> </w:t>
      </w:r>
      <w:r>
        <w:rPr>
          <w:spacing w:val="-2"/>
        </w:rPr>
        <w:t>本集团的金融资产于初始确认时分为以下四类：以公允价值计量且其变动计入当期损益的金融资</w:t>
      </w:r>
      <w:r>
        <w:rPr>
          <w:spacing w:val="-25"/>
        </w:rPr>
        <w:t> </w:t>
      </w:r>
      <w:r>
        <w:rPr>
          <w:spacing w:val="-25"/>
        </w:rPr>
      </w:r>
      <w:r>
        <w:rPr>
          <w:spacing w:val="-2"/>
        </w:rPr>
        <w:t>产、持有至到期投资、贷款和应收款项、可供出售金融资产。金融资产在初始确认时以公允价值</w:t>
      </w:r>
      <w:r>
        <w:rPr>
          <w:spacing w:val="-25"/>
        </w:rPr>
        <w:t> </w:t>
      </w:r>
      <w:r>
        <w:rPr>
          <w:spacing w:val="-25"/>
        </w:rPr>
      </w:r>
      <w:r>
        <w:rPr>
          <w:spacing w:val="-6"/>
          <w:w w:val="100"/>
        </w:rPr>
        <w:t>计量。对于以公允价值计量且其变动计入当期损益的金融资产，相关交易费用直接计入当期损益，</w:t>
      </w:r>
      <w:r>
        <w:rPr>
          <w:w w:val="100"/>
        </w:rPr>
        <w:t> </w:t>
      </w:r>
      <w:r>
        <w:rPr/>
        <w:t>其他类别的金融资产相关交易费用计入其初始确认金额。</w:t>
      </w:r>
      <w:r>
        <w:rPr>
          <w:w w:val="100"/>
        </w:rPr>
        <w:t> </w:t>
      </w:r>
      <w:r>
        <w:rPr/>
        <w:t>以公允价值计量且其变动计入当期损益的金融资产</w:t>
      </w:r>
      <w:r>
        <w:rPr>
          <w:w w:val="100"/>
        </w:rPr>
        <w:t> </w:t>
      </w:r>
      <w:r>
        <w:rPr>
          <w:spacing w:val="-2"/>
        </w:rPr>
        <w:t>以公允价值计量且其变动计入当期损益的金融资产，包括交易性金融资产和初始确认时指定为以</w:t>
      </w:r>
      <w:r>
        <w:rPr>
          <w:spacing w:val="-25"/>
        </w:rPr>
        <w:t> </w:t>
      </w:r>
      <w:r>
        <w:rPr>
          <w:spacing w:val="-25"/>
        </w:rPr>
      </w:r>
      <w:r>
        <w:rPr>
          <w:spacing w:val="-2"/>
        </w:rPr>
        <w:t>公允价值计量且其变动计入当期损益的金融资产。对于此类金融资产，采用公允价值进行后续计</w:t>
      </w:r>
      <w:r>
        <w:rPr>
          <w:spacing w:val="-25"/>
        </w:rPr>
        <w:t> </w:t>
      </w:r>
      <w:r>
        <w:rPr>
          <w:spacing w:val="-25"/>
        </w:rPr>
      </w:r>
      <w:r>
        <w:rPr>
          <w:spacing w:val="-2"/>
        </w:rPr>
        <w:t>量，公允价值变动形成的利得或损失以及与该等金融资产相关的股利和利息收入计入当期损益。</w:t>
      </w:r>
      <w:r>
        <w:rPr>
          <w:spacing w:val="-25"/>
        </w:rPr>
        <w:t> </w:t>
      </w:r>
      <w:r>
        <w:rPr>
          <w:spacing w:val="-25"/>
        </w:rPr>
      </w:r>
      <w:r>
        <w:rPr/>
        <w:t>持有至到期投资</w:t>
      </w:r>
      <w:r>
        <w:rPr>
          <w:spacing w:val="-103"/>
        </w:rPr>
        <w:t> </w:t>
      </w:r>
      <w:r>
        <w:rPr>
          <w:spacing w:val="-103"/>
        </w:rPr>
      </w:r>
      <w:r>
        <w:rPr>
          <w:spacing w:val="-2"/>
        </w:rPr>
        <w:t>持有至到期投资，是指到期日固定、回收金额固定或可确定，且本集团有明确意图和能力持有至</w:t>
      </w:r>
      <w:r>
        <w:rPr>
          <w:spacing w:val="-25"/>
        </w:rPr>
        <w:t> </w:t>
      </w:r>
      <w:r>
        <w:rPr>
          <w:spacing w:val="-25"/>
        </w:rPr>
      </w:r>
      <w:r>
        <w:rPr>
          <w:spacing w:val="-2"/>
        </w:rPr>
        <w:t>到期的非衍生金融资产。持有至到期投资采用实际利率法，按照摊余成本进行后续计量，其终止</w:t>
      </w:r>
      <w:r>
        <w:rPr>
          <w:spacing w:val="-25"/>
        </w:rPr>
        <w:t> </w:t>
      </w:r>
      <w:r>
        <w:rPr>
          <w:spacing w:val="-25"/>
        </w:rPr>
      </w:r>
      <w:r>
        <w:rPr/>
        <w:t>确认、发生减值或摊销产生的利得或损失，均计入当期损益。</w:t>
      </w:r>
    </w:p>
    <w:p>
      <w:pPr>
        <w:pStyle w:val="BodyText"/>
        <w:spacing w:line="237" w:lineRule="auto" w:before="2"/>
        <w:ind w:right="0"/>
        <w:jc w:val="left"/>
      </w:pPr>
      <w:r>
        <w:rPr/>
        <w:t>应收款项</w:t>
      </w:r>
      <w:r>
        <w:rPr>
          <w:w w:val="100"/>
        </w:rPr>
        <w:t> </w:t>
      </w:r>
      <w:r>
        <w:rPr>
          <w:spacing w:val="-2"/>
        </w:rPr>
        <w:t>应收款项，是指在活跃市场中没有报价、回收金额固定或可确定的非衍生金融资产，包括应收账</w:t>
      </w:r>
      <w:r>
        <w:rPr>
          <w:spacing w:val="-25"/>
        </w:rPr>
        <w:t> </w:t>
      </w:r>
      <w:r>
        <w:rPr>
          <w:spacing w:val="-25"/>
        </w:rPr>
      </w:r>
      <w:r>
        <w:rPr>
          <w:spacing w:val="-6"/>
        </w:rPr>
        <w:t>款和其他应收款等（附注“应收款项”）。应收款项采用实际利率法，按摊余成本进行后续计量，</w:t>
      </w:r>
      <w:r>
        <w:rPr>
          <w:spacing w:val="-52"/>
        </w:rPr>
        <w:t> </w:t>
      </w:r>
      <w:r>
        <w:rPr>
          <w:spacing w:val="-52"/>
        </w:rPr>
      </w:r>
      <w:r>
        <w:rPr/>
        <w:t>在终止确认、发生减值或摊销时产生的利得或损失，计入当期损益。</w:t>
      </w:r>
    </w:p>
    <w:p>
      <w:pPr>
        <w:pStyle w:val="BodyText"/>
        <w:spacing w:line="237" w:lineRule="auto" w:before="1"/>
        <w:ind w:right="0"/>
        <w:jc w:val="left"/>
      </w:pPr>
      <w:r>
        <w:rPr/>
        <w:t>可供出售金融资产</w:t>
      </w:r>
      <w:r>
        <w:rPr>
          <w:w w:val="100"/>
        </w:rPr>
        <w:t> </w:t>
      </w:r>
      <w:r>
        <w:rPr>
          <w:spacing w:val="-2"/>
        </w:rPr>
        <w:t>可供出售金融资产，是指初始确认时即指定为可供出售的非衍生金融资产，以及除上述金融资产</w:t>
      </w:r>
      <w:r>
        <w:rPr>
          <w:spacing w:val="-25"/>
        </w:rPr>
        <w:t> </w:t>
      </w:r>
      <w:r>
        <w:rPr>
          <w:spacing w:val="-25"/>
        </w:rPr>
      </w:r>
      <w:r>
        <w:rPr>
          <w:spacing w:val="-2"/>
        </w:rPr>
        <w:t>类别以外的金融资产。可供出售金融资产采用公允价值进行后续计量，其折溢价采用实际利率法</w:t>
      </w:r>
      <w:r>
        <w:rPr>
          <w:spacing w:val="-25"/>
        </w:rPr>
        <w:t> </w:t>
      </w:r>
      <w:r>
        <w:rPr>
          <w:spacing w:val="-25"/>
        </w:rPr>
      </w:r>
      <w:r>
        <w:rPr>
          <w:spacing w:val="-2"/>
        </w:rPr>
        <w:t>摊销并确认为利息收入。除减值损失及外币货币性金融资产的汇兑差额确认为当期损益外，可供</w:t>
      </w:r>
      <w:r>
        <w:rPr>
          <w:spacing w:val="-25"/>
        </w:rPr>
        <w:t> </w:t>
      </w:r>
      <w:r>
        <w:rPr>
          <w:spacing w:val="-25"/>
        </w:rPr>
      </w:r>
      <w:r>
        <w:rPr>
          <w:spacing w:val="-2"/>
        </w:rPr>
        <w:t>出售金融资产的公允价值变动确认为其他综合收益，在该金融资产终止确认时转出，计入当期损</w:t>
      </w:r>
      <w:r>
        <w:rPr>
          <w:spacing w:val="-25"/>
        </w:rPr>
        <w:t> </w:t>
      </w:r>
      <w:r>
        <w:rPr>
          <w:spacing w:val="-25"/>
        </w:rPr>
      </w:r>
      <w:r>
        <w:rPr/>
        <w:t>益。与可供出售金融资产相关的股利或利息收入，计入当期损益。</w:t>
      </w:r>
      <w:r>
        <w:rPr>
          <w:w w:val="100"/>
        </w:rPr>
        <w:t> </w:t>
      </w:r>
      <w:r>
        <w:rPr>
          <w:spacing w:val="-2"/>
        </w:rPr>
        <w:t>对于在活跃市场中没有报价且其公允价值不能可靠计量的权益工具投资，以及与该权益工具挂钩</w:t>
      </w:r>
      <w:r>
        <w:rPr>
          <w:spacing w:val="-25"/>
        </w:rPr>
        <w:t> </w:t>
      </w:r>
      <w:r>
        <w:rPr>
          <w:spacing w:val="-25"/>
        </w:rPr>
      </w:r>
      <w:r>
        <w:rPr/>
        <w:t>并须通过交付该权益工具结算的衍生金融资产，按成本计量。</w:t>
      </w:r>
    </w:p>
    <w:p>
      <w:pPr>
        <w:pStyle w:val="BodyText"/>
        <w:spacing w:line="237" w:lineRule="auto" w:before="2"/>
        <w:ind w:right="0"/>
        <w:jc w:val="left"/>
      </w:pPr>
      <w:r>
        <w:rPr/>
        <w:t>（</w:t>
      </w:r>
      <w:r>
        <w:rPr>
          <w:rFonts w:ascii="宋体" w:hAnsi="宋体" w:cs="宋体" w:eastAsia="宋体" w:hint="default"/>
        </w:rPr>
        <w:t>3</w:t>
      </w:r>
      <w:r>
        <w:rPr/>
        <w:t>）金融负债分类和计量</w:t>
      </w:r>
      <w:r>
        <w:rPr>
          <w:w w:val="100"/>
        </w:rPr>
        <w:t> </w:t>
      </w:r>
      <w:r>
        <w:rPr>
          <w:spacing w:val="-2"/>
        </w:rPr>
        <w:t>本集团的金融负债于初始确认时分类为：以公允价值计量且其变动计入当期损益的金融负债、其</w:t>
      </w:r>
      <w:r>
        <w:rPr>
          <w:spacing w:val="-25"/>
        </w:rPr>
        <w:t> </w:t>
      </w:r>
      <w:r>
        <w:rPr>
          <w:spacing w:val="-25"/>
        </w:rPr>
      </w:r>
      <w:r>
        <w:rPr>
          <w:spacing w:val="-2"/>
        </w:rPr>
        <w:t>他金融负债。对于未划分为以公允价值计量且其变动计入当期损益的金融负债的，相关交易费用</w:t>
      </w:r>
      <w:r>
        <w:rPr>
          <w:spacing w:val="-25"/>
        </w:rPr>
        <w:t> </w:t>
      </w:r>
      <w:r>
        <w:rPr>
          <w:spacing w:val="-25"/>
        </w:rPr>
      </w:r>
      <w:r>
        <w:rPr/>
        <w:t>计入其初始确认金额。</w:t>
      </w:r>
    </w:p>
    <w:p>
      <w:pPr>
        <w:pStyle w:val="BodyText"/>
        <w:spacing w:line="237" w:lineRule="auto"/>
        <w:ind w:right="0"/>
        <w:jc w:val="left"/>
      </w:pPr>
      <w:r>
        <w:rPr/>
        <w:t>以公允价值计量且其变动计入当期损益的金融负债</w:t>
      </w:r>
      <w:r>
        <w:rPr>
          <w:w w:val="100"/>
        </w:rPr>
        <w:t> </w:t>
      </w:r>
      <w:r>
        <w:rPr>
          <w:spacing w:val="-2"/>
        </w:rPr>
        <w:t>以公允价值计量且其变动计入当期损益的金融负债，包括交易性金融负债和初始确认时指定为以</w:t>
      </w:r>
      <w:r>
        <w:rPr>
          <w:spacing w:val="-25"/>
        </w:rPr>
        <w:t> </w:t>
      </w:r>
      <w:r>
        <w:rPr>
          <w:spacing w:val="-25"/>
        </w:rPr>
      </w:r>
      <w:r>
        <w:rPr>
          <w:spacing w:val="-2"/>
        </w:rPr>
        <w:t>公允价值计量且其变动计入当期损益的金融负债。对于此类金融负债，按照公允价值进行后续计</w:t>
      </w:r>
      <w:r>
        <w:rPr>
          <w:spacing w:val="-25"/>
        </w:rPr>
        <w:t> </w:t>
      </w:r>
      <w:r>
        <w:rPr>
          <w:spacing w:val="-25"/>
        </w:rPr>
      </w:r>
      <w:r>
        <w:rPr>
          <w:spacing w:val="-2"/>
        </w:rPr>
        <w:t>量，公允价值变动形成的利得或损失以及与该等金融负债相关的股利和利息支出计入当期损益。</w:t>
      </w:r>
      <w:r>
        <w:rPr>
          <w:spacing w:val="-25"/>
        </w:rPr>
        <w:t> </w:t>
      </w:r>
      <w:r>
        <w:rPr>
          <w:spacing w:val="-25"/>
        </w:rPr>
      </w:r>
      <w:r>
        <w:rPr/>
        <w:t>其他金融负债</w:t>
      </w:r>
      <w:r>
        <w:rPr>
          <w:w w:val="100"/>
        </w:rPr>
        <w:t> </w:t>
      </w:r>
      <w:r>
        <w:rPr>
          <w:spacing w:val="-2"/>
        </w:rPr>
        <w:t>与在活跃市场中没有报价、公允价值不能可靠计量的权益工具挂钩并须通过交付该权益工具结算</w:t>
      </w:r>
      <w:r>
        <w:rPr>
          <w:spacing w:val="-25"/>
        </w:rPr>
        <w:t> </w:t>
      </w:r>
      <w:r>
        <w:rPr>
          <w:spacing w:val="-25"/>
        </w:rPr>
      </w:r>
      <w:r>
        <w:rPr>
          <w:spacing w:val="-2"/>
        </w:rPr>
        <w:t>的衍生金融负债，按照成本进行后续计量。其他金融负债采用实际利率法，按摊余成本进行后续</w:t>
      </w:r>
      <w:r>
        <w:rPr>
          <w:spacing w:val="-25"/>
        </w:rPr>
        <w:t> </w:t>
      </w:r>
      <w:r>
        <w:rPr>
          <w:spacing w:val="-25"/>
        </w:rPr>
      </w:r>
      <w:r>
        <w:rPr/>
        <w:t>计量，终止确认或摊销产生的利得或损失计入当期损益。</w:t>
      </w:r>
    </w:p>
    <w:p>
      <w:pPr>
        <w:pStyle w:val="BodyText"/>
        <w:spacing w:line="274" w:lineRule="exact" w:before="23"/>
        <w:ind w:right="4869"/>
        <w:jc w:val="left"/>
      </w:pPr>
      <w:r>
        <w:rPr/>
        <w:t>金融负债与权益工具的区分</w:t>
      </w:r>
      <w:r>
        <w:rPr>
          <w:w w:val="100"/>
        </w:rPr>
        <w:t> </w:t>
      </w:r>
      <w:r>
        <w:rPr>
          <w:spacing w:val="-2"/>
        </w:rPr>
        <w:t>金融负债，是指符合下列条件之一的负债：</w:t>
      </w:r>
    </w:p>
    <w:p>
      <w:pPr>
        <w:spacing w:after="0" w:line="274" w:lineRule="exact"/>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74" w:lineRule="exact" w:before="36"/>
        <w:ind w:right="0"/>
        <w:jc w:val="left"/>
      </w:pPr>
      <w:r>
        <w:rPr/>
        <w:t>①向其他方交付现金或其他金融资产的合同义务。</w:t>
      </w:r>
    </w:p>
    <w:p>
      <w:pPr>
        <w:pStyle w:val="BodyText"/>
        <w:spacing w:line="272" w:lineRule="exact"/>
        <w:ind w:right="0"/>
        <w:jc w:val="left"/>
      </w:pPr>
      <w:r>
        <w:rPr/>
        <w:t>②在潜在不利条件下，与其他方交换金融资产或金融负债的合同义务。</w:t>
      </w:r>
    </w:p>
    <w:p>
      <w:pPr>
        <w:pStyle w:val="BodyText"/>
        <w:spacing w:line="240" w:lineRule="auto"/>
        <w:ind w:right="0"/>
        <w:jc w:val="left"/>
      </w:pPr>
      <w:r>
        <w:rPr>
          <w:spacing w:val="-2"/>
        </w:rPr>
        <w:t>③将来须用或可用企业自身权益工具进行结算的非衍生工具合同，且企业根据该合同将交付可变</w:t>
      </w:r>
      <w:r>
        <w:rPr>
          <w:spacing w:val="-26"/>
        </w:rPr>
        <w:t> </w:t>
      </w:r>
      <w:r>
        <w:rPr>
          <w:spacing w:val="-26"/>
        </w:rPr>
      </w:r>
      <w:r>
        <w:rPr/>
        <w:t>数量的自身权益工具。</w:t>
      </w:r>
    </w:p>
    <w:p>
      <w:pPr>
        <w:pStyle w:val="BodyText"/>
        <w:spacing w:line="237" w:lineRule="auto"/>
        <w:ind w:right="0"/>
        <w:jc w:val="left"/>
      </w:pPr>
      <w:r>
        <w:rPr>
          <w:spacing w:val="-2"/>
        </w:rPr>
        <w:t>④将来须用或可用企业自身权益工具进行结算的衍生工具合同，但以固定数量的自身权益工具交</w:t>
      </w:r>
      <w:r>
        <w:rPr>
          <w:spacing w:val="-26"/>
        </w:rPr>
        <w:t> </w:t>
      </w:r>
      <w:r>
        <w:rPr>
          <w:spacing w:val="-26"/>
        </w:rPr>
      </w:r>
      <w:r>
        <w:rPr/>
        <w:t>换固定金额的现金或其他金融资产的衍生工具合同除外。</w:t>
      </w:r>
      <w:r>
        <w:rPr>
          <w:w w:val="100"/>
        </w:rPr>
        <w:t> </w:t>
      </w:r>
      <w:r>
        <w:rPr/>
        <w:t>权益工具，是指能证明拥有某个企业在扣除所有负债后的资产中剩余权益的合同。</w:t>
      </w:r>
      <w:r>
        <w:rPr>
          <w:w w:val="100"/>
        </w:rPr>
        <w:t> </w:t>
      </w:r>
      <w:r>
        <w:rPr>
          <w:spacing w:val="-2"/>
        </w:rPr>
        <w:t>如果本集团不能无条件地避免以交付现金或其他金融资产来履行一项合同义务，则该合同义务符</w:t>
      </w:r>
      <w:r>
        <w:rPr>
          <w:spacing w:val="-25"/>
        </w:rPr>
        <w:t> </w:t>
      </w:r>
      <w:r>
        <w:rPr>
          <w:spacing w:val="-25"/>
        </w:rPr>
      </w:r>
      <w:r>
        <w:rPr/>
        <w:t>合金融负债的定义。</w:t>
      </w:r>
      <w:r>
        <w:rPr>
          <w:w w:val="100"/>
        </w:rPr>
        <w:t> </w:t>
      </w:r>
      <w:r>
        <w:rPr>
          <w:spacing w:val="-2"/>
        </w:rPr>
        <w:t>如果一项金融工具须用或可用本集团自身权益工具进行结算，需要考虑用于结算该工具的本集团</w:t>
      </w:r>
      <w:r>
        <w:rPr>
          <w:spacing w:val="-25"/>
        </w:rPr>
        <w:t> </w:t>
      </w:r>
      <w:r>
        <w:rPr>
          <w:spacing w:val="-25"/>
        </w:rPr>
      </w:r>
      <w:r>
        <w:rPr>
          <w:spacing w:val="-2"/>
        </w:rPr>
        <w:t>自身权益工具，是作为现金或其他金融资产的替代品，还是为了使该工具持有方享有在发行方扣</w:t>
      </w:r>
      <w:r>
        <w:rPr>
          <w:spacing w:val="-25"/>
        </w:rPr>
        <w:t> </w:t>
      </w:r>
      <w:r>
        <w:rPr>
          <w:spacing w:val="-25"/>
        </w:rPr>
      </w:r>
      <w:r>
        <w:rPr>
          <w:spacing w:val="-2"/>
        </w:rPr>
        <w:t>除所有负债后的资产中的剩余权益。如果是前者，该工具是本集团的金融负债；如果是后者，该</w:t>
      </w:r>
      <w:r>
        <w:rPr>
          <w:spacing w:val="-25"/>
        </w:rPr>
        <w:t> </w:t>
      </w:r>
      <w:r>
        <w:rPr>
          <w:spacing w:val="-25"/>
        </w:rPr>
      </w:r>
      <w:r>
        <w:rPr/>
        <w:t>工具是本集团的权益工具。</w:t>
      </w:r>
    </w:p>
    <w:p>
      <w:pPr>
        <w:pStyle w:val="BodyText"/>
        <w:spacing w:line="237" w:lineRule="auto" w:before="1"/>
        <w:ind w:right="0"/>
        <w:jc w:val="left"/>
      </w:pPr>
      <w:r>
        <w:rPr/>
        <w:t>（</w:t>
      </w:r>
      <w:r>
        <w:rPr>
          <w:rFonts w:ascii="宋体" w:hAnsi="宋体" w:cs="宋体" w:eastAsia="宋体" w:hint="default"/>
        </w:rPr>
        <w:t>4</w:t>
      </w:r>
      <w:r>
        <w:rPr/>
        <w:t>）金融工具的公允价值</w:t>
      </w:r>
      <w:r>
        <w:rPr>
          <w:w w:val="100"/>
        </w:rPr>
        <w:t> </w:t>
      </w:r>
      <w:r>
        <w:rPr>
          <w:spacing w:val="-4"/>
        </w:rPr>
        <w:t>金融资产和金融负债的公允价值确定方法见附注“其他重要的会计政策和会计估计—（</w:t>
      </w:r>
      <w:r>
        <w:rPr>
          <w:rFonts w:ascii="宋体" w:hAnsi="宋体" w:cs="宋体" w:eastAsia="宋体" w:hint="default"/>
          <w:spacing w:val="-4"/>
        </w:rPr>
        <w:t>1</w:t>
      </w:r>
      <w:r>
        <w:rPr>
          <w:spacing w:val="-4"/>
        </w:rPr>
        <w:t>）公允价</w:t>
      </w:r>
      <w:r>
        <w:rPr>
          <w:spacing w:val="-34"/>
        </w:rPr>
        <w:t> </w:t>
      </w:r>
      <w:r>
        <w:rPr>
          <w:spacing w:val="-34"/>
        </w:rPr>
      </w:r>
      <w:r>
        <w:rPr/>
        <w:t>值计量”。</w:t>
      </w:r>
    </w:p>
    <w:p>
      <w:pPr>
        <w:pStyle w:val="BodyText"/>
        <w:spacing w:line="237" w:lineRule="auto"/>
        <w:ind w:right="0"/>
        <w:jc w:val="left"/>
      </w:pPr>
      <w:r>
        <w:rPr/>
        <w:t>（</w:t>
      </w:r>
      <w:r>
        <w:rPr>
          <w:rFonts w:ascii="宋体" w:hAnsi="宋体" w:cs="宋体" w:eastAsia="宋体" w:hint="default"/>
        </w:rPr>
        <w:t>5</w:t>
      </w:r>
      <w:r>
        <w:rPr/>
        <w:t>）金融资产减值</w:t>
      </w:r>
      <w:r>
        <w:rPr>
          <w:w w:val="100"/>
        </w:rPr>
        <w:t> </w:t>
      </w:r>
      <w:r>
        <w:rPr>
          <w:spacing w:val="-2"/>
        </w:rPr>
        <w:t>除了以公允价值计量且其变动计入当期损益的金融资产外，本集团于资产负债表日对其他金融资</w:t>
      </w:r>
      <w:r>
        <w:rPr>
          <w:spacing w:val="-25"/>
        </w:rPr>
        <w:t> </w:t>
      </w:r>
      <w:r>
        <w:rPr>
          <w:spacing w:val="-25"/>
        </w:rPr>
      </w:r>
      <w:r>
        <w:rPr>
          <w:spacing w:val="-2"/>
        </w:rPr>
        <w:t>产的账面价值进行检查，有客观证据表明该金融资产发生减值的，计提减值准备。表明金融资产</w:t>
      </w:r>
      <w:r>
        <w:rPr>
          <w:spacing w:val="-25"/>
        </w:rPr>
        <w:t> </w:t>
      </w:r>
      <w:r>
        <w:rPr>
          <w:spacing w:val="-25"/>
        </w:rPr>
      </w:r>
      <w:r>
        <w:rPr>
          <w:spacing w:val="-2"/>
        </w:rPr>
        <w:t>发生减值的客观证据，是指金融资产初始确认后实际发生的、对该金融资产的预计未来现金流量</w:t>
      </w:r>
      <w:r>
        <w:rPr>
          <w:spacing w:val="-25"/>
        </w:rPr>
        <w:t> </w:t>
      </w:r>
      <w:r>
        <w:rPr>
          <w:spacing w:val="-25"/>
        </w:rPr>
      </w:r>
      <w:r>
        <w:rPr/>
        <w:t>有影响，且企业能够对该影响进行可靠计量的事项。</w:t>
      </w:r>
      <w:r>
        <w:rPr>
          <w:w w:val="100"/>
        </w:rPr>
        <w:t> </w:t>
      </w:r>
      <w:r>
        <w:rPr/>
        <w:t>金融资产发生减值的客观证据，包括下列可观察到的情形：</w:t>
      </w:r>
    </w:p>
    <w:p>
      <w:pPr>
        <w:pStyle w:val="BodyText"/>
        <w:spacing w:line="272" w:lineRule="exact"/>
        <w:ind w:right="0"/>
        <w:jc w:val="left"/>
      </w:pPr>
      <w:r>
        <w:rPr/>
        <w:t>①发行方或债务人发生严重财务困难；</w:t>
      </w:r>
    </w:p>
    <w:p>
      <w:pPr>
        <w:pStyle w:val="BodyText"/>
        <w:spacing w:line="273" w:lineRule="exact"/>
        <w:ind w:right="0"/>
        <w:jc w:val="left"/>
      </w:pPr>
      <w:r>
        <w:rPr/>
        <w:t>②债务人违反了合同条款，如偿付利息或本金发生违约或逾期等；</w:t>
      </w:r>
    </w:p>
    <w:p>
      <w:pPr>
        <w:pStyle w:val="BodyText"/>
        <w:spacing w:line="273" w:lineRule="exact"/>
        <w:ind w:right="0"/>
        <w:jc w:val="left"/>
      </w:pPr>
      <w:r>
        <w:rPr/>
        <w:t>③本集团出于经济或法律等方面因素的考虑，对发生财务困难的债务人作出让步；</w:t>
      </w:r>
    </w:p>
    <w:p>
      <w:pPr>
        <w:pStyle w:val="BodyText"/>
        <w:spacing w:line="272" w:lineRule="exact"/>
        <w:ind w:right="0"/>
        <w:jc w:val="left"/>
      </w:pPr>
      <w:r>
        <w:rPr/>
        <w:t>④债务人很可能倒闭或者进行其他财务重组；</w:t>
      </w:r>
    </w:p>
    <w:p>
      <w:pPr>
        <w:pStyle w:val="BodyText"/>
        <w:spacing w:line="272" w:lineRule="exact"/>
        <w:ind w:right="0"/>
        <w:jc w:val="left"/>
      </w:pPr>
      <w:r>
        <w:rPr/>
        <w:t>⑤因发行方发生重大财务困难，导致金融资产无法在活跃市场继续交易；</w:t>
      </w:r>
    </w:p>
    <w:p>
      <w:pPr>
        <w:pStyle w:val="BodyText"/>
        <w:spacing w:line="240" w:lineRule="auto"/>
        <w:ind w:right="0"/>
        <w:jc w:val="left"/>
      </w:pPr>
      <w:r>
        <w:rPr>
          <w:spacing w:val="-2"/>
        </w:rPr>
        <w:t>⑥无法辨认一组金融资产中的某项资产的现金流量是否已经减少，但根据公开的数据对其进行总</w:t>
      </w:r>
      <w:r>
        <w:rPr>
          <w:spacing w:val="-26"/>
        </w:rPr>
        <w:t> </w:t>
      </w:r>
      <w:r>
        <w:rPr>
          <w:spacing w:val="-26"/>
        </w:rPr>
      </w:r>
      <w:r>
        <w:rPr/>
        <w:t>体评价后发现，该组金融资产自初始确认以来的预计未来现金流量确已减少且可计量，包括：</w:t>
      </w:r>
    </w:p>
    <w:p>
      <w:pPr>
        <w:pStyle w:val="BodyText"/>
        <w:spacing w:line="271" w:lineRule="exact"/>
        <w:ind w:left="558" w:right="0"/>
        <w:jc w:val="left"/>
      </w:pPr>
      <w:r>
        <w:rPr>
          <w:rFonts w:ascii="宋体" w:hAnsi="宋体" w:cs="宋体" w:eastAsia="宋体" w:hint="default"/>
        </w:rPr>
        <w:t>-</w:t>
      </w:r>
      <w:r>
        <w:rPr>
          <w:rFonts w:ascii="宋体" w:hAnsi="宋体" w:cs="宋体" w:eastAsia="宋体" w:hint="default"/>
          <w:spacing w:val="-1"/>
        </w:rPr>
        <w:t> </w:t>
      </w:r>
      <w:r>
        <w:rPr/>
        <w:t>该组金融资产的债务人支付能力逐步恶化；</w:t>
      </w:r>
    </w:p>
    <w:p>
      <w:pPr>
        <w:pStyle w:val="BodyText"/>
        <w:spacing w:line="272" w:lineRule="exact"/>
        <w:ind w:left="558" w:right="0"/>
        <w:jc w:val="left"/>
      </w:pPr>
      <w:r>
        <w:rPr>
          <w:rFonts w:ascii="宋体" w:hAnsi="宋体" w:cs="宋体" w:eastAsia="宋体" w:hint="default"/>
        </w:rPr>
        <w:t>-</w:t>
      </w:r>
      <w:r>
        <w:rPr>
          <w:rFonts w:ascii="宋体" w:hAnsi="宋体" w:cs="宋体" w:eastAsia="宋体" w:hint="default"/>
          <w:spacing w:val="-5"/>
        </w:rPr>
        <w:t> </w:t>
      </w:r>
      <w:r>
        <w:rPr/>
        <w:t>债务人所在国家或地区经济出现了可能导致该组金融资产无法支付的状况；</w:t>
      </w:r>
    </w:p>
    <w:p>
      <w:pPr>
        <w:pStyle w:val="BodyText"/>
        <w:spacing w:line="240" w:lineRule="auto"/>
        <w:ind w:right="0"/>
        <w:jc w:val="left"/>
      </w:pPr>
      <w:r>
        <w:rPr>
          <w:spacing w:val="-2"/>
        </w:rPr>
        <w:t>⑦债务人经营所处的技术、市场、经济或法律环境等发生重大不利变化，使权益工具投资人可能</w:t>
      </w:r>
      <w:r>
        <w:rPr>
          <w:spacing w:val="-26"/>
        </w:rPr>
        <w:t> </w:t>
      </w:r>
      <w:r>
        <w:rPr>
          <w:spacing w:val="-26"/>
        </w:rPr>
      </w:r>
      <w:r>
        <w:rPr/>
        <w:t>无法收回投资成本；</w:t>
      </w:r>
    </w:p>
    <w:p>
      <w:pPr>
        <w:pStyle w:val="BodyText"/>
        <w:spacing w:line="237" w:lineRule="auto"/>
        <w:ind w:right="0"/>
        <w:jc w:val="left"/>
      </w:pPr>
      <w:r>
        <w:rPr>
          <w:spacing w:val="-2"/>
        </w:rPr>
        <w:t>⑧权益工具投资的公允价值发生严重或非暂时性下跌，如权益工具投资于资产负债表日的公允价</w:t>
      </w:r>
      <w:r>
        <w:rPr>
          <w:spacing w:val="-26"/>
        </w:rPr>
        <w:t> </w:t>
      </w:r>
      <w:r>
        <w:rPr>
          <w:spacing w:val="-26"/>
        </w:rPr>
      </w:r>
      <w:r>
        <w:rPr/>
        <w:t>值低于其初始投资成本超过</w:t>
      </w:r>
      <w:r>
        <w:rPr>
          <w:spacing w:val="-53"/>
        </w:rPr>
        <w:t> </w:t>
      </w:r>
      <w:r>
        <w:rPr>
          <w:rFonts w:ascii="宋体" w:hAnsi="宋体" w:cs="宋体" w:eastAsia="宋体" w:hint="default"/>
        </w:rPr>
        <w:t>50%</w:t>
      </w:r>
      <w:r>
        <w:rPr/>
        <w:t>（含</w:t>
      </w:r>
      <w:r>
        <w:rPr>
          <w:spacing w:val="-55"/>
        </w:rPr>
        <w:t> </w:t>
      </w:r>
      <w:r>
        <w:rPr>
          <w:rFonts w:ascii="宋体" w:hAnsi="宋体" w:cs="宋体" w:eastAsia="宋体" w:hint="default"/>
        </w:rPr>
        <w:t>50%</w:t>
      </w:r>
      <w:r>
        <w:rPr/>
        <w:t>）或低于其初始投资成本持续时间超过</w:t>
      </w:r>
      <w:r>
        <w:rPr>
          <w:spacing w:val="-52"/>
        </w:rPr>
        <w:t> </w:t>
      </w:r>
      <w:r>
        <w:rPr>
          <w:rFonts w:ascii="宋体" w:hAnsi="宋体" w:cs="宋体" w:eastAsia="宋体" w:hint="default"/>
        </w:rPr>
        <w:t>12</w:t>
      </w:r>
      <w:r>
        <w:rPr>
          <w:rFonts w:ascii="宋体" w:hAnsi="宋体" w:cs="宋体" w:eastAsia="宋体" w:hint="default"/>
          <w:spacing w:val="-55"/>
        </w:rPr>
        <w:t> </w:t>
      </w:r>
      <w:r>
        <w:rPr/>
        <w:t>个月（含</w:t>
      </w:r>
      <w:r>
        <w:rPr>
          <w:spacing w:val="-55"/>
        </w:rPr>
        <w:t> </w:t>
      </w:r>
      <w:r>
        <w:rPr>
          <w:rFonts w:ascii="宋体" w:hAnsi="宋体" w:cs="宋体" w:eastAsia="宋体" w:hint="default"/>
        </w:rPr>
        <w:t>12</w:t>
      </w:r>
      <w:r>
        <w:rPr>
          <w:rFonts w:ascii="宋体" w:hAnsi="宋体" w:cs="宋体" w:eastAsia="宋体" w:hint="default"/>
          <w:w w:val="100"/>
        </w:rPr>
        <w:t> </w:t>
      </w:r>
      <w:r>
        <w:rPr/>
        <w:t>个月）。</w:t>
      </w:r>
    </w:p>
    <w:p>
      <w:pPr>
        <w:pStyle w:val="BodyText"/>
        <w:spacing w:line="273" w:lineRule="exact"/>
        <w:ind w:right="0"/>
        <w:jc w:val="left"/>
      </w:pPr>
      <w:r>
        <w:rPr/>
        <w:t>低于其初始投资成本持续时间超过</w:t>
      </w:r>
      <w:r>
        <w:rPr>
          <w:spacing w:val="-54"/>
        </w:rPr>
        <w:t> </w:t>
      </w:r>
      <w:r>
        <w:rPr>
          <w:rFonts w:ascii="宋体" w:hAnsi="宋体" w:cs="宋体" w:eastAsia="宋体" w:hint="default"/>
        </w:rPr>
        <w:t>12</w:t>
      </w:r>
      <w:r>
        <w:rPr>
          <w:rFonts w:ascii="宋体" w:hAnsi="宋体" w:cs="宋体" w:eastAsia="宋体" w:hint="default"/>
          <w:spacing w:val="-54"/>
        </w:rPr>
        <w:t> </w:t>
      </w:r>
      <w:r>
        <w:rPr/>
        <w:t>个月（含</w:t>
      </w:r>
      <w:r>
        <w:rPr>
          <w:spacing w:val="-54"/>
        </w:rPr>
        <w:t> </w:t>
      </w:r>
      <w:r>
        <w:rPr>
          <w:rFonts w:ascii="宋体" w:hAnsi="宋体" w:cs="宋体" w:eastAsia="宋体" w:hint="default"/>
        </w:rPr>
        <w:t>12</w:t>
      </w:r>
      <w:r>
        <w:rPr>
          <w:rFonts w:ascii="宋体" w:hAnsi="宋体" w:cs="宋体" w:eastAsia="宋体" w:hint="default"/>
          <w:spacing w:val="-56"/>
        </w:rPr>
        <w:t> </w:t>
      </w:r>
      <w:r>
        <w:rPr/>
        <w:t>个月）是指，权益工具投资公允价值月度均值</w:t>
      </w:r>
    </w:p>
    <w:p>
      <w:pPr>
        <w:pStyle w:val="BodyText"/>
        <w:spacing w:line="272" w:lineRule="exact"/>
        <w:ind w:right="0"/>
        <w:jc w:val="left"/>
      </w:pPr>
      <w:r>
        <w:rPr/>
        <w:t>连续</w:t>
      </w:r>
      <w:r>
        <w:rPr>
          <w:spacing w:val="-55"/>
        </w:rPr>
        <w:t> </w:t>
      </w:r>
      <w:r>
        <w:rPr>
          <w:rFonts w:ascii="宋体" w:hAnsi="宋体" w:cs="宋体" w:eastAsia="宋体" w:hint="default"/>
        </w:rPr>
        <w:t>12</w:t>
      </w:r>
      <w:r>
        <w:rPr>
          <w:rFonts w:ascii="宋体" w:hAnsi="宋体" w:cs="宋体" w:eastAsia="宋体" w:hint="default"/>
          <w:spacing w:val="-55"/>
        </w:rPr>
        <w:t> </w:t>
      </w:r>
      <w:r>
        <w:rPr/>
        <w:t>个月均低于其初始投资成本</w:t>
      </w:r>
    </w:p>
    <w:p>
      <w:pPr>
        <w:pStyle w:val="BodyText"/>
        <w:spacing w:line="272" w:lineRule="exact" w:before="27"/>
        <w:ind w:right="4869"/>
        <w:jc w:val="left"/>
      </w:pPr>
      <w:r>
        <w:rPr>
          <w:spacing w:val="-2"/>
        </w:rPr>
        <w:t>⑨其他表明金融资产发生减值的客观证据。</w:t>
      </w:r>
      <w:r>
        <w:rPr>
          <w:spacing w:val="-70"/>
        </w:rPr>
        <w:t> </w:t>
      </w:r>
      <w:r>
        <w:rPr>
          <w:spacing w:val="-70"/>
        </w:rPr>
      </w:r>
      <w:r>
        <w:rPr/>
        <w:t>以摊余成本计量的金融资产</w:t>
      </w:r>
    </w:p>
    <w:p>
      <w:pPr>
        <w:pStyle w:val="BodyText"/>
        <w:spacing w:line="246" w:lineRule="exact"/>
        <w:ind w:right="0"/>
        <w:jc w:val="left"/>
      </w:pPr>
      <w:r>
        <w:rPr/>
        <w:t>如果有客观证据表明该金融资产发生减值，则将该金融资产的账面价值减记至预计未来现金流量</w:t>
      </w:r>
    </w:p>
    <w:p>
      <w:pPr>
        <w:pStyle w:val="BodyText"/>
        <w:spacing w:line="237" w:lineRule="auto" w:before="2"/>
        <w:ind w:right="124"/>
        <w:jc w:val="left"/>
      </w:pPr>
      <w:r>
        <w:rPr>
          <w:spacing w:val="-2"/>
        </w:rPr>
        <w:t>（不包括尚未发生的未来信用损失）现值，减记金额计入当期损益。预计未来现金流量现值，按</w:t>
      </w:r>
      <w:r>
        <w:rPr>
          <w:spacing w:val="-25"/>
        </w:rPr>
        <w:t> </w:t>
      </w:r>
      <w:r>
        <w:rPr>
          <w:spacing w:val="-25"/>
        </w:rPr>
      </w:r>
      <w:r>
        <w:rPr/>
        <w:t>照该金融资产原实际利率折现确定，并考虑相关担保物的价值。</w:t>
      </w:r>
      <w:r>
        <w:rPr>
          <w:w w:val="100"/>
        </w:rPr>
        <w:t> </w:t>
      </w:r>
      <w:r>
        <w:rPr>
          <w:spacing w:val="-6"/>
          <w:w w:val="100"/>
        </w:rPr>
        <w:t>对单项金额重大的金融资产单独进行减值测试，如有客观证据表明其已发生减值，确认减值损失，</w:t>
      </w:r>
      <w:r>
        <w:rPr>
          <w:w w:val="100"/>
        </w:rPr>
        <w:t> </w:t>
      </w:r>
      <w:r>
        <w:rPr>
          <w:spacing w:val="-2"/>
        </w:rPr>
        <w:t>计入当期损益。对单项金额不重大的金融资产，单独进行减值测试。单独测试未发生减值的金融</w:t>
      </w:r>
      <w:r>
        <w:rPr>
          <w:spacing w:val="-25"/>
        </w:rPr>
        <w:t> </w:t>
      </w:r>
      <w:r>
        <w:rPr>
          <w:spacing w:val="-25"/>
        </w:rPr>
      </w:r>
      <w:r>
        <w:rPr>
          <w:spacing w:val="-2"/>
        </w:rPr>
        <w:t>资产（包括单项金额重大和不重大的金融资产），包括在具有类似信用风险特征的金融资产组合</w:t>
      </w:r>
      <w:r>
        <w:rPr>
          <w:spacing w:val="-25"/>
        </w:rPr>
        <w:t> </w:t>
      </w:r>
      <w:r>
        <w:rPr>
          <w:spacing w:val="-25"/>
        </w:rPr>
      </w:r>
      <w:r>
        <w:rPr>
          <w:spacing w:val="-2"/>
        </w:rPr>
        <w:t>中再进行减值测试。已单项确认减值损失的金融资产，不包括在具有类似信用风险特征的金融资</w:t>
      </w:r>
      <w:r>
        <w:rPr>
          <w:spacing w:val="-25"/>
        </w:rPr>
        <w:t> </w:t>
      </w:r>
      <w:r>
        <w:rPr>
          <w:spacing w:val="-25"/>
        </w:rPr>
      </w:r>
      <w:r>
        <w:rPr/>
        <w:t>产组合中进行减值测试。</w:t>
      </w:r>
    </w:p>
    <w:p>
      <w:pPr>
        <w:spacing w:after="0" w:line="237"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37" w:lineRule="auto" w:before="38"/>
        <w:ind w:left="218" w:right="0"/>
        <w:jc w:val="left"/>
      </w:pPr>
      <w:r>
        <w:rPr>
          <w:spacing w:val="-4"/>
          <w:w w:val="100"/>
        </w:rPr>
        <w:t>本集团对以摊余成本计量的金融资产确认减值损失后，如有客观证据表明该金融资产价值已恢复，</w:t>
      </w:r>
      <w:r>
        <w:rPr>
          <w:spacing w:val="-86"/>
          <w:w w:val="100"/>
        </w:rPr>
        <w:t> </w:t>
      </w:r>
      <w:r>
        <w:rPr>
          <w:spacing w:val="-86"/>
          <w:w w:val="100"/>
        </w:rPr>
      </w:r>
      <w:r>
        <w:rPr/>
        <w:t>且客观上与确认该损失后发生的事项有关，原确认的减值损失予以转回，计入当期损益。但是，</w:t>
      </w:r>
      <w:r>
        <w:rPr>
          <w:w w:val="100"/>
        </w:rPr>
        <w:t> </w:t>
      </w:r>
      <w:r>
        <w:rPr/>
        <w:t>该转回后的账面价值不超过假定不计提减值准备情况下该金融资产在转回日的摊余成本。</w:t>
      </w:r>
      <w:r>
        <w:rPr>
          <w:w w:val="100"/>
        </w:rPr>
        <w:t> </w:t>
      </w:r>
      <w:r>
        <w:rPr/>
        <w:t>可供出售金融资产</w:t>
      </w:r>
      <w:r>
        <w:rPr>
          <w:w w:val="100"/>
        </w:rPr>
        <w:t> </w:t>
      </w:r>
      <w:r>
        <w:rPr/>
        <w:t>如果有客观证据表明该金融资产发生减值，原直接计入其他综合收益的因公允价值下降形成的累</w:t>
      </w:r>
      <w:r>
        <w:rPr>
          <w:w w:val="100"/>
        </w:rPr>
        <w:t> </w:t>
      </w:r>
      <w:r>
        <w:rPr/>
        <w:t>计损失，予以转出，计入当期损益。该转出的累计损失，为可供出售金融资产的初始取得成本扣</w:t>
      </w:r>
      <w:r>
        <w:rPr>
          <w:w w:val="100"/>
        </w:rPr>
        <w:t> </w:t>
      </w:r>
      <w:r>
        <w:rPr/>
        <w:t>除已收回本金和已摊销金额、当前公允价值和原已计入损益的减值损失后的余额。</w:t>
      </w:r>
      <w:r>
        <w:rPr>
          <w:w w:val="100"/>
        </w:rPr>
        <w:t> </w:t>
      </w:r>
      <w:r>
        <w:rPr/>
        <w:t>对于已确认减值损失的可供出售债务工具，在随后的会计期间公允价值已上升且客观上与确认原</w:t>
      </w:r>
      <w:r>
        <w:rPr>
          <w:w w:val="100"/>
        </w:rPr>
        <w:t> </w:t>
      </w:r>
      <w:r>
        <w:rPr/>
        <w:t>减值损失确认后发生的事项有关的，原确认的减值损失予以转回，计入当期损益。可供出售权益</w:t>
      </w:r>
      <w:r>
        <w:rPr>
          <w:w w:val="100"/>
        </w:rPr>
        <w:t> </w:t>
      </w:r>
      <w:r>
        <w:rPr/>
        <w:t>工具投资发生的减值损失，不通过损益转回。</w:t>
      </w:r>
    </w:p>
    <w:p>
      <w:pPr>
        <w:pStyle w:val="BodyText"/>
        <w:spacing w:line="237" w:lineRule="auto"/>
        <w:ind w:left="218" w:right="0"/>
        <w:jc w:val="left"/>
      </w:pPr>
      <w:r>
        <w:rPr/>
        <w:t>以成本计量的金融资产</w:t>
      </w:r>
      <w:r>
        <w:rPr>
          <w:w w:val="100"/>
        </w:rPr>
        <w:t> </w:t>
      </w:r>
      <w:r>
        <w:rPr>
          <w:spacing w:val="-2"/>
        </w:rPr>
        <w:t>在活跃市场中没有报价且其公允价值不能可靠计量的权益工具投资，或与该权益工具挂钩并须通</w:t>
      </w:r>
      <w:r>
        <w:rPr>
          <w:spacing w:val="-25"/>
        </w:rPr>
        <w:t> </w:t>
      </w:r>
      <w:r>
        <w:rPr>
          <w:spacing w:val="-25"/>
        </w:rPr>
      </w:r>
      <w:r>
        <w:rPr>
          <w:spacing w:val="-2"/>
        </w:rPr>
        <w:t>过交付该权益工具结算的衍生金融资产发生减值时，将该金融资产的账面价值，与按照类似金融</w:t>
      </w:r>
      <w:r>
        <w:rPr>
          <w:spacing w:val="-25"/>
        </w:rPr>
        <w:t> </w:t>
      </w:r>
      <w:r>
        <w:rPr>
          <w:spacing w:val="-25"/>
        </w:rPr>
      </w:r>
      <w:r>
        <w:rPr>
          <w:spacing w:val="-2"/>
        </w:rPr>
        <w:t>资产当时市场收益率对未来现金流量折现确定的现值之间的差额，确认为减值损失，计入当期损</w:t>
      </w:r>
      <w:r>
        <w:rPr>
          <w:spacing w:val="-25"/>
        </w:rPr>
        <w:t> </w:t>
      </w:r>
      <w:r>
        <w:rPr>
          <w:spacing w:val="-25"/>
        </w:rPr>
      </w:r>
      <w:r>
        <w:rPr/>
        <w:t>益。发生的减值损失一经确认，不得转回。</w:t>
      </w:r>
    </w:p>
    <w:p>
      <w:pPr>
        <w:pStyle w:val="BodyText"/>
        <w:spacing w:line="237" w:lineRule="auto" w:before="1"/>
        <w:ind w:left="218" w:right="0"/>
        <w:jc w:val="left"/>
      </w:pPr>
      <w:r>
        <w:rPr/>
        <w:t>（</w:t>
      </w:r>
      <w:r>
        <w:rPr>
          <w:rFonts w:ascii="宋体" w:hAnsi="宋体" w:cs="宋体" w:eastAsia="宋体" w:hint="default"/>
        </w:rPr>
        <w:t>6</w:t>
      </w:r>
      <w:r>
        <w:rPr/>
        <w:t>）金融资产转移</w:t>
      </w:r>
      <w:r>
        <w:rPr>
          <w:w w:val="100"/>
        </w:rPr>
        <w:t> </w:t>
      </w:r>
      <w:r>
        <w:rPr/>
        <w:t>金融资产转移，是指将金融资产让与或交付给该金融资产发行方以外的另一方（转入方）。</w:t>
      </w:r>
      <w:r>
        <w:rPr>
          <w:w w:val="100"/>
        </w:rPr>
        <w:t> </w:t>
      </w:r>
      <w:r>
        <w:rPr>
          <w:spacing w:val="-2"/>
        </w:rPr>
        <w:t>本集团已将金融资产所有权上几乎所有的风险和报酬转移给转入方的，终止确认该金融资产；保</w:t>
      </w:r>
      <w:r>
        <w:rPr>
          <w:spacing w:val="-25"/>
        </w:rPr>
        <w:t> </w:t>
      </w:r>
      <w:r>
        <w:rPr>
          <w:spacing w:val="-25"/>
        </w:rPr>
      </w:r>
      <w:r>
        <w:rPr/>
        <w:t>留了金融资产所有权上几乎所有的风险和报酬的，不终止确认该金融资产。</w:t>
      </w:r>
      <w:r>
        <w:rPr>
          <w:w w:val="100"/>
        </w:rPr>
        <w:t> </w:t>
      </w:r>
      <w:r>
        <w:rPr>
          <w:spacing w:val="-2"/>
        </w:rPr>
        <w:t>本集团既没有转移也没有保留金融资产所有权上几乎所有的风险和报酬的，分别下列情况处理：</w:t>
      </w:r>
      <w:r>
        <w:rPr>
          <w:spacing w:val="-25"/>
        </w:rPr>
        <w:t> </w:t>
      </w:r>
      <w:r>
        <w:rPr>
          <w:spacing w:val="-25"/>
        </w:rPr>
      </w:r>
      <w:r>
        <w:rPr>
          <w:spacing w:val="-2"/>
        </w:rPr>
        <w:t>放弃了对该金融资产控制的，终止确认该金融资产并确认产生的资产和负债；未放弃对该金融资</w:t>
      </w:r>
      <w:r>
        <w:rPr>
          <w:spacing w:val="-25"/>
        </w:rPr>
        <w:t> </w:t>
      </w:r>
      <w:r>
        <w:rPr>
          <w:spacing w:val="-25"/>
        </w:rPr>
      </w:r>
      <w:r>
        <w:rPr/>
        <w:t>产控制的，按照其继续涉入所转移金融资产的程度确认有关金融资产，并相应确认有关负债。</w:t>
      </w:r>
    </w:p>
    <w:p>
      <w:pPr>
        <w:pStyle w:val="BodyText"/>
        <w:spacing w:line="237" w:lineRule="auto" w:before="1"/>
        <w:ind w:left="218" w:right="0"/>
        <w:jc w:val="left"/>
      </w:pPr>
      <w:r>
        <w:rPr/>
        <w:t>（</w:t>
      </w:r>
      <w:r>
        <w:rPr>
          <w:rFonts w:ascii="宋体" w:hAnsi="宋体" w:cs="宋体" w:eastAsia="宋体" w:hint="default"/>
        </w:rPr>
        <w:t>7</w:t>
      </w:r>
      <w:r>
        <w:rPr/>
        <w:t>）金融资产和金融负债的抵销</w:t>
      </w:r>
      <w:r>
        <w:rPr>
          <w:w w:val="100"/>
        </w:rPr>
        <w:t> </w:t>
      </w:r>
      <w:r>
        <w:rPr>
          <w:spacing w:val="-2"/>
        </w:rPr>
        <w:t>当本集团具有抵销已确认金融资产和金融负债的法定权利，且目前可执行该种法定权利，同时本</w:t>
      </w:r>
      <w:r>
        <w:rPr>
          <w:spacing w:val="-25"/>
        </w:rPr>
        <w:t> </w:t>
      </w:r>
      <w:r>
        <w:rPr>
          <w:spacing w:val="-25"/>
        </w:rPr>
      </w:r>
      <w:r>
        <w:rPr>
          <w:spacing w:val="-2"/>
        </w:rPr>
        <w:t>集团计划以净额结算或同时变现该金融资产和清偿该金融负债时，金融资产和金融负债以相互抵</w:t>
      </w:r>
      <w:r>
        <w:rPr>
          <w:spacing w:val="-25"/>
        </w:rPr>
        <w:t> </w:t>
      </w:r>
      <w:r>
        <w:rPr>
          <w:spacing w:val="-25"/>
        </w:rPr>
      </w:r>
      <w:r>
        <w:rPr>
          <w:spacing w:val="-2"/>
        </w:rPr>
        <w:t>销后的金额在资产负债表内列示。除此以外，金融资产和金融负债在资产负债表内分别列示，不</w:t>
      </w:r>
      <w:r>
        <w:rPr>
          <w:spacing w:val="-25"/>
        </w:rPr>
        <w:t> </w:t>
      </w:r>
      <w:r>
        <w:rPr>
          <w:spacing w:val="-25"/>
        </w:rPr>
      </w:r>
      <w:r>
        <w:rPr/>
        <w:t>予相互抵销。</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2"/>
        <w:spacing w:line="266" w:lineRule="auto" w:before="0"/>
        <w:ind w:right="4408"/>
        <w:jc w:val="left"/>
        <w:rPr>
          <w:b w:val="0"/>
          <w:bCs w:val="0"/>
        </w:rPr>
      </w:pPr>
      <w:r>
        <w:rPr>
          <w:rFonts w:ascii="Calibri" w:hAnsi="Calibri" w:cs="Calibri" w:eastAsia="Calibri" w:hint="default"/>
        </w:rPr>
        <w:t>11.</w:t>
      </w:r>
      <w:r>
        <w:rPr>
          <w:rFonts w:ascii="Calibri" w:hAnsi="Calibri" w:cs="Calibri" w:eastAsia="Calibri" w:hint="default"/>
          <w:spacing w:val="1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spacing w:line="240" w:lineRule="auto" w:before="2"/>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55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期末余额达到</w:t>
            </w:r>
            <w:r>
              <w:rPr>
                <w:rFonts w:ascii="宋体" w:hAnsi="宋体" w:cs="宋体" w:eastAsia="宋体" w:hint="default"/>
                <w:spacing w:val="-53"/>
                <w:sz w:val="21"/>
                <w:szCs w:val="21"/>
              </w:rPr>
              <w:t> </w:t>
            </w:r>
            <w:r>
              <w:rPr>
                <w:rFonts w:ascii="宋体" w:hAnsi="宋体" w:cs="宋体" w:eastAsia="宋体" w:hint="default"/>
                <w:sz w:val="21"/>
                <w:szCs w:val="21"/>
              </w:rPr>
              <w:t>500</w:t>
            </w:r>
            <w:r>
              <w:rPr>
                <w:rFonts w:ascii="宋体" w:hAnsi="宋体" w:cs="宋体" w:eastAsia="宋体" w:hint="default"/>
                <w:spacing w:val="-53"/>
                <w:sz w:val="21"/>
                <w:szCs w:val="21"/>
              </w:rPr>
              <w:t> </w:t>
            </w:r>
            <w:r>
              <w:rPr>
                <w:rFonts w:ascii="宋体" w:hAnsi="宋体" w:cs="宋体" w:eastAsia="宋体" w:hint="default"/>
                <w:sz w:val="21"/>
                <w:szCs w:val="21"/>
              </w:rPr>
              <w:t>万元（含</w:t>
            </w:r>
            <w:r>
              <w:rPr>
                <w:rFonts w:ascii="宋体" w:hAnsi="宋体" w:cs="宋体" w:eastAsia="宋体" w:hint="default"/>
                <w:spacing w:val="-52"/>
                <w:sz w:val="21"/>
                <w:szCs w:val="21"/>
              </w:rPr>
              <w:t> </w:t>
            </w:r>
            <w:r>
              <w:rPr>
                <w:rFonts w:ascii="宋体" w:hAnsi="宋体" w:cs="宋体" w:eastAsia="宋体" w:hint="default"/>
                <w:sz w:val="21"/>
                <w:szCs w:val="21"/>
              </w:rPr>
              <w:t>500</w:t>
            </w:r>
            <w:r>
              <w:rPr>
                <w:rFonts w:ascii="宋体" w:hAnsi="宋体" w:cs="宋体" w:eastAsia="宋体" w:hint="default"/>
                <w:spacing w:val="-55"/>
                <w:sz w:val="21"/>
                <w:szCs w:val="21"/>
              </w:rPr>
              <w:t> </w:t>
            </w:r>
            <w:r>
              <w:rPr>
                <w:rFonts w:ascii="宋体" w:hAnsi="宋体" w:cs="宋体" w:eastAsia="宋体" w:hint="default"/>
                <w:sz w:val="21"/>
                <w:szCs w:val="21"/>
              </w:rPr>
              <w:t>万元）以上的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应收款项为单项金额重大的应收款项。</w:t>
            </w:r>
          </w:p>
        </w:tc>
      </w:tr>
      <w:tr>
        <w:trPr>
          <w:trHeight w:val="1647"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对于单项金额重大的应收款项单独进行减值测</w:t>
            </w:r>
          </w:p>
          <w:p>
            <w:pPr>
              <w:pStyle w:val="TableParagraph"/>
              <w:spacing w:line="237" w:lineRule="auto" w:before="2"/>
              <w:ind w:left="103" w:right="146"/>
              <w:jc w:val="left"/>
              <w:rPr>
                <w:rFonts w:ascii="宋体" w:hAnsi="宋体" w:cs="宋体" w:eastAsia="宋体" w:hint="default"/>
                <w:sz w:val="21"/>
                <w:szCs w:val="21"/>
              </w:rPr>
            </w:pPr>
            <w:r>
              <w:rPr>
                <w:rFonts w:ascii="宋体" w:hAnsi="宋体" w:cs="宋体" w:eastAsia="宋体" w:hint="default"/>
                <w:spacing w:val="-2"/>
                <w:sz w:val="21"/>
                <w:szCs w:val="21"/>
              </w:rPr>
              <w:t>试，有客观证据表明发生了减值，根据其未来</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现金流量现值低于其账面价值的差额计提坏账</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准备。</w:t>
            </w:r>
            <w:r>
              <w:rPr>
                <w:rFonts w:ascii="宋体" w:hAnsi="宋体" w:cs="宋体" w:eastAsia="宋体" w:hint="default"/>
                <w:spacing w:val="-102"/>
                <w:sz w:val="21"/>
                <w:szCs w:val="21"/>
              </w:rPr>
              <w:t> </w:t>
            </w:r>
            <w:r>
              <w:rPr>
                <w:rFonts w:ascii="宋体" w:hAnsi="宋体" w:cs="宋体" w:eastAsia="宋体" w:hint="default"/>
                <w:spacing w:val="-2"/>
                <w:sz w:val="21"/>
                <w:szCs w:val="21"/>
              </w:rPr>
              <w:t>单项金额重大经单独测试未发生减值的应收款</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项，再按组合计提坏账准备。</w:t>
            </w:r>
          </w:p>
        </w:tc>
      </w:tr>
    </w:tbl>
    <w:p>
      <w:pPr>
        <w:spacing w:line="240" w:lineRule="auto" w:before="12"/>
        <w:rPr>
          <w:rFonts w:ascii="宋体" w:hAnsi="宋体" w:cs="宋体" w:eastAsia="宋体" w:hint="default"/>
          <w:b/>
          <w:bCs/>
          <w:sz w:val="19"/>
          <w:szCs w:val="19"/>
        </w:rPr>
      </w:pPr>
    </w:p>
    <w:p>
      <w:pPr>
        <w:pStyle w:val="Heading2"/>
        <w:spacing w:line="240" w:lineRule="auto"/>
        <w:ind w:right="0"/>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不计提坏账</w:t>
            </w:r>
          </w:p>
        </w:tc>
      </w:tr>
    </w:tbl>
    <w:p>
      <w:pPr>
        <w:spacing w:line="240" w:lineRule="auto" w:before="5"/>
        <w:rPr>
          <w:rFonts w:ascii="宋体" w:hAnsi="宋体" w:cs="宋体" w:eastAsia="宋体" w:hint="default"/>
          <w:b/>
          <w:bCs/>
          <w:sz w:val="15"/>
          <w:szCs w:val="15"/>
        </w:rPr>
      </w:pPr>
    </w:p>
    <w:p>
      <w:pPr>
        <w:pStyle w:val="BodyText"/>
        <w:spacing w:line="274" w:lineRule="exact" w:before="36"/>
        <w:ind w:left="218" w:right="0"/>
        <w:jc w:val="left"/>
      </w:pPr>
      <w:r>
        <w:rPr/>
        <w:t>组合中，采用账龄分析法计提坏账准备的</w:t>
      </w:r>
    </w:p>
    <w:p>
      <w:pPr>
        <w:pStyle w:val="BodyText"/>
        <w:spacing w:line="274" w:lineRule="exact"/>
        <w:ind w:left="218" w:right="0"/>
        <w:jc w:val="left"/>
      </w:pPr>
      <w:r>
        <w:rPr/>
        <w:t>√适用</w:t>
      </w:r>
      <w:r>
        <w:rPr>
          <w:spacing w:val="-1"/>
        </w:rPr>
        <w:t> </w:t>
      </w:r>
      <w:r>
        <w:rPr/>
        <w:t>□不适用</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z w:val="21"/>
              </w:rPr>
              <w:t>5.00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bl>
    <w:p>
      <w:pPr>
        <w:spacing w:line="240" w:lineRule="auto" w:before="5"/>
        <w:rPr>
          <w:rFonts w:ascii="宋体" w:hAnsi="宋体" w:cs="宋体" w:eastAsia="宋体" w:hint="default"/>
          <w:sz w:val="15"/>
          <w:szCs w:val="15"/>
        </w:rPr>
      </w:pPr>
    </w:p>
    <w:p>
      <w:pPr>
        <w:pStyle w:val="BodyText"/>
        <w:spacing w:line="273" w:lineRule="exact" w:before="36"/>
        <w:ind w:left="218" w:right="0"/>
        <w:jc w:val="left"/>
      </w:pPr>
      <w:r>
        <w:rPr/>
        <w:t>组合中，采用余额百分比法计提坏账准备的</w:t>
      </w:r>
    </w:p>
    <w:p>
      <w:pPr>
        <w:pStyle w:val="BodyText"/>
        <w:spacing w:line="240" w:lineRule="auto"/>
        <w:ind w:left="218" w:right="4408"/>
        <w:jc w:val="left"/>
      </w:pPr>
      <w:r>
        <w:rPr/>
        <w:t>□适用</w:t>
      </w:r>
      <w:r>
        <w:rPr>
          <w:spacing w:val="-2"/>
        </w:rPr>
        <w:t> </w:t>
      </w:r>
      <w:r>
        <w:rPr/>
        <w:t>√不适用</w:t>
      </w:r>
      <w:r>
        <w:rPr>
          <w:w w:val="100"/>
        </w:rPr>
        <w:t> </w:t>
      </w:r>
      <w:r>
        <w:rPr>
          <w:spacing w:val="-2"/>
        </w:rPr>
        <w:t>组合中，采用其他方法计提坏账准备的</w:t>
      </w:r>
    </w:p>
    <w:p>
      <w:pPr>
        <w:spacing w:line="290" w:lineRule="auto" w:before="0"/>
        <w:ind w:left="218" w:right="24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单项金额不重大但单独计提坏账准备的应收款项：</w:t>
      </w:r>
      <w:r>
        <w:rPr>
          <w:rFonts w:ascii="宋体" w:hAnsi="宋体" w:cs="宋体" w:eastAsia="宋体" w:hint="default"/>
          <w:spacing w:val="-1"/>
          <w:sz w:val="21"/>
          <w:szCs w:val="21"/>
        </w:rPr>
      </w:r>
    </w:p>
    <w:p>
      <w:pPr>
        <w:spacing w:line="240" w:lineRule="auto" w:before="7"/>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28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涉诉款项、客户信用状况恶化的应收款项</w:t>
            </w:r>
          </w:p>
        </w:tc>
      </w:tr>
      <w:tr>
        <w:trPr>
          <w:trHeight w:val="555"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根据其未来现金流量现值低于其账面价值的差额</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计提坏账准备</w:t>
            </w:r>
          </w:p>
        </w:tc>
      </w:tr>
    </w:tbl>
    <w:p>
      <w:pPr>
        <w:spacing w:line="240" w:lineRule="auto" w:before="2"/>
        <w:rPr>
          <w:rFonts w:ascii="宋体" w:hAnsi="宋体" w:cs="宋体" w:eastAsia="宋体" w:hint="default"/>
          <w:b/>
          <w:bCs/>
          <w:sz w:val="20"/>
          <w:szCs w:val="20"/>
        </w:rPr>
      </w:pPr>
    </w:p>
    <w:p>
      <w:pPr>
        <w:pStyle w:val="Heading2"/>
        <w:spacing w:line="240" w:lineRule="auto"/>
        <w:ind w:right="0"/>
        <w:jc w:val="left"/>
        <w:rPr>
          <w:b w:val="0"/>
          <w:bCs w:val="0"/>
        </w:rPr>
      </w:pPr>
      <w:r>
        <w:rPr>
          <w:rFonts w:ascii="Calibri" w:hAnsi="Calibri" w:cs="Calibri" w:eastAsia="Calibri" w:hint="default"/>
        </w:rPr>
        <w:t>12.  </w:t>
      </w:r>
      <w:r>
        <w:rPr>
          <w:rFonts w:ascii="Calibri" w:hAnsi="Calibri" w:cs="Calibri" w:eastAsia="Calibri" w:hint="default"/>
          <w:spacing w:val="12"/>
        </w:rPr>
        <w:t> </w:t>
      </w:r>
      <w:r>
        <w:rPr/>
        <w:t>存货</w:t>
      </w:r>
      <w:r>
        <w:rPr>
          <w:b w:val="0"/>
          <w:bCs w:val="0"/>
        </w:rPr>
      </w:r>
    </w:p>
    <w:p>
      <w:pPr>
        <w:pStyle w:val="BodyText"/>
        <w:spacing w:line="240" w:lineRule="auto" w:before="29"/>
        <w:ind w:left="218" w:right="4408"/>
        <w:jc w:val="left"/>
      </w:pPr>
      <w:r>
        <w:rPr/>
        <w:t>（</w:t>
      </w:r>
      <w:r>
        <w:rPr>
          <w:rFonts w:ascii="宋体" w:hAnsi="宋体" w:cs="宋体" w:eastAsia="宋体" w:hint="default"/>
        </w:rPr>
        <w:t>1</w:t>
      </w:r>
      <w:r>
        <w:rPr/>
        <w:t>）存货的分类</w:t>
      </w:r>
      <w:r>
        <w:rPr>
          <w:w w:val="100"/>
        </w:rPr>
        <w:t> </w:t>
      </w:r>
      <w:r>
        <w:rPr>
          <w:spacing w:val="-2"/>
        </w:rPr>
        <w:t>本集团存货分为原材料、库存商品等。</w:t>
      </w:r>
    </w:p>
    <w:p>
      <w:pPr>
        <w:pStyle w:val="BodyText"/>
        <w:spacing w:line="237" w:lineRule="auto"/>
        <w:ind w:left="218" w:right="0"/>
        <w:jc w:val="left"/>
      </w:pPr>
      <w:r>
        <w:rPr/>
        <w:t>（</w:t>
      </w:r>
      <w:r>
        <w:rPr>
          <w:rFonts w:ascii="宋体" w:hAnsi="宋体" w:cs="宋体" w:eastAsia="宋体" w:hint="default"/>
        </w:rPr>
        <w:t>2</w:t>
      </w:r>
      <w:r>
        <w:rPr/>
        <w:t>）发出存货的计价方法</w:t>
      </w:r>
      <w:r>
        <w:rPr>
          <w:w w:val="100"/>
        </w:rPr>
        <w:t> </w:t>
      </w:r>
      <w:r>
        <w:rPr>
          <w:spacing w:val="-2"/>
        </w:rPr>
        <w:t>本集团存货取得时按实际成本计价。原材料、库存商品等发出时采用加权平均法、个别计价法计</w:t>
      </w:r>
      <w:r>
        <w:rPr>
          <w:spacing w:val="-25"/>
        </w:rPr>
        <w:t> </w:t>
      </w:r>
      <w:r>
        <w:rPr>
          <w:spacing w:val="-25"/>
        </w:rPr>
      </w:r>
      <w:r>
        <w:rPr/>
        <w:t>价。</w:t>
      </w:r>
    </w:p>
    <w:p>
      <w:pPr>
        <w:pStyle w:val="BodyText"/>
        <w:spacing w:line="237" w:lineRule="auto" w:before="1"/>
        <w:ind w:left="218" w:right="0"/>
        <w:jc w:val="left"/>
      </w:pPr>
      <w:r>
        <w:rPr/>
        <w:t>（</w:t>
      </w:r>
      <w:r>
        <w:rPr>
          <w:rFonts w:ascii="宋体" w:hAnsi="宋体" w:cs="宋体" w:eastAsia="宋体" w:hint="default"/>
        </w:rPr>
        <w:t>3</w:t>
      </w:r>
      <w:r>
        <w:rPr/>
        <w:t>）存货可变现净值的确定依据及存货跌价准备的计提方法</w:t>
      </w:r>
      <w:r>
        <w:rPr>
          <w:w w:val="100"/>
        </w:rPr>
        <w:t> </w:t>
      </w:r>
      <w:r>
        <w:rPr>
          <w:spacing w:val="-2"/>
        </w:rPr>
        <w:t>存货可变现净值是按存货的估计售价减去至完工时估计将要发生的成本、估计的销售费用以及相</w:t>
      </w:r>
      <w:r>
        <w:rPr>
          <w:spacing w:val="-25"/>
        </w:rPr>
        <w:t> </w:t>
      </w:r>
      <w:r>
        <w:rPr>
          <w:spacing w:val="-25"/>
        </w:rPr>
      </w:r>
      <w:r>
        <w:rPr>
          <w:spacing w:val="-2"/>
        </w:rPr>
        <w:t>关税费后的金额。在确定存货的可变现净值时，以取得的确凿证据为基础，同时考虑持有存货的</w:t>
      </w:r>
      <w:r>
        <w:rPr>
          <w:spacing w:val="-25"/>
        </w:rPr>
        <w:t> </w:t>
      </w:r>
      <w:r>
        <w:rPr>
          <w:spacing w:val="-25"/>
        </w:rPr>
      </w:r>
      <w:r>
        <w:rPr/>
        <w:t>目的以及资产负债表日后事项的影响。</w:t>
      </w:r>
      <w:r>
        <w:rPr>
          <w:w w:val="100"/>
        </w:rPr>
        <w:t> </w:t>
      </w:r>
      <w:r>
        <w:rPr>
          <w:spacing w:val="-2"/>
        </w:rPr>
        <w:t>资产负债表日，存货成本高于其可变现净值的，计提存货跌价准备。本集团通常按照单个存货项</w:t>
      </w:r>
      <w:r>
        <w:rPr>
          <w:spacing w:val="-25"/>
        </w:rPr>
        <w:t> </w:t>
      </w:r>
      <w:r>
        <w:rPr>
          <w:spacing w:val="-25"/>
        </w:rPr>
      </w:r>
      <w:r>
        <w:rPr>
          <w:spacing w:val="-2"/>
        </w:rPr>
        <w:t>目计提存货跌价准备，资产负债表日，以前减记存货价值的影响因素已经消失的，存货跌价准备</w:t>
      </w:r>
      <w:r>
        <w:rPr>
          <w:spacing w:val="-25"/>
        </w:rPr>
        <w:t> </w:t>
      </w:r>
      <w:r>
        <w:rPr>
          <w:spacing w:val="-25"/>
        </w:rPr>
      </w:r>
      <w:r>
        <w:rPr/>
        <w:t>在原已计提的金额内转回。</w:t>
      </w:r>
    </w:p>
    <w:p>
      <w:pPr>
        <w:pStyle w:val="BodyText"/>
        <w:spacing w:line="272" w:lineRule="exact" w:before="26"/>
        <w:ind w:left="218" w:right="4408"/>
        <w:jc w:val="left"/>
      </w:pPr>
      <w:r>
        <w:rPr/>
        <w:t>（</w:t>
      </w:r>
      <w:r>
        <w:rPr>
          <w:rFonts w:ascii="宋体" w:hAnsi="宋体" w:cs="宋体" w:eastAsia="宋体" w:hint="default"/>
        </w:rPr>
        <w:t>4</w:t>
      </w:r>
      <w:r>
        <w:rPr/>
        <w:t>）存货的盘存制度</w:t>
      </w:r>
      <w:r>
        <w:rPr>
          <w:w w:val="100"/>
        </w:rPr>
        <w:t> </w:t>
      </w:r>
      <w:r>
        <w:rPr>
          <w:spacing w:val="-2"/>
        </w:rPr>
        <w:t>本集团存货盘存制度采用永续盘存制。</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300" w:lineRule="auto"/>
        <w:ind w:left="218" w:right="0"/>
        <w:jc w:val="left"/>
      </w:pPr>
      <w:r>
        <w:rPr>
          <w:rFonts w:ascii="Calibri" w:hAnsi="Calibri" w:cs="Calibri" w:eastAsia="Calibri" w:hint="default"/>
          <w:b/>
          <w:bCs/>
        </w:rPr>
        <w:t>13.</w:t>
      </w:r>
      <w:r>
        <w:rPr>
          <w:rFonts w:ascii="Calibri" w:hAnsi="Calibri" w:cs="Calibri" w:eastAsia="Calibri" w:hint="default"/>
          <w:b/>
          <w:bCs/>
          <w:spacing w:val="12"/>
        </w:rPr>
        <w:t> </w:t>
      </w:r>
      <w:r>
        <w:rPr>
          <w:rFonts w:ascii="宋体" w:hAnsi="宋体" w:cs="宋体" w:eastAsia="宋体" w:hint="default"/>
          <w:b/>
          <w:bCs/>
        </w:rPr>
        <w:t>划分为持有待售资产</w:t>
      </w:r>
      <w:r>
        <w:rPr>
          <w:rFonts w:ascii="宋体" w:hAnsi="宋体" w:cs="宋体" w:eastAsia="宋体" w:hint="default"/>
          <w:b/>
          <w:bCs/>
          <w:spacing w:val="-103"/>
        </w:rPr>
        <w:t> </w:t>
      </w:r>
      <w:r>
        <w:rPr/>
        <w:t>同时满足下列条件的非流动资产（不包括金融资产及递延所得税资产）或处置组应当确认为持有</w:t>
      </w:r>
      <w:r>
        <w:rPr>
          <w:w w:val="100"/>
        </w:rPr>
        <w:t> </w:t>
      </w:r>
      <w:r>
        <w:rPr/>
        <w:t>待售：该非流动资产或处置组必须在其当前状况下仅根据出售此类非流动资产或处置组的惯常条</w:t>
      </w:r>
      <w:r>
        <w:rPr>
          <w:w w:val="100"/>
        </w:rPr>
        <w:t> </w:t>
      </w:r>
      <w:r>
        <w:rPr/>
        <w:t>款即可立即出售；本集团已经就处置该非流动资产或处置组作出决议，如按规定需得到股东批准</w:t>
      </w:r>
      <w:r>
        <w:rPr>
          <w:w w:val="100"/>
        </w:rPr>
        <w:t> </w:t>
      </w:r>
      <w:r>
        <w:rPr/>
        <w:t>的，应当已经取得股东大会或相应权力机构的批准；本集团已经与受让方签订了不可撤销的转让</w:t>
      </w:r>
      <w:r>
        <w:rPr>
          <w:w w:val="100"/>
        </w:rPr>
        <w:t> </w:t>
      </w:r>
      <w:r>
        <w:rPr/>
        <w:t>协议；该项转让将在一年内完成。</w:t>
      </w:r>
      <w:r>
        <w:rPr>
          <w:w w:val="100"/>
        </w:rPr>
        <w:t> </w:t>
      </w:r>
      <w:r>
        <w:rPr/>
        <w:t>持有待售的资产包括单项资产和处置组。在特定情况下，处置组包括企业合并中取得的商誉等。</w:t>
      </w:r>
      <w:r>
        <w:rPr>
          <w:w w:val="100"/>
        </w:rPr>
        <w:t> </w:t>
      </w:r>
      <w:r>
        <w:rPr/>
        <w:t>持有待售的非流动资产和持有待售的处置组中的资产不计提折旧或进行摊销，按照账面价值与公</w:t>
      </w:r>
      <w:r>
        <w:rPr>
          <w:w w:val="100"/>
        </w:rPr>
        <w:t> </w:t>
      </w:r>
      <w:r>
        <w:rPr/>
        <w:t>允价值减去处置费用后的净额孰低进行计量，并列报为“划分为持有待售的资产”。持有待售的</w:t>
      </w:r>
      <w:r>
        <w:rPr>
          <w:w w:val="100"/>
        </w:rPr>
        <w:t> </w:t>
      </w:r>
      <w:r>
        <w:rPr/>
        <w:t>处置组中的负债，列报为“划分为持有待售的负债”。</w:t>
      </w:r>
      <w:r>
        <w:rPr>
          <w:w w:val="100"/>
        </w:rPr>
        <w:t> </w:t>
      </w:r>
      <w:r>
        <w:rPr>
          <w:spacing w:val="-4"/>
          <w:w w:val="100"/>
        </w:rPr>
        <w:t>某项非流动资产或处置组被划归为持有待售，但后来不再满足持有待售的非流动资产的确认条件，</w:t>
      </w:r>
      <w:r>
        <w:rPr>
          <w:spacing w:val="-86"/>
          <w:w w:val="100"/>
        </w:rPr>
        <w:t> </w:t>
      </w:r>
      <w:r>
        <w:rPr>
          <w:spacing w:val="-86"/>
          <w:w w:val="100"/>
        </w:rPr>
      </w:r>
      <w:r>
        <w:rPr/>
        <w:t>企业应当停止将其划归为持有待售，并按照下列两项金额中较低者计量：</w:t>
      </w:r>
    </w:p>
    <w:p>
      <w:pPr>
        <w:pStyle w:val="BodyText"/>
        <w:spacing w:line="295" w:lineRule="auto" w:before="13"/>
        <w:ind w:left="218" w:right="226"/>
        <w:jc w:val="left"/>
      </w:pPr>
      <w:r>
        <w:rPr>
          <w:w w:val="100"/>
        </w:rPr>
        <w:t>①</w:t>
      </w:r>
      <w:r>
        <w:rPr>
          <w:spacing w:val="10"/>
          <w:w w:val="100"/>
        </w:rPr>
        <w:t> </w:t>
      </w:r>
      <w:r>
        <w:rPr>
          <w:spacing w:val="-4"/>
          <w:w w:val="100"/>
        </w:rPr>
        <w:t>该资产或处置组被划归为持有待售之前的账面价值，按照其假定在没有被划归为持有待售的情</w:t>
      </w:r>
      <w:r>
        <w:rPr>
          <w:spacing w:val="-104"/>
          <w:w w:val="100"/>
        </w:rPr>
        <w:t> </w:t>
      </w:r>
      <w:r>
        <w:rPr>
          <w:spacing w:val="-104"/>
          <w:w w:val="100"/>
        </w:rPr>
      </w:r>
      <w:r>
        <w:rPr/>
        <w:t>况下原应确认的折旧、摊销或减值进行调整后的金额；</w:t>
      </w:r>
    </w:p>
    <w:p>
      <w:pPr>
        <w:pStyle w:val="BodyText"/>
        <w:spacing w:line="225" w:lineRule="exact"/>
        <w:ind w:left="218" w:right="0"/>
        <w:jc w:val="left"/>
      </w:pPr>
      <w:r>
        <w:rPr/>
        <w:t>②</w:t>
      </w:r>
      <w:r>
        <w:rPr>
          <w:spacing w:val="-2"/>
        </w:rPr>
        <w:t> </w:t>
      </w:r>
      <w:r>
        <w:rPr/>
        <w:t>决定不再出售之日的再收回金额。</w:t>
      </w:r>
    </w:p>
    <w:p>
      <w:pPr>
        <w:spacing w:after="0" w:line="225" w:lineRule="exact"/>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52" w:lineRule="auto" w:before="36"/>
        <w:ind w:right="68"/>
        <w:jc w:val="left"/>
      </w:pPr>
      <w:r>
        <w:rPr>
          <w:rFonts w:ascii="Calibri" w:hAnsi="Calibri" w:cs="Calibri" w:eastAsia="Calibri" w:hint="default"/>
          <w:b/>
          <w:bCs/>
        </w:rPr>
        <w:t>14.</w:t>
      </w:r>
      <w:r>
        <w:rPr>
          <w:rFonts w:ascii="Calibri" w:hAnsi="Calibri" w:cs="Calibri" w:eastAsia="Calibri" w:hint="default"/>
          <w:b/>
          <w:bCs/>
          <w:spacing w:val="12"/>
        </w:rPr>
        <w:t> </w:t>
      </w:r>
      <w:r>
        <w:rPr>
          <w:rFonts w:ascii="宋体" w:hAnsi="宋体" w:cs="宋体" w:eastAsia="宋体" w:hint="default"/>
          <w:b/>
          <w:bCs/>
        </w:rPr>
        <w:t>长期股权投资</w:t>
      </w:r>
      <w:r>
        <w:rPr>
          <w:rFonts w:ascii="宋体" w:hAnsi="宋体" w:cs="宋体" w:eastAsia="宋体" w:hint="default"/>
          <w:b/>
          <w:bCs/>
          <w:w w:val="100"/>
        </w:rPr>
        <w:t> </w:t>
      </w:r>
      <w:r>
        <w:rPr>
          <w:spacing w:val="-2"/>
        </w:rPr>
        <w:t>长期股权投资包括对子公司、合营企业和联营企业的权益性投资。本公司能够对被投资单位施加</w:t>
      </w:r>
      <w:r>
        <w:rPr>
          <w:spacing w:val="-25"/>
        </w:rPr>
        <w:t> </w:t>
      </w:r>
      <w:r>
        <w:rPr>
          <w:spacing w:val="-25"/>
        </w:rPr>
      </w:r>
      <w:r>
        <w:rPr/>
        <w:t>重大影响的，为本公司的联营企业。</w:t>
      </w:r>
    </w:p>
    <w:p>
      <w:pPr>
        <w:pStyle w:val="BodyText"/>
        <w:spacing w:line="237" w:lineRule="auto"/>
        <w:ind w:right="68"/>
        <w:jc w:val="left"/>
      </w:pPr>
      <w:r>
        <w:rPr/>
        <w:t>（</w:t>
      </w:r>
      <w:r>
        <w:rPr>
          <w:rFonts w:ascii="宋体" w:hAnsi="宋体" w:cs="宋体" w:eastAsia="宋体" w:hint="default"/>
        </w:rPr>
        <w:t>1</w:t>
      </w:r>
      <w:r>
        <w:rPr/>
        <w:t>）初始投资成本确定</w:t>
      </w:r>
      <w:r>
        <w:rPr>
          <w:w w:val="100"/>
        </w:rPr>
        <w:t> </w:t>
      </w:r>
      <w:r>
        <w:rPr>
          <w:spacing w:val="-2"/>
        </w:rPr>
        <w:t>形成企业合并的长期股权投资：同一控制下企业合并取得的长期股权投资，在合并日按照取得被</w:t>
      </w:r>
      <w:r>
        <w:rPr>
          <w:spacing w:val="-25"/>
        </w:rPr>
        <w:t> </w:t>
      </w:r>
      <w:r>
        <w:rPr>
          <w:spacing w:val="-25"/>
        </w:rPr>
      </w:r>
      <w:r>
        <w:rPr>
          <w:spacing w:val="-2"/>
        </w:rPr>
        <w:t>合并方所有者权益在最终控制方合并财务报表中的账面价值份额作为投资成本；非同一控制下企</w:t>
      </w:r>
      <w:r>
        <w:rPr>
          <w:spacing w:val="-25"/>
        </w:rPr>
        <w:t> </w:t>
      </w:r>
      <w:r>
        <w:rPr>
          <w:spacing w:val="-25"/>
        </w:rPr>
      </w:r>
      <w:r>
        <w:rPr/>
        <w:t>业合并取得的长期股权投资，按照合并成本作为长期股权投资的投资成本。</w:t>
      </w:r>
      <w:r>
        <w:rPr>
          <w:w w:val="100"/>
        </w:rPr>
        <w:t> </w:t>
      </w:r>
      <w:r>
        <w:rPr>
          <w:spacing w:val="-2"/>
        </w:rPr>
        <w:t>对于其他方式取得的长期股权投资：支付现金取得的长期股权投资，按照实际支付的购买价款作</w:t>
      </w:r>
      <w:r>
        <w:rPr>
          <w:spacing w:val="-25"/>
        </w:rPr>
        <w:t> </w:t>
      </w:r>
      <w:r>
        <w:rPr>
          <w:spacing w:val="-25"/>
        </w:rPr>
      </w:r>
      <w:r>
        <w:rPr>
          <w:spacing w:val="-2"/>
        </w:rPr>
        <w:t>为初始投资成本；发行权益性证券取得的长期股权投资，以发行权益性证券的公允价值作为初始</w:t>
      </w:r>
      <w:r>
        <w:rPr>
          <w:spacing w:val="-25"/>
        </w:rPr>
        <w:t> </w:t>
      </w:r>
      <w:r>
        <w:rPr>
          <w:spacing w:val="-25"/>
        </w:rPr>
      </w:r>
      <w:r>
        <w:rPr/>
        <w:t>投资成本。</w:t>
      </w:r>
    </w:p>
    <w:p>
      <w:pPr>
        <w:pStyle w:val="BodyText"/>
        <w:spacing w:line="237" w:lineRule="auto"/>
        <w:ind w:right="68"/>
        <w:jc w:val="left"/>
      </w:pPr>
      <w:r>
        <w:rPr/>
        <w:t>（</w:t>
      </w:r>
      <w:r>
        <w:rPr>
          <w:rFonts w:ascii="宋体" w:hAnsi="宋体" w:cs="宋体" w:eastAsia="宋体" w:hint="default"/>
        </w:rPr>
        <w:t>2</w:t>
      </w:r>
      <w:r>
        <w:rPr/>
        <w:t>）后续计量及损益确认方法</w:t>
      </w:r>
      <w:r>
        <w:rPr>
          <w:w w:val="100"/>
        </w:rPr>
        <w:t> </w:t>
      </w:r>
      <w:r>
        <w:rPr/>
        <w:t>本公司对子公司的投资，采用成本法核算；对联营企业和合营企业的投资，采用权益法核算。</w:t>
      </w:r>
      <w:r>
        <w:rPr>
          <w:w w:val="100"/>
        </w:rPr>
        <w:t> </w:t>
      </w:r>
      <w:r>
        <w:rPr/>
        <w:t>采用成本法核算的长期股权投资，除取得投资时实际支付的价款或对价中包含的已宣告但尚未发</w:t>
      </w:r>
      <w:r>
        <w:rPr>
          <w:w w:val="100"/>
        </w:rPr>
        <w:t> </w:t>
      </w:r>
      <w:r>
        <w:rPr>
          <w:spacing w:val="-6"/>
          <w:w w:val="100"/>
        </w:rPr>
        <w:t>放的现金股利或利润外，被投资单位宣告分派的现金股利或利润，确认为投资收益计入当期损益。</w:t>
      </w:r>
      <w:r>
        <w:rPr>
          <w:w w:val="100"/>
        </w:rPr>
        <w:t> </w:t>
      </w:r>
      <w:r>
        <w:rPr/>
        <w:t>采用权益法核算的长期股权投资，初始投资成本大于投资时应享有被投资单位可辨认净资产公允</w:t>
      </w:r>
      <w:r>
        <w:rPr>
          <w:w w:val="100"/>
        </w:rPr>
        <w:t> </w:t>
      </w:r>
      <w:r>
        <w:rPr/>
        <w:t>价值份额的，不调整长期股权投资的投资成本；初始投资成本小于投资时应享有被投资单位可辨</w:t>
      </w:r>
      <w:r>
        <w:rPr>
          <w:w w:val="100"/>
        </w:rPr>
        <w:t> </w:t>
      </w:r>
      <w:r>
        <w:rPr/>
        <w:t>认净资产公允价值份额的，对长期股权投资的账面价值进行调整，差额计入投资当期的损益。</w:t>
      </w:r>
      <w:r>
        <w:rPr>
          <w:w w:val="100"/>
        </w:rPr>
        <w:t> </w:t>
      </w:r>
      <w:r>
        <w:rPr/>
        <w:t>采用权益法核算时，按照应享有或应分担的被投资单位实现的净损益和其他综合收益的份额，分</w:t>
      </w:r>
      <w:r>
        <w:rPr>
          <w:w w:val="100"/>
        </w:rPr>
        <w:t> </w:t>
      </w:r>
      <w:r>
        <w:rPr/>
        <w:t>别确认投资收益和其他综合收益，同时调整长期股权投资的账面价值；按照被投资单位宣告分派</w:t>
      </w:r>
      <w:r>
        <w:rPr>
          <w:w w:val="100"/>
        </w:rPr>
        <w:t> </w:t>
      </w:r>
      <w:r>
        <w:rPr>
          <w:spacing w:val="-6"/>
          <w:w w:val="100"/>
        </w:rPr>
        <w:t>的利润或现金股利计算应享有的部分，相应减少长期股权投资的账面价值；被投资单位除净损益、</w:t>
      </w:r>
      <w:r>
        <w:rPr>
          <w:w w:val="100"/>
        </w:rPr>
        <w:t> </w:t>
      </w:r>
      <w:r>
        <w:rPr/>
        <w:t>其他综合收益和利润分配以外所有者权益的其他变动，调整长期股权投资的账面价值并计入资本</w:t>
      </w:r>
      <w:r>
        <w:rPr>
          <w:w w:val="100"/>
        </w:rPr>
        <w:t> </w:t>
      </w:r>
      <w:r>
        <w:rPr/>
        <w:t>公积（其他资本公积）。在确认应享有被投资单位净损益的份额时，以取得投资时被投资单位各</w:t>
      </w:r>
      <w:r>
        <w:rPr>
          <w:w w:val="100"/>
        </w:rPr>
        <w:t> </w:t>
      </w:r>
      <w:r>
        <w:rPr/>
        <w:t>项可辨认资产等的公允价值为基础，并按照本公司的会计政策及会计期间，对被投资单位的净利</w:t>
      </w:r>
      <w:r>
        <w:rPr>
          <w:w w:val="100"/>
        </w:rPr>
        <w:t> </w:t>
      </w:r>
      <w:r>
        <w:rPr/>
        <w:t>润进行调整后确认。</w:t>
      </w:r>
      <w:r>
        <w:rPr>
          <w:w w:val="100"/>
        </w:rPr>
        <w:t> </w:t>
      </w:r>
      <w:r>
        <w:rPr/>
        <w:t>因追加投资等原因能够对被投资单位施加重大影响或实施共同控制但不构成控制的，在转换日，</w:t>
      </w:r>
      <w:r>
        <w:rPr>
          <w:w w:val="100"/>
        </w:rPr>
        <w:t> </w:t>
      </w:r>
      <w:r>
        <w:rPr/>
        <w:t>按照原股权的公允价值加上新增投资成本之和，作为改按权益法核算的初始投资成本。原股权于</w:t>
      </w:r>
      <w:r>
        <w:rPr>
          <w:w w:val="100"/>
        </w:rPr>
        <w:t> </w:t>
      </w:r>
      <w:r>
        <w:rPr/>
        <w:t>转换日的公允价值与账面价值之间的差额，以及原计入其他综合收益的累计公允价值变动转入改</w:t>
      </w:r>
      <w:r>
        <w:rPr>
          <w:w w:val="100"/>
        </w:rPr>
        <w:t> </w:t>
      </w:r>
      <w:r>
        <w:rPr/>
        <w:t>按权益法核算的当期损益。</w:t>
      </w:r>
      <w:r>
        <w:rPr>
          <w:w w:val="100"/>
        </w:rPr>
        <w:t> </w:t>
      </w:r>
      <w:r>
        <w:rPr/>
        <w:t>因处置部分股权投资等原因丧失了对被投资单位的共同控制或重大影响的，处置后的剩余股权在</w:t>
      </w:r>
      <w:r>
        <w:rPr>
          <w:w w:val="100"/>
        </w:rPr>
        <w:t> </w:t>
      </w:r>
      <w:r>
        <w:rPr>
          <w:spacing w:val="-6"/>
          <w:w w:val="100"/>
        </w:rPr>
        <w:t>丧失共同控制或重大影响之日改按《企业会计准则第</w:t>
      </w:r>
      <w:r>
        <w:rPr>
          <w:spacing w:val="-47"/>
          <w:w w:val="100"/>
        </w:rPr>
        <w:t> </w:t>
      </w:r>
      <w:r>
        <w:rPr>
          <w:rFonts w:ascii="宋体" w:hAnsi="宋体" w:cs="宋体" w:eastAsia="宋体" w:hint="default"/>
          <w:w w:val="100"/>
        </w:rPr>
        <w:t>22</w:t>
      </w:r>
      <w:r>
        <w:rPr>
          <w:rFonts w:ascii="宋体" w:hAnsi="宋体" w:cs="宋体" w:eastAsia="宋体" w:hint="default"/>
          <w:spacing w:val="-49"/>
          <w:w w:val="100"/>
        </w:rPr>
        <w:t> </w:t>
      </w:r>
      <w:r>
        <w:rPr>
          <w:spacing w:val="-7"/>
          <w:w w:val="100"/>
        </w:rPr>
        <w:t>号—金融工具确认和计量》进行会计处理，</w:t>
      </w:r>
      <w:r>
        <w:rPr>
          <w:spacing w:val="-103"/>
          <w:w w:val="100"/>
        </w:rPr>
        <w:t> </w:t>
      </w:r>
      <w:r>
        <w:rPr>
          <w:spacing w:val="-103"/>
          <w:w w:val="100"/>
        </w:rPr>
      </w:r>
      <w:r>
        <w:rPr/>
        <w:t>公允价值与账面价值之间的差额计入当期损益。原股权投资因采用权益法核算而确认的其他综合</w:t>
      </w:r>
      <w:r>
        <w:rPr>
          <w:w w:val="100"/>
        </w:rPr>
        <w:t> </w:t>
      </w:r>
      <w:r>
        <w:rPr/>
        <w:t>收益，在终止采用权益法核算时采用与被投资单位直接处置相关资产或负债相同的基础进行会计</w:t>
      </w:r>
      <w:r>
        <w:rPr>
          <w:w w:val="100"/>
        </w:rPr>
        <w:t> </w:t>
      </w:r>
      <w:r>
        <w:rPr/>
        <w:t>处理；原股权投资相关的其他所有者权益变动转入当期损益。</w:t>
      </w:r>
      <w:r>
        <w:rPr>
          <w:w w:val="100"/>
        </w:rPr>
        <w:t> </w:t>
      </w:r>
      <w:r>
        <w:rPr/>
        <w:t>因处置部分股权投资等原因丧失了对被投资单位的控制的，处置后的剩余股权能够对被投资单位</w:t>
      </w:r>
      <w:r>
        <w:rPr>
          <w:w w:val="100"/>
        </w:rPr>
        <w:t> </w:t>
      </w:r>
      <w:r>
        <w:rPr/>
        <w:t>实施共同控制或施加重大影响的，改按权益法核算，并对该剩余股权视同自取得时即采用权益法</w:t>
      </w:r>
      <w:r>
        <w:rPr>
          <w:w w:val="100"/>
        </w:rPr>
        <w:t> </w:t>
      </w:r>
      <w:r>
        <w:rPr/>
        <w:t>核算进行调整；处置后的剩余股权不能对被投资单位实施共同控制或施加重大影响的，改按《企</w:t>
      </w:r>
      <w:r>
        <w:rPr>
          <w:w w:val="100"/>
        </w:rPr>
        <w:t> </w:t>
      </w:r>
      <w:r>
        <w:rPr/>
        <w:t>业会计准则第</w:t>
      </w:r>
      <w:r>
        <w:rPr>
          <w:spacing w:val="-38"/>
        </w:rPr>
        <w:t> </w:t>
      </w:r>
      <w:r>
        <w:rPr>
          <w:rFonts w:ascii="宋体" w:hAnsi="宋体" w:cs="宋体" w:eastAsia="宋体" w:hint="default"/>
        </w:rPr>
        <w:t>22</w:t>
      </w:r>
      <w:r>
        <w:rPr>
          <w:rFonts w:ascii="宋体" w:hAnsi="宋体" w:cs="宋体" w:eastAsia="宋体" w:hint="default"/>
          <w:spacing w:val="-38"/>
        </w:rPr>
        <w:t> </w:t>
      </w:r>
      <w:r>
        <w:rPr>
          <w:spacing w:val="-5"/>
        </w:rPr>
        <w:t>号—金融工具确认和计量》的有关规定进行会计处理，其在丧失控制之日的公允</w:t>
      </w:r>
      <w:r>
        <w:rPr>
          <w:spacing w:val="-66"/>
        </w:rPr>
        <w:t> </w:t>
      </w:r>
      <w:r>
        <w:rPr>
          <w:spacing w:val="-66"/>
        </w:rPr>
      </w:r>
      <w:r>
        <w:rPr/>
        <w:t>价值与账面价值之间的差额计入当期损益。</w:t>
      </w:r>
      <w:r>
        <w:rPr>
          <w:w w:val="100"/>
        </w:rPr>
        <w:t> </w:t>
      </w:r>
      <w:r>
        <w:rPr/>
        <w:t>因其他投资方增资而导致本公司持股比例下降、从而丧失控制权但能对被投资单位实施共同控制</w:t>
      </w:r>
      <w:r>
        <w:rPr>
          <w:w w:val="100"/>
        </w:rPr>
        <w:t> </w:t>
      </w:r>
      <w:r>
        <w:rPr/>
        <w:t>或施加重大影响的，按照新的持股比例确认本公司应享有的被投资单位因增资扩股而增加净资产</w:t>
      </w:r>
      <w:r>
        <w:rPr>
          <w:w w:val="100"/>
        </w:rPr>
        <w:t> </w:t>
      </w:r>
      <w:r>
        <w:rPr>
          <w:spacing w:val="-4"/>
          <w:w w:val="100"/>
        </w:rPr>
        <w:t>的份额，与应结转持股比例下降部分所对应的长期股权投资原账面价值之间的差额计入当期损益；</w:t>
      </w:r>
      <w:r>
        <w:rPr>
          <w:spacing w:val="-85"/>
          <w:w w:val="100"/>
        </w:rPr>
        <w:t> </w:t>
      </w:r>
      <w:r>
        <w:rPr>
          <w:spacing w:val="-85"/>
          <w:w w:val="100"/>
        </w:rPr>
      </w:r>
      <w:r>
        <w:rPr/>
        <w:t>然后，按照新的持股比例视同自取得投资时即采用权益法核算进行调整。</w:t>
      </w:r>
      <w:r>
        <w:rPr>
          <w:w w:val="100"/>
        </w:rPr>
        <w:t> </w:t>
      </w:r>
      <w:r>
        <w:rPr/>
        <w:t>本公司与联营企业及合营企业之间发生的未实现内部交易损益按照持股比例计算归属于本公司的</w:t>
      </w:r>
      <w:r>
        <w:rPr>
          <w:w w:val="100"/>
        </w:rPr>
        <w:t> </w:t>
      </w:r>
      <w:r>
        <w:rPr/>
        <w:t>部分，在抵销基础上确认投资损益。但本公司与被投资单位发生的未实现内部交易损失，属于所</w:t>
      </w:r>
      <w:r>
        <w:rPr>
          <w:w w:val="100"/>
        </w:rPr>
        <w:t> </w:t>
      </w:r>
      <w:r>
        <w:rPr/>
        <w:t>转让资产减值损失的，不予以抵销。</w:t>
      </w:r>
    </w:p>
    <w:p>
      <w:pPr>
        <w:pStyle w:val="BodyText"/>
        <w:spacing w:line="237" w:lineRule="auto" w:before="1"/>
        <w:ind w:right="68"/>
        <w:jc w:val="left"/>
      </w:pPr>
      <w:r>
        <w:rPr/>
        <w:t>（</w:t>
      </w:r>
      <w:r>
        <w:rPr>
          <w:rFonts w:ascii="宋体" w:hAnsi="宋体" w:cs="宋体" w:eastAsia="宋体" w:hint="default"/>
        </w:rPr>
        <w:t>3</w:t>
      </w:r>
      <w:r>
        <w:rPr/>
        <w:t>）确定对被投资单位具有共同控制、重大影响的依据</w:t>
      </w:r>
      <w:r>
        <w:rPr>
          <w:w w:val="100"/>
        </w:rPr>
        <w:t> </w:t>
      </w:r>
      <w:r>
        <w:rPr/>
        <w:t>共同控制，是指按照相关约定对某项安排所共有的控制，并且该安排的相关活动必须经过分享控</w:t>
      </w:r>
      <w:r>
        <w:rPr>
          <w:w w:val="100"/>
        </w:rPr>
        <w:t> </w:t>
      </w:r>
      <w:r>
        <w:rPr/>
        <w:t>制权的参与方一致同意后才能决策。在判断是否存在共同控制时，首先判断是否由所有参与方或</w:t>
      </w:r>
      <w:r>
        <w:rPr>
          <w:w w:val="100"/>
        </w:rPr>
        <w:t> </w:t>
      </w:r>
      <w:r>
        <w:rPr/>
        <w:t>参与方组合集体控制该安排，其次再判断该安排相关活动的决策是否必须经过这些集体控制该安</w:t>
      </w:r>
      <w:r>
        <w:rPr>
          <w:w w:val="100"/>
        </w:rPr>
        <w:t> </w:t>
      </w:r>
      <w:r>
        <w:rPr>
          <w:spacing w:val="-4"/>
          <w:w w:val="100"/>
        </w:rPr>
        <w:t>排的参与方一致同意。如果所有参与方或一组参与方必须一致行动才能决定某项安排的相关活动，</w:t>
      </w:r>
    </w:p>
    <w:p>
      <w:pPr>
        <w:spacing w:after="0" w:line="237" w:lineRule="auto"/>
        <w:jc w:val="left"/>
        <w:sectPr>
          <w:footerReference w:type="default" r:id="rId30"/>
          <w:pgSz w:w="11910" w:h="16840"/>
          <w:pgMar w:footer="1195" w:header="882" w:top="1120" w:bottom="1380" w:left="1660" w:right="1060"/>
        </w:sectPr>
      </w:pPr>
    </w:p>
    <w:p>
      <w:pPr>
        <w:spacing w:line="240" w:lineRule="auto" w:before="1"/>
        <w:rPr>
          <w:rFonts w:ascii="宋体" w:hAnsi="宋体" w:cs="宋体" w:eastAsia="宋体" w:hint="default"/>
          <w:sz w:val="25"/>
          <w:szCs w:val="25"/>
        </w:rPr>
      </w:pPr>
    </w:p>
    <w:p>
      <w:pPr>
        <w:pStyle w:val="BodyText"/>
        <w:spacing w:line="237" w:lineRule="auto" w:before="38"/>
        <w:ind w:left="218" w:right="0"/>
        <w:jc w:val="left"/>
      </w:pPr>
      <w:r>
        <w:rPr>
          <w:spacing w:val="-2"/>
        </w:rPr>
        <w:t>则认为所有参与方或一组参与方集体控制该安排；如果存在两个或两个以上的参与方组合能够集</w:t>
      </w:r>
      <w:r>
        <w:rPr>
          <w:spacing w:val="-25"/>
        </w:rPr>
        <w:t> </w:t>
      </w:r>
      <w:r>
        <w:rPr>
          <w:spacing w:val="-25"/>
        </w:rPr>
      </w:r>
      <w:r>
        <w:rPr/>
        <w:t>体控制某项安排的，不构成共同控制。判断是否存在共同控制时，不考虑享有的保护性权利。</w:t>
      </w:r>
      <w:r>
        <w:rPr>
          <w:w w:val="100"/>
        </w:rPr>
        <w:t> </w:t>
      </w:r>
      <w:r>
        <w:rPr>
          <w:spacing w:val="-2"/>
        </w:rPr>
        <w:t>重大影响，是指投资方对被投资单位的财务和经营政策有参与决策的权力，但并不能够控制或者</w:t>
      </w:r>
      <w:r>
        <w:rPr>
          <w:spacing w:val="-25"/>
        </w:rPr>
        <w:t> </w:t>
      </w:r>
      <w:r>
        <w:rPr>
          <w:spacing w:val="-25"/>
        </w:rPr>
      </w:r>
      <w:r>
        <w:rPr>
          <w:spacing w:val="-2"/>
        </w:rPr>
        <w:t>与其他方一起共同控制这些政策的制定。在确定能否对被投资单位施加重大影响时，考虑投资方</w:t>
      </w:r>
      <w:r>
        <w:rPr>
          <w:spacing w:val="-25"/>
        </w:rPr>
        <w:t> </w:t>
      </w:r>
      <w:r>
        <w:rPr>
          <w:spacing w:val="-25"/>
        </w:rPr>
      </w:r>
      <w:r>
        <w:rPr>
          <w:spacing w:val="-2"/>
        </w:rPr>
        <w:t>直接或间接持有被投资单位的表决权股份以及投资方及其他方持有的当期可执行潜在表决权在假</w:t>
      </w:r>
      <w:r>
        <w:rPr>
          <w:spacing w:val="-25"/>
        </w:rPr>
        <w:t> </w:t>
      </w:r>
      <w:r>
        <w:rPr>
          <w:spacing w:val="-25"/>
        </w:rPr>
      </w:r>
      <w:r>
        <w:rPr>
          <w:spacing w:val="-2"/>
        </w:rPr>
        <w:t>定转换为对被投资方单位的股权后产生的影响，包括被投资单位发行的当期可转换的认股权证、</w:t>
      </w:r>
      <w:r>
        <w:rPr>
          <w:spacing w:val="-25"/>
        </w:rPr>
        <w:t> </w:t>
      </w:r>
      <w:r>
        <w:rPr>
          <w:spacing w:val="-25"/>
        </w:rPr>
      </w:r>
      <w:r>
        <w:rPr/>
        <w:t>股份期权及可转换公司债券等的影响。</w:t>
      </w:r>
    </w:p>
    <w:p>
      <w:pPr>
        <w:pStyle w:val="BodyText"/>
        <w:spacing w:line="237" w:lineRule="auto" w:before="1"/>
        <w:ind w:left="218" w:right="126"/>
        <w:jc w:val="left"/>
      </w:pPr>
      <w:r>
        <w:rPr/>
        <w:t>当本公司直接或通过子公司间接拥有被投资单位</w:t>
      </w:r>
      <w:r>
        <w:rPr>
          <w:spacing w:val="-35"/>
        </w:rPr>
        <w:t> </w:t>
      </w:r>
      <w:r>
        <w:rPr>
          <w:rFonts w:ascii="宋体" w:hAnsi="宋体" w:cs="宋体" w:eastAsia="宋体" w:hint="default"/>
        </w:rPr>
        <w:t>20%</w:t>
      </w:r>
      <w:r>
        <w:rPr/>
        <w:t>（含</w:t>
      </w:r>
      <w:r>
        <w:rPr>
          <w:spacing w:val="-39"/>
        </w:rPr>
        <w:t> </w:t>
      </w:r>
      <w:r>
        <w:rPr>
          <w:rFonts w:ascii="宋体" w:hAnsi="宋体" w:cs="宋体" w:eastAsia="宋体" w:hint="default"/>
        </w:rPr>
        <w:t>20%</w:t>
      </w:r>
      <w:r>
        <w:rPr/>
        <w:t>）以上但低于</w:t>
      </w:r>
      <w:r>
        <w:rPr>
          <w:spacing w:val="-34"/>
        </w:rPr>
        <w:t> </w:t>
      </w:r>
      <w:r>
        <w:rPr>
          <w:rFonts w:ascii="宋体" w:hAnsi="宋体" w:cs="宋体" w:eastAsia="宋体" w:hint="default"/>
        </w:rPr>
        <w:t>50%</w:t>
      </w:r>
      <w:r>
        <w:rPr/>
        <w:t>的表决权股份时，</w:t>
      </w:r>
      <w:r>
        <w:rPr>
          <w:spacing w:val="-101"/>
        </w:rPr>
        <w:t> </w:t>
      </w:r>
      <w:r>
        <w:rPr>
          <w:spacing w:val="-101"/>
        </w:rPr>
      </w:r>
      <w:r>
        <w:rPr/>
        <w:t>一般认为对被投资单位具有重大影响，除非有明确证据表明该种情况下不能参与被投资单位的生</w:t>
      </w:r>
      <w:r>
        <w:rPr>
          <w:w w:val="100"/>
        </w:rPr>
        <w:t> </w:t>
      </w:r>
      <w:r>
        <w:rPr/>
        <w:t>产经营决策，不形成重大影响；本公司拥有被投资单位</w:t>
      </w:r>
      <w:r>
        <w:rPr>
          <w:spacing w:val="-55"/>
        </w:rPr>
        <w:t> </w:t>
      </w:r>
      <w:r>
        <w:rPr>
          <w:rFonts w:ascii="宋体" w:hAnsi="宋体" w:cs="宋体" w:eastAsia="宋体" w:hint="default"/>
        </w:rPr>
        <w:t>20%</w:t>
      </w:r>
      <w:r>
        <w:rPr/>
        <w:t>（不含）以下的表决权股份时，一般</w:t>
      </w:r>
      <w:r>
        <w:rPr>
          <w:w w:val="100"/>
        </w:rPr>
        <w:t> </w:t>
      </w:r>
      <w:r>
        <w:rPr/>
        <w:t>不认为对被投资单位具有重大影响，除非有明确证据表明该种情况下能够参与被投资单位的生产</w:t>
      </w:r>
      <w:r>
        <w:rPr>
          <w:w w:val="100"/>
        </w:rPr>
        <w:t> </w:t>
      </w:r>
      <w:r>
        <w:rPr/>
        <w:t>经营决策，形成重大影响。</w:t>
      </w:r>
    </w:p>
    <w:p>
      <w:pPr>
        <w:pStyle w:val="BodyText"/>
        <w:spacing w:line="237" w:lineRule="auto"/>
        <w:ind w:left="218" w:right="224"/>
        <w:jc w:val="left"/>
      </w:pPr>
      <w:r>
        <w:rPr/>
        <w:t>（</w:t>
      </w:r>
      <w:r>
        <w:rPr>
          <w:rFonts w:ascii="宋体" w:hAnsi="宋体" w:cs="宋体" w:eastAsia="宋体" w:hint="default"/>
        </w:rPr>
        <w:t>4</w:t>
      </w:r>
      <w:r>
        <w:rPr/>
        <w:t>）持有待售的权益性投资</w:t>
      </w:r>
      <w:r>
        <w:rPr>
          <w:w w:val="100"/>
        </w:rPr>
        <w:t> </w:t>
      </w:r>
      <w:r>
        <w:rPr>
          <w:spacing w:val="-6"/>
          <w:w w:val="100"/>
        </w:rPr>
        <w:t>对联营企业或合营企业的权益性投资全部或部分分类为持有待售资产的，相关会计处理见附注“划</w:t>
      </w:r>
      <w:r>
        <w:rPr>
          <w:spacing w:val="-3"/>
          <w:w w:val="100"/>
        </w:rPr>
        <w:t> </w:t>
      </w:r>
      <w:r>
        <w:rPr/>
        <w:t>分为持有待售资产”。</w:t>
      </w:r>
      <w:r>
        <w:rPr>
          <w:w w:val="100"/>
        </w:rPr>
        <w:t> </w:t>
      </w:r>
      <w:r>
        <w:rPr/>
        <w:t>对于未划分为持有待售资产的剩余权益性投资，采用权益法进行会计处理。</w:t>
      </w:r>
      <w:r>
        <w:rPr>
          <w:w w:val="100"/>
        </w:rPr>
        <w:t> </w:t>
      </w:r>
      <w:r>
        <w:rPr>
          <w:spacing w:val="-2"/>
        </w:rPr>
        <w:t>已划分为持有待售的对联营企业或合营企业的权益性投资，不再符合持有待售资产分类条件的，</w:t>
      </w:r>
      <w:r>
        <w:rPr>
          <w:spacing w:val="-25"/>
        </w:rPr>
        <w:t> </w:t>
      </w:r>
      <w:r>
        <w:rPr>
          <w:spacing w:val="-25"/>
        </w:rPr>
      </w:r>
      <w:r>
        <w:rPr/>
        <w:t>从被分类为持有待售资产之日起采用权益法进行追溯调整。</w:t>
      </w:r>
    </w:p>
    <w:p>
      <w:pPr>
        <w:pStyle w:val="BodyText"/>
        <w:spacing w:line="272" w:lineRule="exact" w:before="24"/>
        <w:ind w:left="218" w:right="0"/>
        <w:jc w:val="left"/>
      </w:pPr>
      <w:r>
        <w:rPr/>
        <w:t>（</w:t>
      </w:r>
      <w:r>
        <w:rPr>
          <w:rFonts w:ascii="宋体" w:hAnsi="宋体" w:cs="宋体" w:eastAsia="宋体" w:hint="default"/>
        </w:rPr>
        <w:t>5</w:t>
      </w:r>
      <w:r>
        <w:rPr/>
        <w:t>）减值测试方法及减值准备计提方法</w:t>
      </w:r>
      <w:r>
        <w:rPr>
          <w:w w:val="100"/>
        </w:rPr>
        <w:t> </w:t>
      </w:r>
      <w:r>
        <w:rPr>
          <w:spacing w:val="-2"/>
        </w:rPr>
        <w:t>对子公司、联营企业及合营企业的投资，本公司计提资产减值的方法见附注“长期资产减值”。</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Heading2"/>
        <w:spacing w:line="264" w:lineRule="auto" w:before="0"/>
        <w:ind w:right="7781"/>
        <w:jc w:val="left"/>
        <w:rPr>
          <w:b w:val="0"/>
          <w:bCs w:val="0"/>
        </w:rPr>
      </w:pPr>
      <w:r>
        <w:rPr>
          <w:rFonts w:ascii="Calibri" w:hAnsi="Calibri" w:cs="Calibri" w:eastAsia="Calibri" w:hint="default"/>
        </w:rPr>
        <w:t>15.</w:t>
      </w:r>
      <w:r>
        <w:rPr>
          <w:rFonts w:ascii="Calibri" w:hAnsi="Calibri" w:cs="Calibri" w:eastAsia="Calibri" w:hint="default"/>
          <w:spacing w:val="13"/>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37" w:lineRule="auto" w:before="40"/>
        <w:ind w:left="218" w:right="0"/>
        <w:jc w:val="left"/>
      </w:pPr>
      <w:r>
        <w:rPr>
          <w:spacing w:val="-2"/>
        </w:rPr>
        <w:t>本集团固定资产是指为生产商品、提供劳务、出租或经营管理而持有的，使用寿命超过一个会计</w:t>
      </w:r>
      <w:r>
        <w:rPr>
          <w:spacing w:val="-25"/>
        </w:rPr>
        <w:t> </w:t>
      </w:r>
      <w:r>
        <w:rPr>
          <w:spacing w:val="-25"/>
        </w:rPr>
      </w:r>
      <w:r>
        <w:rPr/>
        <w:t>年度的有形资产。</w:t>
      </w:r>
      <w:r>
        <w:rPr>
          <w:w w:val="100"/>
        </w:rPr>
        <w:t> </w:t>
      </w:r>
      <w:r>
        <w:rPr>
          <w:spacing w:val="-2"/>
        </w:rPr>
        <w:t>与该固定资产有关的经济利益很可能流入企业，并且该固定资产的成本能够可靠地计量时，固定</w:t>
      </w:r>
      <w:r>
        <w:rPr>
          <w:spacing w:val="-25"/>
        </w:rPr>
        <w:t> </w:t>
      </w:r>
      <w:r>
        <w:rPr>
          <w:spacing w:val="-25"/>
        </w:rPr>
      </w:r>
      <w:r>
        <w:rPr/>
        <w:t>资产才能予以确认。</w:t>
      </w:r>
    </w:p>
    <w:p>
      <w:pPr>
        <w:pStyle w:val="BodyText"/>
        <w:spacing w:line="274" w:lineRule="exact"/>
        <w:ind w:left="218" w:right="0"/>
        <w:jc w:val="left"/>
      </w:pPr>
      <w:r>
        <w:rPr/>
        <w:t>本集团固定资产按照取得时的实际成本进行初始计量。</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before="0"/>
        <w:ind w:right="0"/>
        <w:jc w:val="left"/>
        <w:rPr>
          <w:b w:val="0"/>
          <w:bCs w:val="0"/>
        </w:rPr>
      </w:pPr>
      <w:r>
        <w:rPr>
          <w:rFonts w:ascii="宋体" w:hAnsi="宋体" w:cs="宋体" w:eastAsia="宋体" w:hint="default"/>
        </w:rPr>
        <w:t>(2).</w:t>
      </w:r>
      <w:r>
        <w:rPr/>
        <w:t>折旧方法</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码头及辅助设施</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w:t>
            </w:r>
            <w:r>
              <w:rPr>
                <w:rFonts w:ascii="宋体" w:hAnsi="宋体" w:cs="宋体" w:eastAsia="宋体" w:hint="default"/>
                <w:sz w:val="21"/>
                <w:szCs w:val="21"/>
              </w:rPr>
              <w:t>50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1.90</w:t>
            </w:r>
            <w:r>
              <w:rPr>
                <w:rFonts w:ascii="宋体" w:hAnsi="宋体" w:cs="宋体" w:eastAsia="宋体" w:hint="default"/>
                <w:spacing w:val="-1"/>
                <w:sz w:val="21"/>
                <w:szCs w:val="21"/>
              </w:rPr>
              <w:t>－</w:t>
            </w:r>
            <w:r>
              <w:rPr>
                <w:rFonts w:ascii="宋体" w:hAnsi="宋体" w:cs="宋体" w:eastAsia="宋体" w:hint="default"/>
                <w:spacing w:val="-1"/>
                <w:sz w:val="21"/>
                <w:szCs w:val="21"/>
              </w:rPr>
              <w:t>12.13</w:t>
            </w:r>
          </w:p>
        </w:tc>
      </w:tr>
      <w:tr>
        <w:trPr>
          <w:trHeight w:val="28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40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2.38</w:t>
            </w:r>
            <w:r>
              <w:rPr>
                <w:rFonts w:ascii="宋体" w:hAnsi="宋体" w:cs="宋体" w:eastAsia="宋体" w:hint="default"/>
                <w:spacing w:val="-1"/>
                <w:sz w:val="21"/>
                <w:szCs w:val="21"/>
              </w:rPr>
              <w:t>－</w:t>
            </w:r>
            <w:r>
              <w:rPr>
                <w:rFonts w:ascii="宋体" w:hAnsi="宋体" w:cs="宋体" w:eastAsia="宋体" w:hint="default"/>
                <w:spacing w:val="-1"/>
                <w:sz w:val="21"/>
                <w:szCs w:val="21"/>
              </w:rPr>
              <w:t>9.70</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z w:val="21"/>
                <w:szCs w:val="21"/>
              </w:rPr>
              <w:t>－</w:t>
            </w:r>
            <w:r>
              <w:rPr>
                <w:rFonts w:ascii="宋体" w:hAnsi="宋体" w:cs="宋体" w:eastAsia="宋体" w:hint="default"/>
                <w:sz w:val="21"/>
                <w:szCs w:val="21"/>
              </w:rPr>
              <w:t>18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5.28</w:t>
            </w:r>
            <w:r>
              <w:rPr>
                <w:rFonts w:ascii="宋体" w:hAnsi="宋体" w:cs="宋体" w:eastAsia="宋体" w:hint="default"/>
                <w:spacing w:val="-1"/>
                <w:sz w:val="21"/>
                <w:szCs w:val="21"/>
              </w:rPr>
              <w:t>－</w:t>
            </w:r>
            <w:r>
              <w:rPr>
                <w:rFonts w:ascii="宋体" w:hAnsi="宋体" w:cs="宋体" w:eastAsia="宋体" w:hint="default"/>
                <w:spacing w:val="-1"/>
                <w:sz w:val="21"/>
                <w:szCs w:val="21"/>
              </w:rPr>
              <w:t>6.93</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18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5.28</w:t>
            </w:r>
            <w:r>
              <w:rPr>
                <w:rFonts w:ascii="宋体" w:hAnsi="宋体" w:cs="宋体" w:eastAsia="宋体" w:hint="default"/>
                <w:spacing w:val="-1"/>
                <w:sz w:val="21"/>
                <w:szCs w:val="21"/>
              </w:rPr>
              <w:t>－</w:t>
            </w:r>
            <w:r>
              <w:rPr>
                <w:rFonts w:ascii="宋体" w:hAnsi="宋体" w:cs="宋体" w:eastAsia="宋体" w:hint="default"/>
                <w:spacing w:val="-1"/>
                <w:sz w:val="21"/>
                <w:szCs w:val="21"/>
              </w:rPr>
              <w:t>13.86</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办公及其他设备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22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4.32</w:t>
            </w:r>
            <w:r>
              <w:rPr>
                <w:rFonts w:ascii="宋体" w:hAnsi="宋体" w:cs="宋体" w:eastAsia="宋体" w:hint="default"/>
                <w:spacing w:val="-1"/>
                <w:sz w:val="21"/>
                <w:szCs w:val="21"/>
              </w:rPr>
              <w:t>－</w:t>
            </w:r>
            <w:r>
              <w:rPr>
                <w:rFonts w:ascii="宋体" w:hAnsi="宋体" w:cs="宋体" w:eastAsia="宋体" w:hint="default"/>
                <w:spacing w:val="-1"/>
                <w:sz w:val="21"/>
                <w:szCs w:val="21"/>
              </w:rPr>
              <w:t>19.40</w:t>
            </w:r>
          </w:p>
        </w:tc>
      </w:tr>
    </w:tbl>
    <w:p>
      <w:pPr>
        <w:pStyle w:val="BodyText"/>
        <w:spacing w:line="239" w:lineRule="exact"/>
        <w:ind w:left="218" w:right="0"/>
        <w:jc w:val="both"/>
      </w:pPr>
      <w:r>
        <w:rPr/>
        <w:t>本集团采用年限平均法计提折旧。固定资产自达到预定可使用状态时开始计提折旧，终止确认时</w:t>
      </w:r>
    </w:p>
    <w:p>
      <w:pPr>
        <w:pStyle w:val="BodyText"/>
        <w:spacing w:line="237" w:lineRule="auto"/>
        <w:ind w:left="218" w:right="237"/>
        <w:jc w:val="both"/>
      </w:pPr>
      <w:r>
        <w:rPr>
          <w:spacing w:val="-2"/>
        </w:rPr>
        <w:t>或划分为持有待售非流动资产时停止计提折旧。在不考虑减值准备的情况下，按固定资产类别、</w:t>
      </w:r>
      <w:r>
        <w:rPr>
          <w:spacing w:val="-25"/>
        </w:rPr>
        <w:t> </w:t>
      </w:r>
      <w:r>
        <w:rPr>
          <w:spacing w:val="-25"/>
        </w:rPr>
      </w:r>
      <w:r>
        <w:rPr>
          <w:spacing w:val="-2"/>
        </w:rPr>
        <w:t>预计使用寿命和预计残值。其中，已计提减值准备的固定资产，还应扣除已计提的固定资产减值</w:t>
      </w:r>
      <w:r>
        <w:rPr>
          <w:spacing w:val="-25"/>
        </w:rPr>
        <w:t> </w:t>
      </w:r>
      <w:r>
        <w:rPr>
          <w:spacing w:val="-25"/>
        </w:rPr>
      </w:r>
      <w:r>
        <w:rPr/>
        <w:t>准备累计金额计算确定折旧率。</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100"/>
          <w:sz w:val="21"/>
          <w:szCs w:val="21"/>
        </w:rPr>
        <w:t> </w:t>
      </w:r>
      <w:r>
        <w:rPr>
          <w:rFonts w:ascii="宋体" w:hAnsi="宋体" w:cs="宋体" w:eastAsia="宋体" w:hint="default"/>
          <w:spacing w:val="-2"/>
          <w:sz w:val="21"/>
          <w:szCs w:val="21"/>
        </w:rPr>
        <w:t>当本集团租入的固定资产符合下列一项或数项标准时，确认为融资租入固定资产：</w:t>
      </w:r>
    </w:p>
    <w:p>
      <w:pPr>
        <w:pStyle w:val="BodyText"/>
        <w:spacing w:line="228" w:lineRule="exact"/>
        <w:ind w:left="218" w:right="0"/>
        <w:jc w:val="both"/>
      </w:pPr>
      <w:r>
        <w:rPr/>
        <w:t>①在租赁期届满时，租赁资产的所有权转移给本集团。</w:t>
      </w:r>
    </w:p>
    <w:p>
      <w:pPr>
        <w:pStyle w:val="BodyText"/>
        <w:spacing w:line="272" w:lineRule="exact" w:before="26"/>
        <w:ind w:left="218" w:right="237"/>
        <w:jc w:val="both"/>
      </w:pPr>
      <w:r>
        <w:rPr>
          <w:spacing w:val="-2"/>
        </w:rPr>
        <w:t>②本集团有购买租赁资产的选择权，所订立的购买价款预计将远低于行使选择权时租赁资产的公</w:t>
      </w:r>
      <w:r>
        <w:rPr>
          <w:spacing w:val="-26"/>
        </w:rPr>
        <w:t> </w:t>
      </w:r>
      <w:r>
        <w:rPr>
          <w:spacing w:val="-26"/>
        </w:rPr>
      </w:r>
      <w:r>
        <w:rPr/>
        <w:t>允价值，因而在租赁开始日就可以合理确定本集团将会行使这种选择权。</w:t>
      </w:r>
    </w:p>
    <w:p>
      <w:pPr>
        <w:spacing w:after="0" w:line="272" w:lineRule="exact"/>
        <w:jc w:val="both"/>
        <w:sectPr>
          <w:footerReference w:type="default" r:id="rId31"/>
          <w:pgSz w:w="11910" w:h="16840"/>
          <w:pgMar w:footer="1195" w:header="882" w:top="1120" w:bottom="1380" w:left="1580" w:right="1040"/>
          <w:pgNumType w:start="61"/>
        </w:sectPr>
      </w:pPr>
    </w:p>
    <w:p>
      <w:pPr>
        <w:spacing w:line="240" w:lineRule="auto" w:before="1"/>
        <w:rPr>
          <w:rFonts w:ascii="宋体" w:hAnsi="宋体" w:cs="宋体" w:eastAsia="宋体" w:hint="default"/>
          <w:sz w:val="25"/>
          <w:szCs w:val="25"/>
        </w:rPr>
      </w:pPr>
    </w:p>
    <w:p>
      <w:pPr>
        <w:pStyle w:val="BodyText"/>
        <w:spacing w:line="274" w:lineRule="exact" w:before="36"/>
        <w:ind w:right="0"/>
        <w:jc w:val="left"/>
      </w:pPr>
      <w:r>
        <w:rPr/>
        <w:t>③即使资产的所有权不转移，但租赁期占租赁资产使用寿命的大部分。</w:t>
      </w:r>
    </w:p>
    <w:p>
      <w:pPr>
        <w:pStyle w:val="BodyText"/>
        <w:spacing w:line="272" w:lineRule="exact"/>
        <w:ind w:right="0"/>
        <w:jc w:val="left"/>
      </w:pPr>
      <w:r>
        <w:rPr/>
        <w:t>④本集团在租赁开始日的最低租赁付款额现值，几乎相当于租赁开始日租赁资产公允价值。</w:t>
      </w:r>
    </w:p>
    <w:p>
      <w:pPr>
        <w:pStyle w:val="BodyText"/>
        <w:spacing w:line="237" w:lineRule="auto"/>
        <w:ind w:right="0"/>
        <w:jc w:val="left"/>
      </w:pPr>
      <w:r>
        <w:rPr/>
        <w:t>⑤租赁资产性质特殊，如果不作较大改造，只有本集团才能使用。</w:t>
      </w:r>
      <w:r>
        <w:rPr>
          <w:w w:val="100"/>
        </w:rPr>
        <w:t> </w:t>
      </w:r>
      <w:r>
        <w:rPr>
          <w:spacing w:val="-2"/>
        </w:rPr>
        <w:t>融资租赁租入的固定资产，按租赁开始日租赁资产公允价值与最低租赁付款额的现值两者中较低</w:t>
      </w:r>
      <w:r>
        <w:rPr>
          <w:spacing w:val="-25"/>
        </w:rPr>
        <w:t> </w:t>
      </w:r>
      <w:r>
        <w:rPr>
          <w:spacing w:val="-25"/>
        </w:rPr>
      </w:r>
      <w:r>
        <w:rPr>
          <w:spacing w:val="-2"/>
        </w:rPr>
        <w:t>者，作为入账价值。最低租赁付款额作为长期应付款的入账价值，其差额作为未确认融资费用。</w:t>
      </w:r>
      <w:r>
        <w:rPr>
          <w:spacing w:val="-25"/>
        </w:rPr>
        <w:t> </w:t>
      </w:r>
      <w:r>
        <w:rPr>
          <w:spacing w:val="-25"/>
        </w:rPr>
      </w:r>
      <w:r>
        <w:rPr>
          <w:spacing w:val="-2"/>
        </w:rPr>
        <w:t>在租赁谈判和签订租赁合同过程中发生的，可归属于租赁项目的手续费、律师费、差旅费、印花</w:t>
      </w:r>
      <w:r>
        <w:rPr>
          <w:spacing w:val="-25"/>
        </w:rPr>
        <w:t> </w:t>
      </w:r>
      <w:r>
        <w:rPr>
          <w:spacing w:val="-25"/>
        </w:rPr>
      </w:r>
      <w:r>
        <w:rPr>
          <w:spacing w:val="-2"/>
        </w:rPr>
        <w:t>税等初始直接费用，计入租入资产价值。未确认融资费用在租赁期内各个期间采用实际利率法进</w:t>
      </w:r>
      <w:r>
        <w:rPr>
          <w:spacing w:val="-25"/>
        </w:rPr>
        <w:t> </w:t>
      </w:r>
      <w:r>
        <w:rPr>
          <w:spacing w:val="-25"/>
        </w:rPr>
      </w:r>
      <w:r>
        <w:rPr/>
        <w:t>行分摊。</w:t>
      </w:r>
      <w:r>
        <w:rPr>
          <w:w w:val="100"/>
        </w:rPr>
        <w:t> </w:t>
      </w:r>
      <w:r>
        <w:rPr>
          <w:spacing w:val="-2"/>
        </w:rPr>
        <w:t>融资租入的固定资产采用与自有固定资产一致的政策计提租赁资产折旧。能够合理确定租赁期届</w:t>
      </w:r>
      <w:r>
        <w:rPr>
          <w:spacing w:val="-25"/>
        </w:rPr>
        <w:t> </w:t>
      </w:r>
      <w:r>
        <w:rPr>
          <w:spacing w:val="-25"/>
        </w:rPr>
      </w:r>
      <w:r>
        <w:rPr>
          <w:spacing w:val="-2"/>
        </w:rPr>
        <w:t>满时将会取得租赁资产所有权的，在租赁资产尚可使用年限内计提折旧；无法合理确定租赁期届</w:t>
      </w:r>
      <w:r>
        <w:rPr>
          <w:spacing w:val="-25"/>
        </w:rPr>
        <w:t> </w:t>
      </w:r>
      <w:r>
        <w:rPr>
          <w:spacing w:val="-25"/>
        </w:rPr>
      </w:r>
      <w:r>
        <w:rPr>
          <w:spacing w:val="-2"/>
        </w:rPr>
        <w:t>满时能够取得租赁资产所有权的，在租赁期与租赁资产尚可使用年限两者中较短的期间内计提折</w:t>
      </w:r>
      <w:r>
        <w:rPr>
          <w:spacing w:val="-25"/>
        </w:rPr>
        <w:t> </w:t>
      </w:r>
      <w:r>
        <w:rPr>
          <w:spacing w:val="-25"/>
        </w:rPr>
      </w:r>
      <w:r>
        <w:rPr/>
        <w:t>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52" w:lineRule="auto"/>
        <w:ind w:right="0"/>
        <w:jc w:val="left"/>
      </w:pPr>
      <w:r>
        <w:rPr>
          <w:rFonts w:ascii="Calibri" w:hAnsi="Calibri" w:cs="Calibri" w:eastAsia="Calibri" w:hint="default"/>
          <w:b/>
          <w:bCs/>
        </w:rPr>
        <w:t>16.</w:t>
      </w:r>
      <w:r>
        <w:rPr>
          <w:rFonts w:ascii="Calibri" w:hAnsi="Calibri" w:cs="Calibri" w:eastAsia="Calibri" w:hint="default"/>
          <w:b/>
          <w:bCs/>
          <w:spacing w:val="12"/>
        </w:rPr>
        <w:t> </w:t>
      </w:r>
      <w:r>
        <w:rPr>
          <w:rFonts w:ascii="宋体" w:hAnsi="宋体" w:cs="宋体" w:eastAsia="宋体" w:hint="default"/>
          <w:b/>
          <w:bCs/>
        </w:rPr>
        <w:t>在建工程</w:t>
      </w:r>
      <w:r>
        <w:rPr>
          <w:rFonts w:ascii="宋体" w:hAnsi="宋体" w:cs="宋体" w:eastAsia="宋体" w:hint="default"/>
          <w:b/>
          <w:bCs/>
          <w:w w:val="100"/>
        </w:rPr>
        <w:t> </w:t>
      </w:r>
      <w:r>
        <w:rPr>
          <w:spacing w:val="-2"/>
        </w:rPr>
        <w:t>本集团在建工程成本按实际工程支出确定，包括在建期间发生的各项必要工程支出、工程达到预</w:t>
      </w:r>
      <w:r>
        <w:rPr>
          <w:spacing w:val="-25"/>
        </w:rPr>
        <w:t> </w:t>
      </w:r>
      <w:r>
        <w:rPr>
          <w:spacing w:val="-25"/>
        </w:rPr>
      </w:r>
      <w:r>
        <w:rPr/>
        <w:t>定可使用状态前的应予资本化的借款费用以及其他相关费用等。</w:t>
      </w:r>
    </w:p>
    <w:p>
      <w:pPr>
        <w:spacing w:line="240" w:lineRule="auto" w:before="8"/>
        <w:rPr>
          <w:rFonts w:ascii="宋体" w:hAnsi="宋体" w:cs="宋体" w:eastAsia="宋体" w:hint="default"/>
          <w:sz w:val="15"/>
          <w:szCs w:val="15"/>
        </w:rPr>
      </w:pPr>
    </w:p>
    <w:p>
      <w:pPr>
        <w:pStyle w:val="BodyText"/>
        <w:spacing w:line="424" w:lineRule="auto"/>
        <w:ind w:right="0"/>
        <w:jc w:val="left"/>
      </w:pPr>
      <w:r>
        <w:rPr/>
        <w:t>在建工程在达到预定可使用状态时转入固定资产。</w:t>
      </w:r>
      <w:r>
        <w:rPr>
          <w:w w:val="100"/>
        </w:rPr>
        <w:t> </w:t>
      </w:r>
      <w:r>
        <w:rPr>
          <w:spacing w:val="-2"/>
        </w:rPr>
        <w:t>在建工程计提资产减值方法见附注“长期资产减值”。</w:t>
      </w:r>
    </w:p>
    <w:p>
      <w:pPr>
        <w:spacing w:line="240" w:lineRule="auto" w:before="5"/>
        <w:rPr>
          <w:rFonts w:ascii="宋体" w:hAnsi="宋体" w:cs="宋体" w:eastAsia="宋体" w:hint="default"/>
          <w:sz w:val="29"/>
          <w:szCs w:val="29"/>
        </w:rPr>
      </w:pPr>
    </w:p>
    <w:p>
      <w:pPr>
        <w:pStyle w:val="Heading2"/>
        <w:spacing w:line="240" w:lineRule="auto" w:before="0"/>
        <w:ind w:left="138" w:right="0"/>
        <w:jc w:val="left"/>
        <w:rPr>
          <w:b w:val="0"/>
          <w:bCs w:val="0"/>
        </w:rPr>
      </w:pPr>
      <w:r>
        <w:rPr>
          <w:rFonts w:ascii="Calibri" w:hAnsi="Calibri" w:cs="Calibri" w:eastAsia="Calibri" w:hint="default"/>
        </w:rPr>
        <w:t>17.  </w:t>
      </w:r>
      <w:r>
        <w:rPr>
          <w:rFonts w:ascii="Calibri" w:hAnsi="Calibri" w:cs="Calibri" w:eastAsia="Calibri" w:hint="default"/>
          <w:spacing w:val="13"/>
        </w:rPr>
        <w:t> </w:t>
      </w:r>
      <w:r>
        <w:rPr/>
        <w:t>借款费用</w:t>
      </w:r>
      <w:r>
        <w:rPr>
          <w:b w:val="0"/>
          <w:bCs w:val="0"/>
        </w:rPr>
      </w:r>
    </w:p>
    <w:p>
      <w:pPr>
        <w:pStyle w:val="BodyText"/>
        <w:spacing w:line="237" w:lineRule="auto" w:before="32"/>
        <w:ind w:right="0"/>
        <w:jc w:val="left"/>
      </w:pPr>
      <w:r>
        <w:rPr/>
        <w:t>（</w:t>
      </w:r>
      <w:r>
        <w:rPr>
          <w:rFonts w:ascii="宋体" w:hAnsi="宋体" w:cs="宋体" w:eastAsia="宋体" w:hint="default"/>
        </w:rPr>
        <w:t>1</w:t>
      </w:r>
      <w:r>
        <w:rPr/>
        <w:t>）借款费用资本化的确认原则</w:t>
      </w:r>
      <w:r>
        <w:rPr>
          <w:w w:val="100"/>
        </w:rPr>
        <w:t> </w:t>
      </w:r>
      <w:r>
        <w:rPr>
          <w:spacing w:val="-2"/>
        </w:rPr>
        <w:t>本集团发生的借款费用，可直接归属于符合资本化条件的资产的购建或者生产的，予以资本化，</w:t>
      </w:r>
      <w:r>
        <w:rPr>
          <w:spacing w:val="-25"/>
        </w:rPr>
        <w:t> </w:t>
      </w:r>
      <w:r>
        <w:rPr>
          <w:spacing w:val="-25"/>
        </w:rPr>
      </w:r>
      <w:r>
        <w:rPr>
          <w:spacing w:val="-2"/>
        </w:rPr>
        <w:t>计入相关资产成本；其他借款费用，在发生时根据其发生额确认为费用，计入当期损益。借款费</w:t>
      </w:r>
      <w:r>
        <w:rPr>
          <w:spacing w:val="-25"/>
        </w:rPr>
        <w:t> </w:t>
      </w:r>
      <w:r>
        <w:rPr>
          <w:spacing w:val="-25"/>
        </w:rPr>
      </w:r>
      <w:r>
        <w:rPr/>
        <w:t>用同时满足下列条件的，开始资本化：</w:t>
      </w:r>
    </w:p>
    <w:p>
      <w:pPr>
        <w:pStyle w:val="BodyText"/>
        <w:spacing w:line="274" w:lineRule="exact" w:before="22"/>
        <w:ind w:right="0"/>
        <w:jc w:val="left"/>
      </w:pPr>
      <w:r>
        <w:rPr/>
        <w:t>①</w:t>
      </w:r>
      <w:r>
        <w:rPr>
          <w:spacing w:val="53"/>
        </w:rPr>
        <w:t> </w:t>
      </w:r>
      <w:r>
        <w:rPr>
          <w:spacing w:val="-4"/>
        </w:rPr>
        <w:t>资产支出已经发生，资产支出包括为购建或者生产符合资本化条件的资产而以支付现金、转移</w:t>
      </w:r>
      <w:r>
        <w:rPr>
          <w:spacing w:val="-96"/>
        </w:rPr>
        <w:t> </w:t>
      </w:r>
      <w:r>
        <w:rPr>
          <w:spacing w:val="-96"/>
        </w:rPr>
      </w:r>
      <w:r>
        <w:rPr/>
        <w:t>非现金资产或者承担带息债务形式发生的支出；</w:t>
      </w:r>
    </w:p>
    <w:p>
      <w:pPr>
        <w:pStyle w:val="BodyText"/>
        <w:spacing w:line="245" w:lineRule="exact"/>
        <w:ind w:right="0"/>
        <w:jc w:val="left"/>
      </w:pPr>
      <w:r>
        <w:rPr/>
        <w:t>② 借款费用已经发生；</w:t>
      </w:r>
    </w:p>
    <w:p>
      <w:pPr>
        <w:pStyle w:val="BodyText"/>
        <w:spacing w:line="272" w:lineRule="exact"/>
        <w:ind w:right="0"/>
        <w:jc w:val="left"/>
      </w:pPr>
      <w:r>
        <w:rPr/>
        <w:t>③</w:t>
      </w:r>
      <w:r>
        <w:rPr>
          <w:spacing w:val="-5"/>
        </w:rPr>
        <w:t> </w:t>
      </w:r>
      <w:r>
        <w:rPr/>
        <w:t>为使资产达到预定可使用或者可销售状态所必要的购建或者生产活动已经开始。</w:t>
      </w:r>
    </w:p>
    <w:p>
      <w:pPr>
        <w:pStyle w:val="BodyText"/>
        <w:spacing w:line="237" w:lineRule="auto"/>
        <w:ind w:right="132"/>
        <w:jc w:val="left"/>
      </w:pPr>
      <w:r>
        <w:rPr/>
        <w:t>（</w:t>
      </w:r>
      <w:r>
        <w:rPr>
          <w:rFonts w:ascii="宋体" w:hAnsi="宋体" w:cs="宋体" w:eastAsia="宋体" w:hint="default"/>
        </w:rPr>
        <w:t>2</w:t>
      </w:r>
      <w:r>
        <w:rPr/>
        <w:t>）借款费用资本化期间、暂停资本化期间</w:t>
      </w:r>
      <w:r>
        <w:rPr>
          <w:w w:val="100"/>
        </w:rPr>
        <w:t> </w:t>
      </w:r>
      <w:r>
        <w:rPr>
          <w:spacing w:val="-2"/>
        </w:rPr>
        <w:t>本集团购建或者生产符合资本化条件的资产达到预定可使用或者可销售状态时，借款费用停止资</w:t>
      </w:r>
      <w:r>
        <w:rPr>
          <w:spacing w:val="-25"/>
        </w:rPr>
        <w:t> </w:t>
      </w:r>
      <w:r>
        <w:rPr>
          <w:spacing w:val="-25"/>
        </w:rPr>
      </w:r>
      <w:r>
        <w:rPr>
          <w:spacing w:val="-2"/>
        </w:rPr>
        <w:t>本化。在符合资本化条件的资产达到预定可使用或者可销售状态之后所发生的借款费用，在发生</w:t>
      </w:r>
      <w:r>
        <w:rPr>
          <w:spacing w:val="-25"/>
        </w:rPr>
        <w:t> </w:t>
      </w:r>
      <w:r>
        <w:rPr>
          <w:spacing w:val="-25"/>
        </w:rPr>
      </w:r>
      <w:r>
        <w:rPr/>
        <w:t>时根据其发生额确认为费用，计入当期损益。</w:t>
      </w:r>
      <w:r>
        <w:rPr>
          <w:w w:val="100"/>
        </w:rPr>
        <w:t> </w:t>
      </w:r>
      <w:r>
        <w:rPr/>
        <w:t>符合资本化条件的资产在购建或者生产过程中发生非正常中断、且中断时间连续超过</w:t>
      </w:r>
      <w:r>
        <w:rPr>
          <w:spacing w:val="-53"/>
        </w:rPr>
        <w:t> </w:t>
      </w:r>
      <w:r>
        <w:rPr>
          <w:rFonts w:ascii="宋体" w:hAnsi="宋体" w:cs="宋体" w:eastAsia="宋体" w:hint="default"/>
        </w:rPr>
        <w:t>3</w:t>
      </w:r>
      <w:r>
        <w:rPr>
          <w:rFonts w:ascii="宋体" w:hAnsi="宋体" w:cs="宋体" w:eastAsia="宋体" w:hint="default"/>
          <w:spacing w:val="-56"/>
        </w:rPr>
        <w:t> </w:t>
      </w:r>
      <w:r>
        <w:rPr/>
        <w:t>个月的，</w:t>
      </w:r>
      <w:r>
        <w:rPr>
          <w:w w:val="100"/>
        </w:rPr>
        <w:t> </w:t>
      </w:r>
      <w:r>
        <w:rPr/>
        <w:t>暂停借款费用的资本化；正常中断期间的借款费用继续资本化。</w:t>
      </w:r>
    </w:p>
    <w:p>
      <w:pPr>
        <w:pStyle w:val="BodyText"/>
        <w:spacing w:line="237" w:lineRule="auto"/>
        <w:ind w:right="0"/>
        <w:jc w:val="left"/>
      </w:pPr>
      <w:r>
        <w:rPr/>
        <w:t>（</w:t>
      </w:r>
      <w:r>
        <w:rPr>
          <w:rFonts w:ascii="宋体" w:hAnsi="宋体" w:cs="宋体" w:eastAsia="宋体" w:hint="default"/>
        </w:rPr>
        <w:t>3</w:t>
      </w:r>
      <w:r>
        <w:rPr/>
        <w:t>）借款费用资本化率以及资本化金额的计算方法</w:t>
      </w:r>
      <w:r>
        <w:rPr>
          <w:w w:val="100"/>
        </w:rPr>
        <w:t> </w:t>
      </w:r>
      <w:r>
        <w:rPr>
          <w:spacing w:val="-2"/>
        </w:rPr>
        <w:t>专门借款当期实际发生的利息费用，减去尚未动用的借款资金存入银行取得的利息收入或进行暂</w:t>
      </w:r>
      <w:r>
        <w:rPr>
          <w:spacing w:val="-25"/>
        </w:rPr>
        <w:t> </w:t>
      </w:r>
      <w:r>
        <w:rPr>
          <w:spacing w:val="-25"/>
        </w:rPr>
      </w:r>
      <w:r>
        <w:rPr>
          <w:spacing w:val="-2"/>
        </w:rPr>
        <w:t>时性投资取得的投资收益后的金额予以资本化；一般借款根据累计资产支出超过专门借款部分的</w:t>
      </w:r>
      <w:r>
        <w:rPr>
          <w:spacing w:val="-25"/>
        </w:rPr>
        <w:t> </w:t>
      </w:r>
      <w:r>
        <w:rPr>
          <w:spacing w:val="-25"/>
        </w:rPr>
      </w:r>
      <w:r>
        <w:rPr>
          <w:spacing w:val="-2"/>
        </w:rPr>
        <w:t>资产支出加权平均数乘以所占用一般借款的资本化率，确定资本化金额。资本化率根据一般借款</w:t>
      </w:r>
      <w:r>
        <w:rPr>
          <w:spacing w:val="-25"/>
        </w:rPr>
        <w:t> </w:t>
      </w:r>
      <w:r>
        <w:rPr>
          <w:spacing w:val="-25"/>
        </w:rPr>
      </w:r>
      <w:r>
        <w:rPr/>
        <w:t>的加权平均利率计算确定。</w:t>
      </w:r>
      <w:r>
        <w:rPr>
          <w:w w:val="100"/>
        </w:rPr>
        <w:t> </w:t>
      </w:r>
      <w:r>
        <w:rPr>
          <w:spacing w:val="-2"/>
        </w:rPr>
        <w:t>资本化期间内，外币专门借款的汇兑差额全部予以资本化；外币一般借款的汇兑差额计入当期损</w:t>
      </w:r>
      <w:r>
        <w:rPr>
          <w:spacing w:val="-25"/>
        </w:rPr>
        <w:t> </w:t>
      </w:r>
      <w:r>
        <w:rPr>
          <w:spacing w:val="-25"/>
        </w:rPr>
      </w:r>
      <w:r>
        <w:rPr/>
        <w:t>益。</w:t>
      </w:r>
    </w:p>
    <w:p>
      <w:pPr>
        <w:spacing w:line="240" w:lineRule="auto" w:before="3"/>
        <w:rPr>
          <w:rFonts w:ascii="宋体" w:hAnsi="宋体" w:cs="宋体" w:eastAsia="宋体" w:hint="default"/>
          <w:sz w:val="25"/>
          <w:szCs w:val="25"/>
        </w:rPr>
      </w:pPr>
    </w:p>
    <w:p>
      <w:pPr>
        <w:pStyle w:val="Heading2"/>
        <w:spacing w:line="240" w:lineRule="auto" w:before="0"/>
        <w:ind w:left="138" w:right="0"/>
        <w:jc w:val="left"/>
        <w:rPr>
          <w:b w:val="0"/>
          <w:bCs w:val="0"/>
        </w:rPr>
      </w:pPr>
      <w:r>
        <w:rPr>
          <w:rFonts w:ascii="Calibri" w:hAnsi="Calibri" w:cs="Calibri" w:eastAsia="Calibri" w:hint="default"/>
        </w:rPr>
        <w:t>18.  </w:t>
      </w:r>
      <w:r>
        <w:rPr>
          <w:rFonts w:ascii="Calibri" w:hAnsi="Calibri" w:cs="Calibri" w:eastAsia="Calibri" w:hint="default"/>
          <w:spacing w:val="13"/>
        </w:rPr>
        <w:t> </w:t>
      </w:r>
      <w:r>
        <w:rPr/>
        <w:t>无形资产</w:t>
      </w:r>
      <w:r>
        <w:rPr>
          <w:b w:val="0"/>
          <w:bCs w:val="0"/>
        </w:rPr>
      </w:r>
    </w:p>
    <w:p>
      <w:pPr>
        <w:spacing w:line="290" w:lineRule="auto" w:before="30"/>
        <w:ind w:left="138" w:right="179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1"/>
          <w:sz w:val="21"/>
          <w:szCs w:val="21"/>
        </w:rPr>
        <w:t> </w:t>
      </w:r>
      <w:r>
        <w:rPr>
          <w:rFonts w:ascii="宋体" w:hAnsi="宋体" w:cs="宋体" w:eastAsia="宋体" w:hint="default"/>
          <w:b/>
          <w:bCs/>
          <w:sz w:val="21"/>
          <w:szCs w:val="21"/>
        </w:rPr>
        <w:t>计价方法、使用寿命、减值测试</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本集团无形资产包括土地使用权、海域使用权、软件。</w:t>
      </w:r>
    </w:p>
    <w:p>
      <w:pPr>
        <w:spacing w:after="0" w:line="290" w:lineRule="auto"/>
        <w:jc w:val="left"/>
        <w:rPr>
          <w:rFonts w:ascii="宋体" w:hAnsi="宋体" w:cs="宋体" w:eastAsia="宋体" w:hint="default"/>
          <w:sz w:val="21"/>
          <w:szCs w:val="21"/>
        </w:rPr>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37" w:lineRule="auto" w:before="38"/>
        <w:ind w:left="238" w:right="208"/>
        <w:jc w:val="both"/>
      </w:pPr>
      <w:r>
        <w:rPr>
          <w:spacing w:val="-6"/>
          <w:w w:val="100"/>
        </w:rPr>
        <w:t>无形资产按照成本进行初始计量，并于取得无形资产时分析判断其使用寿命。使用寿命为有限的，</w:t>
      </w:r>
      <w:r>
        <w:rPr>
          <w:spacing w:val="-104"/>
          <w:w w:val="100"/>
        </w:rPr>
        <w:t> </w:t>
      </w:r>
      <w:r>
        <w:rPr>
          <w:spacing w:val="-104"/>
          <w:w w:val="100"/>
        </w:rPr>
      </w:r>
      <w:r>
        <w:rPr>
          <w:spacing w:val="-2"/>
        </w:rPr>
        <w:t>自无形资产可供使用时起，采用能反映与该资产有关的经济利益的预期实现方式的摊销方法，在</w:t>
      </w:r>
      <w:r>
        <w:rPr>
          <w:spacing w:val="-25"/>
        </w:rPr>
        <w:t> </w:t>
      </w:r>
      <w:r>
        <w:rPr>
          <w:spacing w:val="-25"/>
        </w:rPr>
      </w:r>
      <w:r>
        <w:rPr>
          <w:spacing w:val="-2"/>
        </w:rPr>
        <w:t>预计使用年限内摊销；无法可靠确定预期实现方式的，采用直线法摊销；使用寿命不确定的无形</w:t>
      </w:r>
      <w:r>
        <w:rPr>
          <w:spacing w:val="-25"/>
        </w:rPr>
        <w:t> </w:t>
      </w:r>
      <w:r>
        <w:rPr>
          <w:spacing w:val="-25"/>
        </w:rPr>
      </w:r>
      <w:r>
        <w:rPr/>
        <w:t>资产，不作摊销。</w:t>
      </w:r>
    </w:p>
    <w:p>
      <w:pPr>
        <w:pStyle w:val="BodyText"/>
        <w:spacing w:line="240" w:lineRule="auto" w:before="64"/>
        <w:ind w:left="238" w:right="0"/>
        <w:jc w:val="both"/>
      </w:pPr>
      <w:r>
        <w:rPr/>
        <w:t>使用寿命有限的无形资产摊销方法如下：</w:t>
      </w:r>
    </w:p>
    <w:p>
      <w:pPr>
        <w:spacing w:line="240" w:lineRule="auto" w:before="0"/>
        <w:rPr>
          <w:rFonts w:ascii="宋体" w:hAnsi="宋体" w:cs="宋体" w:eastAsia="宋体"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2586"/>
        <w:gridCol w:w="2985"/>
        <w:gridCol w:w="2268"/>
        <w:gridCol w:w="1224"/>
      </w:tblGrid>
      <w:tr>
        <w:trPr>
          <w:trHeight w:val="482" w:hRule="exact"/>
        </w:trPr>
        <w:tc>
          <w:tcPr>
            <w:tcW w:w="2586"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left="122" w:right="0"/>
              <w:jc w:val="lef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2985"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727"/>
              <w:jc w:val="right"/>
              <w:rPr>
                <w:rFonts w:ascii="宋体" w:hAnsi="宋体" w:cs="宋体" w:eastAsia="宋体" w:hint="default"/>
                <w:sz w:val="21"/>
                <w:szCs w:val="21"/>
              </w:rPr>
            </w:pPr>
            <w:r>
              <w:rPr>
                <w:rFonts w:ascii="宋体" w:hAnsi="宋体" w:cs="宋体" w:eastAsia="宋体" w:hint="default"/>
                <w:b/>
                <w:bCs/>
                <w:sz w:val="21"/>
                <w:szCs w:val="21"/>
              </w:rPr>
              <w:t>使用寿命</w:t>
            </w:r>
            <w:r>
              <w:rPr>
                <w:rFonts w:ascii="宋体" w:hAnsi="宋体" w:cs="宋体" w:eastAsia="宋体" w:hint="default"/>
                <w:sz w:val="21"/>
                <w:szCs w:val="21"/>
              </w:rPr>
            </w:r>
          </w:p>
        </w:tc>
        <w:tc>
          <w:tcPr>
            <w:tcW w:w="2268"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right="691"/>
              <w:jc w:val="right"/>
              <w:rPr>
                <w:rFonts w:ascii="宋体" w:hAnsi="宋体" w:cs="宋体" w:eastAsia="宋体" w:hint="default"/>
                <w:sz w:val="21"/>
                <w:szCs w:val="21"/>
              </w:rPr>
            </w:pPr>
            <w:r>
              <w:rPr>
                <w:rFonts w:ascii="宋体" w:hAnsi="宋体" w:cs="宋体" w:eastAsia="宋体" w:hint="default"/>
                <w:b/>
                <w:bCs/>
                <w:sz w:val="21"/>
                <w:szCs w:val="21"/>
              </w:rPr>
              <w:t>摊销方法</w:t>
            </w:r>
            <w:r>
              <w:rPr>
                <w:rFonts w:ascii="宋体" w:hAnsi="宋体" w:cs="宋体" w:eastAsia="宋体" w:hint="default"/>
                <w:sz w:val="21"/>
                <w:szCs w:val="21"/>
              </w:rPr>
            </w:r>
          </w:p>
        </w:tc>
        <w:tc>
          <w:tcPr>
            <w:tcW w:w="1224"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left="693" w:right="0"/>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39" w:hRule="exact"/>
        </w:trPr>
        <w:tc>
          <w:tcPr>
            <w:tcW w:w="2586" w:type="dxa"/>
            <w:tcBorders>
              <w:top w:val="single" w:sz="6" w:space="0" w:color="000000"/>
              <w:left w:val="nil" w:sz="6" w:space="0" w:color="auto"/>
              <w:bottom w:val="nil" w:sz="6" w:space="0" w:color="auto"/>
              <w:right w:val="nil" w:sz="6" w:space="0" w:color="auto"/>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985" w:type="dxa"/>
            <w:tcBorders>
              <w:top w:val="single" w:sz="6" w:space="0" w:color="000000"/>
              <w:left w:val="nil" w:sz="6" w:space="0" w:color="auto"/>
              <w:bottom w:val="nil" w:sz="6" w:space="0" w:color="auto"/>
              <w:right w:val="nil" w:sz="6" w:space="0" w:color="auto"/>
            </w:tcBorders>
          </w:tcPr>
          <w:p>
            <w:pPr>
              <w:pStyle w:val="TableParagraph"/>
              <w:spacing w:line="241" w:lineRule="exact"/>
              <w:ind w:right="727"/>
              <w:jc w:val="right"/>
              <w:rPr>
                <w:rFonts w:ascii="宋体" w:hAnsi="宋体" w:cs="宋体" w:eastAsia="宋体" w:hint="default"/>
                <w:sz w:val="21"/>
                <w:szCs w:val="21"/>
              </w:rPr>
            </w:pPr>
            <w:r>
              <w:rPr>
                <w:rFonts w:ascii="宋体" w:hAnsi="宋体" w:cs="宋体" w:eastAsia="宋体" w:hint="default"/>
                <w:sz w:val="21"/>
                <w:szCs w:val="21"/>
              </w:rPr>
              <w:t>40-50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68" w:type="dxa"/>
            <w:tcBorders>
              <w:top w:val="single" w:sz="6" w:space="0" w:color="000000"/>
              <w:left w:val="nil" w:sz="6" w:space="0" w:color="auto"/>
              <w:bottom w:val="nil" w:sz="6" w:space="0" w:color="auto"/>
              <w:right w:val="nil" w:sz="6" w:space="0" w:color="auto"/>
            </w:tcBorders>
          </w:tcPr>
          <w:p>
            <w:pPr>
              <w:pStyle w:val="TableParagraph"/>
              <w:spacing w:line="241" w:lineRule="exact"/>
              <w:ind w:right="691"/>
              <w:jc w:val="right"/>
              <w:rPr>
                <w:rFonts w:ascii="宋体" w:hAnsi="宋体" w:cs="宋体" w:eastAsia="宋体" w:hint="default"/>
                <w:sz w:val="21"/>
                <w:szCs w:val="21"/>
              </w:rPr>
            </w:pPr>
            <w:r>
              <w:rPr>
                <w:rFonts w:ascii="宋体" w:hAnsi="宋体" w:cs="宋体" w:eastAsia="宋体" w:hint="default"/>
                <w:sz w:val="21"/>
                <w:szCs w:val="21"/>
              </w:rPr>
              <w:t>直线法</w:t>
            </w:r>
          </w:p>
        </w:tc>
        <w:tc>
          <w:tcPr>
            <w:tcW w:w="1224" w:type="dxa"/>
            <w:tcBorders>
              <w:top w:val="single" w:sz="6" w:space="0" w:color="000000"/>
              <w:left w:val="nil" w:sz="6" w:space="0" w:color="auto"/>
              <w:bottom w:val="nil" w:sz="6" w:space="0" w:color="auto"/>
              <w:right w:val="nil" w:sz="6" w:space="0" w:color="auto"/>
            </w:tcBorders>
          </w:tcPr>
          <w:p>
            <w:pPr/>
          </w:p>
        </w:tc>
      </w:tr>
      <w:tr>
        <w:trPr>
          <w:trHeight w:val="392" w:hRule="exact"/>
        </w:trPr>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海域使用权</w:t>
            </w: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727"/>
              <w:jc w:val="righ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91"/>
              <w:jc w:val="right"/>
              <w:rPr>
                <w:rFonts w:ascii="宋体" w:hAnsi="宋体" w:cs="宋体" w:eastAsia="宋体" w:hint="default"/>
                <w:sz w:val="21"/>
                <w:szCs w:val="21"/>
              </w:rPr>
            </w:pPr>
            <w:r>
              <w:rPr>
                <w:rFonts w:ascii="宋体" w:hAnsi="宋体" w:cs="宋体" w:eastAsia="宋体" w:hint="default"/>
                <w:sz w:val="21"/>
                <w:szCs w:val="21"/>
              </w:rPr>
              <w:t>直线法</w:t>
            </w:r>
          </w:p>
        </w:tc>
        <w:tc>
          <w:tcPr>
            <w:tcW w:w="1224" w:type="dxa"/>
            <w:tcBorders>
              <w:top w:val="nil" w:sz="6" w:space="0" w:color="auto"/>
              <w:left w:val="nil" w:sz="6" w:space="0" w:color="auto"/>
              <w:bottom w:val="nil" w:sz="6" w:space="0" w:color="auto"/>
              <w:right w:val="nil" w:sz="6" w:space="0" w:color="auto"/>
            </w:tcBorders>
          </w:tcPr>
          <w:p>
            <w:pPr/>
          </w:p>
        </w:tc>
      </w:tr>
      <w:tr>
        <w:trPr>
          <w:trHeight w:val="461" w:hRule="exact"/>
        </w:trPr>
        <w:tc>
          <w:tcPr>
            <w:tcW w:w="2586" w:type="dxa"/>
            <w:tcBorders>
              <w:top w:val="nil" w:sz="6" w:space="0" w:color="auto"/>
              <w:left w:val="nil" w:sz="6" w:space="0" w:color="auto"/>
              <w:bottom w:val="single" w:sz="6" w:space="0" w:color="000000"/>
              <w:right w:val="nil" w:sz="6" w:space="0" w:color="auto"/>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软件及其他</w:t>
            </w:r>
          </w:p>
        </w:tc>
        <w:tc>
          <w:tcPr>
            <w:tcW w:w="2985" w:type="dxa"/>
            <w:tcBorders>
              <w:top w:val="nil" w:sz="6" w:space="0" w:color="auto"/>
              <w:left w:val="nil" w:sz="6" w:space="0" w:color="auto"/>
              <w:bottom w:val="single" w:sz="6" w:space="0" w:color="000000"/>
              <w:right w:val="nil" w:sz="6" w:space="0" w:color="auto"/>
            </w:tcBorders>
          </w:tcPr>
          <w:p>
            <w:pPr>
              <w:pStyle w:val="TableParagraph"/>
              <w:spacing w:line="240" w:lineRule="auto" w:before="26"/>
              <w:ind w:right="727"/>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68" w:type="dxa"/>
            <w:tcBorders>
              <w:top w:val="nil" w:sz="6" w:space="0" w:color="auto"/>
              <w:left w:val="nil" w:sz="6" w:space="0" w:color="auto"/>
              <w:bottom w:val="single" w:sz="6" w:space="0" w:color="000000"/>
              <w:right w:val="nil" w:sz="6" w:space="0" w:color="auto"/>
            </w:tcBorders>
          </w:tcPr>
          <w:p>
            <w:pPr>
              <w:pStyle w:val="TableParagraph"/>
              <w:spacing w:line="240" w:lineRule="auto" w:before="26"/>
              <w:ind w:right="691"/>
              <w:jc w:val="right"/>
              <w:rPr>
                <w:rFonts w:ascii="宋体" w:hAnsi="宋体" w:cs="宋体" w:eastAsia="宋体" w:hint="default"/>
                <w:sz w:val="21"/>
                <w:szCs w:val="21"/>
              </w:rPr>
            </w:pPr>
            <w:r>
              <w:rPr>
                <w:rFonts w:ascii="宋体" w:hAnsi="宋体" w:cs="宋体" w:eastAsia="宋体" w:hint="default"/>
                <w:sz w:val="21"/>
                <w:szCs w:val="21"/>
              </w:rPr>
              <w:t>直线法</w:t>
            </w:r>
          </w:p>
        </w:tc>
        <w:tc>
          <w:tcPr>
            <w:tcW w:w="1224" w:type="dxa"/>
            <w:tcBorders>
              <w:top w:val="nil" w:sz="6" w:space="0" w:color="auto"/>
              <w:left w:val="nil" w:sz="6" w:space="0" w:color="auto"/>
              <w:bottom w:val="single" w:sz="6" w:space="0" w:color="000000"/>
              <w:right w:val="nil" w:sz="6" w:space="0" w:color="auto"/>
            </w:tcBorders>
          </w:tcPr>
          <w:p>
            <w:pPr/>
          </w:p>
        </w:tc>
      </w:tr>
    </w:tbl>
    <w:p>
      <w:pPr>
        <w:spacing w:line="240" w:lineRule="auto" w:before="13"/>
        <w:rPr>
          <w:rFonts w:ascii="宋体" w:hAnsi="宋体" w:cs="宋体" w:eastAsia="宋体" w:hint="default"/>
          <w:sz w:val="8"/>
          <w:szCs w:val="8"/>
        </w:rPr>
      </w:pPr>
    </w:p>
    <w:p>
      <w:pPr>
        <w:pStyle w:val="BodyText"/>
        <w:spacing w:line="297" w:lineRule="auto" w:before="36"/>
        <w:ind w:left="238" w:right="0"/>
        <w:jc w:val="left"/>
      </w:pPr>
      <w:r>
        <w:rPr>
          <w:spacing w:val="-2"/>
        </w:rPr>
        <w:t>本集团于每年年度终了，对使用寿命有限的无形资产的使用寿命及摊销方法进行复核，与以前估</w:t>
      </w:r>
      <w:r>
        <w:rPr>
          <w:spacing w:val="-25"/>
        </w:rPr>
        <w:t> </w:t>
      </w:r>
      <w:r>
        <w:rPr>
          <w:spacing w:val="-25"/>
        </w:rPr>
      </w:r>
      <w:r>
        <w:rPr/>
        <w:t>计不同的，调整原先估计数，并按会计估计变更处理。</w:t>
      </w:r>
    </w:p>
    <w:p>
      <w:pPr>
        <w:spacing w:line="240" w:lineRule="auto" w:before="9"/>
        <w:rPr>
          <w:rFonts w:ascii="宋体" w:hAnsi="宋体" w:cs="宋体" w:eastAsia="宋体" w:hint="default"/>
          <w:sz w:val="17"/>
          <w:szCs w:val="17"/>
        </w:rPr>
      </w:pPr>
    </w:p>
    <w:p>
      <w:pPr>
        <w:pStyle w:val="BodyText"/>
        <w:spacing w:line="295" w:lineRule="auto"/>
        <w:ind w:left="238" w:right="0"/>
        <w:jc w:val="left"/>
      </w:pPr>
      <w:r>
        <w:rPr>
          <w:spacing w:val="-2"/>
        </w:rPr>
        <w:t>资产负债表日预计某项无形资产已经不能给企业带来未来经济利益的，将该项无形资产的账面价</w:t>
      </w:r>
      <w:r>
        <w:rPr>
          <w:spacing w:val="-25"/>
        </w:rPr>
        <w:t> </w:t>
      </w:r>
      <w:r>
        <w:rPr>
          <w:spacing w:val="-25"/>
        </w:rPr>
      </w:r>
      <w:r>
        <w:rPr/>
        <w:t>值全部转入当期损益。</w:t>
      </w:r>
    </w:p>
    <w:p>
      <w:pPr>
        <w:pStyle w:val="BodyText"/>
        <w:spacing w:line="240" w:lineRule="auto" w:before="166"/>
        <w:ind w:left="238" w:right="0"/>
        <w:jc w:val="left"/>
      </w:pPr>
      <w:r>
        <w:rPr/>
        <w:t>无形资产计提资产减值方法见附注“资产减值”。</w:t>
      </w:r>
    </w:p>
    <w:p>
      <w:pPr>
        <w:spacing w:line="240" w:lineRule="auto" w:before="3"/>
        <w:rPr>
          <w:rFonts w:ascii="宋体" w:hAnsi="宋体" w:cs="宋体" w:eastAsia="宋体" w:hint="default"/>
          <w:sz w:val="25"/>
          <w:szCs w:val="25"/>
        </w:rPr>
      </w:pPr>
    </w:p>
    <w:p>
      <w:pPr>
        <w:pStyle w:val="Heading2"/>
        <w:spacing w:line="240" w:lineRule="auto" w:before="0"/>
        <w:ind w:left="238" w:right="0"/>
        <w:jc w:val="left"/>
        <w:rPr>
          <w:b w:val="0"/>
          <w:bCs w:val="0"/>
        </w:rPr>
      </w:pPr>
      <w:r>
        <w:rPr>
          <w:rFonts w:ascii="Calibri" w:hAnsi="Calibri" w:cs="Calibri" w:eastAsia="Calibri" w:hint="default"/>
        </w:rPr>
        <w:t>19.  </w:t>
      </w:r>
      <w:r>
        <w:rPr>
          <w:rFonts w:ascii="Calibri" w:hAnsi="Calibri" w:cs="Calibri" w:eastAsia="Calibri" w:hint="default"/>
          <w:spacing w:val="13"/>
        </w:rPr>
        <w:t> </w:t>
      </w:r>
      <w:r>
        <w:rPr/>
        <w:t>长期资产减值</w:t>
      </w:r>
      <w:r>
        <w:rPr>
          <w:b w:val="0"/>
          <w:bCs w:val="0"/>
        </w:rPr>
      </w:r>
    </w:p>
    <w:p>
      <w:pPr>
        <w:pStyle w:val="BodyText"/>
        <w:spacing w:line="240" w:lineRule="auto" w:before="89"/>
        <w:ind w:left="238" w:right="0"/>
        <w:jc w:val="left"/>
      </w:pPr>
      <w:r>
        <w:rPr>
          <w:spacing w:val="-2"/>
        </w:rPr>
        <w:t>对子公司、联营企业和合营企业的长期股权投资、固定资产、在建工程、无形资产的资产减值，</w:t>
      </w:r>
      <w:r>
        <w:rPr>
          <w:spacing w:val="-25"/>
        </w:rPr>
        <w:t> </w:t>
      </w:r>
      <w:r>
        <w:rPr>
          <w:spacing w:val="-25"/>
        </w:rPr>
      </w:r>
      <w:r>
        <w:rPr/>
        <w:t>按以下方法确定：</w:t>
      </w:r>
    </w:p>
    <w:p>
      <w:pPr>
        <w:spacing w:line="240" w:lineRule="auto" w:before="3"/>
        <w:rPr>
          <w:rFonts w:ascii="宋体" w:hAnsi="宋体" w:cs="宋体" w:eastAsia="宋体" w:hint="default"/>
          <w:sz w:val="16"/>
          <w:szCs w:val="16"/>
        </w:rPr>
      </w:pPr>
    </w:p>
    <w:p>
      <w:pPr>
        <w:pStyle w:val="BodyText"/>
        <w:spacing w:line="240" w:lineRule="auto"/>
        <w:ind w:left="238" w:right="0"/>
        <w:jc w:val="left"/>
      </w:pPr>
      <w:r>
        <w:rPr>
          <w:spacing w:val="-2"/>
        </w:rPr>
        <w:t>于资产负债表日判断资产是否存在可能发生减值的迹象，存在减值迹象的，本集团将估计其可收</w:t>
      </w:r>
      <w:r>
        <w:rPr>
          <w:spacing w:val="-25"/>
        </w:rPr>
        <w:t> </w:t>
      </w:r>
      <w:r>
        <w:rPr>
          <w:spacing w:val="-25"/>
        </w:rPr>
      </w:r>
      <w:r>
        <w:rPr/>
        <w:t>回金额，进行减值测试。</w:t>
      </w:r>
    </w:p>
    <w:p>
      <w:pPr>
        <w:spacing w:line="240" w:lineRule="auto" w:before="5"/>
        <w:rPr>
          <w:rFonts w:ascii="宋体" w:hAnsi="宋体" w:cs="宋体" w:eastAsia="宋体" w:hint="default"/>
          <w:sz w:val="16"/>
          <w:szCs w:val="16"/>
        </w:rPr>
      </w:pPr>
    </w:p>
    <w:p>
      <w:pPr>
        <w:pStyle w:val="BodyText"/>
        <w:spacing w:line="237" w:lineRule="auto"/>
        <w:ind w:left="238" w:right="217"/>
        <w:jc w:val="both"/>
      </w:pPr>
      <w:r>
        <w:rPr>
          <w:spacing w:val="-2"/>
        </w:rPr>
        <w:t>可收回金额根据资产的公允价值减去处置费用后的净额与资产预计未来现金流量的现值两者之间</w:t>
      </w:r>
      <w:r>
        <w:rPr>
          <w:spacing w:val="-25"/>
        </w:rPr>
        <w:t> </w:t>
      </w:r>
      <w:r>
        <w:rPr>
          <w:spacing w:val="-25"/>
        </w:rPr>
      </w:r>
      <w:r>
        <w:rPr>
          <w:spacing w:val="-2"/>
        </w:rPr>
        <w:t>较高者确定。本集团以单项资产为基础估计其可收回金额；难以对单项资产的可收回金额进行估</w:t>
      </w:r>
      <w:r>
        <w:rPr>
          <w:spacing w:val="-25"/>
        </w:rPr>
        <w:t> </w:t>
      </w:r>
      <w:r>
        <w:rPr>
          <w:spacing w:val="-25"/>
        </w:rPr>
      </w:r>
      <w:r>
        <w:rPr>
          <w:spacing w:val="-2"/>
        </w:rPr>
        <w:t>计的，以该资产所属的资产组为基础确定资产组的可收回金额。资产组的认定，以资产组产生的</w:t>
      </w:r>
      <w:r>
        <w:rPr>
          <w:spacing w:val="-25"/>
        </w:rPr>
        <w:t> </w:t>
      </w:r>
      <w:r>
        <w:rPr>
          <w:spacing w:val="-25"/>
        </w:rPr>
      </w:r>
      <w:r>
        <w:rPr/>
        <w:t>主要现金流入是否独立于其他资产或者资产组的现金流入为依据。</w:t>
      </w:r>
    </w:p>
    <w:p>
      <w:pPr>
        <w:spacing w:line="240" w:lineRule="auto" w:before="3"/>
        <w:rPr>
          <w:rFonts w:ascii="宋体" w:hAnsi="宋体" w:cs="宋体" w:eastAsia="宋体" w:hint="default"/>
          <w:sz w:val="16"/>
          <w:szCs w:val="16"/>
        </w:rPr>
      </w:pPr>
    </w:p>
    <w:p>
      <w:pPr>
        <w:pStyle w:val="BodyText"/>
        <w:spacing w:line="240" w:lineRule="auto"/>
        <w:ind w:left="238" w:right="0"/>
        <w:jc w:val="left"/>
      </w:pPr>
      <w:r>
        <w:rPr>
          <w:spacing w:val="-2"/>
        </w:rPr>
        <w:t>当资产或资产组的可收回金额低于其账面价值时，本集团将其账面价值减记至可收回金额，减记</w:t>
      </w:r>
      <w:r>
        <w:rPr>
          <w:spacing w:val="-25"/>
        </w:rPr>
        <w:t> </w:t>
      </w:r>
      <w:r>
        <w:rPr>
          <w:spacing w:val="-25"/>
        </w:rPr>
      </w:r>
      <w:r>
        <w:rPr/>
        <w:t>的金额计入当期损益，同时计提相应的资产减值准备。</w:t>
      </w:r>
    </w:p>
    <w:p>
      <w:pPr>
        <w:spacing w:line="240" w:lineRule="auto" w:before="4"/>
        <w:rPr>
          <w:rFonts w:ascii="宋体" w:hAnsi="宋体" w:cs="宋体" w:eastAsia="宋体" w:hint="default"/>
          <w:sz w:val="16"/>
          <w:szCs w:val="16"/>
        </w:rPr>
      </w:pPr>
    </w:p>
    <w:p>
      <w:pPr>
        <w:pStyle w:val="BodyText"/>
        <w:spacing w:line="240" w:lineRule="auto"/>
        <w:ind w:left="238" w:right="0"/>
        <w:jc w:val="left"/>
      </w:pPr>
      <w:r>
        <w:rPr/>
        <w:t>资产减值损失一经确认，在以后会计期间不再转回。</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52" w:lineRule="auto"/>
        <w:ind w:left="238" w:right="0"/>
        <w:jc w:val="left"/>
      </w:pPr>
      <w:r>
        <w:rPr>
          <w:rFonts w:ascii="Calibri" w:hAnsi="Calibri" w:cs="Calibri" w:eastAsia="Calibri" w:hint="default"/>
          <w:b/>
          <w:bCs/>
        </w:rPr>
        <w:t>20.</w:t>
      </w:r>
      <w:r>
        <w:rPr>
          <w:rFonts w:ascii="Calibri" w:hAnsi="Calibri" w:cs="Calibri" w:eastAsia="Calibri" w:hint="default"/>
          <w:b/>
          <w:bCs/>
          <w:spacing w:val="12"/>
        </w:rPr>
        <w:t> </w:t>
      </w:r>
      <w:r>
        <w:rPr>
          <w:rFonts w:ascii="宋体" w:hAnsi="宋体" w:cs="宋体" w:eastAsia="宋体" w:hint="default"/>
          <w:b/>
          <w:bCs/>
        </w:rPr>
        <w:t>长期待摊费用</w:t>
      </w:r>
      <w:r>
        <w:rPr>
          <w:rFonts w:ascii="宋体" w:hAnsi="宋体" w:cs="宋体" w:eastAsia="宋体" w:hint="default"/>
          <w:b/>
          <w:bCs/>
          <w:w w:val="100"/>
        </w:rPr>
        <w:t> </w:t>
      </w:r>
      <w:r>
        <w:rPr>
          <w:spacing w:val="-2"/>
        </w:rPr>
        <w:t>本集团发生的长期待摊费用按实际成本计价，并按预计受益期限平均摊销。对不能使以后会计期</w:t>
      </w:r>
      <w:r>
        <w:rPr>
          <w:spacing w:val="-25"/>
        </w:rPr>
        <w:t> </w:t>
      </w:r>
      <w:r>
        <w:rPr>
          <w:spacing w:val="-25"/>
        </w:rPr>
      </w:r>
      <w:r>
        <w:rPr/>
        <w:t>间受益的长期待摊费用项目，其摊余价值全部计入当期损益。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spacing w:line="264" w:lineRule="auto" w:before="0"/>
        <w:ind w:left="238" w:right="6181"/>
        <w:jc w:val="left"/>
        <w:rPr>
          <w:b w:val="0"/>
          <w:bCs w:val="0"/>
        </w:rPr>
      </w:pPr>
      <w:r>
        <w:rPr>
          <w:rFonts w:ascii="Calibri" w:hAnsi="Calibri" w:cs="Calibri" w:eastAsia="Calibri" w:hint="default"/>
        </w:rPr>
        <w:t>21.</w:t>
      </w:r>
      <w:r>
        <w:rPr>
          <w:rFonts w:ascii="Calibri" w:hAnsi="Calibri" w:cs="Calibri" w:eastAsia="Calibri" w:hint="default"/>
          <w:spacing w:val="1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spacing w:line="272" w:lineRule="exact" w:before="125"/>
        <w:ind w:left="238" w:right="0"/>
        <w:jc w:val="left"/>
      </w:pPr>
      <w:r>
        <w:rPr>
          <w:spacing w:val="-2"/>
        </w:rPr>
        <w:t>本集团在职工提供服务的会计期间，将实际发生的职工工资、奖金、按规定的基准和比例为职工</w:t>
      </w:r>
      <w:r>
        <w:rPr>
          <w:spacing w:val="-25"/>
        </w:rPr>
        <w:t> </w:t>
      </w:r>
      <w:r>
        <w:rPr>
          <w:spacing w:val="-25"/>
        </w:rPr>
      </w:r>
      <w:r>
        <w:rPr>
          <w:spacing w:val="-2"/>
        </w:rPr>
        <w:t>缴纳的医疗保险费、工伤保险费和生育保险费等社会保险费和住房公积金，确认为负债，并计入</w:t>
      </w:r>
    </w:p>
    <w:p>
      <w:pPr>
        <w:spacing w:after="0" w:line="272" w:lineRule="exact"/>
        <w:jc w:val="left"/>
        <w:sectPr>
          <w:pgSz w:w="11910" w:h="16840"/>
          <w:pgMar w:header="882" w:footer="1195" w:top="1120" w:bottom="1380" w:left="1560" w:right="1060"/>
        </w:sectPr>
      </w:pPr>
    </w:p>
    <w:p>
      <w:pPr>
        <w:spacing w:line="240" w:lineRule="auto" w:before="1"/>
        <w:rPr>
          <w:rFonts w:ascii="宋体" w:hAnsi="宋体" w:cs="宋体" w:eastAsia="宋体" w:hint="default"/>
          <w:sz w:val="25"/>
          <w:szCs w:val="25"/>
        </w:rPr>
      </w:pPr>
    </w:p>
    <w:p>
      <w:pPr>
        <w:pStyle w:val="BodyText"/>
        <w:spacing w:line="240" w:lineRule="auto" w:before="36"/>
        <w:ind w:right="137"/>
        <w:jc w:val="both"/>
      </w:pPr>
      <w:r>
        <w:rPr>
          <w:spacing w:val="-2"/>
        </w:rPr>
        <w:t>当期损益或相关资产成本。如果该负债预期在职工提供相关服务的年度报告期结束后十二个月内</w:t>
      </w:r>
      <w:r>
        <w:rPr>
          <w:spacing w:val="-25"/>
        </w:rPr>
        <w:t> </w:t>
      </w:r>
      <w:r>
        <w:rPr>
          <w:spacing w:val="-25"/>
        </w:rPr>
      </w:r>
      <w:r>
        <w:rPr/>
        <w:t>不能完全支付，且财务影响重大的，则该负债将以折现后的金额计量。</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2"/>
        <w:spacing w:line="240" w:lineRule="auto" w:before="0"/>
        <w:ind w:left="138" w:right="0"/>
        <w:jc w:val="both"/>
        <w:rPr>
          <w:b w:val="0"/>
          <w:bCs w:val="0"/>
        </w:rPr>
      </w:pPr>
      <w:r>
        <w:rPr>
          <w:rFonts w:ascii="宋体" w:hAnsi="宋体" w:cs="宋体" w:eastAsia="宋体" w:hint="default"/>
        </w:rPr>
        <w:t>(2)</w:t>
      </w:r>
      <w:r>
        <w:rPr/>
        <w:t>、离职后福利的会计处理方法</w:t>
      </w:r>
      <w:r>
        <w:rPr>
          <w:b w:val="0"/>
          <w:bCs w:val="0"/>
        </w:rPr>
      </w:r>
    </w:p>
    <w:p>
      <w:pPr>
        <w:pStyle w:val="BodyText"/>
        <w:spacing w:line="237" w:lineRule="auto" w:before="119"/>
        <w:ind w:right="137"/>
        <w:jc w:val="both"/>
      </w:pPr>
      <w:r>
        <w:rPr>
          <w:spacing w:val="-2"/>
        </w:rPr>
        <w:t>离职后福利计划包括设定提存计划和设定受益计划。其中，设定提存计划，是指向独立的基金缴</w:t>
      </w:r>
      <w:r>
        <w:rPr>
          <w:spacing w:val="-25"/>
        </w:rPr>
        <w:t> </w:t>
      </w:r>
      <w:r>
        <w:rPr>
          <w:spacing w:val="-25"/>
        </w:rPr>
      </w:r>
      <w:r>
        <w:rPr>
          <w:spacing w:val="-2"/>
        </w:rPr>
        <w:t>存固定费用后，企业不再承担进一步支付义务的离职后福利计划；设定受益计划，是指除设定提</w:t>
      </w:r>
      <w:r>
        <w:rPr>
          <w:spacing w:val="-25"/>
        </w:rPr>
        <w:t> </w:t>
      </w:r>
      <w:r>
        <w:rPr>
          <w:spacing w:val="-25"/>
        </w:rPr>
      </w:r>
      <w:r>
        <w:rPr/>
        <w:t>存计划以外的离职后福利计划。</w:t>
      </w:r>
    </w:p>
    <w:p>
      <w:pPr>
        <w:spacing w:line="240" w:lineRule="auto" w:before="6"/>
        <w:rPr>
          <w:rFonts w:ascii="宋体" w:hAnsi="宋体" w:cs="宋体" w:eastAsia="宋体" w:hint="default"/>
          <w:sz w:val="16"/>
          <w:szCs w:val="16"/>
        </w:rPr>
      </w:pPr>
    </w:p>
    <w:p>
      <w:pPr>
        <w:pStyle w:val="BodyText"/>
        <w:spacing w:line="424" w:lineRule="auto"/>
        <w:ind w:right="3360"/>
        <w:jc w:val="left"/>
      </w:pPr>
      <w:r>
        <w:rPr/>
        <w:t>设定提存计划</w:t>
      </w:r>
      <w:r>
        <w:rPr>
          <w:w w:val="100"/>
        </w:rPr>
        <w:t> </w:t>
      </w:r>
      <w:r>
        <w:rPr>
          <w:spacing w:val="-2"/>
        </w:rPr>
        <w:t>设定提存计划包括基本养老保险、失业保险等。</w:t>
      </w:r>
    </w:p>
    <w:p>
      <w:pPr>
        <w:pStyle w:val="BodyText"/>
        <w:spacing w:line="272" w:lineRule="exact" w:before="81"/>
        <w:ind w:right="137"/>
        <w:jc w:val="both"/>
      </w:pPr>
      <w:r>
        <w:rPr>
          <w:spacing w:val="-2"/>
        </w:rPr>
        <w:t>在职工提供服务的会计期间，根据设定提存计划计算的应缴存金额确认为负债，并计入当期损益</w:t>
      </w:r>
      <w:r>
        <w:rPr>
          <w:spacing w:val="-25"/>
        </w:rPr>
        <w:t> </w:t>
      </w:r>
      <w:r>
        <w:rPr>
          <w:spacing w:val="-25"/>
        </w:rPr>
      </w:r>
      <w:r>
        <w:rPr/>
        <w:t>或相关资产成本。</w:t>
      </w:r>
    </w:p>
    <w:p>
      <w:pPr>
        <w:spacing w:line="240" w:lineRule="auto" w:before="7"/>
        <w:rPr>
          <w:rFonts w:ascii="宋体" w:hAnsi="宋体" w:cs="宋体" w:eastAsia="宋体" w:hint="default"/>
          <w:sz w:val="14"/>
          <w:szCs w:val="14"/>
        </w:rPr>
      </w:pPr>
    </w:p>
    <w:p>
      <w:pPr>
        <w:pStyle w:val="BodyText"/>
        <w:spacing w:line="240" w:lineRule="auto"/>
        <w:ind w:right="0"/>
        <w:jc w:val="both"/>
      </w:pPr>
      <w:r>
        <w:rPr/>
        <w:t>设定受益计划</w:t>
      </w:r>
    </w:p>
    <w:p>
      <w:pPr>
        <w:spacing w:line="240" w:lineRule="auto" w:before="3"/>
        <w:rPr>
          <w:rFonts w:ascii="宋体" w:hAnsi="宋体" w:cs="宋体" w:eastAsia="宋体" w:hint="default"/>
          <w:sz w:val="16"/>
          <w:szCs w:val="16"/>
        </w:rPr>
      </w:pPr>
    </w:p>
    <w:p>
      <w:pPr>
        <w:pStyle w:val="BodyText"/>
        <w:spacing w:line="240" w:lineRule="auto"/>
        <w:ind w:right="137"/>
        <w:jc w:val="both"/>
      </w:pPr>
      <w:r>
        <w:rPr>
          <w:spacing w:val="-2"/>
        </w:rPr>
        <w:t>对于设定受益计划，在年度资产负债表日由独立精算师进行精算估值，以预期累积福利单位法确</w:t>
      </w:r>
      <w:r>
        <w:rPr>
          <w:spacing w:val="-25"/>
        </w:rPr>
        <w:t> </w:t>
      </w:r>
      <w:r>
        <w:rPr>
          <w:spacing w:val="-25"/>
        </w:rPr>
      </w:r>
      <w:r>
        <w:rPr/>
        <w:t>定提供福利的成本。本集团设定受益计划导致的职工薪酬成本包括下列组成部分：</w:t>
      </w:r>
    </w:p>
    <w:p>
      <w:pPr>
        <w:spacing w:line="240" w:lineRule="auto" w:before="5"/>
        <w:rPr>
          <w:rFonts w:ascii="宋体" w:hAnsi="宋体" w:cs="宋体" w:eastAsia="宋体" w:hint="default"/>
          <w:sz w:val="16"/>
          <w:szCs w:val="16"/>
        </w:rPr>
      </w:pPr>
    </w:p>
    <w:p>
      <w:pPr>
        <w:pStyle w:val="BodyText"/>
        <w:spacing w:line="237" w:lineRule="auto"/>
        <w:ind w:right="137"/>
        <w:jc w:val="both"/>
      </w:pPr>
      <w:r>
        <w:rPr>
          <w:spacing w:val="-2"/>
        </w:rPr>
        <w:t>①服务成本，包括当期服务成本、过去服务成本和结算利得或损失。其中，当期服务成本，是指</w:t>
      </w:r>
      <w:r>
        <w:rPr>
          <w:spacing w:val="-26"/>
        </w:rPr>
        <w:t> </w:t>
      </w:r>
      <w:r>
        <w:rPr>
          <w:spacing w:val="-26"/>
        </w:rPr>
      </w:r>
      <w:r>
        <w:rPr>
          <w:spacing w:val="-2"/>
        </w:rPr>
        <w:t>职工当期提供服务所导致的设定受益计划义务现值的增加额；过去服务成本，是指设定受益计划</w:t>
      </w:r>
      <w:r>
        <w:rPr>
          <w:spacing w:val="-25"/>
        </w:rPr>
        <w:t> </w:t>
      </w:r>
      <w:r>
        <w:rPr>
          <w:spacing w:val="-25"/>
        </w:rPr>
      </w:r>
      <w:r>
        <w:rPr/>
        <w:t>修改所导致的与以前期间职工服务相关的设定受益计划义务现值的增加或减少。</w:t>
      </w:r>
    </w:p>
    <w:p>
      <w:pPr>
        <w:spacing w:line="240" w:lineRule="auto" w:before="8"/>
        <w:rPr>
          <w:rFonts w:ascii="宋体" w:hAnsi="宋体" w:cs="宋体" w:eastAsia="宋体" w:hint="default"/>
          <w:sz w:val="18"/>
          <w:szCs w:val="18"/>
        </w:rPr>
      </w:pPr>
    </w:p>
    <w:p>
      <w:pPr>
        <w:pStyle w:val="BodyText"/>
        <w:spacing w:line="272" w:lineRule="exact"/>
        <w:ind w:right="137"/>
        <w:jc w:val="both"/>
      </w:pPr>
      <w:r>
        <w:rPr>
          <w:spacing w:val="-2"/>
        </w:rPr>
        <w:t>②设定受益计划净负债或净资产的利息净额，包括计划资产的利息收益、设定受益计划义务的利</w:t>
      </w:r>
      <w:r>
        <w:rPr>
          <w:spacing w:val="-26"/>
        </w:rPr>
        <w:t> </w:t>
      </w:r>
      <w:r>
        <w:rPr>
          <w:spacing w:val="-26"/>
        </w:rPr>
      </w:r>
      <w:r>
        <w:rPr/>
        <w:t>息费用以及资产上限影响的利息。</w:t>
      </w:r>
    </w:p>
    <w:p>
      <w:pPr>
        <w:spacing w:line="240" w:lineRule="auto" w:before="4"/>
        <w:rPr>
          <w:rFonts w:ascii="宋体" w:hAnsi="宋体" w:cs="宋体" w:eastAsia="宋体" w:hint="default"/>
          <w:sz w:val="14"/>
          <w:szCs w:val="14"/>
        </w:rPr>
      </w:pPr>
    </w:p>
    <w:p>
      <w:pPr>
        <w:pStyle w:val="BodyText"/>
        <w:spacing w:line="240" w:lineRule="auto"/>
        <w:ind w:right="0"/>
        <w:jc w:val="both"/>
      </w:pPr>
      <w:r>
        <w:rPr/>
        <w:t>③重新计量设定受益计划净负债或净资产所产生的变动。</w:t>
      </w:r>
    </w:p>
    <w:p>
      <w:pPr>
        <w:spacing w:line="240" w:lineRule="auto" w:before="8"/>
        <w:rPr>
          <w:rFonts w:ascii="宋体" w:hAnsi="宋体" w:cs="宋体" w:eastAsia="宋体" w:hint="default"/>
          <w:sz w:val="16"/>
          <w:szCs w:val="16"/>
        </w:rPr>
      </w:pPr>
    </w:p>
    <w:p>
      <w:pPr>
        <w:pStyle w:val="BodyText"/>
        <w:spacing w:line="237" w:lineRule="auto"/>
        <w:ind w:right="137"/>
        <w:jc w:val="both"/>
      </w:pPr>
      <w:r>
        <w:rPr>
          <w:spacing w:val="-2"/>
        </w:rPr>
        <w:t>除非其他会计准则要求或允许职工福利成本计入资产成本，本集团将上述第①和②项计入当期损</w:t>
      </w:r>
      <w:r>
        <w:rPr>
          <w:spacing w:val="-25"/>
        </w:rPr>
        <w:t> </w:t>
      </w:r>
      <w:r>
        <w:rPr>
          <w:spacing w:val="-25"/>
        </w:rPr>
      </w:r>
      <w:r>
        <w:rPr>
          <w:spacing w:val="-2"/>
        </w:rPr>
        <w:t>益；第③项计入其他综合收益且不会在后续会计期间转回至损益，在原设定受益计划终止时在权</w:t>
      </w:r>
      <w:r>
        <w:rPr>
          <w:spacing w:val="-25"/>
        </w:rPr>
        <w:t> </w:t>
      </w:r>
      <w:r>
        <w:rPr>
          <w:spacing w:val="-25"/>
        </w:rPr>
      </w:r>
      <w:r>
        <w:rPr/>
        <w:t>益范围内将原计入其他综合收益的部分全部结转至未分配利润。</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2"/>
        <w:spacing w:line="240" w:lineRule="auto" w:before="0"/>
        <w:ind w:left="138" w:right="0"/>
        <w:jc w:val="both"/>
        <w:rPr>
          <w:b w:val="0"/>
          <w:bCs w:val="0"/>
        </w:rPr>
      </w:pPr>
      <w:r>
        <w:rPr>
          <w:rFonts w:ascii="宋体" w:hAnsi="宋体" w:cs="宋体" w:eastAsia="宋体" w:hint="default"/>
        </w:rPr>
        <w:t>(3)</w:t>
      </w:r>
      <w:r>
        <w:rPr/>
        <w:t>、辞退福利的会计处理方法</w:t>
      </w:r>
      <w:r>
        <w:rPr>
          <w:b w:val="0"/>
          <w:bCs w:val="0"/>
        </w:rPr>
      </w:r>
    </w:p>
    <w:p>
      <w:pPr>
        <w:pStyle w:val="BodyText"/>
        <w:spacing w:line="237" w:lineRule="auto" w:before="119"/>
        <w:ind w:right="137"/>
        <w:jc w:val="both"/>
      </w:pPr>
      <w:r>
        <w:rPr>
          <w:spacing w:val="-2"/>
        </w:rPr>
        <w:t>本集团向职工提供辞退福利的，在下列两者孰早日确认辞退福利产生的职工薪酬负债，并计入当</w:t>
      </w:r>
      <w:r>
        <w:rPr>
          <w:spacing w:val="-25"/>
        </w:rPr>
        <w:t> </w:t>
      </w:r>
      <w:r>
        <w:rPr>
          <w:spacing w:val="-25"/>
        </w:rPr>
      </w:r>
      <w:r>
        <w:rPr>
          <w:spacing w:val="-2"/>
        </w:rPr>
        <w:t>期损益：本集团不能单方面撤回因解除劳动关系计划或裁减建议所提供的辞退福利时；本集团确</w:t>
      </w:r>
      <w:r>
        <w:rPr>
          <w:spacing w:val="-25"/>
        </w:rPr>
        <w:t> </w:t>
      </w:r>
      <w:r>
        <w:rPr>
          <w:spacing w:val="-25"/>
        </w:rPr>
      </w:r>
      <w:r>
        <w:rPr/>
        <w:t>认与涉及支付辞退福利的重组相关的成本或费用时。</w:t>
      </w:r>
    </w:p>
    <w:p>
      <w:pPr>
        <w:spacing w:line="240" w:lineRule="auto" w:before="8"/>
        <w:rPr>
          <w:rFonts w:ascii="宋体" w:hAnsi="宋体" w:cs="宋体" w:eastAsia="宋体" w:hint="default"/>
          <w:sz w:val="16"/>
          <w:szCs w:val="16"/>
        </w:rPr>
      </w:pPr>
    </w:p>
    <w:p>
      <w:pPr>
        <w:pStyle w:val="BodyText"/>
        <w:spacing w:line="237" w:lineRule="auto"/>
        <w:ind w:right="137"/>
        <w:jc w:val="both"/>
      </w:pPr>
      <w:r>
        <w:rPr>
          <w:spacing w:val="-2"/>
        </w:rPr>
        <w:t>实行职工内部退休计划的，在正式退休日之前的经济补偿，属于辞退福利，自职工停止提供服务</w:t>
      </w:r>
      <w:r>
        <w:rPr>
          <w:spacing w:val="-25"/>
        </w:rPr>
        <w:t> </w:t>
      </w:r>
      <w:r>
        <w:rPr>
          <w:spacing w:val="-25"/>
        </w:rPr>
      </w:r>
      <w:r>
        <w:rPr>
          <w:spacing w:val="-2"/>
        </w:rPr>
        <w:t>日至正常退休日期间，拟支付的内退职工工资和缴纳的社会保险费等一次性计入当期损益。正式</w:t>
      </w:r>
      <w:r>
        <w:rPr>
          <w:spacing w:val="-25"/>
        </w:rPr>
        <w:t> </w:t>
      </w:r>
      <w:r>
        <w:rPr>
          <w:spacing w:val="-25"/>
        </w:rPr>
      </w:r>
      <w:r>
        <w:rPr/>
        <w:t>退休日期之后的经济补偿（如正常养老退休金），按照离职后福利处理。</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2"/>
        <w:spacing w:line="240" w:lineRule="auto" w:before="0"/>
        <w:ind w:left="138" w:right="0"/>
        <w:jc w:val="both"/>
        <w:rPr>
          <w:b w:val="0"/>
          <w:bCs w:val="0"/>
        </w:rPr>
      </w:pPr>
      <w:r>
        <w:rPr>
          <w:rFonts w:ascii="宋体" w:hAnsi="宋体" w:cs="宋体" w:eastAsia="宋体" w:hint="default"/>
        </w:rPr>
        <w:t>(4)</w:t>
      </w:r>
      <w:r>
        <w:rPr/>
        <w:t>、其他长期职工福利的会计处理方法</w:t>
      </w:r>
      <w:r>
        <w:rPr>
          <w:b w:val="0"/>
          <w:bCs w:val="0"/>
        </w:rPr>
      </w:r>
    </w:p>
    <w:p>
      <w:pPr>
        <w:pStyle w:val="BodyText"/>
        <w:spacing w:line="237" w:lineRule="auto" w:before="119"/>
        <w:ind w:right="137"/>
        <w:jc w:val="both"/>
      </w:pPr>
      <w:r>
        <w:rPr>
          <w:spacing w:val="-2"/>
        </w:rPr>
        <w:t>本集团向职工提供的其他长期职工福利，符合设定提存计划条件的，按照上述关于设定提存计划</w:t>
      </w:r>
      <w:r>
        <w:rPr>
          <w:spacing w:val="-25"/>
        </w:rPr>
        <w:t> </w:t>
      </w:r>
      <w:r>
        <w:rPr>
          <w:spacing w:val="-25"/>
        </w:rPr>
      </w:r>
      <w:r>
        <w:rPr>
          <w:spacing w:val="-2"/>
        </w:rPr>
        <w:t>的有关规定进行处理。符合设定受益计划的，按照上述关于设定受益计划的有关规定进行处理，</w:t>
      </w:r>
      <w:r>
        <w:rPr>
          <w:spacing w:val="-25"/>
        </w:rPr>
        <w:t> </w:t>
      </w:r>
      <w:r>
        <w:rPr>
          <w:spacing w:val="-25"/>
        </w:rPr>
      </w:r>
      <w:r>
        <w:rPr>
          <w:spacing w:val="-2"/>
        </w:rPr>
        <w:t>但相关职工薪酬成本中“重新计量设定受益计划净负债或净资产所产生的变动”部分计入当期损</w:t>
      </w:r>
      <w:r>
        <w:rPr>
          <w:spacing w:val="-25"/>
        </w:rPr>
        <w:t> </w:t>
      </w:r>
      <w:r>
        <w:rPr>
          <w:spacing w:val="-25"/>
        </w:rPr>
      </w:r>
      <w:r>
        <w:rPr/>
        <w:t>益或相关资产成本。</w:t>
      </w:r>
    </w:p>
    <w:p>
      <w:pPr>
        <w:spacing w:after="0" w:line="237" w:lineRule="auto"/>
        <w:jc w:val="both"/>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line="319" w:lineRule="auto" w:before="0"/>
        <w:ind w:left="538" w:right="744" w:firstLine="0"/>
        <w:jc w:val="left"/>
        <w:rPr>
          <w:rFonts w:ascii="宋体" w:hAnsi="宋体" w:cs="宋体" w:eastAsia="宋体" w:hint="default"/>
          <w:sz w:val="21"/>
          <w:szCs w:val="21"/>
        </w:rPr>
      </w:pPr>
      <w:r>
        <w:rPr>
          <w:rFonts w:ascii="Calibri" w:hAnsi="Calibri" w:cs="Calibri" w:eastAsia="Calibri" w:hint="default"/>
          <w:b/>
          <w:bCs/>
          <w:sz w:val="21"/>
          <w:szCs w:val="21"/>
        </w:rPr>
        <w:t>22.</w:t>
      </w:r>
      <w:r>
        <w:rPr>
          <w:rFonts w:ascii="Calibri" w:hAnsi="Calibri" w:cs="Calibri" w:eastAsia="Calibri" w:hint="default"/>
          <w:b/>
          <w:bCs/>
          <w:spacing w:val="12"/>
          <w:sz w:val="21"/>
          <w:szCs w:val="21"/>
        </w:rPr>
        <w:t> </w:t>
      </w:r>
      <w:r>
        <w:rPr>
          <w:rFonts w:ascii="宋体" w:hAnsi="宋体" w:cs="宋体" w:eastAsia="宋体" w:hint="default"/>
          <w:b/>
          <w:bCs/>
          <w:sz w:val="21"/>
          <w:szCs w:val="21"/>
        </w:rPr>
        <w:t>预计负债</w:t>
      </w:r>
      <w:r>
        <w:rPr>
          <w:rFonts w:ascii="宋体" w:hAnsi="宋体" w:cs="宋体" w:eastAsia="宋体" w:hint="default"/>
          <w:b/>
          <w:bCs/>
          <w:w w:val="100"/>
          <w:sz w:val="21"/>
          <w:szCs w:val="21"/>
        </w:rPr>
        <w:t> </w:t>
      </w:r>
      <w:r>
        <w:rPr>
          <w:rFonts w:ascii="宋体" w:hAnsi="宋体" w:cs="宋体" w:eastAsia="宋体" w:hint="default"/>
          <w:spacing w:val="-2"/>
          <w:sz w:val="21"/>
          <w:szCs w:val="21"/>
        </w:rPr>
        <w:t>如果与或有事项相关的义务同时符合以下条件，本集团将其确认为预计负债：</w:t>
      </w:r>
    </w:p>
    <w:p>
      <w:pPr>
        <w:spacing w:line="240" w:lineRule="auto" w:before="3"/>
        <w:rPr>
          <w:rFonts w:ascii="宋体" w:hAnsi="宋体" w:cs="宋体" w:eastAsia="宋体" w:hint="default"/>
          <w:sz w:val="16"/>
          <w:szCs w:val="16"/>
        </w:rPr>
      </w:pPr>
    </w:p>
    <w:p>
      <w:pPr>
        <w:pStyle w:val="BodyText"/>
        <w:spacing w:line="240" w:lineRule="auto"/>
        <w:ind w:left="538" w:right="0"/>
        <w:jc w:val="both"/>
      </w:pPr>
      <w:r>
        <w:rPr/>
        <w:t>（</w:t>
      </w:r>
      <w:r>
        <w:rPr>
          <w:rFonts w:ascii="宋体" w:hAnsi="宋体" w:cs="宋体" w:eastAsia="宋体" w:hint="default"/>
        </w:rPr>
        <w:t>1</w:t>
      </w:r>
      <w:r>
        <w:rPr/>
        <w:t>）该义务是本集团承担的现时义务；</w:t>
      </w:r>
    </w:p>
    <w:p>
      <w:pPr>
        <w:spacing w:line="240" w:lineRule="auto" w:before="5"/>
        <w:rPr>
          <w:rFonts w:ascii="宋体" w:hAnsi="宋体" w:cs="宋体" w:eastAsia="宋体" w:hint="default"/>
          <w:sz w:val="21"/>
          <w:szCs w:val="21"/>
        </w:rPr>
      </w:pPr>
    </w:p>
    <w:p>
      <w:pPr>
        <w:pStyle w:val="BodyText"/>
        <w:spacing w:line="240" w:lineRule="auto"/>
        <w:ind w:left="538" w:right="0"/>
        <w:jc w:val="both"/>
      </w:pPr>
      <w:r>
        <w:rPr/>
        <w:t>（</w:t>
      </w:r>
      <w:r>
        <w:rPr>
          <w:rFonts w:ascii="宋体" w:hAnsi="宋体" w:cs="宋体" w:eastAsia="宋体" w:hint="default"/>
        </w:rPr>
        <w:t>2</w:t>
      </w:r>
      <w:r>
        <w:rPr/>
        <w:t>）该义务的履行很可能导致经济利益流出本集团；</w:t>
      </w:r>
    </w:p>
    <w:p>
      <w:pPr>
        <w:spacing w:line="240" w:lineRule="auto" w:before="7"/>
        <w:rPr>
          <w:rFonts w:ascii="宋体" w:hAnsi="宋体" w:cs="宋体" w:eastAsia="宋体" w:hint="default"/>
          <w:sz w:val="21"/>
          <w:szCs w:val="21"/>
        </w:rPr>
      </w:pPr>
    </w:p>
    <w:p>
      <w:pPr>
        <w:pStyle w:val="BodyText"/>
        <w:spacing w:line="240" w:lineRule="auto"/>
        <w:ind w:left="538" w:right="0"/>
        <w:jc w:val="both"/>
      </w:pPr>
      <w:r>
        <w:rPr/>
        <w:t>（</w:t>
      </w:r>
      <w:r>
        <w:rPr>
          <w:rFonts w:ascii="宋体" w:hAnsi="宋体" w:cs="宋体" w:eastAsia="宋体" w:hint="default"/>
        </w:rPr>
        <w:t>3</w:t>
      </w:r>
      <w:r>
        <w:rPr/>
        <w:t>）该义务的金额能够可靠地计量。</w:t>
      </w:r>
    </w:p>
    <w:p>
      <w:pPr>
        <w:spacing w:line="240" w:lineRule="auto" w:before="8"/>
        <w:rPr>
          <w:rFonts w:ascii="宋体" w:hAnsi="宋体" w:cs="宋体" w:eastAsia="宋体" w:hint="default"/>
          <w:sz w:val="21"/>
          <w:szCs w:val="21"/>
        </w:rPr>
      </w:pPr>
    </w:p>
    <w:p>
      <w:pPr>
        <w:pStyle w:val="BodyText"/>
        <w:spacing w:line="297" w:lineRule="auto"/>
        <w:ind w:left="538" w:right="137"/>
        <w:jc w:val="both"/>
      </w:pPr>
      <w:r>
        <w:rPr>
          <w:spacing w:val="-2"/>
        </w:rPr>
        <w:t>预计负债按照履行相关现时义务所需支出的最佳估计数进行初始计量，并综合考虑与或有事项有</w:t>
      </w:r>
      <w:r>
        <w:rPr>
          <w:spacing w:val="-25"/>
        </w:rPr>
        <w:t> </w:t>
      </w:r>
      <w:r>
        <w:rPr>
          <w:spacing w:val="-25"/>
        </w:rPr>
      </w:r>
      <w:r>
        <w:rPr>
          <w:spacing w:val="-2"/>
        </w:rPr>
        <w:t>关的风险、不确定性和货币时间价值等因素。货币时间价值影响重大的，通过对相关未来现金流</w:t>
      </w:r>
      <w:r>
        <w:rPr>
          <w:spacing w:val="-25"/>
        </w:rPr>
        <w:t> </w:t>
      </w:r>
      <w:r>
        <w:rPr>
          <w:spacing w:val="-25"/>
        </w:rPr>
      </w:r>
      <w:r>
        <w:rPr>
          <w:spacing w:val="-2"/>
        </w:rPr>
        <w:t>出进行折现后确定最佳估计数。本集团于资产负债表日对预计负债的账面价值进行复核，并对账</w:t>
      </w:r>
      <w:r>
        <w:rPr>
          <w:spacing w:val="-25"/>
        </w:rPr>
        <w:t> </w:t>
      </w:r>
      <w:r>
        <w:rPr>
          <w:spacing w:val="-25"/>
        </w:rPr>
      </w:r>
      <w:r>
        <w:rPr/>
        <w:t>面价值进行调整以反映当前最佳估计数。</w:t>
      </w:r>
    </w:p>
    <w:p>
      <w:pPr>
        <w:spacing w:line="240" w:lineRule="auto" w:before="7"/>
        <w:rPr>
          <w:rFonts w:ascii="宋体" w:hAnsi="宋体" w:cs="宋体" w:eastAsia="宋体" w:hint="default"/>
          <w:sz w:val="17"/>
          <w:szCs w:val="17"/>
        </w:rPr>
      </w:pPr>
    </w:p>
    <w:p>
      <w:pPr>
        <w:pStyle w:val="BodyText"/>
        <w:spacing w:line="297" w:lineRule="auto"/>
        <w:ind w:left="538" w:right="137"/>
        <w:jc w:val="both"/>
      </w:pPr>
      <w:r>
        <w:rPr>
          <w:spacing w:val="-2"/>
        </w:rPr>
        <w:t>如果清偿已确认预计负债所需支出全部或部分预期由第三方或其他方补偿，则补偿金额只能在基</w:t>
      </w:r>
      <w:r>
        <w:rPr>
          <w:spacing w:val="-25"/>
        </w:rPr>
        <w:t> </w:t>
      </w:r>
      <w:r>
        <w:rPr>
          <w:spacing w:val="-25"/>
        </w:rPr>
      </w:r>
      <w:r>
        <w:rPr/>
        <w:t>本确定能收到时，作为资产单独确认。确认的补偿金额不超过所确认负债的账面价值。</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2"/>
        <w:spacing w:line="240" w:lineRule="auto" w:before="0"/>
        <w:ind w:left="538" w:right="0"/>
        <w:jc w:val="both"/>
        <w:rPr>
          <w:b w:val="0"/>
          <w:bCs w:val="0"/>
        </w:rPr>
      </w:pPr>
      <w:r>
        <w:rPr>
          <w:rFonts w:ascii="Calibri" w:hAnsi="Calibri" w:cs="Calibri" w:eastAsia="Calibri" w:hint="default"/>
        </w:rPr>
        <w:t>23.  </w:t>
      </w:r>
      <w:r>
        <w:rPr>
          <w:rFonts w:ascii="Calibri" w:hAnsi="Calibri" w:cs="Calibri" w:eastAsia="Calibri" w:hint="default"/>
          <w:spacing w:val="12"/>
        </w:rPr>
        <w:t> </w:t>
      </w:r>
      <w:r>
        <w:rPr/>
        <w:t>收入</w:t>
      </w:r>
      <w:r>
        <w:rPr>
          <w:b w:val="0"/>
          <w:bCs w:val="0"/>
        </w:rPr>
      </w:r>
    </w:p>
    <w:p>
      <w:pPr>
        <w:pStyle w:val="BodyText"/>
        <w:spacing w:line="240" w:lineRule="auto" w:before="29"/>
        <w:ind w:left="118" w:right="744"/>
        <w:jc w:val="left"/>
      </w:pPr>
      <w:r>
        <w:rPr/>
        <w:t>（</w:t>
      </w:r>
      <w:r>
        <w:rPr>
          <w:rFonts w:ascii="宋体" w:hAnsi="宋体" w:cs="宋体" w:eastAsia="宋体" w:hint="default"/>
        </w:rPr>
        <w:t>1</w:t>
      </w:r>
      <w:r>
        <w:rPr/>
        <w:t>）一般原则</w:t>
      </w:r>
    </w:p>
    <w:p>
      <w:pPr>
        <w:spacing w:line="240" w:lineRule="auto" w:before="8"/>
        <w:rPr>
          <w:rFonts w:ascii="宋体" w:hAnsi="宋体" w:cs="宋体" w:eastAsia="宋体" w:hint="default"/>
          <w:sz w:val="21"/>
          <w:szCs w:val="21"/>
        </w:rPr>
      </w:pPr>
    </w:p>
    <w:p>
      <w:pPr>
        <w:pStyle w:val="BodyText"/>
        <w:spacing w:line="240" w:lineRule="auto"/>
        <w:ind w:left="538" w:right="0"/>
        <w:jc w:val="both"/>
      </w:pPr>
      <w:r>
        <w:rPr/>
        <w:t>①销售商品</w:t>
      </w:r>
    </w:p>
    <w:p>
      <w:pPr>
        <w:spacing w:line="240" w:lineRule="auto" w:before="7"/>
        <w:rPr>
          <w:rFonts w:ascii="宋体" w:hAnsi="宋体" w:cs="宋体" w:eastAsia="宋体" w:hint="default"/>
          <w:sz w:val="21"/>
          <w:szCs w:val="21"/>
        </w:rPr>
      </w:pPr>
    </w:p>
    <w:p>
      <w:pPr>
        <w:pStyle w:val="BodyText"/>
        <w:spacing w:line="297" w:lineRule="auto"/>
        <w:ind w:left="538" w:right="137"/>
        <w:jc w:val="both"/>
      </w:pPr>
      <w:r>
        <w:rPr>
          <w:spacing w:val="-2"/>
        </w:rPr>
        <w:t>在已将商品所有权上的主要风险和报酬转移给购货方，既没有保留通常与所有权相联系的继续管</w:t>
      </w:r>
      <w:r>
        <w:rPr>
          <w:spacing w:val="-25"/>
        </w:rPr>
        <w:t> </w:t>
      </w:r>
      <w:r>
        <w:rPr>
          <w:spacing w:val="-25"/>
        </w:rPr>
      </w:r>
      <w:r>
        <w:rPr>
          <w:spacing w:val="-2"/>
        </w:rPr>
        <w:t>理权，也没有对已售商品实施有效控制，收入的金额能够可靠地计量，相关的经济利益很可能流</w:t>
      </w:r>
      <w:r>
        <w:rPr>
          <w:spacing w:val="-25"/>
        </w:rPr>
        <w:t> </w:t>
      </w:r>
      <w:r>
        <w:rPr>
          <w:spacing w:val="-25"/>
        </w:rPr>
      </w:r>
      <w:r>
        <w:rPr/>
        <w:t>入企业，相关的已发生或将发生的成本能够可靠地计量时，确认商品销售收入的实现。</w:t>
      </w:r>
    </w:p>
    <w:p>
      <w:pPr>
        <w:spacing w:line="240" w:lineRule="auto" w:before="9"/>
        <w:rPr>
          <w:rFonts w:ascii="宋体" w:hAnsi="宋体" w:cs="宋体" w:eastAsia="宋体" w:hint="default"/>
          <w:sz w:val="17"/>
          <w:szCs w:val="17"/>
        </w:rPr>
      </w:pPr>
    </w:p>
    <w:p>
      <w:pPr>
        <w:pStyle w:val="BodyText"/>
        <w:spacing w:line="240" w:lineRule="auto"/>
        <w:ind w:left="538" w:right="0"/>
        <w:jc w:val="both"/>
      </w:pPr>
      <w:r>
        <w:rPr/>
        <w:t>②提供劳务</w:t>
      </w:r>
    </w:p>
    <w:p>
      <w:pPr>
        <w:spacing w:line="240" w:lineRule="auto" w:before="5"/>
        <w:rPr>
          <w:rFonts w:ascii="宋体" w:hAnsi="宋体" w:cs="宋体" w:eastAsia="宋体" w:hint="default"/>
          <w:sz w:val="21"/>
          <w:szCs w:val="21"/>
        </w:rPr>
      </w:pPr>
    </w:p>
    <w:p>
      <w:pPr>
        <w:pStyle w:val="BodyText"/>
        <w:spacing w:line="297" w:lineRule="auto"/>
        <w:ind w:left="538" w:right="137"/>
        <w:jc w:val="both"/>
      </w:pPr>
      <w:r>
        <w:rPr>
          <w:spacing w:val="-2"/>
        </w:rPr>
        <w:t>对在提供劳务交易的结果能够可靠估计的情况下，本集团于资产负债表日按完工百分比法确认收</w:t>
      </w:r>
      <w:r>
        <w:rPr>
          <w:spacing w:val="-25"/>
        </w:rPr>
        <w:t> </w:t>
      </w:r>
      <w:r>
        <w:rPr>
          <w:spacing w:val="-25"/>
        </w:rPr>
      </w:r>
      <w:r>
        <w:rPr/>
        <w:t>入。</w:t>
      </w:r>
    </w:p>
    <w:p>
      <w:pPr>
        <w:pStyle w:val="BodyText"/>
        <w:spacing w:line="240" w:lineRule="auto" w:before="165"/>
        <w:ind w:left="538" w:right="0"/>
        <w:jc w:val="both"/>
      </w:pPr>
      <w:r>
        <w:rPr/>
        <w:t>劳务交易的完工进度按已经完成的合同工作量占合同预计总工作量的比例确定。</w:t>
      </w:r>
    </w:p>
    <w:p>
      <w:pPr>
        <w:spacing w:line="240" w:lineRule="auto" w:before="5"/>
        <w:rPr>
          <w:rFonts w:ascii="宋体" w:hAnsi="宋体" w:cs="宋体" w:eastAsia="宋体" w:hint="default"/>
          <w:sz w:val="16"/>
          <w:szCs w:val="16"/>
        </w:rPr>
      </w:pPr>
    </w:p>
    <w:p>
      <w:pPr>
        <w:pStyle w:val="BodyText"/>
        <w:spacing w:line="237" w:lineRule="auto"/>
        <w:ind w:left="538" w:right="137"/>
        <w:jc w:val="both"/>
      </w:pPr>
      <w:r>
        <w:rPr>
          <w:spacing w:val="-2"/>
        </w:rPr>
        <w:t>提供劳务交易的结果能够可靠估计是指同时满足：</w:t>
      </w:r>
      <w:r>
        <w:rPr>
          <w:rFonts w:ascii="宋体" w:hAnsi="宋体" w:cs="宋体" w:eastAsia="宋体" w:hint="default"/>
          <w:spacing w:val="-2"/>
        </w:rPr>
        <w:t>A</w:t>
      </w:r>
      <w:r>
        <w:rPr>
          <w:spacing w:val="-2"/>
        </w:rPr>
        <w:t>、收入的金额能够可靠地计量；</w:t>
      </w:r>
      <w:r>
        <w:rPr>
          <w:rFonts w:ascii="宋体" w:hAnsi="宋体" w:cs="宋体" w:eastAsia="宋体" w:hint="default"/>
          <w:spacing w:val="-2"/>
        </w:rPr>
        <w:t>B</w:t>
      </w:r>
      <w:r>
        <w:rPr>
          <w:spacing w:val="-2"/>
        </w:rPr>
        <w:t>、相关的经</w:t>
      </w:r>
      <w:r>
        <w:rPr>
          <w:spacing w:val="-26"/>
        </w:rPr>
        <w:t> </w:t>
      </w:r>
      <w:r>
        <w:rPr>
          <w:spacing w:val="-26"/>
        </w:rPr>
      </w:r>
      <w:r>
        <w:rPr>
          <w:spacing w:val="-2"/>
        </w:rPr>
        <w:t>济利益很可能流入企业；</w:t>
      </w:r>
      <w:r>
        <w:rPr>
          <w:rFonts w:ascii="宋体" w:hAnsi="宋体" w:cs="宋体" w:eastAsia="宋体" w:hint="default"/>
          <w:spacing w:val="-2"/>
        </w:rPr>
        <w:t>C</w:t>
      </w:r>
      <w:r>
        <w:rPr>
          <w:spacing w:val="-2"/>
        </w:rPr>
        <w:t>、交易的完工程度能够可靠地确定；</w:t>
      </w:r>
      <w:r>
        <w:rPr>
          <w:rFonts w:ascii="宋体" w:hAnsi="宋体" w:cs="宋体" w:eastAsia="宋体" w:hint="default"/>
          <w:spacing w:val="-2"/>
        </w:rPr>
        <w:t>D</w:t>
      </w:r>
      <w:r>
        <w:rPr>
          <w:spacing w:val="-2"/>
        </w:rPr>
        <w:t>、交易中已发生和将发生的成本</w:t>
      </w:r>
      <w:r>
        <w:rPr>
          <w:spacing w:val="-29"/>
        </w:rPr>
        <w:t> </w:t>
      </w:r>
      <w:r>
        <w:rPr>
          <w:spacing w:val="-29"/>
        </w:rPr>
      </w:r>
      <w:r>
        <w:rPr/>
        <w:t>能够可靠地计量。</w:t>
      </w:r>
    </w:p>
    <w:p>
      <w:pPr>
        <w:spacing w:line="240" w:lineRule="auto" w:before="7"/>
        <w:rPr>
          <w:rFonts w:ascii="宋体" w:hAnsi="宋体" w:cs="宋体" w:eastAsia="宋体" w:hint="default"/>
          <w:sz w:val="21"/>
          <w:szCs w:val="21"/>
        </w:rPr>
      </w:pPr>
    </w:p>
    <w:p>
      <w:pPr>
        <w:pStyle w:val="BodyText"/>
        <w:spacing w:line="297" w:lineRule="auto"/>
        <w:ind w:left="538" w:right="137"/>
        <w:jc w:val="both"/>
      </w:pPr>
      <w:r>
        <w:rPr>
          <w:spacing w:val="-2"/>
        </w:rPr>
        <w:t>如果提供劳务交易的结果不能够可靠估计，则按已经发生并预计能够得到补偿的劳务成本金额确</w:t>
      </w:r>
      <w:r>
        <w:rPr>
          <w:spacing w:val="-25"/>
        </w:rPr>
        <w:t> </w:t>
      </w:r>
      <w:r>
        <w:rPr>
          <w:spacing w:val="-25"/>
        </w:rPr>
      </w:r>
      <w:r>
        <w:rPr>
          <w:spacing w:val="-2"/>
        </w:rPr>
        <w:t>认提供的劳务收入，并将已发生的劳务成本作为当期费用。已经发生的劳务成本如预计不能得到</w:t>
      </w:r>
      <w:r>
        <w:rPr>
          <w:spacing w:val="-25"/>
        </w:rPr>
        <w:t> </w:t>
      </w:r>
      <w:r>
        <w:rPr>
          <w:spacing w:val="-25"/>
        </w:rPr>
      </w:r>
      <w:r>
        <w:rPr/>
        <w:t>补偿的，则不确认收入。</w:t>
      </w:r>
    </w:p>
    <w:p>
      <w:pPr>
        <w:spacing w:line="240" w:lineRule="auto" w:before="9"/>
        <w:rPr>
          <w:rFonts w:ascii="宋体" w:hAnsi="宋体" w:cs="宋体" w:eastAsia="宋体" w:hint="default"/>
          <w:sz w:val="17"/>
          <w:szCs w:val="17"/>
        </w:rPr>
      </w:pPr>
    </w:p>
    <w:p>
      <w:pPr>
        <w:pStyle w:val="BodyText"/>
        <w:spacing w:line="424" w:lineRule="auto"/>
        <w:ind w:left="538" w:right="137"/>
        <w:jc w:val="both"/>
      </w:pPr>
      <w:r>
        <w:rPr/>
        <w:t>③让渡资产使用权</w:t>
      </w:r>
      <w:r>
        <w:rPr>
          <w:w w:val="100"/>
        </w:rPr>
        <w:t> </w:t>
      </w:r>
      <w:r>
        <w:rPr>
          <w:spacing w:val="-2"/>
        </w:rPr>
        <w:t>与资产使用权让渡相关的经济利益能够流入及收入的金额能够可靠地计量时，本集团确认收入。</w:t>
      </w:r>
    </w:p>
    <w:p>
      <w:pPr>
        <w:spacing w:after="0" w:line="424" w:lineRule="auto"/>
        <w:jc w:val="both"/>
        <w:sectPr>
          <w:pgSz w:w="11910" w:h="16840"/>
          <w:pgMar w:header="882" w:footer="1195" w:top="1120" w:bottom="1380" w:left="1260" w:right="1140"/>
        </w:sectPr>
      </w:pPr>
    </w:p>
    <w:p>
      <w:pPr>
        <w:spacing w:line="240" w:lineRule="auto" w:before="1"/>
        <w:rPr>
          <w:rFonts w:ascii="宋体" w:hAnsi="宋体" w:cs="宋体" w:eastAsia="宋体" w:hint="default"/>
          <w:sz w:val="25"/>
          <w:szCs w:val="25"/>
        </w:rPr>
      </w:pPr>
    </w:p>
    <w:p>
      <w:pPr>
        <w:pStyle w:val="BodyText"/>
        <w:spacing w:line="240" w:lineRule="auto" w:before="36"/>
        <w:ind w:left="118" w:right="0"/>
        <w:jc w:val="left"/>
      </w:pPr>
      <w:r>
        <w:rPr/>
        <w:t>（</w:t>
      </w:r>
      <w:r>
        <w:rPr>
          <w:rFonts w:ascii="宋体" w:hAnsi="宋体" w:cs="宋体" w:eastAsia="宋体" w:hint="default"/>
        </w:rPr>
        <w:t>2</w:t>
      </w:r>
      <w:r>
        <w:rPr/>
        <w:t>）收入确认的具体方法</w:t>
      </w:r>
    </w:p>
    <w:p>
      <w:pPr>
        <w:spacing w:line="240" w:lineRule="auto" w:before="7"/>
        <w:rPr>
          <w:rFonts w:ascii="宋体" w:hAnsi="宋体" w:cs="宋体" w:eastAsia="宋体" w:hint="default"/>
          <w:sz w:val="21"/>
          <w:szCs w:val="21"/>
        </w:rPr>
      </w:pPr>
    </w:p>
    <w:p>
      <w:pPr>
        <w:pStyle w:val="BodyText"/>
        <w:spacing w:line="297" w:lineRule="auto"/>
        <w:ind w:left="538" w:right="0"/>
        <w:jc w:val="left"/>
      </w:pPr>
      <w:r>
        <w:rPr>
          <w:spacing w:val="-4"/>
        </w:rPr>
        <w:t>本集团主要业务为提供港口装卸、堆存、港务管理、代理等服务。港口费收入的定价采取“ </w:t>
      </w:r>
      <w:r>
        <w:rPr/>
        <w:t>大包</w:t>
      </w:r>
      <w:r>
        <w:rPr>
          <w:spacing w:val="-42"/>
        </w:rPr>
        <w:t> </w:t>
      </w:r>
      <w:r>
        <w:rPr>
          <w:spacing w:val="-42"/>
        </w:rPr>
      </w:r>
      <w:r>
        <w:rPr>
          <w:spacing w:val="-1"/>
          <w:w w:val="100"/>
        </w:rPr>
        <w:t>干”</w:t>
      </w:r>
      <w:r>
        <w:rPr>
          <w:spacing w:val="25"/>
          <w:w w:val="100"/>
        </w:rPr>
        <w:t> </w:t>
      </w:r>
      <w:r>
        <w:rPr>
          <w:spacing w:val="-7"/>
          <w:w w:val="100"/>
        </w:rPr>
        <w:t>方法，包括货物从到港至离港整个过程提供的服务。港口费收入的核算原则按“船次”结算，</w:t>
      </w:r>
      <w:r>
        <w:rPr>
          <w:spacing w:val="-100"/>
          <w:w w:val="100"/>
        </w:rPr>
        <w:t> </w:t>
      </w:r>
      <w:r>
        <w:rPr>
          <w:spacing w:val="-100"/>
          <w:w w:val="100"/>
        </w:rPr>
      </w:r>
      <w:r>
        <w:rPr/>
        <w:t>在完成整船货物出库离港作业当日确认收入。</w:t>
      </w:r>
    </w:p>
    <w:p>
      <w:pPr>
        <w:pStyle w:val="BodyText"/>
        <w:spacing w:line="237" w:lineRule="auto" w:before="167"/>
        <w:ind w:left="538" w:right="217"/>
        <w:jc w:val="both"/>
      </w:pPr>
      <w:r>
        <w:rPr>
          <w:spacing w:val="-2"/>
        </w:rPr>
        <w:t>对出港船舶，本公司向货方收取的港口作业包干费以及向船方收取的停泊费等，在整船装船完毕</w:t>
      </w:r>
      <w:r>
        <w:rPr>
          <w:spacing w:val="-25"/>
        </w:rPr>
        <w:t> </w:t>
      </w:r>
      <w:r>
        <w:rPr>
          <w:spacing w:val="-25"/>
        </w:rPr>
      </w:r>
      <w:r>
        <w:rPr>
          <w:spacing w:val="-2"/>
        </w:rPr>
        <w:t>后确认有关港口费收入的实现；对进港船舶，向船方收取的费用在整船卸船完毕后确认有关港口</w:t>
      </w:r>
      <w:r>
        <w:rPr>
          <w:spacing w:val="-25"/>
        </w:rPr>
        <w:t> </w:t>
      </w:r>
      <w:r>
        <w:rPr>
          <w:spacing w:val="-25"/>
        </w:rPr>
      </w:r>
      <w:r>
        <w:rPr/>
        <w:t>费收入的实现，向货方收取的费用在收货人提货后确认收入的实现。</w:t>
      </w:r>
    </w:p>
    <w:p>
      <w:pPr>
        <w:pStyle w:val="BodyText"/>
        <w:spacing w:line="240" w:lineRule="auto" w:before="116"/>
        <w:ind w:left="538" w:right="217"/>
        <w:jc w:val="both"/>
      </w:pPr>
      <w:r>
        <w:rPr>
          <w:spacing w:val="-2"/>
        </w:rPr>
        <w:t>堆存收入指本集团为客户提供货物在港堆存劳务而取得的收入，按照货物在港堆存吨天数和对应</w:t>
      </w:r>
      <w:r>
        <w:rPr>
          <w:spacing w:val="-26"/>
        </w:rPr>
        <w:t> </w:t>
      </w:r>
      <w:r>
        <w:rPr>
          <w:spacing w:val="-26"/>
        </w:rPr>
      </w:r>
      <w:r>
        <w:rPr/>
        <w:t>的计费标准进行收费确认收入。</w:t>
      </w:r>
    </w:p>
    <w:p>
      <w:pPr>
        <w:spacing w:line="240" w:lineRule="auto" w:before="4"/>
        <w:rPr>
          <w:rFonts w:ascii="宋体" w:hAnsi="宋体" w:cs="宋体" w:eastAsia="宋体" w:hint="default"/>
          <w:sz w:val="16"/>
          <w:szCs w:val="16"/>
        </w:rPr>
      </w:pPr>
    </w:p>
    <w:p>
      <w:pPr>
        <w:pStyle w:val="BodyText"/>
        <w:spacing w:line="240" w:lineRule="auto"/>
        <w:ind w:left="538" w:right="0"/>
        <w:jc w:val="both"/>
      </w:pPr>
      <w:r>
        <w:rPr/>
        <w:t>船方业务主要是公司用自备拖轮提供拖轮、停泊等服务。结算方式为按船次结算。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2"/>
        <w:spacing w:line="264" w:lineRule="auto" w:before="0"/>
        <w:ind w:left="538" w:right="2966"/>
        <w:jc w:val="left"/>
        <w:rPr>
          <w:b w:val="0"/>
          <w:bCs w:val="0"/>
        </w:rPr>
      </w:pPr>
      <w:r>
        <w:rPr>
          <w:rFonts w:ascii="Calibri" w:hAnsi="Calibri" w:cs="Calibri" w:eastAsia="Calibri" w:hint="default"/>
        </w:rPr>
        <w:t>24.</w:t>
      </w:r>
      <w:r>
        <w:rPr>
          <w:rFonts w:ascii="Calibri" w:hAnsi="Calibri" w:cs="Calibri" w:eastAsia="Calibri" w:hint="default"/>
          <w:spacing w:val="1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spacing w:line="272" w:lineRule="exact" w:before="65"/>
        <w:ind w:left="538" w:right="217"/>
        <w:jc w:val="both"/>
      </w:pPr>
      <w:r>
        <w:rPr>
          <w:spacing w:val="-2"/>
        </w:rPr>
        <w:t>与资产相关的政府补助，是指本集团取得的、用于购建或以其他方式形成长期资产的政府补助；</w:t>
      </w:r>
      <w:r>
        <w:rPr>
          <w:spacing w:val="-25"/>
        </w:rPr>
        <w:t> </w:t>
      </w:r>
      <w:r>
        <w:rPr>
          <w:spacing w:val="-25"/>
        </w:rPr>
      </w:r>
      <w:r>
        <w:rPr/>
        <w:t>除此之外，作为与收益相关的政府补助。</w:t>
      </w:r>
    </w:p>
    <w:p>
      <w:pPr>
        <w:spacing w:line="240" w:lineRule="auto" w:before="9"/>
        <w:rPr>
          <w:rFonts w:ascii="宋体" w:hAnsi="宋体" w:cs="宋体" w:eastAsia="宋体" w:hint="default"/>
          <w:sz w:val="14"/>
          <w:szCs w:val="14"/>
        </w:rPr>
      </w:pPr>
    </w:p>
    <w:p>
      <w:pPr>
        <w:pStyle w:val="BodyText"/>
        <w:spacing w:line="237" w:lineRule="auto"/>
        <w:ind w:left="538" w:right="217"/>
        <w:jc w:val="both"/>
      </w:pPr>
      <w:r>
        <w:rPr>
          <w:spacing w:val="-2"/>
        </w:rPr>
        <w:t>对于政府文件未明确规定补助对象的，能够形成长期资产的，与资产价值相对应的政府补助部分</w:t>
      </w:r>
      <w:r>
        <w:rPr>
          <w:spacing w:val="-25"/>
        </w:rPr>
        <w:t> </w:t>
      </w:r>
      <w:r>
        <w:rPr>
          <w:spacing w:val="-25"/>
        </w:rPr>
      </w:r>
      <w:r>
        <w:rPr>
          <w:spacing w:val="-2"/>
        </w:rPr>
        <w:t>作为与资产相关的政府补助，其余部分作为与收益相关的政府补助；难以区分的，将政府补助整</w:t>
      </w:r>
      <w:r>
        <w:rPr>
          <w:spacing w:val="-25"/>
        </w:rPr>
        <w:t> </w:t>
      </w:r>
      <w:r>
        <w:rPr>
          <w:spacing w:val="-25"/>
        </w:rPr>
      </w:r>
      <w:r>
        <w:rPr/>
        <w:t>体作为与收益相关的政府补助。</w:t>
      </w:r>
    </w:p>
    <w:p>
      <w:pPr>
        <w:spacing w:line="240" w:lineRule="auto" w:before="3"/>
        <w:rPr>
          <w:rFonts w:ascii="宋体" w:hAnsi="宋体" w:cs="宋体" w:eastAsia="宋体" w:hint="default"/>
          <w:sz w:val="16"/>
          <w:szCs w:val="16"/>
        </w:rPr>
      </w:pPr>
    </w:p>
    <w:p>
      <w:pPr>
        <w:spacing w:line="290" w:lineRule="auto" w:before="0"/>
        <w:ind w:left="538" w:right="217" w:firstLine="0"/>
        <w:jc w:val="both"/>
        <w:rPr>
          <w:rFonts w:ascii="宋体" w:hAnsi="宋体" w:cs="宋体" w:eastAsia="宋体" w:hint="default"/>
          <w:sz w:val="21"/>
          <w:szCs w:val="21"/>
        </w:rPr>
      </w:pPr>
      <w:r>
        <w:rPr>
          <w:rFonts w:ascii="宋体" w:hAnsi="宋体" w:cs="宋体" w:eastAsia="宋体" w:hint="default"/>
          <w:spacing w:val="-2"/>
          <w:sz w:val="21"/>
          <w:szCs w:val="21"/>
        </w:rPr>
        <w:t>与资产相关的政府补助，确认为递延收益，并在相关资产使用期限内平均分配，计入当期损益。</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sz w:val="21"/>
          <w:szCs w:val="21"/>
        </w:rPr>
      </w:r>
    </w:p>
    <w:p>
      <w:pPr>
        <w:pStyle w:val="BodyText"/>
        <w:spacing w:line="237" w:lineRule="auto" w:before="14"/>
        <w:ind w:left="538" w:right="217"/>
        <w:jc w:val="both"/>
      </w:pPr>
      <w:r>
        <w:rPr>
          <w:spacing w:val="-2"/>
        </w:rPr>
        <w:t>与收益相关的政府补助，如果用于补偿已发生的相关费用或损失，则计入当期损益；如果用于补</w:t>
      </w:r>
      <w:r>
        <w:rPr>
          <w:spacing w:val="-25"/>
        </w:rPr>
        <w:t> </w:t>
      </w:r>
      <w:r>
        <w:rPr>
          <w:spacing w:val="-25"/>
        </w:rPr>
      </w:r>
      <w:r>
        <w:rPr>
          <w:spacing w:val="-2"/>
        </w:rPr>
        <w:t>偿以后期间的相关费用或损失，则计入递延收益，于费用确认期间计入当期损益。按照名义金额</w:t>
      </w:r>
      <w:r>
        <w:rPr>
          <w:spacing w:val="-25"/>
        </w:rPr>
        <w:t> </w:t>
      </w:r>
      <w:r>
        <w:rPr>
          <w:spacing w:val="-25"/>
        </w:rPr>
      </w:r>
      <w:r>
        <w:rPr/>
        <w:t>计量的政府补助，直接计入当期损益。</w:t>
      </w:r>
    </w:p>
    <w:p>
      <w:pPr>
        <w:spacing w:line="240" w:lineRule="auto" w:before="3"/>
        <w:rPr>
          <w:rFonts w:ascii="宋体" w:hAnsi="宋体" w:cs="宋体" w:eastAsia="宋体" w:hint="default"/>
          <w:sz w:val="25"/>
          <w:szCs w:val="25"/>
        </w:rPr>
      </w:pPr>
    </w:p>
    <w:p>
      <w:pPr>
        <w:pStyle w:val="BodyText"/>
        <w:spacing w:line="252" w:lineRule="auto"/>
        <w:ind w:left="538" w:right="0"/>
        <w:jc w:val="left"/>
      </w:pPr>
      <w:r>
        <w:rPr>
          <w:rFonts w:ascii="Calibri" w:hAnsi="Calibri" w:cs="Calibri" w:eastAsia="Calibri" w:hint="default"/>
          <w:b/>
          <w:bCs/>
        </w:rPr>
        <w:t>25.</w:t>
      </w:r>
      <w:r>
        <w:rPr>
          <w:rFonts w:ascii="Calibri" w:hAnsi="Calibri" w:cs="Calibri" w:eastAsia="Calibri" w:hint="default"/>
          <w:b/>
          <w:bCs/>
          <w:spacing w:val="12"/>
        </w:rPr>
        <w:t> </w:t>
      </w:r>
      <w:r>
        <w:rPr>
          <w:rFonts w:ascii="宋体" w:hAnsi="宋体" w:cs="宋体" w:eastAsia="宋体" w:hint="default"/>
          <w:b/>
          <w:bCs/>
        </w:rPr>
        <w:t>递延所得税资产</w:t>
      </w:r>
      <w:r>
        <w:rPr>
          <w:rFonts w:ascii="Calibri" w:hAnsi="Calibri" w:cs="Calibri" w:eastAsia="Calibri" w:hint="default"/>
          <w:b/>
          <w:bCs/>
        </w:rPr>
        <w:t>/</w:t>
      </w:r>
      <w:r>
        <w:rPr>
          <w:rFonts w:ascii="宋体" w:hAnsi="宋体" w:cs="宋体" w:eastAsia="宋体" w:hint="default"/>
          <w:b/>
          <w:bCs/>
        </w:rPr>
        <w:t>递延所得税负债</w:t>
      </w:r>
      <w:r>
        <w:rPr>
          <w:rFonts w:ascii="宋体" w:hAnsi="宋体" w:cs="宋体" w:eastAsia="宋体" w:hint="default"/>
          <w:b/>
          <w:bCs/>
          <w:w w:val="100"/>
        </w:rPr>
        <w:t> </w:t>
      </w:r>
      <w:r>
        <w:rPr>
          <w:spacing w:val="-2"/>
        </w:rPr>
        <w:t>所得税包括当期所得税和递延所得税。除由于企业合并产生的调整商誉，或与直接计入所有者权</w:t>
      </w:r>
      <w:r>
        <w:rPr>
          <w:spacing w:val="-25"/>
        </w:rPr>
        <w:t> </w:t>
      </w:r>
      <w:r>
        <w:rPr>
          <w:spacing w:val="-25"/>
        </w:rPr>
      </w:r>
      <w:r>
        <w:rPr/>
        <w:t>益的交易或者事项相关的递延所得税计入所有者权益外，均作为所得税费用计入当期损益。</w:t>
      </w:r>
    </w:p>
    <w:p>
      <w:pPr>
        <w:spacing w:line="240" w:lineRule="auto" w:before="6"/>
        <w:rPr>
          <w:rFonts w:ascii="宋体" w:hAnsi="宋体" w:cs="宋体" w:eastAsia="宋体" w:hint="default"/>
          <w:sz w:val="15"/>
          <w:szCs w:val="15"/>
        </w:rPr>
      </w:pPr>
    </w:p>
    <w:p>
      <w:pPr>
        <w:pStyle w:val="BodyText"/>
        <w:spacing w:line="240" w:lineRule="auto"/>
        <w:ind w:left="538" w:right="217"/>
        <w:jc w:val="both"/>
      </w:pPr>
      <w:r>
        <w:rPr>
          <w:spacing w:val="-2"/>
        </w:rPr>
        <w:t>本集团根据资产、负债于资产负债表日的账面价值与计税基础之间的暂时性差异，采用资产负债</w:t>
      </w:r>
      <w:r>
        <w:rPr>
          <w:spacing w:val="-25"/>
        </w:rPr>
        <w:t> </w:t>
      </w:r>
      <w:r>
        <w:rPr>
          <w:spacing w:val="-25"/>
        </w:rPr>
      </w:r>
      <w:r>
        <w:rPr/>
        <w:t>表债务法确认递延所得税。</w:t>
      </w:r>
    </w:p>
    <w:p>
      <w:pPr>
        <w:spacing w:line="240" w:lineRule="auto" w:before="3"/>
        <w:rPr>
          <w:rFonts w:ascii="宋体" w:hAnsi="宋体" w:cs="宋体" w:eastAsia="宋体" w:hint="default"/>
          <w:sz w:val="16"/>
          <w:szCs w:val="16"/>
        </w:rPr>
      </w:pPr>
    </w:p>
    <w:p>
      <w:pPr>
        <w:pStyle w:val="BodyText"/>
        <w:spacing w:line="240" w:lineRule="auto"/>
        <w:ind w:left="538" w:right="217"/>
        <w:jc w:val="both"/>
      </w:pPr>
      <w:r>
        <w:rPr>
          <w:spacing w:val="-2"/>
        </w:rPr>
        <w:t>各项应纳税暂时性差异均确认相关的递延所得税负债，除非该应纳税暂时性差异是在以下交易中</w:t>
      </w:r>
      <w:r>
        <w:rPr>
          <w:spacing w:val="-25"/>
        </w:rPr>
        <w:t> </w:t>
      </w:r>
      <w:r>
        <w:rPr>
          <w:spacing w:val="-25"/>
        </w:rPr>
      </w:r>
      <w:r>
        <w:rPr/>
        <w:t>产生的：</w:t>
      </w:r>
    </w:p>
    <w:p>
      <w:pPr>
        <w:spacing w:line="240" w:lineRule="auto" w:before="3"/>
        <w:rPr>
          <w:rFonts w:ascii="宋体" w:hAnsi="宋体" w:cs="宋体" w:eastAsia="宋体" w:hint="default"/>
          <w:sz w:val="16"/>
          <w:szCs w:val="16"/>
        </w:rPr>
      </w:pPr>
    </w:p>
    <w:p>
      <w:pPr>
        <w:pStyle w:val="BodyText"/>
        <w:spacing w:line="240" w:lineRule="auto"/>
        <w:ind w:left="538" w:right="208"/>
        <w:jc w:val="both"/>
      </w:pPr>
      <w:r>
        <w:rPr>
          <w:spacing w:val="-4"/>
        </w:rPr>
        <w:t>（</w:t>
      </w:r>
      <w:r>
        <w:rPr>
          <w:rFonts w:ascii="宋体" w:hAnsi="宋体" w:cs="宋体" w:eastAsia="宋体" w:hint="default"/>
          <w:spacing w:val="-4"/>
        </w:rPr>
        <w:t>1</w:t>
      </w:r>
      <w:r>
        <w:rPr>
          <w:spacing w:val="-4"/>
        </w:rPr>
        <w:t>）商誉的初始确认，或者具有以下特征的交易中产生的资产或负债的初始确认：该交易不是企</w:t>
      </w:r>
      <w:r>
        <w:rPr>
          <w:spacing w:val="-34"/>
        </w:rPr>
        <w:t> </w:t>
      </w:r>
      <w:r>
        <w:rPr>
          <w:spacing w:val="-34"/>
        </w:rPr>
      </w:r>
      <w:r>
        <w:rPr/>
        <w:t>业合并，并且交易发生时既不影响会计利润也不影响应纳税所得额；</w:t>
      </w:r>
    </w:p>
    <w:p>
      <w:pPr>
        <w:spacing w:line="240" w:lineRule="auto" w:before="3"/>
        <w:rPr>
          <w:rFonts w:ascii="宋体" w:hAnsi="宋体" w:cs="宋体" w:eastAsia="宋体" w:hint="default"/>
          <w:sz w:val="16"/>
          <w:szCs w:val="16"/>
        </w:rPr>
      </w:pPr>
    </w:p>
    <w:p>
      <w:pPr>
        <w:pStyle w:val="BodyText"/>
        <w:spacing w:line="240" w:lineRule="auto"/>
        <w:ind w:left="538" w:right="208"/>
        <w:jc w:val="both"/>
      </w:pPr>
      <w:r>
        <w:rPr>
          <w:spacing w:val="-4"/>
        </w:rPr>
        <w:t>（</w:t>
      </w:r>
      <w:r>
        <w:rPr>
          <w:rFonts w:ascii="宋体" w:hAnsi="宋体" w:cs="宋体" w:eastAsia="宋体" w:hint="default"/>
          <w:spacing w:val="-4"/>
        </w:rPr>
        <w:t>2</w:t>
      </w:r>
      <w:r>
        <w:rPr>
          <w:spacing w:val="-4"/>
        </w:rPr>
        <w:t>）对于与子公司、合营企业及联营企业投资相关的应纳税暂时性差异，该暂时性差异转回的时</w:t>
      </w:r>
      <w:r>
        <w:rPr>
          <w:spacing w:val="-34"/>
        </w:rPr>
        <w:t> </w:t>
      </w:r>
      <w:r>
        <w:rPr>
          <w:spacing w:val="-34"/>
        </w:rPr>
      </w:r>
      <w:r>
        <w:rPr/>
        <w:t>间能够控制并且该暂时性差异在可预见的未来很可能不会转回。</w:t>
      </w:r>
    </w:p>
    <w:p>
      <w:pPr>
        <w:spacing w:line="240" w:lineRule="auto" w:before="6"/>
        <w:rPr>
          <w:rFonts w:ascii="宋体" w:hAnsi="宋体" w:cs="宋体" w:eastAsia="宋体" w:hint="default"/>
          <w:sz w:val="16"/>
          <w:szCs w:val="16"/>
        </w:rPr>
      </w:pPr>
    </w:p>
    <w:p>
      <w:pPr>
        <w:pStyle w:val="BodyText"/>
        <w:spacing w:line="237" w:lineRule="auto"/>
        <w:ind w:left="538" w:right="217"/>
        <w:jc w:val="both"/>
      </w:pPr>
      <w:r>
        <w:rPr>
          <w:spacing w:val="-2"/>
        </w:rPr>
        <w:t>对于可抵扣暂时性差异、能够结转以后年度的可抵扣亏损和税款抵减，本集团以很可能取得用来</w:t>
      </w:r>
      <w:r>
        <w:rPr>
          <w:spacing w:val="-25"/>
        </w:rPr>
        <w:t> </w:t>
      </w:r>
      <w:r>
        <w:rPr>
          <w:spacing w:val="-25"/>
        </w:rPr>
      </w:r>
      <w:r>
        <w:rPr>
          <w:spacing w:val="-2"/>
        </w:rPr>
        <w:t>抵扣可抵扣暂时性差异、可抵扣亏损和税款抵减的未来应纳税所得额为限，确认由此产生的递延</w:t>
      </w:r>
      <w:r>
        <w:rPr>
          <w:spacing w:val="-25"/>
        </w:rPr>
        <w:t> </w:t>
      </w:r>
      <w:r>
        <w:rPr>
          <w:spacing w:val="-25"/>
        </w:rPr>
      </w:r>
      <w:r>
        <w:rPr/>
        <w:t>所得税资产，除非该可抵扣暂时性差异是在以下交易中产生的：</w:t>
      </w:r>
    </w:p>
    <w:p>
      <w:pPr>
        <w:spacing w:after="0" w:line="237" w:lineRule="auto"/>
        <w:jc w:val="both"/>
        <w:sectPr>
          <w:pgSz w:w="11910" w:h="16840"/>
          <w:pgMar w:header="882" w:footer="1195" w:top="1120" w:bottom="1380" w:left="1260" w:right="1060"/>
        </w:sectPr>
      </w:pPr>
    </w:p>
    <w:p>
      <w:pPr>
        <w:spacing w:line="240" w:lineRule="auto" w:before="1"/>
        <w:rPr>
          <w:rFonts w:ascii="宋体" w:hAnsi="宋体" w:cs="宋体" w:eastAsia="宋体" w:hint="default"/>
          <w:sz w:val="25"/>
          <w:szCs w:val="25"/>
        </w:rPr>
      </w:pPr>
    </w:p>
    <w:p>
      <w:pPr>
        <w:pStyle w:val="BodyText"/>
        <w:spacing w:line="240" w:lineRule="auto" w:before="36"/>
        <w:ind w:right="0"/>
        <w:jc w:val="both"/>
      </w:pPr>
      <w:r>
        <w:rPr/>
        <w:t>（</w:t>
      </w:r>
      <w:r>
        <w:rPr>
          <w:rFonts w:ascii="宋体" w:hAnsi="宋体" w:cs="宋体" w:eastAsia="宋体" w:hint="default"/>
        </w:rPr>
        <w:t>1</w:t>
      </w:r>
      <w:r>
        <w:rPr/>
        <w:t>）该交易不是企业合并，并且交易发生时既不影响会计利润也不影响应纳税所得额；</w:t>
      </w:r>
    </w:p>
    <w:p>
      <w:pPr>
        <w:spacing w:line="240" w:lineRule="auto" w:before="8"/>
        <w:rPr>
          <w:rFonts w:ascii="宋体" w:hAnsi="宋体" w:cs="宋体" w:eastAsia="宋体" w:hint="default"/>
          <w:sz w:val="16"/>
          <w:szCs w:val="16"/>
        </w:rPr>
      </w:pPr>
    </w:p>
    <w:p>
      <w:pPr>
        <w:pStyle w:val="BodyText"/>
        <w:spacing w:line="237" w:lineRule="auto"/>
        <w:ind w:right="68"/>
        <w:jc w:val="left"/>
      </w:pPr>
      <w:r>
        <w:rPr>
          <w:spacing w:val="-2"/>
        </w:rPr>
        <w:t>（</w:t>
      </w:r>
      <w:r>
        <w:rPr>
          <w:rFonts w:ascii="宋体" w:hAnsi="宋体" w:cs="宋体" w:eastAsia="宋体" w:hint="default"/>
          <w:spacing w:val="-2"/>
        </w:rPr>
        <w:t>2</w:t>
      </w:r>
      <w:r>
        <w:rPr>
          <w:spacing w:val="-2"/>
        </w:rPr>
        <w:t>）对于与子公司、合营企业及联营企业投资相关的可抵扣暂时性差异，同时满足下列条件的，</w:t>
      </w:r>
      <w:r>
        <w:rPr>
          <w:spacing w:val="-19"/>
        </w:rPr>
        <w:t> </w:t>
      </w:r>
      <w:r>
        <w:rPr>
          <w:spacing w:val="-19"/>
        </w:rPr>
      </w:r>
      <w:r>
        <w:rPr/>
        <w:t>确认相应的递延所得税资产：暂时性差异在可预见的未来很可能转回，且未来很可能获得用来抵</w:t>
      </w:r>
      <w:r>
        <w:rPr>
          <w:w w:val="100"/>
        </w:rPr>
        <w:t> </w:t>
      </w:r>
      <w:r>
        <w:rPr/>
        <w:t>扣可抵扣暂时性差异的应纳税所得额。</w:t>
      </w:r>
    </w:p>
    <w:p>
      <w:pPr>
        <w:spacing w:line="240" w:lineRule="auto" w:before="3"/>
        <w:rPr>
          <w:rFonts w:ascii="宋体" w:hAnsi="宋体" w:cs="宋体" w:eastAsia="宋体" w:hint="default"/>
          <w:sz w:val="16"/>
          <w:szCs w:val="16"/>
        </w:rPr>
      </w:pPr>
    </w:p>
    <w:p>
      <w:pPr>
        <w:pStyle w:val="BodyText"/>
        <w:spacing w:line="240" w:lineRule="auto"/>
        <w:ind w:right="217"/>
        <w:jc w:val="both"/>
      </w:pPr>
      <w:r>
        <w:rPr>
          <w:spacing w:val="-2"/>
        </w:rPr>
        <w:t>于资产负债表日，本集团对递延所得税资产和递延所得税负债，按照预期收回该资产或清偿该负</w:t>
      </w:r>
      <w:r>
        <w:rPr>
          <w:spacing w:val="-25"/>
        </w:rPr>
        <w:t> </w:t>
      </w:r>
      <w:r>
        <w:rPr>
          <w:spacing w:val="-25"/>
        </w:rPr>
      </w:r>
      <w:r>
        <w:rPr/>
        <w:t>债期间的适用税率计量，并反映资产负债表日预期收回资产或清偿负债方式的所得税影响。</w:t>
      </w:r>
    </w:p>
    <w:p>
      <w:pPr>
        <w:spacing w:line="240" w:lineRule="auto" w:before="5"/>
        <w:rPr>
          <w:rFonts w:ascii="宋体" w:hAnsi="宋体" w:cs="宋体" w:eastAsia="宋体" w:hint="default"/>
          <w:sz w:val="16"/>
          <w:szCs w:val="16"/>
        </w:rPr>
      </w:pPr>
    </w:p>
    <w:p>
      <w:pPr>
        <w:pStyle w:val="BodyText"/>
        <w:spacing w:line="237" w:lineRule="auto"/>
        <w:ind w:right="217"/>
        <w:jc w:val="both"/>
      </w:pPr>
      <w:r>
        <w:rPr>
          <w:spacing w:val="-2"/>
        </w:rPr>
        <w:t>于资产负债表日，本集团对递延所得税资产的账面价值进行复核。如果未来期间很可能无法获得</w:t>
      </w:r>
      <w:r>
        <w:rPr>
          <w:spacing w:val="-25"/>
        </w:rPr>
        <w:t> </w:t>
      </w:r>
      <w:r>
        <w:rPr>
          <w:spacing w:val="-25"/>
        </w:rPr>
      </w:r>
      <w:r>
        <w:rPr>
          <w:spacing w:val="-2"/>
        </w:rPr>
        <w:t>足够的应纳税所得额用以抵扣递延所得税资产的利益，减记递延所得税资产的账面价值。在很可</w:t>
      </w:r>
      <w:r>
        <w:rPr>
          <w:spacing w:val="-25"/>
        </w:rPr>
        <w:t> </w:t>
      </w:r>
      <w:r>
        <w:rPr>
          <w:spacing w:val="-25"/>
        </w:rPr>
      </w:r>
      <w:r>
        <w:rPr/>
        <w:t>能获得足够的应纳税所得额时，减记的金额予以转回。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2"/>
        <w:spacing w:line="264" w:lineRule="auto" w:before="0"/>
        <w:ind w:left="138" w:right="6181"/>
        <w:jc w:val="left"/>
        <w:rPr>
          <w:b w:val="0"/>
          <w:bCs w:val="0"/>
        </w:rPr>
      </w:pPr>
      <w:r>
        <w:rPr>
          <w:rFonts w:ascii="Calibri" w:hAnsi="Calibri" w:cs="Calibri" w:eastAsia="Calibri" w:hint="default"/>
        </w:rPr>
        <w:t>26.</w:t>
      </w:r>
      <w:r>
        <w:rPr>
          <w:rFonts w:ascii="Calibri" w:hAnsi="Calibri" w:cs="Calibri" w:eastAsia="Calibri" w:hint="default"/>
          <w:spacing w:val="1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272" w:lineRule="exact" w:before="125"/>
        <w:ind w:right="208"/>
        <w:jc w:val="both"/>
      </w:pPr>
      <w:r>
        <w:rPr>
          <w:spacing w:val="-6"/>
          <w:w w:val="100"/>
        </w:rPr>
        <w:t>经营租赁中的租金，本集团在租赁期内各个期间按照直线法确认当期损益。发生的初始直接费用，</w:t>
      </w:r>
      <w:r>
        <w:rPr>
          <w:w w:val="100"/>
        </w:rPr>
        <w:t> </w:t>
      </w:r>
      <w:r>
        <w:rPr/>
        <w:t>计入当期损益。</w:t>
      </w:r>
    </w:p>
    <w:p>
      <w:pPr>
        <w:spacing w:line="240" w:lineRule="auto" w:before="8"/>
        <w:rPr>
          <w:rFonts w:ascii="宋体" w:hAnsi="宋体" w:cs="宋体" w:eastAsia="宋体" w:hint="default"/>
          <w:sz w:val="16"/>
          <w:szCs w:val="16"/>
        </w:rPr>
      </w:pPr>
    </w:p>
    <w:p>
      <w:pPr>
        <w:pStyle w:val="BodyText"/>
        <w:spacing w:line="272" w:lineRule="exact"/>
        <w:ind w:right="217"/>
        <w:jc w:val="both"/>
      </w:pPr>
      <w:r>
        <w:rPr>
          <w:spacing w:val="-2"/>
        </w:rPr>
        <w:t>经营租赁中的租金，本集团在租赁期内各个期间按照直线法计入相关资产成本或当期损益；发生</w:t>
      </w:r>
      <w:r>
        <w:rPr>
          <w:spacing w:val="-25"/>
        </w:rPr>
        <w:t> </w:t>
      </w:r>
      <w:r>
        <w:rPr>
          <w:spacing w:val="-25"/>
        </w:rPr>
      </w:r>
      <w:r>
        <w:rPr/>
        <w:t>的初始直接费用，计入当期损益。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2"/>
        <w:spacing w:line="240" w:lineRule="auto" w:before="0"/>
        <w:ind w:left="138" w:right="0"/>
        <w:jc w:val="both"/>
        <w:rPr>
          <w:b w:val="0"/>
          <w:bCs w:val="0"/>
        </w:rPr>
      </w:pPr>
      <w:r>
        <w:rPr>
          <w:rFonts w:ascii="宋体" w:hAnsi="宋体" w:cs="宋体" w:eastAsia="宋体" w:hint="default"/>
        </w:rPr>
        <w:t>(2)</w:t>
      </w:r>
      <w:r>
        <w:rPr/>
        <w:t>、融资租赁的会计处理方法</w:t>
      </w:r>
      <w:r>
        <w:rPr>
          <w:b w:val="0"/>
          <w:bCs w:val="0"/>
        </w:rPr>
      </w:r>
    </w:p>
    <w:p>
      <w:pPr>
        <w:pStyle w:val="BodyText"/>
        <w:spacing w:line="237" w:lineRule="auto" w:before="119"/>
        <w:ind w:right="217"/>
        <w:jc w:val="both"/>
      </w:pPr>
      <w:r>
        <w:rPr>
          <w:spacing w:val="-2"/>
        </w:rPr>
        <w:t>融资租赁中，在租赁开始日本集团按最低租赁收款额与初始直接费用之和作为应收融资租赁款的</w:t>
      </w:r>
      <w:r>
        <w:rPr>
          <w:spacing w:val="-25"/>
        </w:rPr>
        <w:t> </w:t>
      </w:r>
      <w:r>
        <w:rPr>
          <w:spacing w:val="-25"/>
        </w:rPr>
      </w:r>
      <w:r>
        <w:rPr>
          <w:spacing w:val="-2"/>
        </w:rPr>
        <w:t>入账价值，同时记录未担保余值；将最低租赁收款额、初始直接费用及未担保余值之和与其现值</w:t>
      </w:r>
      <w:r>
        <w:rPr>
          <w:spacing w:val="-25"/>
        </w:rPr>
        <w:t> </w:t>
      </w:r>
      <w:r>
        <w:rPr>
          <w:spacing w:val="-25"/>
        </w:rPr>
      </w:r>
      <w:r>
        <w:rPr>
          <w:spacing w:val="-2"/>
        </w:rPr>
        <w:t>之和的差额确认为未实现融资收益。未实现融资收益在租赁期内各个期间采用实际利率法计算确</w:t>
      </w:r>
      <w:r>
        <w:rPr>
          <w:spacing w:val="-25"/>
        </w:rPr>
        <w:t> </w:t>
      </w:r>
      <w:r>
        <w:rPr>
          <w:spacing w:val="-25"/>
        </w:rPr>
      </w:r>
      <w:r>
        <w:rPr/>
        <w:t>认当期的融资收入。</w:t>
      </w:r>
    </w:p>
    <w:p>
      <w:pPr>
        <w:spacing w:line="240" w:lineRule="auto" w:before="6"/>
        <w:rPr>
          <w:rFonts w:ascii="宋体" w:hAnsi="宋体" w:cs="宋体" w:eastAsia="宋体" w:hint="default"/>
          <w:sz w:val="16"/>
          <w:szCs w:val="16"/>
        </w:rPr>
      </w:pPr>
    </w:p>
    <w:p>
      <w:pPr>
        <w:pStyle w:val="BodyText"/>
        <w:spacing w:line="237" w:lineRule="auto"/>
        <w:ind w:right="217"/>
        <w:jc w:val="both"/>
      </w:pPr>
      <w:r>
        <w:rPr>
          <w:spacing w:val="-2"/>
        </w:rPr>
        <w:t>融资租赁中，在租赁开始日本集团将租赁资产公允价值与最低租赁付款额现值两者中较低者作为</w:t>
      </w:r>
      <w:r>
        <w:rPr>
          <w:spacing w:val="-25"/>
        </w:rPr>
        <w:t> </w:t>
      </w:r>
      <w:r>
        <w:rPr>
          <w:spacing w:val="-25"/>
        </w:rPr>
      </w:r>
      <w:r>
        <w:rPr>
          <w:spacing w:val="-2"/>
        </w:rPr>
        <w:t>租入资产的入账价值，将最低租赁付款额作为长期应付款的入账价值，其差额作为未确认融资费</w:t>
      </w:r>
      <w:r>
        <w:rPr>
          <w:spacing w:val="-25"/>
        </w:rPr>
        <w:t> </w:t>
      </w:r>
      <w:r>
        <w:rPr>
          <w:spacing w:val="-25"/>
        </w:rPr>
      </w:r>
      <w:r>
        <w:rPr>
          <w:spacing w:val="-2"/>
        </w:rPr>
        <w:t>用。初始直接费用计入租入资产价值。未确认融资费用在租赁期内各个期间采用实际利率法计算</w:t>
      </w:r>
      <w:r>
        <w:rPr>
          <w:spacing w:val="-25"/>
        </w:rPr>
        <w:t> </w:t>
      </w:r>
      <w:r>
        <w:rPr>
          <w:spacing w:val="-25"/>
        </w:rPr>
      </w:r>
      <w:r>
        <w:rPr/>
        <w:t>确认当期的融资费用。本集团采用与自有固定资产相一致的折旧政策计提租赁资产折旧。</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2"/>
        <w:spacing w:line="240" w:lineRule="auto" w:before="0"/>
        <w:ind w:left="138" w:right="0"/>
        <w:jc w:val="both"/>
        <w:rPr>
          <w:b w:val="0"/>
          <w:bCs w:val="0"/>
        </w:rPr>
      </w:pPr>
      <w:r>
        <w:rPr>
          <w:rFonts w:ascii="Calibri" w:hAnsi="Calibri" w:cs="Calibri" w:eastAsia="Calibri" w:hint="default"/>
        </w:rPr>
        <w:t>27.  </w:t>
      </w:r>
      <w:r>
        <w:rPr>
          <w:rFonts w:ascii="Calibri" w:hAnsi="Calibri" w:cs="Calibri" w:eastAsia="Calibri" w:hint="default"/>
          <w:spacing w:val="10"/>
        </w:rPr>
        <w:t> </w:t>
      </w:r>
      <w:r>
        <w:rPr/>
        <w:t>其他重要的会计政策和会计估计</w:t>
      </w:r>
      <w:r>
        <w:rPr>
          <w:b w:val="0"/>
          <w:bCs w:val="0"/>
        </w:rPr>
      </w:r>
    </w:p>
    <w:p>
      <w:pPr>
        <w:pStyle w:val="BodyText"/>
        <w:spacing w:line="240" w:lineRule="auto" w:before="29"/>
        <w:ind w:right="0"/>
        <w:jc w:val="both"/>
      </w:pPr>
      <w:r>
        <w:rPr/>
        <w:t>（</w:t>
      </w:r>
      <w:r>
        <w:rPr>
          <w:rFonts w:ascii="宋体" w:hAnsi="宋体" w:cs="宋体" w:eastAsia="宋体" w:hint="default"/>
        </w:rPr>
        <w:t>1</w:t>
      </w:r>
      <w:r>
        <w:rPr/>
        <w:t>）公允价值计量</w:t>
      </w:r>
    </w:p>
    <w:p>
      <w:pPr>
        <w:spacing w:line="240" w:lineRule="auto" w:before="7"/>
        <w:rPr>
          <w:rFonts w:ascii="宋体" w:hAnsi="宋体" w:cs="宋体" w:eastAsia="宋体" w:hint="default"/>
          <w:sz w:val="18"/>
          <w:szCs w:val="18"/>
        </w:rPr>
      </w:pPr>
    </w:p>
    <w:p>
      <w:pPr>
        <w:pStyle w:val="BodyText"/>
        <w:spacing w:line="272" w:lineRule="exact"/>
        <w:ind w:right="217"/>
        <w:jc w:val="both"/>
      </w:pPr>
      <w:r>
        <w:rPr>
          <w:spacing w:val="-2"/>
        </w:rPr>
        <w:t>公允价值是指市场参与者在计量日发生的有序交易中，出售一项资产所能收到或者转移一项负债</w:t>
      </w:r>
      <w:r>
        <w:rPr>
          <w:spacing w:val="-25"/>
        </w:rPr>
        <w:t> </w:t>
      </w:r>
      <w:r>
        <w:rPr>
          <w:spacing w:val="-25"/>
        </w:rPr>
      </w:r>
      <w:r>
        <w:rPr/>
        <w:t>所需支付的价格。</w:t>
      </w:r>
    </w:p>
    <w:p>
      <w:pPr>
        <w:spacing w:line="240" w:lineRule="auto" w:before="9"/>
        <w:rPr>
          <w:rFonts w:ascii="宋体" w:hAnsi="宋体" w:cs="宋体" w:eastAsia="宋体" w:hint="default"/>
          <w:sz w:val="14"/>
          <w:szCs w:val="14"/>
        </w:rPr>
      </w:pPr>
    </w:p>
    <w:p>
      <w:pPr>
        <w:pStyle w:val="BodyText"/>
        <w:spacing w:line="237" w:lineRule="auto"/>
        <w:ind w:right="208"/>
        <w:jc w:val="both"/>
      </w:pPr>
      <w:r>
        <w:rPr>
          <w:spacing w:val="-2"/>
        </w:rPr>
        <w:t>本集团以公允价值计量相关资产或负债，假定出售资产或者转移负债的有序交易在相关资产或负</w:t>
      </w:r>
      <w:r>
        <w:rPr>
          <w:spacing w:val="-25"/>
        </w:rPr>
        <w:t> </w:t>
      </w:r>
      <w:r>
        <w:rPr>
          <w:spacing w:val="-25"/>
        </w:rPr>
      </w:r>
      <w:r>
        <w:rPr>
          <w:spacing w:val="-6"/>
          <w:w w:val="100"/>
        </w:rPr>
        <w:t>债的主要市场进行；不存在主要市场的，本集团假定该交易在相关资产或负债的最有利市场进行。</w:t>
      </w:r>
      <w:r>
        <w:rPr>
          <w:w w:val="100"/>
        </w:rPr>
        <w:t> </w:t>
      </w:r>
      <w:r>
        <w:rPr>
          <w:spacing w:val="-2"/>
        </w:rPr>
        <w:t>主要市场（或最有利市场）是本集团在计量日能够进入的交易市场。本集团采用市场参与者在对</w:t>
      </w:r>
      <w:r>
        <w:rPr>
          <w:spacing w:val="-25"/>
        </w:rPr>
        <w:t> </w:t>
      </w:r>
      <w:r>
        <w:rPr>
          <w:spacing w:val="-25"/>
        </w:rPr>
      </w:r>
      <w:r>
        <w:rPr/>
        <w:t>该资产或负债定价时为实现其经济利益最大化所使用的假设。</w:t>
      </w:r>
    </w:p>
    <w:p>
      <w:pPr>
        <w:spacing w:line="240" w:lineRule="auto" w:before="7"/>
        <w:rPr>
          <w:rFonts w:ascii="宋体" w:hAnsi="宋体" w:cs="宋体" w:eastAsia="宋体" w:hint="default"/>
          <w:sz w:val="18"/>
          <w:szCs w:val="18"/>
        </w:rPr>
      </w:pPr>
    </w:p>
    <w:p>
      <w:pPr>
        <w:pStyle w:val="BodyText"/>
        <w:spacing w:line="272" w:lineRule="exact"/>
        <w:ind w:right="217"/>
        <w:jc w:val="both"/>
      </w:pPr>
      <w:r>
        <w:rPr>
          <w:spacing w:val="-2"/>
        </w:rPr>
        <w:t>存在活跃市场的金融资产或金融负债，本集团采用活跃市场中的报价确定其公允价值。金融工具</w:t>
      </w:r>
      <w:r>
        <w:rPr>
          <w:spacing w:val="-25"/>
        </w:rPr>
        <w:t> </w:t>
      </w:r>
      <w:r>
        <w:rPr>
          <w:spacing w:val="-25"/>
        </w:rPr>
      </w:r>
      <w:r>
        <w:rPr/>
        <w:t>不存在活跃市场的，本集团采用估值技术确定其公允价值。</w:t>
      </w:r>
    </w:p>
    <w:p>
      <w:pPr>
        <w:spacing w:after="0" w:line="272" w:lineRule="exact"/>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left="218" w:right="237"/>
        <w:jc w:val="both"/>
      </w:pPr>
      <w:r>
        <w:rPr>
          <w:spacing w:val="-2"/>
        </w:rPr>
        <w:t>以公允价值计量非金融资产的，考虑市场参与者将该资产用于最佳用途产生经济利益的能力，或</w:t>
      </w:r>
      <w:r>
        <w:rPr>
          <w:spacing w:val="-25"/>
        </w:rPr>
        <w:t> </w:t>
      </w:r>
      <w:r>
        <w:rPr>
          <w:spacing w:val="-25"/>
        </w:rPr>
      </w:r>
      <w:r>
        <w:rPr/>
        <w:t>者将该资产出售给能够用于最佳用途的其他市场参与者产生经济利益的能力。</w:t>
      </w:r>
    </w:p>
    <w:p>
      <w:pPr>
        <w:spacing w:line="240" w:lineRule="auto" w:before="5"/>
        <w:rPr>
          <w:rFonts w:ascii="宋体" w:hAnsi="宋体" w:cs="宋体" w:eastAsia="宋体" w:hint="default"/>
          <w:sz w:val="16"/>
          <w:szCs w:val="16"/>
        </w:rPr>
      </w:pPr>
    </w:p>
    <w:p>
      <w:pPr>
        <w:pStyle w:val="BodyText"/>
        <w:spacing w:line="237" w:lineRule="auto"/>
        <w:ind w:left="218" w:right="237"/>
        <w:jc w:val="both"/>
      </w:pPr>
      <w:r>
        <w:rPr>
          <w:spacing w:val="-2"/>
        </w:rPr>
        <w:t>本集团采用在当前情况下适用并且有足够可利用数据和其他信息支持的估值技术，优先使用相关</w:t>
      </w:r>
      <w:r>
        <w:rPr>
          <w:spacing w:val="-25"/>
        </w:rPr>
        <w:t> </w:t>
      </w:r>
      <w:r>
        <w:rPr>
          <w:spacing w:val="-25"/>
        </w:rPr>
      </w:r>
      <w:r>
        <w:rPr>
          <w:spacing w:val="-2"/>
        </w:rPr>
        <w:t>可观察输入值，只有在可观察输入值无法取得或取得不切实可行的情况下，才使用不可观察输入</w:t>
      </w:r>
      <w:r>
        <w:rPr>
          <w:spacing w:val="-25"/>
        </w:rPr>
        <w:t> </w:t>
      </w:r>
      <w:r>
        <w:rPr>
          <w:spacing w:val="-25"/>
        </w:rPr>
      </w:r>
      <w:r>
        <w:rPr/>
        <w:t>值。</w:t>
      </w:r>
    </w:p>
    <w:p>
      <w:pPr>
        <w:spacing w:line="240" w:lineRule="auto" w:before="8"/>
        <w:rPr>
          <w:rFonts w:ascii="宋体" w:hAnsi="宋体" w:cs="宋体" w:eastAsia="宋体" w:hint="default"/>
          <w:sz w:val="16"/>
          <w:szCs w:val="16"/>
        </w:rPr>
      </w:pPr>
    </w:p>
    <w:p>
      <w:pPr>
        <w:pStyle w:val="BodyText"/>
        <w:spacing w:line="237" w:lineRule="auto"/>
        <w:ind w:left="218" w:right="237"/>
        <w:jc w:val="both"/>
      </w:pPr>
      <w:r>
        <w:rPr>
          <w:spacing w:val="-2"/>
        </w:rPr>
        <w:t>在财务报表中以公允价值计量或披露的资产和负债，根据对公允价值计量整体而言具有重要意义</w:t>
      </w:r>
      <w:r>
        <w:rPr>
          <w:spacing w:val="-25"/>
        </w:rPr>
        <w:t> </w:t>
      </w:r>
      <w:r>
        <w:rPr>
          <w:spacing w:val="-25"/>
        </w:rPr>
      </w:r>
      <w:r>
        <w:rPr>
          <w:spacing w:val="-2"/>
        </w:rPr>
        <w:t>的最低层次输入值，确定所属的公允价值层次：第一层次输入值，是在计量日能够取得的相同资</w:t>
      </w:r>
      <w:r>
        <w:rPr>
          <w:spacing w:val="-25"/>
        </w:rPr>
        <w:t> </w:t>
      </w:r>
      <w:r>
        <w:rPr>
          <w:spacing w:val="-25"/>
        </w:rPr>
      </w:r>
      <w:r>
        <w:rPr>
          <w:spacing w:val="-2"/>
        </w:rPr>
        <w:t>产或负债在活跃市场上未经调整的报价；第二层次输入值，是除第一层次输入值外相关资产或负</w:t>
      </w:r>
      <w:r>
        <w:rPr>
          <w:spacing w:val="-25"/>
        </w:rPr>
        <w:t> </w:t>
      </w:r>
      <w:r>
        <w:rPr>
          <w:spacing w:val="-25"/>
        </w:rPr>
      </w:r>
      <w:r>
        <w:rPr/>
        <w:t>债直接或间接可观察的输入值；第三层次输入值，是相关资产或负债的不可观察输入值。</w:t>
      </w:r>
    </w:p>
    <w:p>
      <w:pPr>
        <w:spacing w:line="240" w:lineRule="auto" w:before="7"/>
        <w:rPr>
          <w:rFonts w:ascii="宋体" w:hAnsi="宋体" w:cs="宋体" w:eastAsia="宋体" w:hint="default"/>
          <w:sz w:val="18"/>
          <w:szCs w:val="18"/>
        </w:rPr>
      </w:pPr>
    </w:p>
    <w:p>
      <w:pPr>
        <w:pStyle w:val="BodyText"/>
        <w:spacing w:line="272" w:lineRule="exact"/>
        <w:ind w:left="218" w:right="237"/>
        <w:jc w:val="both"/>
      </w:pPr>
      <w:r>
        <w:rPr>
          <w:spacing w:val="-2"/>
        </w:rPr>
        <w:t>每个资产负债表日，本集团对在财务报表中确认的持续以公允价值计量的资产和负债进行重新评</w:t>
      </w:r>
      <w:r>
        <w:rPr>
          <w:spacing w:val="-25"/>
        </w:rPr>
        <w:t> </w:t>
      </w:r>
      <w:r>
        <w:rPr>
          <w:spacing w:val="-25"/>
        </w:rPr>
      </w:r>
      <w:r>
        <w:rPr/>
        <w:t>估，以确定是否在公允价值计量层次之间发生转换。）</w:t>
      </w:r>
    </w:p>
    <w:p>
      <w:pPr>
        <w:pStyle w:val="BodyText"/>
        <w:spacing w:line="249" w:lineRule="exact"/>
        <w:ind w:left="218" w:right="0"/>
        <w:jc w:val="both"/>
      </w:pPr>
      <w:r>
        <w:rPr/>
        <w:t>（</w:t>
      </w:r>
      <w:r>
        <w:rPr>
          <w:rFonts w:ascii="宋体" w:hAnsi="宋体" w:cs="宋体" w:eastAsia="宋体" w:hint="default"/>
        </w:rPr>
        <w:t>2</w:t>
      </w:r>
      <w:r>
        <w:rPr/>
        <w:t>）安全生产费用</w:t>
      </w:r>
    </w:p>
    <w:p>
      <w:pPr>
        <w:spacing w:line="240" w:lineRule="auto" w:before="5"/>
        <w:rPr>
          <w:rFonts w:ascii="宋体" w:hAnsi="宋体" w:cs="宋体" w:eastAsia="宋体" w:hint="default"/>
          <w:sz w:val="16"/>
          <w:szCs w:val="16"/>
        </w:rPr>
      </w:pPr>
    </w:p>
    <w:p>
      <w:pPr>
        <w:pStyle w:val="BodyText"/>
        <w:spacing w:line="237" w:lineRule="auto"/>
        <w:ind w:left="215" w:right="228"/>
        <w:jc w:val="both"/>
      </w:pPr>
      <w:r>
        <w:rPr>
          <w:spacing w:val="-3"/>
        </w:rPr>
        <w:t>本集团依据财企〔</w:t>
      </w:r>
      <w:r>
        <w:rPr>
          <w:rFonts w:ascii="宋体" w:hAnsi="宋体" w:cs="宋体" w:eastAsia="宋体" w:hint="default"/>
          <w:spacing w:val="-3"/>
        </w:rPr>
        <w:t>2012</w:t>
      </w:r>
      <w:r>
        <w:rPr>
          <w:spacing w:val="-3"/>
        </w:rPr>
        <w:t>〕</w:t>
      </w:r>
      <w:r>
        <w:rPr>
          <w:rFonts w:ascii="宋体" w:hAnsi="宋体" w:cs="宋体" w:eastAsia="宋体" w:hint="default"/>
          <w:spacing w:val="-3"/>
        </w:rPr>
        <w:t>16 </w:t>
      </w:r>
      <w:r>
        <w:rPr>
          <w:spacing w:val="-3"/>
        </w:rPr>
        <w:t>号《企业安全生产费用提取和使用管理办法》、企业会计准则》及相</w:t>
      </w:r>
      <w:r>
        <w:rPr>
          <w:spacing w:val="-70"/>
        </w:rPr>
        <w:t> </w:t>
      </w:r>
      <w:r>
        <w:rPr>
          <w:spacing w:val="-70"/>
        </w:rPr>
      </w:r>
      <w:r>
        <w:rPr>
          <w:spacing w:val="-3"/>
        </w:rPr>
        <w:t>关补充规定，按上年营业收入的</w:t>
      </w:r>
      <w:r>
        <w:rPr>
          <w:spacing w:val="-23"/>
        </w:rPr>
        <w:t> </w:t>
      </w:r>
      <w:r>
        <w:rPr>
          <w:rFonts w:ascii="宋体" w:hAnsi="宋体" w:cs="宋体" w:eastAsia="宋体" w:hint="default"/>
          <w:spacing w:val="-5"/>
        </w:rPr>
        <w:t>1.5%</w:t>
      </w:r>
      <w:r>
        <w:rPr>
          <w:spacing w:val="-5"/>
        </w:rPr>
        <w:t>（危险品）或</w:t>
      </w:r>
      <w:r>
        <w:rPr>
          <w:spacing w:val="-26"/>
        </w:rPr>
        <w:t> </w:t>
      </w:r>
      <w:r>
        <w:rPr>
          <w:rFonts w:ascii="宋体" w:hAnsi="宋体" w:cs="宋体" w:eastAsia="宋体" w:hint="default"/>
          <w:spacing w:val="-4"/>
        </w:rPr>
        <w:t>1%</w:t>
      </w:r>
      <w:r>
        <w:rPr>
          <w:spacing w:val="-4"/>
        </w:rPr>
        <w:t>（普通货物）计提安全生产费用。安全生产</w:t>
      </w:r>
      <w:r>
        <w:rPr>
          <w:spacing w:val="-90"/>
        </w:rPr>
        <w:t> </w:t>
      </w:r>
      <w:r>
        <w:rPr>
          <w:spacing w:val="-90"/>
        </w:rPr>
      </w:r>
      <w:r>
        <w:rPr/>
        <w:t>费计提时计入当期损益，同时计入“专项储备”科目。</w:t>
      </w:r>
    </w:p>
    <w:p>
      <w:pPr>
        <w:spacing w:line="240" w:lineRule="auto" w:before="8"/>
        <w:rPr>
          <w:rFonts w:ascii="宋体" w:hAnsi="宋体" w:cs="宋体" w:eastAsia="宋体" w:hint="default"/>
          <w:sz w:val="16"/>
          <w:szCs w:val="16"/>
        </w:rPr>
      </w:pPr>
    </w:p>
    <w:p>
      <w:pPr>
        <w:pStyle w:val="BodyText"/>
        <w:spacing w:line="237" w:lineRule="auto"/>
        <w:ind w:left="218" w:right="228"/>
        <w:jc w:val="both"/>
      </w:pPr>
      <w:r>
        <w:rPr>
          <w:spacing w:val="-6"/>
        </w:rPr>
        <w:t>提取的安全生产费按规定范围使用时，属于费用性支出的，直接冲减专项储备；形成固定资产的，</w:t>
      </w:r>
      <w:r>
        <w:rPr>
          <w:spacing w:val="-54"/>
        </w:rPr>
        <w:t> </w:t>
      </w:r>
      <w:r>
        <w:rPr>
          <w:spacing w:val="-54"/>
        </w:rPr>
      </w:r>
      <w:r>
        <w:rPr>
          <w:spacing w:val="-2"/>
        </w:rPr>
        <w:t>先通过“在建工程”科目归集所发生的支出，待安全项目完工达到预定可使用状态时确认为固定</w:t>
      </w:r>
      <w:r>
        <w:rPr>
          <w:spacing w:val="-26"/>
        </w:rPr>
        <w:t> </w:t>
      </w:r>
      <w:r>
        <w:rPr>
          <w:spacing w:val="-26"/>
        </w:rPr>
      </w:r>
      <w:r>
        <w:rPr>
          <w:spacing w:val="-2"/>
        </w:rPr>
        <w:t>资产；同时，按照形成固定资产的成本冲减专项储备，并确认相同金额的累计折旧。该固定资产</w:t>
      </w:r>
      <w:r>
        <w:rPr>
          <w:spacing w:val="-25"/>
        </w:rPr>
        <w:t> </w:t>
      </w:r>
      <w:r>
        <w:rPr>
          <w:spacing w:val="-25"/>
        </w:rPr>
      </w:r>
      <w:r>
        <w:rPr/>
        <w:t>在以后期间不再计提折旧。</w:t>
      </w:r>
    </w:p>
    <w:p>
      <w:pPr>
        <w:spacing w:line="240" w:lineRule="auto" w:before="4"/>
        <w:rPr>
          <w:rFonts w:ascii="宋体" w:hAnsi="宋体" w:cs="宋体" w:eastAsia="宋体" w:hint="default"/>
          <w:sz w:val="25"/>
          <w:szCs w:val="25"/>
        </w:rPr>
      </w:pPr>
    </w:p>
    <w:p>
      <w:pPr>
        <w:pStyle w:val="Heading2"/>
        <w:spacing w:line="264" w:lineRule="auto" w:before="0"/>
        <w:ind w:right="4408"/>
        <w:jc w:val="left"/>
        <w:rPr>
          <w:b w:val="0"/>
          <w:bCs w:val="0"/>
        </w:rPr>
      </w:pPr>
      <w:r>
        <w:rPr>
          <w:rFonts w:ascii="Calibri" w:hAnsi="Calibri" w:cs="Calibri" w:eastAsia="Calibri" w:hint="default"/>
        </w:rPr>
        <w:t>28.</w:t>
      </w:r>
      <w:r>
        <w:rPr>
          <w:rFonts w:ascii="Calibri" w:hAnsi="Calibri" w:cs="Calibri" w:eastAsia="Calibri" w:hint="default"/>
          <w:spacing w:val="10"/>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37"/>
        <w:ind w:left="218"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before="0"/>
        <w:ind w:right="0"/>
        <w:jc w:val="both"/>
        <w:rPr>
          <w:b w:val="0"/>
          <w:bCs w:val="0"/>
        </w:rPr>
      </w:pPr>
      <w:r>
        <w:rPr>
          <w:rFonts w:ascii="宋体" w:hAnsi="宋体" w:cs="宋体" w:eastAsia="宋体" w:hint="default"/>
        </w:rPr>
        <w:t>(2)</w:t>
      </w:r>
      <w:r>
        <w:rPr/>
        <w:t>、重要会计估计变更</w:t>
      </w:r>
      <w:r>
        <w:rPr>
          <w:b w:val="0"/>
          <w:bCs w:val="0"/>
        </w:rPr>
      </w:r>
    </w:p>
    <w:p>
      <w:pPr>
        <w:pStyle w:val="BodyText"/>
        <w:spacing w:line="240" w:lineRule="auto" w:before="58"/>
        <w:ind w:left="218"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before="0"/>
        <w:ind w:right="0"/>
        <w:jc w:val="both"/>
        <w:rPr>
          <w:b w:val="0"/>
          <w:bCs w:val="0"/>
        </w:rPr>
      </w:pPr>
      <w:r>
        <w:rPr/>
        <w:t>六、税项</w:t>
      </w:r>
      <w:r>
        <w:rPr>
          <w:b w:val="0"/>
          <w:bCs w:val="0"/>
        </w:rPr>
      </w:r>
    </w:p>
    <w:p>
      <w:pPr>
        <w:pStyle w:val="Heading2"/>
        <w:spacing w:line="240" w:lineRule="auto" w:before="59"/>
        <w:ind w:right="0"/>
        <w:jc w:val="both"/>
        <w:rPr>
          <w:b w:val="0"/>
          <w:bCs w:val="0"/>
        </w:rPr>
      </w:pPr>
      <w:r>
        <w:rPr>
          <w:rFonts w:ascii="Calibri" w:hAnsi="Calibri" w:cs="Calibri" w:eastAsia="Calibri" w:hint="default"/>
        </w:rPr>
        <w:t>1.    </w:t>
      </w:r>
      <w:r>
        <w:rPr>
          <w:rFonts w:ascii="Calibri" w:hAnsi="Calibri" w:cs="Calibri" w:eastAsia="Calibri" w:hint="default"/>
          <w:spacing w:val="25"/>
        </w:rPr>
        <w:t> </w:t>
      </w:r>
      <w:r>
        <w:rPr/>
        <w:t>主要税种及税率</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应税收入</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6-17</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应税收入</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25</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地方教育费</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bl>
    <w:p>
      <w:pPr>
        <w:spacing w:line="240" w:lineRule="auto" w:before="5"/>
        <w:rPr>
          <w:rFonts w:ascii="宋体" w:hAnsi="宋体" w:cs="宋体" w:eastAsia="宋体" w:hint="default"/>
          <w:b/>
          <w:bCs/>
          <w:sz w:val="15"/>
          <w:szCs w:val="15"/>
        </w:rPr>
      </w:pPr>
    </w:p>
    <w:p>
      <w:pPr>
        <w:pStyle w:val="BodyText"/>
        <w:spacing w:line="273" w:lineRule="exact" w:before="36"/>
        <w:ind w:left="218" w:right="0"/>
        <w:jc w:val="left"/>
      </w:pPr>
      <w:r>
        <w:rPr/>
        <w:t>存在不同企业所得税税率纳税主体的，披露情况说明</w:t>
      </w:r>
    </w:p>
    <w:p>
      <w:pPr>
        <w:pStyle w:val="BodyText"/>
        <w:spacing w:line="273" w:lineRule="exact"/>
        <w:ind w:left="218" w:right="0"/>
        <w:jc w:val="left"/>
      </w:pPr>
      <w:r>
        <w:rPr/>
        <w:t>□适用</w:t>
      </w:r>
      <w:r>
        <w:rPr>
          <w:spacing w:val="-1"/>
        </w:rPr>
        <w:t> </w:t>
      </w:r>
      <w:r>
        <w:rPr/>
        <w:t>√不适用</w:t>
      </w:r>
    </w:p>
    <w:p>
      <w:pPr>
        <w:spacing w:after="0" w:line="273" w:lineRule="exact"/>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ind w:left="138" w:right="0"/>
        <w:jc w:val="both"/>
        <w:rPr>
          <w:b w:val="0"/>
          <w:bCs w:val="0"/>
        </w:rPr>
      </w:pPr>
      <w:r>
        <w:rPr>
          <w:rFonts w:ascii="Calibri" w:hAnsi="Calibri" w:cs="Calibri" w:eastAsia="Calibri" w:hint="default"/>
        </w:rPr>
        <w:t>2.    </w:t>
      </w:r>
      <w:r>
        <w:rPr>
          <w:rFonts w:ascii="Calibri" w:hAnsi="Calibri" w:cs="Calibri" w:eastAsia="Calibri" w:hint="default"/>
          <w:spacing w:val="24"/>
        </w:rPr>
        <w:t> </w:t>
      </w:r>
      <w:r>
        <w:rPr/>
        <w:t>税收优惠</w:t>
      </w:r>
      <w:r>
        <w:rPr>
          <w:b w:val="0"/>
          <w:bCs w:val="0"/>
        </w:rPr>
      </w:r>
    </w:p>
    <w:p>
      <w:pPr>
        <w:pStyle w:val="BodyText"/>
        <w:spacing w:line="237" w:lineRule="auto" w:before="94"/>
        <w:ind w:right="128"/>
        <w:jc w:val="left"/>
      </w:pPr>
      <w:r>
        <w:rPr>
          <w:spacing w:val="-6"/>
        </w:rPr>
        <w:t>（</w:t>
      </w:r>
      <w:r>
        <w:rPr>
          <w:rFonts w:ascii="宋体" w:hAnsi="宋体" w:cs="宋体" w:eastAsia="宋体" w:hint="default"/>
          <w:spacing w:val="-6"/>
        </w:rPr>
        <w:t>1</w:t>
      </w:r>
      <w:r>
        <w:rPr>
          <w:spacing w:val="-6"/>
        </w:rPr>
        <w:t>）根据《中华人民共和国城镇土地使用税暂行条例》（国务院令第</w:t>
      </w:r>
      <w:r>
        <w:rPr>
          <w:spacing w:val="-19"/>
        </w:rPr>
        <w:t> </w:t>
      </w:r>
      <w:r>
        <w:rPr>
          <w:rFonts w:ascii="宋体" w:hAnsi="宋体" w:cs="宋体" w:eastAsia="宋体" w:hint="default"/>
        </w:rPr>
        <w:t>17</w:t>
      </w:r>
      <w:r>
        <w:rPr>
          <w:rFonts w:ascii="宋体" w:hAnsi="宋体" w:cs="宋体" w:eastAsia="宋体" w:hint="default"/>
          <w:spacing w:val="-22"/>
        </w:rPr>
        <w:t> </w:t>
      </w:r>
      <w:r>
        <w:rPr>
          <w:spacing w:val="-9"/>
        </w:rPr>
        <w:t>号）第六条第六款，《辽</w:t>
      </w:r>
      <w:r>
        <w:rPr>
          <w:spacing w:val="-92"/>
        </w:rPr>
        <w:t> </w:t>
      </w:r>
      <w:r>
        <w:rPr>
          <w:spacing w:val="-92"/>
        </w:rPr>
      </w:r>
      <w:r>
        <w:rPr/>
        <w:t>宁省地方税务局关于明确房产税和城镇土地使用税有关业务问题的通知》（辽宁税函</w:t>
      </w:r>
      <w:r>
        <w:rPr>
          <w:rFonts w:ascii="宋体" w:hAnsi="宋体" w:cs="宋体" w:eastAsia="宋体" w:hint="default"/>
        </w:rPr>
        <w:t>(2011)225</w:t>
      </w:r>
      <w:r>
        <w:rPr>
          <w:rFonts w:ascii="宋体" w:hAnsi="宋体" w:cs="宋体" w:eastAsia="宋体" w:hint="default"/>
          <w:w w:val="100"/>
        </w:rPr>
        <w:t> </w:t>
      </w:r>
      <w:r>
        <w:rPr>
          <w:spacing w:val="-2"/>
        </w:rPr>
        <w:t>号）第四条第一款对经批准开山填海整治的土地和改造的废弃土地减免土地使用税的规定，本公</w:t>
      </w:r>
      <w:r>
        <w:rPr>
          <w:spacing w:val="-25"/>
        </w:rPr>
        <w:t> </w:t>
      </w:r>
      <w:r>
        <w:rPr>
          <w:spacing w:val="-25"/>
        </w:rPr>
      </w:r>
      <w:r>
        <w:rPr/>
        <w:t>司</w:t>
      </w:r>
      <w:r>
        <w:rPr>
          <w:spacing w:val="-54"/>
        </w:rPr>
        <w:t> </w:t>
      </w:r>
      <w:r>
        <w:rPr>
          <w:rFonts w:ascii="宋体" w:hAnsi="宋体" w:cs="宋体" w:eastAsia="宋体" w:hint="default"/>
        </w:rPr>
        <w:t>2015</w:t>
      </w:r>
      <w:r>
        <w:rPr>
          <w:rFonts w:ascii="宋体" w:hAnsi="宋体" w:cs="宋体" w:eastAsia="宋体" w:hint="default"/>
          <w:spacing w:val="-54"/>
        </w:rPr>
        <w:t> </w:t>
      </w:r>
      <w:r>
        <w:rPr/>
        <w:t>年享受免征土地使用税</w:t>
      </w:r>
      <w:r>
        <w:rPr>
          <w:spacing w:val="-54"/>
        </w:rPr>
        <w:t> </w:t>
      </w:r>
      <w:r>
        <w:rPr>
          <w:rFonts w:ascii="宋体" w:hAnsi="宋体" w:cs="宋体" w:eastAsia="宋体" w:hint="default"/>
        </w:rPr>
        <w:t>2,050,534.62</w:t>
      </w:r>
      <w:r>
        <w:rPr>
          <w:rFonts w:ascii="宋体" w:hAnsi="宋体" w:cs="宋体" w:eastAsia="宋体" w:hint="default"/>
          <w:spacing w:val="-56"/>
        </w:rPr>
        <w:t> </w:t>
      </w:r>
      <w:r>
        <w:rPr/>
        <w:t>元。</w:t>
      </w:r>
    </w:p>
    <w:p>
      <w:pPr>
        <w:spacing w:line="240" w:lineRule="auto" w:before="7"/>
        <w:rPr>
          <w:rFonts w:ascii="宋体" w:hAnsi="宋体" w:cs="宋体" w:eastAsia="宋体" w:hint="default"/>
          <w:sz w:val="18"/>
          <w:szCs w:val="18"/>
        </w:rPr>
      </w:pPr>
    </w:p>
    <w:p>
      <w:pPr>
        <w:pStyle w:val="BodyText"/>
        <w:spacing w:line="272" w:lineRule="exact"/>
        <w:ind w:right="0" w:firstLine="105"/>
        <w:jc w:val="left"/>
      </w:pPr>
      <w:r>
        <w:rPr>
          <w:spacing w:val="-2"/>
        </w:rPr>
        <w:t>（</w:t>
      </w:r>
      <w:r>
        <w:rPr>
          <w:rFonts w:ascii="宋体" w:hAnsi="宋体" w:cs="宋体" w:eastAsia="宋体" w:hint="default"/>
          <w:spacing w:val="-2"/>
        </w:rPr>
        <w:t>2</w:t>
      </w:r>
      <w:r>
        <w:rPr>
          <w:spacing w:val="-2"/>
        </w:rPr>
        <w:t>）根据《中华人民共和国税收征收管理法》及相关税收法规税收减免的规定，对港口的码头</w:t>
      </w:r>
      <w:r>
        <w:rPr>
          <w:w w:val="100"/>
        </w:rPr>
        <w:t> </w:t>
      </w:r>
      <w:r>
        <w:rPr/>
        <w:t>用地免征土地使用税，本公司</w:t>
      </w:r>
      <w:r>
        <w:rPr>
          <w:spacing w:val="-54"/>
        </w:rPr>
        <w:t> </w:t>
      </w:r>
      <w:r>
        <w:rPr>
          <w:rFonts w:ascii="宋体" w:hAnsi="宋体" w:cs="宋体" w:eastAsia="宋体" w:hint="default"/>
        </w:rPr>
        <w:t>2015</w:t>
      </w:r>
      <w:r>
        <w:rPr>
          <w:rFonts w:ascii="宋体" w:hAnsi="宋体" w:cs="宋体" w:eastAsia="宋体" w:hint="default"/>
          <w:spacing w:val="-56"/>
        </w:rPr>
        <w:t> </w:t>
      </w:r>
      <w:r>
        <w:rPr/>
        <w:t>年享受免征土地使用税</w:t>
      </w:r>
      <w:r>
        <w:rPr>
          <w:spacing w:val="-54"/>
        </w:rPr>
        <w:t> </w:t>
      </w:r>
      <w:r>
        <w:rPr>
          <w:rFonts w:ascii="宋体" w:hAnsi="宋体" w:cs="宋体" w:eastAsia="宋体" w:hint="default"/>
        </w:rPr>
        <w:t>2,424,500.10</w:t>
      </w:r>
      <w:r>
        <w:rPr>
          <w:rFonts w:ascii="宋体" w:hAnsi="宋体" w:cs="宋体" w:eastAsia="宋体" w:hint="default"/>
          <w:spacing w:val="-54"/>
        </w:rPr>
        <w:t> </w:t>
      </w:r>
      <w:r>
        <w:rPr>
          <w:spacing w:val="-3"/>
        </w:rPr>
        <w:t>元。</w:t>
      </w:r>
      <w:r>
        <w:rPr/>
      </w:r>
    </w:p>
    <w:p>
      <w:pPr>
        <w:spacing w:line="240" w:lineRule="auto" w:before="8"/>
        <w:rPr>
          <w:rFonts w:ascii="宋体" w:hAnsi="宋体" w:cs="宋体" w:eastAsia="宋体" w:hint="default"/>
          <w:sz w:val="16"/>
          <w:szCs w:val="16"/>
        </w:rPr>
      </w:pPr>
    </w:p>
    <w:p>
      <w:pPr>
        <w:pStyle w:val="BodyText"/>
        <w:spacing w:line="272" w:lineRule="exact"/>
        <w:ind w:right="128" w:firstLine="96"/>
        <w:jc w:val="center"/>
      </w:pPr>
      <w:r>
        <w:rPr>
          <w:spacing w:val="-2"/>
        </w:rPr>
        <w:t>（</w:t>
      </w:r>
      <w:r>
        <w:rPr>
          <w:rFonts w:ascii="宋体" w:hAnsi="宋体" w:cs="宋体" w:eastAsia="宋体" w:hint="default"/>
          <w:spacing w:val="-2"/>
        </w:rPr>
        <w:t>3</w:t>
      </w:r>
      <w:r>
        <w:rPr>
          <w:spacing w:val="-2"/>
        </w:rPr>
        <w:t>）根据《关于物流企业大宗商品仓储设施用地城镇土地使用税政策的通知》（财税</w:t>
      </w:r>
      <w:r>
        <w:rPr>
          <w:rFonts w:ascii="宋体" w:hAnsi="宋体" w:cs="宋体" w:eastAsia="宋体" w:hint="default"/>
          <w:spacing w:val="-2"/>
        </w:rPr>
        <w:t>[2012]13</w:t>
      </w:r>
      <w:r>
        <w:rPr>
          <w:rFonts w:ascii="宋体" w:hAnsi="宋体" w:cs="宋体" w:eastAsia="宋体" w:hint="default"/>
          <w:w w:val="100"/>
        </w:rPr>
        <w:t> </w:t>
      </w:r>
      <w:r>
        <w:rPr>
          <w:spacing w:val="-5"/>
        </w:rPr>
        <w:t>号）物流企业大宗商品仓储用地减半征收土地使用税的规定，本公司 </w:t>
      </w:r>
      <w:r>
        <w:rPr>
          <w:rFonts w:ascii="宋体" w:hAnsi="宋体" w:cs="宋体" w:eastAsia="宋体" w:hint="default"/>
        </w:rPr>
        <w:t>2015</w:t>
      </w:r>
      <w:r>
        <w:rPr>
          <w:rFonts w:ascii="宋体" w:hAnsi="宋体" w:cs="宋体" w:eastAsia="宋体" w:hint="default"/>
          <w:spacing w:val="-51"/>
        </w:rPr>
        <w:t> </w:t>
      </w:r>
      <w:r>
        <w:rPr/>
        <w:t>年享受免征土地使用税</w:t>
      </w:r>
    </w:p>
    <w:p>
      <w:pPr>
        <w:pStyle w:val="BodyText"/>
        <w:spacing w:line="249" w:lineRule="exact"/>
        <w:ind w:right="0"/>
        <w:jc w:val="both"/>
      </w:pPr>
      <w:r>
        <w:rPr>
          <w:rFonts w:ascii="宋体" w:hAnsi="宋体" w:cs="宋体" w:eastAsia="宋体" w:hint="default"/>
        </w:rPr>
        <w:t>5,499,336.47</w:t>
      </w:r>
      <w:r>
        <w:rPr>
          <w:rFonts w:ascii="宋体" w:hAnsi="宋体" w:cs="宋体" w:eastAsia="宋体" w:hint="default"/>
          <w:spacing w:val="-52"/>
        </w:rPr>
        <w:t> </w:t>
      </w:r>
      <w:r>
        <w:rPr/>
        <w:t>元。</w:t>
      </w:r>
    </w:p>
    <w:p>
      <w:pPr>
        <w:spacing w:line="240" w:lineRule="auto" w:before="6"/>
        <w:rPr>
          <w:rFonts w:ascii="宋体" w:hAnsi="宋体" w:cs="宋体" w:eastAsia="宋体" w:hint="default"/>
          <w:sz w:val="16"/>
          <w:szCs w:val="16"/>
        </w:rPr>
      </w:pPr>
    </w:p>
    <w:p>
      <w:pPr>
        <w:pStyle w:val="BodyText"/>
        <w:spacing w:line="237" w:lineRule="auto"/>
        <w:ind w:right="128"/>
        <w:jc w:val="both"/>
      </w:pPr>
      <w:r>
        <w:rPr>
          <w:spacing w:val="-4"/>
          <w:w w:val="100"/>
        </w:rPr>
        <w:t>（</w:t>
      </w:r>
      <w:r>
        <w:rPr>
          <w:rFonts w:ascii="宋体" w:hAnsi="宋体" w:cs="宋体" w:eastAsia="宋体" w:hint="default"/>
          <w:spacing w:val="-4"/>
          <w:w w:val="100"/>
        </w:rPr>
        <w:t>4</w:t>
      </w:r>
      <w:r>
        <w:rPr>
          <w:spacing w:val="-4"/>
          <w:w w:val="100"/>
        </w:rPr>
        <w:t>）根据辽宁省地方税务局关于开山填海整治土地和改造废弃土地减免城镇土地使用税年限及实</w:t>
      </w:r>
      <w:r>
        <w:rPr>
          <w:spacing w:val="-87"/>
          <w:w w:val="100"/>
        </w:rPr>
        <w:t> </w:t>
      </w:r>
      <w:r>
        <w:rPr>
          <w:spacing w:val="-87"/>
          <w:w w:val="100"/>
        </w:rPr>
      </w:r>
      <w:r>
        <w:rPr/>
        <w:t>行备案的公告（</w:t>
      </w:r>
      <w:r>
        <w:rPr>
          <w:rFonts w:ascii="宋体" w:hAnsi="宋体" w:cs="宋体" w:eastAsia="宋体" w:hint="default"/>
        </w:rPr>
        <w:t>2014</w:t>
      </w:r>
      <w:r>
        <w:rPr/>
        <w:t>）</w:t>
      </w:r>
      <w:r>
        <w:rPr>
          <w:rFonts w:ascii="宋体" w:hAnsi="宋体" w:cs="宋体" w:eastAsia="宋体" w:hint="default"/>
        </w:rPr>
        <w:t>1</w:t>
      </w:r>
      <w:r>
        <w:rPr>
          <w:rFonts w:ascii="宋体" w:hAnsi="宋体" w:cs="宋体" w:eastAsia="宋体" w:hint="default"/>
          <w:spacing w:val="-56"/>
        </w:rPr>
        <w:t> </w:t>
      </w:r>
      <w:r>
        <w:rPr/>
        <w:t>号税收减免的规定，本公司</w:t>
      </w:r>
      <w:r>
        <w:rPr>
          <w:spacing w:val="-54"/>
        </w:rPr>
        <w:t> </w:t>
      </w:r>
      <w:r>
        <w:rPr>
          <w:rFonts w:ascii="宋体" w:hAnsi="宋体" w:cs="宋体" w:eastAsia="宋体" w:hint="default"/>
        </w:rPr>
        <w:t>2015</w:t>
      </w:r>
      <w:r>
        <w:rPr>
          <w:rFonts w:ascii="宋体" w:hAnsi="宋体" w:cs="宋体" w:eastAsia="宋体" w:hint="default"/>
          <w:spacing w:val="-54"/>
        </w:rPr>
        <w:t> </w:t>
      </w:r>
      <w:r>
        <w:rPr/>
        <w:t>年享受免征土地使用税</w:t>
      </w:r>
      <w:r>
        <w:rPr>
          <w:spacing w:val="-54"/>
        </w:rPr>
        <w:t> </w:t>
      </w:r>
      <w:r>
        <w:rPr>
          <w:rFonts w:ascii="宋体" w:hAnsi="宋体" w:cs="宋体" w:eastAsia="宋体" w:hint="default"/>
        </w:rPr>
        <w:t>12,120,096.33</w:t>
      </w:r>
      <w:r>
        <w:rPr>
          <w:rFonts w:ascii="宋体" w:hAnsi="宋体" w:cs="宋体" w:eastAsia="宋体" w:hint="default"/>
          <w:w w:val="100"/>
        </w:rPr>
        <w:t> </w:t>
      </w:r>
      <w:r>
        <w:rPr/>
        <w:t>元。</w:t>
      </w:r>
    </w:p>
    <w:p>
      <w:pPr>
        <w:spacing w:line="240" w:lineRule="auto" w:before="8"/>
        <w:rPr>
          <w:rFonts w:ascii="宋体" w:hAnsi="宋体" w:cs="宋体" w:eastAsia="宋体" w:hint="default"/>
          <w:sz w:val="16"/>
          <w:szCs w:val="16"/>
        </w:rPr>
      </w:pPr>
    </w:p>
    <w:p>
      <w:pPr>
        <w:pStyle w:val="BodyText"/>
        <w:spacing w:line="237" w:lineRule="auto"/>
        <w:ind w:right="128"/>
        <w:jc w:val="both"/>
      </w:pPr>
      <w:r>
        <w:rPr>
          <w:spacing w:val="-4"/>
        </w:rPr>
        <w:t>（</w:t>
      </w:r>
      <w:r>
        <w:rPr>
          <w:rFonts w:ascii="宋体" w:hAnsi="宋体" w:cs="宋体" w:eastAsia="宋体" w:hint="default"/>
          <w:spacing w:val="-4"/>
        </w:rPr>
        <w:t>5</w:t>
      </w:r>
      <w:r>
        <w:rPr>
          <w:spacing w:val="-4"/>
        </w:rPr>
        <w:t>）根据财税（</w:t>
      </w:r>
      <w:r>
        <w:rPr>
          <w:rFonts w:ascii="宋体" w:hAnsi="宋体" w:cs="宋体" w:eastAsia="宋体" w:hint="default"/>
          <w:spacing w:val="-4"/>
        </w:rPr>
        <w:t>2014</w:t>
      </w:r>
      <w:r>
        <w:rPr>
          <w:spacing w:val="-4"/>
        </w:rPr>
        <w:t>）</w:t>
      </w:r>
      <w:r>
        <w:rPr>
          <w:rFonts w:ascii="宋体" w:hAnsi="宋体" w:cs="宋体" w:eastAsia="宋体" w:hint="default"/>
          <w:spacing w:val="-4"/>
        </w:rPr>
        <w:t>1</w:t>
      </w:r>
      <w:r>
        <w:rPr>
          <w:rFonts w:ascii="宋体" w:hAnsi="宋体" w:cs="宋体" w:eastAsia="宋体" w:hint="default"/>
          <w:spacing w:val="-49"/>
        </w:rPr>
        <w:t> </w:t>
      </w:r>
      <w:r>
        <w:rPr/>
        <w:t>号财政部国家税务总局《关于企业范围内荒山林地湖泊占地城镇土地使</w:t>
      </w:r>
      <w:r>
        <w:rPr>
          <w:spacing w:val="-103"/>
        </w:rPr>
        <w:t> </w:t>
      </w:r>
      <w:r>
        <w:rPr>
          <w:spacing w:val="-103"/>
        </w:rPr>
      </w:r>
      <w:r>
        <w:rPr>
          <w:spacing w:val="-2"/>
        </w:rPr>
        <w:t>用税有关政策的通知》，对已按规定免征城镇土地使用税的企业范围内的荒山、林地、湖泊等占</w:t>
      </w:r>
      <w:r>
        <w:rPr>
          <w:spacing w:val="-25"/>
        </w:rPr>
        <w:t> </w:t>
      </w:r>
      <w:r>
        <w:rPr>
          <w:spacing w:val="-25"/>
        </w:rPr>
      </w:r>
      <w:r>
        <w:rPr/>
        <w:t>地，自</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日至</w:t>
      </w:r>
      <w:r>
        <w:rPr>
          <w:spacing w:val="-52"/>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日按应纳税额减半征收城镇土地使用税税收减免的规</w:t>
      </w:r>
    </w:p>
    <w:p>
      <w:pPr>
        <w:pStyle w:val="BodyText"/>
        <w:spacing w:line="271" w:lineRule="exact"/>
        <w:ind w:right="0"/>
        <w:jc w:val="both"/>
      </w:pPr>
      <w:r>
        <w:rPr/>
        <w:t>定，本公司</w:t>
      </w:r>
      <w:r>
        <w:rPr>
          <w:spacing w:val="-55"/>
        </w:rPr>
        <w:t> </w:t>
      </w:r>
      <w:r>
        <w:rPr>
          <w:rFonts w:ascii="宋体" w:hAnsi="宋体" w:cs="宋体" w:eastAsia="宋体" w:hint="default"/>
        </w:rPr>
        <w:t>2015</w:t>
      </w:r>
      <w:r>
        <w:rPr>
          <w:rFonts w:ascii="宋体" w:hAnsi="宋体" w:cs="宋体" w:eastAsia="宋体" w:hint="default"/>
          <w:spacing w:val="-55"/>
        </w:rPr>
        <w:t> </w:t>
      </w:r>
      <w:r>
        <w:rPr/>
        <w:t>年享受免征土地使用税</w:t>
      </w:r>
      <w:r>
        <w:rPr>
          <w:spacing w:val="-54"/>
        </w:rPr>
        <w:t> </w:t>
      </w:r>
      <w:r>
        <w:rPr>
          <w:rFonts w:ascii="宋体" w:hAnsi="宋体" w:cs="宋体" w:eastAsia="宋体" w:hint="default"/>
        </w:rPr>
        <w:t>340,480.22</w:t>
      </w:r>
      <w:r>
        <w:rPr>
          <w:rFonts w:ascii="宋体" w:hAnsi="宋体" w:cs="宋体" w:eastAsia="宋体" w:hint="default"/>
          <w:spacing w:val="-57"/>
        </w:rPr>
        <w:t> </w:t>
      </w:r>
      <w:r>
        <w:rPr/>
        <w:t>元。</w:t>
      </w:r>
    </w:p>
    <w:p>
      <w:pPr>
        <w:spacing w:line="240" w:lineRule="auto" w:before="7"/>
        <w:rPr>
          <w:rFonts w:ascii="宋体" w:hAnsi="宋体" w:cs="宋体" w:eastAsia="宋体" w:hint="default"/>
          <w:sz w:val="18"/>
          <w:szCs w:val="18"/>
        </w:rPr>
      </w:pPr>
    </w:p>
    <w:p>
      <w:pPr>
        <w:pStyle w:val="BodyText"/>
        <w:spacing w:line="272" w:lineRule="exact"/>
        <w:ind w:right="128"/>
        <w:jc w:val="both"/>
      </w:pPr>
      <w:r>
        <w:rPr>
          <w:spacing w:val="-4"/>
        </w:rPr>
        <w:t>（</w:t>
      </w:r>
      <w:r>
        <w:rPr>
          <w:rFonts w:ascii="宋体" w:hAnsi="宋体" w:cs="宋体" w:eastAsia="宋体" w:hint="default"/>
          <w:spacing w:val="-4"/>
        </w:rPr>
        <w:t>6</w:t>
      </w:r>
      <w:r>
        <w:rPr>
          <w:spacing w:val="-4"/>
        </w:rPr>
        <w:t>）根据《中华人民共和国税收征收管理法》、《财政部、国家税务总局关于调整公有住房和廉</w:t>
      </w:r>
      <w:r>
        <w:rPr>
          <w:spacing w:val="-36"/>
        </w:rPr>
        <w:t> </w:t>
      </w:r>
      <w:r>
        <w:rPr>
          <w:spacing w:val="-36"/>
        </w:rPr>
      </w:r>
      <w:r>
        <w:rPr>
          <w:spacing w:val="-18"/>
          <w:w w:val="100"/>
        </w:rPr>
        <w:t>租住房减免房产税的规定，免（减）征房产税》的规定，本公司</w:t>
      </w:r>
      <w:r>
        <w:rPr>
          <w:spacing w:val="-51"/>
          <w:w w:val="100"/>
        </w:rPr>
        <w:t> </w:t>
      </w:r>
      <w:r>
        <w:rPr>
          <w:rFonts w:ascii="宋体" w:hAnsi="宋体" w:cs="宋体" w:eastAsia="宋体" w:hint="default"/>
          <w:spacing w:val="-1"/>
          <w:w w:val="100"/>
        </w:rPr>
        <w:t>2015</w:t>
      </w:r>
      <w:r>
        <w:rPr>
          <w:rFonts w:ascii="宋体" w:hAnsi="宋体" w:cs="宋体" w:eastAsia="宋体" w:hint="default"/>
          <w:spacing w:val="-51"/>
          <w:w w:val="100"/>
        </w:rPr>
        <w:t> </w:t>
      </w:r>
      <w:r>
        <w:rPr>
          <w:spacing w:val="-2"/>
          <w:w w:val="100"/>
        </w:rPr>
        <w:t>年享受免减征房产税</w:t>
      </w:r>
      <w:r>
        <w:rPr>
          <w:spacing w:val="-50"/>
          <w:w w:val="100"/>
        </w:rPr>
        <w:t> </w:t>
      </w:r>
      <w:r>
        <w:rPr>
          <w:rFonts w:ascii="宋体" w:hAnsi="宋体" w:cs="宋体" w:eastAsia="宋体" w:hint="default"/>
          <w:spacing w:val="-1"/>
          <w:w w:val="100"/>
        </w:rPr>
        <w:t>89,391.63</w:t>
      </w:r>
      <w:r>
        <w:rPr>
          <w:rFonts w:ascii="宋体" w:hAnsi="宋体" w:cs="宋体" w:eastAsia="宋体" w:hint="default"/>
          <w:w w:val="100"/>
        </w:rPr>
        <w:t> </w:t>
      </w:r>
      <w:r>
        <w:rPr/>
        <w:t>元。</w:t>
      </w:r>
    </w:p>
    <w:p>
      <w:pPr>
        <w:spacing w:line="240" w:lineRule="auto" w:before="7"/>
        <w:rPr>
          <w:rFonts w:ascii="宋体" w:hAnsi="宋体" w:cs="宋体" w:eastAsia="宋体" w:hint="default"/>
          <w:sz w:val="14"/>
          <w:szCs w:val="14"/>
        </w:rPr>
      </w:pPr>
    </w:p>
    <w:p>
      <w:pPr>
        <w:pStyle w:val="BodyText"/>
        <w:spacing w:line="273" w:lineRule="exact"/>
        <w:ind w:right="0"/>
        <w:jc w:val="both"/>
        <w:rPr>
          <w:rFonts w:ascii="宋体" w:hAnsi="宋体" w:cs="宋体" w:eastAsia="宋体" w:hint="default"/>
        </w:rPr>
      </w:pPr>
      <w:r>
        <w:rPr>
          <w:spacing w:val="-3"/>
        </w:rPr>
        <w:t>（</w:t>
      </w:r>
      <w:r>
        <w:rPr>
          <w:rFonts w:ascii="宋体" w:hAnsi="宋体" w:cs="宋体" w:eastAsia="宋体" w:hint="default"/>
          <w:spacing w:val="-3"/>
        </w:rPr>
        <w:t>7</w:t>
      </w:r>
      <w:r>
        <w:rPr>
          <w:spacing w:val="-3"/>
        </w:rPr>
        <w:t>）根据《辽宁省地方税务局关于明确房产税和城镇土地使用税有关业务问题》</w:t>
      </w:r>
      <w:r>
        <w:rPr>
          <w:rFonts w:ascii="宋体" w:hAnsi="宋体" w:cs="宋体" w:eastAsia="宋体" w:hint="default"/>
          <w:spacing w:val="-3"/>
        </w:rPr>
        <w:t>(</w:t>
      </w:r>
      <w:r>
        <w:rPr>
          <w:spacing w:val="-3"/>
        </w:rPr>
        <w:t>辽地税函</w:t>
      </w:r>
      <w:r>
        <w:rPr>
          <w:spacing w:val="20"/>
        </w:rPr>
        <w:t> </w:t>
      </w:r>
      <w:r>
        <w:rPr>
          <w:rFonts w:ascii="宋体" w:hAnsi="宋体" w:cs="宋体" w:eastAsia="宋体" w:hint="default"/>
        </w:rPr>
        <w:t>2011</w:t>
      </w:r>
    </w:p>
    <w:p>
      <w:pPr>
        <w:pStyle w:val="BodyText"/>
        <w:spacing w:line="272" w:lineRule="exact"/>
        <w:ind w:right="0"/>
        <w:jc w:val="both"/>
      </w:pPr>
      <w:r>
        <w:rPr/>
        <w:t>第 </w:t>
      </w:r>
      <w:r>
        <w:rPr>
          <w:rFonts w:ascii="宋体" w:hAnsi="宋体" w:cs="宋体" w:eastAsia="宋体" w:hint="default"/>
        </w:rPr>
        <w:t>225</w:t>
      </w:r>
      <w:r>
        <w:rPr>
          <w:rFonts w:ascii="宋体" w:hAnsi="宋体" w:cs="宋体" w:eastAsia="宋体" w:hint="default"/>
          <w:spacing w:val="-45"/>
        </w:rPr>
        <w:t> </w:t>
      </w:r>
      <w:r>
        <w:rPr>
          <w:spacing w:val="-4"/>
        </w:rPr>
        <w:t>号</w:t>
      </w:r>
      <w:r>
        <w:rPr>
          <w:rFonts w:ascii="宋体" w:hAnsi="宋体" w:cs="宋体" w:eastAsia="宋体" w:hint="default"/>
          <w:spacing w:val="-4"/>
        </w:rPr>
        <w:t>)</w:t>
      </w:r>
      <w:r>
        <w:rPr>
          <w:spacing w:val="-4"/>
        </w:rPr>
        <w:t>第四条第一款。开山填海整治的土地和改造的废弃土地减免土地使用税的规定，本公司</w:t>
      </w:r>
    </w:p>
    <w:p>
      <w:pPr>
        <w:pStyle w:val="BodyText"/>
        <w:spacing w:line="274" w:lineRule="exact"/>
        <w:ind w:right="0"/>
        <w:jc w:val="both"/>
      </w:pPr>
      <w:r>
        <w:rPr>
          <w:rFonts w:ascii="宋体" w:hAnsi="宋体" w:cs="宋体" w:eastAsia="宋体" w:hint="default"/>
        </w:rPr>
        <w:t>2015</w:t>
      </w:r>
      <w:r>
        <w:rPr>
          <w:rFonts w:ascii="宋体" w:hAnsi="宋体" w:cs="宋体" w:eastAsia="宋体" w:hint="default"/>
          <w:spacing w:val="-55"/>
        </w:rPr>
        <w:t> </w:t>
      </w:r>
      <w:r>
        <w:rPr/>
        <w:t>年享受免（减）征土地使用税</w:t>
      </w:r>
      <w:r>
        <w:rPr>
          <w:spacing w:val="-53"/>
        </w:rPr>
        <w:t> </w:t>
      </w:r>
      <w:r>
        <w:rPr>
          <w:rFonts w:ascii="宋体" w:hAnsi="宋体" w:cs="宋体" w:eastAsia="宋体" w:hint="default"/>
        </w:rPr>
        <w:t>2,318,988.00</w:t>
      </w:r>
      <w:r>
        <w:rPr>
          <w:rFonts w:ascii="宋体" w:hAnsi="宋体" w:cs="宋体" w:eastAsia="宋体" w:hint="default"/>
          <w:spacing w:val="-55"/>
        </w:rPr>
        <w:t> </w:t>
      </w:r>
      <w:r>
        <w:rPr>
          <w:spacing w:val="-3"/>
        </w:rPr>
        <w:t>元。</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60" w:right="1140"/>
        </w:sectPr>
      </w:pPr>
    </w:p>
    <w:p>
      <w:pPr>
        <w:pStyle w:val="Heading2"/>
        <w:spacing w:line="290" w:lineRule="auto"/>
        <w:ind w:left="138"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8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40"/>
          <w:cols w:num="2" w:equalWidth="0">
            <w:col w:w="2673" w:space="3849"/>
            <w:col w:w="25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223"/>
        <w:gridCol w:w="3300"/>
        <w:gridCol w:w="3327"/>
      </w:tblGrid>
      <w:tr>
        <w:trPr>
          <w:trHeight w:val="289"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35,437.74</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47,375.41</w:t>
            </w:r>
          </w:p>
        </w:tc>
      </w:tr>
      <w:tr>
        <w:trPr>
          <w:trHeight w:val="28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232,369,277.18</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463,805,564.45</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324,277,812.67</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294,364,298.92</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556,682,527.59</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758,217,238.78</w:t>
            </w:r>
          </w:p>
        </w:tc>
      </w:tr>
      <w:tr>
        <w:trPr>
          <w:trHeight w:val="559"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8" w:right="-2"/>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存</w:t>
            </w:r>
            <w:r>
              <w:rPr>
                <w:rFonts w:ascii="宋体" w:hAnsi="宋体" w:cs="宋体" w:eastAsia="宋体" w:hint="default"/>
                <w:w w:val="100"/>
                <w:sz w:val="21"/>
                <w:szCs w:val="21"/>
              </w:rPr>
              <w:t>放</w:t>
            </w:r>
            <w:r>
              <w:rPr>
                <w:rFonts w:ascii="宋体" w:hAnsi="宋体" w:cs="宋体" w:eastAsia="宋体" w:hint="default"/>
                <w:spacing w:val="-3"/>
                <w:w w:val="100"/>
                <w:sz w:val="21"/>
                <w:szCs w:val="21"/>
              </w:rPr>
              <w:t>在</w:t>
            </w:r>
            <w:r>
              <w:rPr>
                <w:rFonts w:ascii="宋体" w:hAnsi="宋体" w:cs="宋体" w:eastAsia="宋体" w:hint="default"/>
                <w:w w:val="100"/>
                <w:sz w:val="21"/>
                <w:szCs w:val="21"/>
              </w:rPr>
              <w:t>境</w:t>
            </w:r>
            <w:r>
              <w:rPr>
                <w:rFonts w:ascii="宋体" w:hAnsi="宋体" w:cs="宋体" w:eastAsia="宋体" w:hint="default"/>
                <w:spacing w:val="-3"/>
                <w:w w:val="100"/>
                <w:sz w:val="21"/>
                <w:szCs w:val="21"/>
              </w:rPr>
              <w:t>外</w:t>
            </w:r>
            <w:r>
              <w:rPr>
                <w:rFonts w:ascii="宋体" w:hAnsi="宋体" w:cs="宋体" w:eastAsia="宋体" w:hint="default"/>
                <w:w w:val="100"/>
                <w:sz w:val="21"/>
                <w:szCs w:val="21"/>
              </w:rPr>
              <w:t>的款</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27"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exact"/>
        <w:ind w:right="0"/>
        <w:jc w:val="left"/>
      </w:pPr>
      <w:r>
        <w:rPr/>
        <w:t>其他说明</w:t>
      </w:r>
    </w:p>
    <w:p>
      <w:pPr>
        <w:pStyle w:val="BodyText"/>
        <w:spacing w:line="272" w:lineRule="exact"/>
        <w:ind w:right="0"/>
        <w:jc w:val="left"/>
      </w:pPr>
      <w:r>
        <w:rPr/>
        <w:t>其他货币资金期末余额中，银行承兑汇票保证金为</w:t>
      </w:r>
      <w:r>
        <w:rPr>
          <w:spacing w:val="-59"/>
        </w:rPr>
        <w:t> </w:t>
      </w:r>
      <w:r>
        <w:rPr>
          <w:rFonts w:ascii="宋体" w:hAnsi="宋体" w:cs="宋体" w:eastAsia="宋体" w:hint="default"/>
        </w:rPr>
        <w:t>323,943,446.67</w:t>
      </w:r>
      <w:r>
        <w:rPr>
          <w:rFonts w:ascii="宋体" w:hAnsi="宋体" w:cs="宋体" w:eastAsia="宋体" w:hint="default"/>
          <w:spacing w:val="-57"/>
        </w:rPr>
        <w:t> </w:t>
      </w:r>
      <w:r>
        <w:rPr/>
        <w:t>元，银行履约保函保证金为</w:t>
      </w:r>
    </w:p>
    <w:p>
      <w:pPr>
        <w:pStyle w:val="BodyText"/>
        <w:spacing w:line="240" w:lineRule="auto"/>
        <w:ind w:right="0"/>
        <w:jc w:val="left"/>
      </w:pPr>
      <w:r>
        <w:rPr>
          <w:rFonts w:ascii="宋体" w:hAnsi="宋体" w:cs="宋体" w:eastAsia="宋体" w:hint="default"/>
        </w:rPr>
        <w:t>334,366.00</w:t>
      </w:r>
      <w:r>
        <w:rPr>
          <w:rFonts w:ascii="宋体" w:hAnsi="宋体" w:cs="宋体" w:eastAsia="宋体" w:hint="default"/>
          <w:spacing w:val="-15"/>
        </w:rPr>
        <w:t> </w:t>
      </w:r>
      <w:r>
        <w:rPr>
          <w:spacing w:val="-3"/>
        </w:rPr>
        <w:t>元。除此之外，期末货币资金中无其他因抵押、质押或冻结等对使用有限制、或存放</w:t>
      </w:r>
      <w:r>
        <w:rPr>
          <w:spacing w:val="-89"/>
        </w:rPr>
        <w:t> </w:t>
      </w:r>
      <w:r>
        <w:rPr>
          <w:spacing w:val="-89"/>
        </w:rPr>
      </w:r>
      <w:r>
        <w:rPr/>
        <w:t>在境外且资金汇回受到限制的款项。</w:t>
      </w:r>
    </w:p>
    <w:p>
      <w:pPr>
        <w:spacing w:line="240" w:lineRule="auto" w:before="3"/>
        <w:rPr>
          <w:rFonts w:ascii="宋体" w:hAnsi="宋体" w:cs="宋体" w:eastAsia="宋体" w:hint="default"/>
          <w:sz w:val="25"/>
          <w:szCs w:val="25"/>
        </w:rPr>
      </w:pPr>
    </w:p>
    <w:p>
      <w:pPr>
        <w:pStyle w:val="Heading2"/>
        <w:spacing w:line="240" w:lineRule="auto" w:before="0"/>
        <w:ind w:left="138" w:right="0"/>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6"/>
        <w:ind w:right="0"/>
        <w:jc w:val="left"/>
      </w:pPr>
      <w:r>
        <w:rPr/>
        <w:t>□适用</w:t>
      </w:r>
      <w:r>
        <w:rPr>
          <w:spacing w:val="-1"/>
        </w:rPr>
        <w:t> </w:t>
      </w:r>
      <w:r>
        <w:rPr/>
        <w:t>√不适用</w:t>
      </w:r>
    </w:p>
    <w:p>
      <w:pPr>
        <w:spacing w:after="0" w:line="240" w:lineRule="auto"/>
        <w:jc w:val="left"/>
        <w:sectPr>
          <w:type w:val="continuous"/>
          <w:pgSz w:w="11910" w:h="16840"/>
          <w:pgMar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2"/>
        <w:spacing w:line="240" w:lineRule="auto" w:before="0"/>
        <w:ind w:left="1118"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8"/>
        <w:ind w:left="11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32"/>
          <w:pgSz w:w="11910" w:h="16840"/>
          <w:pgMar w:footer="1195" w:header="882" w:top="1120" w:bottom="1380" w:left="680" w:right="1020"/>
        </w:sectPr>
      </w:pPr>
    </w:p>
    <w:p>
      <w:pPr>
        <w:pStyle w:val="Heading2"/>
        <w:spacing w:line="240" w:lineRule="auto"/>
        <w:ind w:left="1118" w:right="-20"/>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2"/>
        <w:spacing w:line="240" w:lineRule="auto" w:before="58"/>
        <w:ind w:left="1118"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6"/>
        <w:ind w:left="111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1020"/>
          <w:cols w:num="2" w:equalWidth="0">
            <w:col w:w="3336" w:space="3186"/>
            <w:col w:w="3688"/>
          </w:cols>
        </w:sectPr>
      </w:pPr>
    </w:p>
    <w:p>
      <w:pPr>
        <w:spacing w:line="240" w:lineRule="auto" w:before="4"/>
        <w:rPr>
          <w:rFonts w:ascii="宋体" w:hAnsi="宋体" w:cs="宋体" w:eastAsia="宋体" w:hint="default"/>
          <w:sz w:val="2"/>
          <w:szCs w:val="2"/>
        </w:rPr>
      </w:pPr>
    </w:p>
    <w:tbl>
      <w:tblPr>
        <w:tblW w:w="0" w:type="auto"/>
        <w:jc w:val="left"/>
        <w:tblInd w:w="969" w:type="dxa"/>
        <w:tblLayout w:type="fixed"/>
        <w:tblCellMar>
          <w:top w:w="0" w:type="dxa"/>
          <w:left w:w="0" w:type="dxa"/>
          <w:bottom w:w="0" w:type="dxa"/>
          <w:right w:w="0" w:type="dxa"/>
        </w:tblCellMar>
        <w:tblLook w:val="01E0"/>
      </w:tblPr>
      <w:tblGrid>
        <w:gridCol w:w="2965"/>
        <w:gridCol w:w="3147"/>
        <w:gridCol w:w="2895"/>
      </w:tblGrid>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项目</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9"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right"/>
              <w:rPr>
                <w:rFonts w:ascii="宋体" w:hAnsi="宋体" w:cs="宋体" w:eastAsia="宋体" w:hint="default"/>
                <w:sz w:val="21"/>
                <w:szCs w:val="21"/>
              </w:rPr>
            </w:pPr>
            <w:r>
              <w:rPr>
                <w:rFonts w:ascii="宋体"/>
                <w:spacing w:val="-1"/>
                <w:sz w:val="21"/>
              </w:rPr>
              <w:t>64,223,381.97</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3"/>
              <w:jc w:val="right"/>
              <w:rPr>
                <w:rFonts w:ascii="宋体" w:hAnsi="宋体" w:cs="宋体" w:eastAsia="宋体" w:hint="default"/>
                <w:sz w:val="21"/>
                <w:szCs w:val="21"/>
              </w:rPr>
            </w:pPr>
            <w:r>
              <w:rPr>
                <w:rFonts w:ascii="宋体"/>
                <w:spacing w:val="-1"/>
                <w:sz w:val="21"/>
              </w:rPr>
              <w:t>89,428,144.04</w:t>
            </w:r>
          </w:p>
        </w:tc>
      </w:tr>
      <w:tr>
        <w:trPr>
          <w:trHeight w:val="28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7"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
        </w:tc>
        <w:tc>
          <w:tcPr>
            <w:tcW w:w="3147"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
        </w:tc>
        <w:tc>
          <w:tcPr>
            <w:tcW w:w="3147"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合计</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64,223,381.97</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89,428,144.04</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680" w:right="1020"/>
        </w:sectPr>
      </w:pPr>
    </w:p>
    <w:p>
      <w:pPr>
        <w:pStyle w:val="Heading2"/>
        <w:spacing w:line="240" w:lineRule="auto"/>
        <w:ind w:left="1118" w:right="-16"/>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8"/>
        <w:ind w:left="1118" w:right="-16"/>
        <w:jc w:val="left"/>
      </w:pPr>
      <w:r>
        <w:rPr/>
        <w:t>□适用</w:t>
      </w:r>
      <w:r>
        <w:rPr>
          <w:spacing w:val="-1"/>
        </w:rPr>
        <w:t> </w:t>
      </w:r>
      <w:r>
        <w:rPr/>
        <w:t>√不适用</w:t>
      </w:r>
    </w:p>
    <w:p>
      <w:pPr>
        <w:pStyle w:val="Heading2"/>
        <w:spacing w:line="240" w:lineRule="auto" w:before="56"/>
        <w:ind w:left="1118" w:right="-16"/>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8"/>
        <w:ind w:left="11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101" w:val="left" w:leader="none"/>
        </w:tabs>
        <w:spacing w:line="240" w:lineRule="auto"/>
        <w:ind w:left="49"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1020"/>
          <w:cols w:num="2" w:equalWidth="0">
            <w:col w:w="7551" w:space="40"/>
            <w:col w:w="2619"/>
          </w:cols>
        </w:sectPr>
      </w:pPr>
    </w:p>
    <w:p>
      <w:pPr>
        <w:spacing w:line="240" w:lineRule="auto" w:before="7"/>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2878"/>
        <w:gridCol w:w="3051"/>
        <w:gridCol w:w="3121"/>
      </w:tblGrid>
      <w:tr>
        <w:trPr>
          <w:trHeight w:val="283" w:hRule="exact"/>
        </w:trPr>
        <w:tc>
          <w:tcPr>
            <w:tcW w:w="2878"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4,450,000.00</w:t>
            </w:r>
          </w:p>
        </w:tc>
        <w:tc>
          <w:tcPr>
            <w:tcW w:w="3121"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4,450,000.00</w:t>
            </w:r>
          </w:p>
        </w:tc>
        <w:tc>
          <w:tcPr>
            <w:tcW w:w="3121" w:type="dxa"/>
            <w:tcBorders>
              <w:top w:val="single" w:sz="6" w:space="0" w:color="000000"/>
              <w:left w:val="single" w:sz="6" w:space="0" w:color="000000"/>
              <w:bottom w:val="single" w:sz="6"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ind w:left="1118" w:right="0"/>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8"/>
        <w:ind w:left="11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680" w:right="1020"/>
        </w:sectPr>
      </w:pPr>
    </w:p>
    <w:p>
      <w:pPr>
        <w:pStyle w:val="Heading2"/>
        <w:spacing w:line="240" w:lineRule="auto"/>
        <w:ind w:left="1118" w:right="-20"/>
        <w:jc w:val="left"/>
        <w:rPr>
          <w:b w:val="0"/>
          <w:bCs w:val="0"/>
        </w:rPr>
      </w:pPr>
      <w:r>
        <w:rPr>
          <w:rFonts w:ascii="宋体" w:hAnsi="宋体" w:cs="宋体" w:eastAsia="宋体" w:hint="default"/>
        </w:rPr>
        <w:t>5</w:t>
      </w:r>
      <w:r>
        <w:rPr/>
        <w:t>、</w:t>
      </w:r>
      <w:r>
        <w:rPr>
          <w:spacing w:val="-2"/>
        </w:rPr>
        <w:t> </w:t>
      </w:r>
      <w:r>
        <w:rPr/>
        <w:t>应收账款</w:t>
      </w:r>
      <w:r>
        <w:rPr>
          <w:b w:val="0"/>
          <w:bCs w:val="0"/>
        </w:rPr>
      </w:r>
    </w:p>
    <w:p>
      <w:pPr>
        <w:pStyle w:val="Heading2"/>
        <w:spacing w:line="240" w:lineRule="auto" w:before="58"/>
        <w:ind w:left="1118"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169" w:val="left" w:leader="none"/>
        </w:tabs>
        <w:spacing w:line="240" w:lineRule="auto" w:before="178"/>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1020"/>
          <w:cols w:num="2" w:equalWidth="0">
            <w:col w:w="3382" w:space="3037"/>
            <w:col w:w="3791"/>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04"/>
        <w:gridCol w:w="1030"/>
        <w:gridCol w:w="569"/>
        <w:gridCol w:w="989"/>
        <w:gridCol w:w="574"/>
        <w:gridCol w:w="992"/>
        <w:gridCol w:w="991"/>
        <w:gridCol w:w="571"/>
        <w:gridCol w:w="850"/>
        <w:gridCol w:w="773"/>
        <w:gridCol w:w="924"/>
      </w:tblGrid>
      <w:tr>
        <w:trPr>
          <w:trHeight w:val="269" w:hRule="exact"/>
        </w:trPr>
        <w:tc>
          <w:tcPr>
            <w:tcW w:w="17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类别</w:t>
            </w:r>
          </w:p>
        </w:tc>
        <w:tc>
          <w:tcPr>
            <w:tcW w:w="41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center"/>
              <w:rPr>
                <w:rFonts w:ascii="宋体" w:hAnsi="宋体" w:cs="宋体" w:eastAsia="宋体" w:hint="default"/>
                <w:sz w:val="13"/>
                <w:szCs w:val="13"/>
              </w:rPr>
            </w:pPr>
            <w:r>
              <w:rPr>
                <w:rFonts w:ascii="宋体" w:hAnsi="宋体" w:cs="宋体" w:eastAsia="宋体" w:hint="default"/>
                <w:sz w:val="13"/>
                <w:szCs w:val="13"/>
              </w:rPr>
              <w:t>期末余额</w:t>
            </w:r>
          </w:p>
        </w:tc>
        <w:tc>
          <w:tcPr>
            <w:tcW w:w="41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center"/>
              <w:rPr>
                <w:rFonts w:ascii="宋体" w:hAnsi="宋体" w:cs="宋体" w:eastAsia="宋体" w:hint="default"/>
                <w:sz w:val="13"/>
                <w:szCs w:val="13"/>
              </w:rPr>
            </w:pPr>
            <w:r>
              <w:rPr>
                <w:rFonts w:ascii="宋体" w:hAnsi="宋体" w:cs="宋体" w:eastAsia="宋体" w:hint="default"/>
                <w:sz w:val="13"/>
                <w:szCs w:val="13"/>
              </w:rPr>
              <w:t>期初余额</w:t>
            </w:r>
          </w:p>
        </w:tc>
      </w:tr>
      <w:tr>
        <w:trPr>
          <w:trHeight w:val="238" w:hRule="exact"/>
        </w:trPr>
        <w:tc>
          <w:tcPr>
            <w:tcW w:w="1704" w:type="dxa"/>
            <w:vMerge/>
            <w:tcBorders>
              <w:left w:val="single" w:sz="4" w:space="0" w:color="000000"/>
              <w:right w:val="single" w:sz="4" w:space="0" w:color="000000"/>
            </w:tcBorders>
          </w:tcPr>
          <w:p>
            <w:pPr/>
          </w:p>
        </w:tc>
        <w:tc>
          <w:tcPr>
            <w:tcW w:w="15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center"/>
              <w:rPr>
                <w:rFonts w:ascii="宋体" w:hAnsi="宋体" w:cs="宋体" w:eastAsia="宋体" w:hint="default"/>
                <w:sz w:val="13"/>
                <w:szCs w:val="13"/>
              </w:rPr>
            </w:pPr>
            <w:r>
              <w:rPr>
                <w:rFonts w:ascii="宋体" w:hAnsi="宋体" w:cs="宋体" w:eastAsia="宋体" w:hint="default"/>
                <w:sz w:val="13"/>
                <w:szCs w:val="13"/>
              </w:rPr>
              <w:t>账面余额</w:t>
            </w:r>
          </w:p>
        </w:tc>
        <w:tc>
          <w:tcPr>
            <w:tcW w:w="15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13" w:right="0"/>
              <w:jc w:val="left"/>
              <w:rPr>
                <w:rFonts w:ascii="宋体" w:hAnsi="宋体" w:cs="宋体" w:eastAsia="宋体" w:hint="default"/>
                <w:sz w:val="13"/>
                <w:szCs w:val="13"/>
              </w:rPr>
            </w:pPr>
            <w:r>
              <w:rPr>
                <w:rFonts w:ascii="宋体" w:hAnsi="宋体" w:cs="宋体" w:eastAsia="宋体" w:hint="default"/>
                <w:sz w:val="13"/>
                <w:szCs w:val="13"/>
              </w:rPr>
              <w:t>坏账准备</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left="360" w:right="360"/>
              <w:jc w:val="center"/>
              <w:rPr>
                <w:rFonts w:ascii="宋体" w:hAnsi="宋体" w:cs="宋体" w:eastAsia="宋体" w:hint="default"/>
                <w:sz w:val="13"/>
                <w:szCs w:val="13"/>
              </w:rPr>
            </w:pPr>
            <w:r>
              <w:rPr>
                <w:rFonts w:ascii="宋体" w:hAnsi="宋体" w:cs="宋体" w:eastAsia="宋体" w:hint="default"/>
                <w:sz w:val="13"/>
                <w:szCs w:val="13"/>
              </w:rPr>
              <w:t>账面</w:t>
            </w:r>
            <w:r>
              <w:rPr>
                <w:rFonts w:ascii="宋体" w:hAnsi="宋体" w:cs="宋体" w:eastAsia="宋体" w:hint="default"/>
                <w:w w:val="99"/>
                <w:sz w:val="13"/>
                <w:szCs w:val="13"/>
              </w:rPr>
              <w:t> </w:t>
            </w:r>
            <w:r>
              <w:rPr>
                <w:rFonts w:ascii="宋体" w:hAnsi="宋体" w:cs="宋体" w:eastAsia="宋体" w:hint="default"/>
                <w:sz w:val="13"/>
                <w:szCs w:val="13"/>
              </w:rPr>
              <w:t>价值</w:t>
            </w:r>
          </w:p>
        </w:tc>
        <w:tc>
          <w:tcPr>
            <w:tcW w:w="15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15" w:right="0"/>
              <w:jc w:val="left"/>
              <w:rPr>
                <w:rFonts w:ascii="宋体" w:hAnsi="宋体" w:cs="宋体" w:eastAsia="宋体" w:hint="default"/>
                <w:sz w:val="13"/>
                <w:szCs w:val="13"/>
              </w:rPr>
            </w:pPr>
            <w:r>
              <w:rPr>
                <w:rFonts w:ascii="宋体" w:hAnsi="宋体" w:cs="宋体" w:eastAsia="宋体" w:hint="default"/>
                <w:sz w:val="13"/>
                <w:szCs w:val="13"/>
              </w:rPr>
              <w:t>账面余额</w:t>
            </w:r>
          </w:p>
        </w:tc>
        <w:tc>
          <w:tcPr>
            <w:tcW w:w="16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center"/>
              <w:rPr>
                <w:rFonts w:ascii="宋体" w:hAnsi="宋体" w:cs="宋体" w:eastAsia="宋体" w:hint="default"/>
                <w:sz w:val="13"/>
                <w:szCs w:val="13"/>
              </w:rPr>
            </w:pPr>
            <w:r>
              <w:rPr>
                <w:rFonts w:ascii="宋体" w:hAnsi="宋体" w:cs="宋体" w:eastAsia="宋体" w:hint="default"/>
                <w:sz w:val="13"/>
                <w:szCs w:val="13"/>
              </w:rPr>
              <w:t>坏账准备</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left="326" w:right="326"/>
              <w:jc w:val="center"/>
              <w:rPr>
                <w:rFonts w:ascii="宋体" w:hAnsi="宋体" w:cs="宋体" w:eastAsia="宋体" w:hint="default"/>
                <w:sz w:val="13"/>
                <w:szCs w:val="13"/>
              </w:rPr>
            </w:pPr>
            <w:r>
              <w:rPr>
                <w:rFonts w:ascii="宋体" w:hAnsi="宋体" w:cs="宋体" w:eastAsia="宋体" w:hint="default"/>
                <w:sz w:val="13"/>
                <w:szCs w:val="13"/>
              </w:rPr>
              <w:t>账面</w:t>
            </w:r>
            <w:r>
              <w:rPr>
                <w:rFonts w:ascii="宋体" w:hAnsi="宋体" w:cs="宋体" w:eastAsia="宋体" w:hint="default"/>
                <w:w w:val="99"/>
                <w:sz w:val="13"/>
                <w:szCs w:val="13"/>
              </w:rPr>
              <w:t> </w:t>
            </w:r>
            <w:r>
              <w:rPr>
                <w:rFonts w:ascii="宋体" w:hAnsi="宋体" w:cs="宋体" w:eastAsia="宋体" w:hint="default"/>
                <w:sz w:val="13"/>
                <w:szCs w:val="13"/>
              </w:rPr>
              <w:t>价值</w:t>
            </w:r>
          </w:p>
        </w:tc>
      </w:tr>
      <w:tr>
        <w:trPr>
          <w:trHeight w:val="384" w:hRule="exact"/>
        </w:trPr>
        <w:tc>
          <w:tcPr>
            <w:tcW w:w="1704" w:type="dxa"/>
            <w:vMerge/>
            <w:tcBorders>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13"/>
                <w:szCs w:val="13"/>
              </w:rPr>
            </w:pPr>
            <w:r>
              <w:rPr>
                <w:rFonts w:ascii="宋体" w:hAnsi="宋体" w:cs="宋体" w:eastAsia="宋体" w:hint="default"/>
                <w:sz w:val="13"/>
                <w:szCs w:val="13"/>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3"/>
              <w:jc w:val="right"/>
              <w:rPr>
                <w:rFonts w:ascii="宋体" w:hAnsi="宋体" w:cs="宋体" w:eastAsia="宋体" w:hint="default"/>
                <w:sz w:val="13"/>
                <w:szCs w:val="13"/>
              </w:rPr>
            </w:pPr>
            <w:r>
              <w:rPr>
                <w:rFonts w:ascii="宋体" w:hAnsi="宋体" w:cs="宋体" w:eastAsia="宋体" w:hint="default"/>
                <w:w w:val="95"/>
                <w:sz w:val="13"/>
                <w:szCs w:val="13"/>
              </w:rPr>
              <w:t>比例</w:t>
            </w:r>
            <w:r>
              <w:rPr>
                <w:rFonts w:ascii="宋体" w:hAnsi="宋体" w:cs="宋体" w:eastAsia="宋体" w:hint="default"/>
                <w:w w:val="95"/>
                <w:sz w:val="13"/>
                <w:szCs w:val="13"/>
              </w:rPr>
              <w:t>(%)</w:t>
            </w:r>
            <w:r>
              <w:rPr>
                <w:rFonts w:ascii="宋体" w:hAnsi="宋体" w:cs="宋体" w:eastAsia="宋体" w:hint="default"/>
                <w:sz w:val="13"/>
                <w:szCs w:val="13"/>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center"/>
              <w:rPr>
                <w:rFonts w:ascii="宋体" w:hAnsi="宋体" w:cs="宋体" w:eastAsia="宋体" w:hint="default"/>
                <w:sz w:val="13"/>
                <w:szCs w:val="13"/>
              </w:rPr>
            </w:pPr>
            <w:r>
              <w:rPr>
                <w:rFonts w:ascii="宋体" w:hAnsi="宋体" w:cs="宋体" w:eastAsia="宋体" w:hint="default"/>
                <w:sz w:val="13"/>
                <w:szCs w:val="13"/>
              </w:rPr>
              <w:t>金额</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12"/>
              <w:ind w:left="120" w:right="86" w:hanging="34"/>
              <w:jc w:val="left"/>
              <w:rPr>
                <w:rFonts w:ascii="宋体" w:hAnsi="宋体" w:cs="宋体" w:eastAsia="宋体" w:hint="default"/>
                <w:sz w:val="13"/>
                <w:szCs w:val="13"/>
              </w:rPr>
            </w:pPr>
            <w:r>
              <w:rPr>
                <w:rFonts w:ascii="宋体" w:hAnsi="宋体" w:cs="宋体" w:eastAsia="宋体" w:hint="default"/>
                <w:sz w:val="13"/>
                <w:szCs w:val="13"/>
              </w:rPr>
              <w:t>计提比</w:t>
            </w:r>
            <w:r>
              <w:rPr>
                <w:rFonts w:ascii="宋体" w:hAnsi="宋体" w:cs="宋体" w:eastAsia="宋体" w:hint="default"/>
                <w:w w:val="99"/>
                <w:sz w:val="13"/>
                <w:szCs w:val="13"/>
              </w:rPr>
              <w:t> </w:t>
            </w:r>
            <w:r>
              <w:rPr>
                <w:rFonts w:ascii="宋体" w:hAnsi="宋体" w:cs="宋体" w:eastAsia="宋体" w:hint="default"/>
                <w:sz w:val="13"/>
                <w:szCs w:val="13"/>
              </w:rPr>
              <w:t>例</w:t>
            </w:r>
            <w:r>
              <w:rPr>
                <w:rFonts w:ascii="宋体" w:hAnsi="宋体" w:cs="宋体" w:eastAsia="宋体" w:hint="default"/>
                <w:sz w:val="13"/>
                <w:szCs w:val="13"/>
              </w:rPr>
              <w:t>(%)</w:t>
            </w:r>
          </w:p>
        </w:tc>
        <w:tc>
          <w:tcPr>
            <w:tcW w:w="992"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center"/>
              <w:rPr>
                <w:rFonts w:ascii="宋体" w:hAnsi="宋体" w:cs="宋体" w:eastAsia="宋体" w:hint="default"/>
                <w:sz w:val="13"/>
                <w:szCs w:val="13"/>
              </w:rPr>
            </w:pPr>
            <w:r>
              <w:rPr>
                <w:rFonts w:ascii="宋体" w:hAnsi="宋体" w:cs="宋体" w:eastAsia="宋体" w:hint="default"/>
                <w:sz w:val="13"/>
                <w:szCs w:val="13"/>
              </w:rPr>
              <w:t>金额</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3"/>
              <w:jc w:val="right"/>
              <w:rPr>
                <w:rFonts w:ascii="宋体" w:hAnsi="宋体" w:cs="宋体" w:eastAsia="宋体" w:hint="default"/>
                <w:sz w:val="13"/>
                <w:szCs w:val="13"/>
              </w:rPr>
            </w:pPr>
            <w:r>
              <w:rPr>
                <w:rFonts w:ascii="宋体" w:hAnsi="宋体" w:cs="宋体" w:eastAsia="宋体" w:hint="default"/>
                <w:w w:val="95"/>
                <w:sz w:val="13"/>
                <w:szCs w:val="13"/>
              </w:rPr>
              <w:t>比例</w:t>
            </w:r>
            <w:r>
              <w:rPr>
                <w:rFonts w:ascii="宋体" w:hAnsi="宋体" w:cs="宋体" w:eastAsia="宋体" w:hint="default"/>
                <w:w w:val="95"/>
                <w:sz w:val="13"/>
                <w:szCs w:val="13"/>
              </w:rPr>
              <w:t>(%)</w:t>
            </w:r>
            <w:r>
              <w:rPr>
                <w:rFonts w:ascii="宋体" w:hAnsi="宋体" w:cs="宋体" w:eastAsia="宋体" w:hint="default"/>
                <w:sz w:val="13"/>
                <w:szCs w:val="13"/>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center"/>
              <w:rPr>
                <w:rFonts w:ascii="宋体" w:hAnsi="宋体" w:cs="宋体" w:eastAsia="宋体" w:hint="default"/>
                <w:sz w:val="13"/>
                <w:szCs w:val="13"/>
              </w:rPr>
            </w:pPr>
            <w:r>
              <w:rPr>
                <w:rFonts w:ascii="宋体" w:hAnsi="宋体" w:cs="宋体" w:eastAsia="宋体" w:hint="default"/>
                <w:sz w:val="13"/>
                <w:szCs w:val="13"/>
              </w:rPr>
              <w:t>金额</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12"/>
              <w:ind w:left="283" w:right="122" w:hanging="164"/>
              <w:jc w:val="left"/>
              <w:rPr>
                <w:rFonts w:ascii="宋体" w:hAnsi="宋体" w:cs="宋体" w:eastAsia="宋体" w:hint="default"/>
                <w:sz w:val="13"/>
                <w:szCs w:val="13"/>
              </w:rPr>
            </w:pPr>
            <w:r>
              <w:rPr>
                <w:rFonts w:ascii="宋体" w:hAnsi="宋体" w:cs="宋体" w:eastAsia="宋体" w:hint="default"/>
                <w:sz w:val="13"/>
                <w:szCs w:val="13"/>
              </w:rPr>
              <w:t>计提比例</w:t>
            </w:r>
            <w:r>
              <w:rPr>
                <w:rFonts w:ascii="宋体" w:hAnsi="宋体" w:cs="宋体" w:eastAsia="宋体" w:hint="default"/>
                <w:w w:val="99"/>
                <w:sz w:val="13"/>
                <w:szCs w:val="13"/>
              </w:rPr>
              <w:t> </w:t>
            </w:r>
            <w:r>
              <w:rPr>
                <w:rFonts w:ascii="宋体" w:hAnsi="宋体" w:cs="宋体" w:eastAsia="宋体" w:hint="default"/>
                <w:sz w:val="13"/>
                <w:szCs w:val="13"/>
              </w:rPr>
              <w:t>(%)</w:t>
            </w:r>
          </w:p>
        </w:tc>
        <w:tc>
          <w:tcPr>
            <w:tcW w:w="924" w:type="dxa"/>
            <w:vMerge/>
            <w:tcBorders>
              <w:left w:val="single" w:sz="4" w:space="0" w:color="000000"/>
              <w:bottom w:val="single" w:sz="4" w:space="0" w:color="000000"/>
              <w:right w:val="single" w:sz="4" w:space="0" w:color="000000"/>
            </w:tcBorders>
          </w:tcPr>
          <w:p>
            <w:pPr/>
          </w:p>
        </w:tc>
      </w:tr>
      <w:tr>
        <w:trPr>
          <w:trHeight w:val="34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26" w:right="0"/>
              <w:jc w:val="left"/>
              <w:rPr>
                <w:rFonts w:ascii="宋体" w:hAnsi="宋体" w:cs="宋体" w:eastAsia="宋体" w:hint="default"/>
                <w:sz w:val="13"/>
                <w:szCs w:val="13"/>
              </w:rPr>
            </w:pPr>
            <w:r>
              <w:rPr>
                <w:rFonts w:ascii="宋体" w:hAnsi="宋体" w:cs="宋体" w:eastAsia="宋体" w:hint="default"/>
                <w:spacing w:val="6"/>
                <w:sz w:val="13"/>
                <w:szCs w:val="13"/>
              </w:rPr>
              <w:t>单项金额重大并单独计提坏</w:t>
            </w:r>
          </w:p>
          <w:p>
            <w:pPr>
              <w:pStyle w:val="TableParagraph"/>
              <w:spacing w:line="169" w:lineRule="exact"/>
              <w:ind w:left="26" w:right="0"/>
              <w:jc w:val="left"/>
              <w:rPr>
                <w:rFonts w:ascii="宋体" w:hAnsi="宋体" w:cs="宋体" w:eastAsia="宋体" w:hint="default"/>
                <w:sz w:val="13"/>
                <w:szCs w:val="13"/>
              </w:rPr>
            </w:pPr>
            <w:r>
              <w:rPr>
                <w:rFonts w:ascii="宋体" w:hAnsi="宋体" w:cs="宋体" w:eastAsia="宋体" w:hint="default"/>
                <w:sz w:val="13"/>
                <w:szCs w:val="13"/>
              </w:rPr>
              <w:t>账准备的应收账款</w:t>
            </w:r>
          </w:p>
        </w:tc>
        <w:tc>
          <w:tcPr>
            <w:tcW w:w="103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26" w:right="0"/>
              <w:jc w:val="left"/>
              <w:rPr>
                <w:rFonts w:ascii="宋体" w:hAnsi="宋体" w:cs="宋体" w:eastAsia="宋体" w:hint="default"/>
                <w:sz w:val="13"/>
                <w:szCs w:val="13"/>
              </w:rPr>
            </w:pPr>
            <w:r>
              <w:rPr>
                <w:rFonts w:ascii="宋体" w:hAnsi="宋体" w:cs="宋体" w:eastAsia="宋体" w:hint="default"/>
                <w:spacing w:val="6"/>
                <w:sz w:val="13"/>
                <w:szCs w:val="13"/>
              </w:rPr>
              <w:t>按信用风险特征组合计提坏</w:t>
            </w:r>
          </w:p>
          <w:p>
            <w:pPr>
              <w:pStyle w:val="TableParagraph"/>
              <w:spacing w:line="169" w:lineRule="exact"/>
              <w:ind w:left="26" w:right="0"/>
              <w:jc w:val="left"/>
              <w:rPr>
                <w:rFonts w:ascii="宋体" w:hAnsi="宋体" w:cs="宋体" w:eastAsia="宋体" w:hint="default"/>
                <w:sz w:val="13"/>
                <w:szCs w:val="13"/>
              </w:rPr>
            </w:pPr>
            <w:r>
              <w:rPr>
                <w:rFonts w:ascii="宋体" w:hAnsi="宋体" w:cs="宋体" w:eastAsia="宋体" w:hint="default"/>
                <w:sz w:val="13"/>
                <w:szCs w:val="13"/>
              </w:rPr>
              <w:t>账准备的应收账款</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120,833,742.78</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97.47</w:t>
            </w:r>
            <w:r>
              <w:rPr>
                <w:rFonts w:ascii="宋体"/>
                <w:sz w:val="13"/>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6,422,171.83</w:t>
            </w:r>
            <w:r>
              <w:rPr>
                <w:rFonts w:ascii="宋体"/>
                <w:sz w:val="13"/>
              </w:rPr>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5.31</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7"/>
              <w:jc w:val="right"/>
              <w:rPr>
                <w:rFonts w:ascii="宋体" w:hAnsi="宋体" w:cs="宋体" w:eastAsia="宋体" w:hint="default"/>
                <w:sz w:val="13"/>
                <w:szCs w:val="13"/>
              </w:rPr>
            </w:pPr>
            <w:r>
              <w:rPr>
                <w:rFonts w:ascii="宋体"/>
                <w:w w:val="95"/>
                <w:sz w:val="13"/>
              </w:rPr>
              <w:t>114,411,570.95</w:t>
            </w:r>
            <w:r>
              <w:rPr>
                <w:rFonts w:ascii="宋体"/>
                <w:sz w:val="13"/>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1" w:right="0"/>
              <w:jc w:val="center"/>
              <w:rPr>
                <w:rFonts w:ascii="宋体" w:hAnsi="宋体" w:cs="宋体" w:eastAsia="宋体" w:hint="default"/>
                <w:sz w:val="13"/>
                <w:szCs w:val="13"/>
              </w:rPr>
            </w:pPr>
            <w:r>
              <w:rPr>
                <w:rFonts w:ascii="宋体"/>
                <w:sz w:val="13"/>
              </w:rPr>
              <w:t>103,643,351.06</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100.00</w:t>
            </w:r>
            <w:r>
              <w:rPr>
                <w:rFonts w:ascii="宋体"/>
                <w:sz w:val="13"/>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4" w:right="0"/>
              <w:jc w:val="center"/>
              <w:rPr>
                <w:rFonts w:ascii="宋体" w:hAnsi="宋体" w:cs="宋体" w:eastAsia="宋体" w:hint="default"/>
                <w:sz w:val="13"/>
                <w:szCs w:val="13"/>
              </w:rPr>
            </w:pPr>
            <w:r>
              <w:rPr>
                <w:rFonts w:ascii="宋体"/>
                <w:sz w:val="13"/>
              </w:rPr>
              <w:t>6,335,244.41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477" w:right="0"/>
              <w:jc w:val="left"/>
              <w:rPr>
                <w:rFonts w:ascii="宋体" w:hAnsi="宋体" w:cs="宋体" w:eastAsia="宋体" w:hint="default"/>
                <w:sz w:val="13"/>
                <w:szCs w:val="13"/>
              </w:rPr>
            </w:pPr>
            <w:r>
              <w:rPr>
                <w:rFonts w:ascii="宋体"/>
                <w:sz w:val="13"/>
              </w:rPr>
              <w:t>6.11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4" w:right="0"/>
              <w:jc w:val="center"/>
              <w:rPr>
                <w:rFonts w:ascii="宋体" w:hAnsi="宋体" w:cs="宋体" w:eastAsia="宋体" w:hint="default"/>
                <w:sz w:val="13"/>
                <w:szCs w:val="13"/>
              </w:rPr>
            </w:pPr>
            <w:r>
              <w:rPr>
                <w:rFonts w:ascii="宋体"/>
                <w:sz w:val="13"/>
              </w:rPr>
              <w:t>97,308,106.65</w:t>
            </w:r>
          </w:p>
        </w:tc>
      </w:tr>
      <w:tr>
        <w:trPr>
          <w:trHeight w:val="34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26" w:right="0"/>
              <w:jc w:val="left"/>
              <w:rPr>
                <w:rFonts w:ascii="宋体" w:hAnsi="宋体" w:cs="宋体" w:eastAsia="宋体" w:hint="default"/>
                <w:sz w:val="13"/>
                <w:szCs w:val="13"/>
              </w:rPr>
            </w:pPr>
            <w:r>
              <w:rPr>
                <w:rFonts w:ascii="宋体" w:hAnsi="宋体" w:cs="宋体" w:eastAsia="宋体" w:hint="default"/>
                <w:spacing w:val="6"/>
                <w:sz w:val="13"/>
                <w:szCs w:val="13"/>
              </w:rPr>
              <w:t>单项金额不重大但单独计提</w:t>
            </w:r>
          </w:p>
          <w:p>
            <w:pPr>
              <w:pStyle w:val="TableParagraph"/>
              <w:spacing w:line="169" w:lineRule="exact"/>
              <w:ind w:left="26" w:right="0"/>
              <w:jc w:val="left"/>
              <w:rPr>
                <w:rFonts w:ascii="宋体" w:hAnsi="宋体" w:cs="宋体" w:eastAsia="宋体" w:hint="default"/>
                <w:sz w:val="13"/>
                <w:szCs w:val="13"/>
              </w:rPr>
            </w:pPr>
            <w:r>
              <w:rPr>
                <w:rFonts w:ascii="宋体" w:hAnsi="宋体" w:cs="宋体" w:eastAsia="宋体" w:hint="default"/>
                <w:sz w:val="13"/>
                <w:szCs w:val="13"/>
              </w:rPr>
              <w:t>坏账准备的应收账款</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6"/>
              <w:jc w:val="right"/>
              <w:rPr>
                <w:rFonts w:ascii="宋体" w:hAnsi="宋体" w:cs="宋体" w:eastAsia="宋体" w:hint="default"/>
                <w:sz w:val="13"/>
                <w:szCs w:val="13"/>
              </w:rPr>
            </w:pPr>
            <w:r>
              <w:rPr>
                <w:rFonts w:ascii="宋体"/>
                <w:w w:val="95"/>
                <w:sz w:val="13"/>
              </w:rPr>
              <w:t>3,140,217.00</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4"/>
              <w:jc w:val="right"/>
              <w:rPr>
                <w:rFonts w:ascii="宋体" w:hAnsi="宋体" w:cs="宋体" w:eastAsia="宋体" w:hint="default"/>
                <w:sz w:val="13"/>
                <w:szCs w:val="13"/>
              </w:rPr>
            </w:pPr>
            <w:r>
              <w:rPr>
                <w:rFonts w:ascii="宋体"/>
                <w:w w:val="95"/>
                <w:sz w:val="13"/>
              </w:rPr>
              <w:t>2.53</w:t>
            </w:r>
            <w:r>
              <w:rPr>
                <w:rFonts w:ascii="宋体"/>
                <w:sz w:val="13"/>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6"/>
              <w:jc w:val="right"/>
              <w:rPr>
                <w:rFonts w:ascii="宋体" w:hAnsi="宋体" w:cs="宋体" w:eastAsia="宋体" w:hint="default"/>
                <w:sz w:val="13"/>
                <w:szCs w:val="13"/>
              </w:rPr>
            </w:pPr>
            <w:r>
              <w:rPr>
                <w:rFonts w:ascii="宋体"/>
                <w:w w:val="95"/>
                <w:sz w:val="13"/>
              </w:rPr>
              <w:t>3,140,217.00</w:t>
            </w:r>
            <w:r>
              <w:rPr>
                <w:rFonts w:ascii="宋体"/>
                <w:sz w:val="13"/>
              </w:rPr>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6"/>
              <w:jc w:val="right"/>
              <w:rPr>
                <w:rFonts w:ascii="宋体" w:hAnsi="宋体" w:cs="宋体" w:eastAsia="宋体" w:hint="default"/>
                <w:sz w:val="13"/>
                <w:szCs w:val="13"/>
              </w:rPr>
            </w:pPr>
            <w:r>
              <w:rPr>
                <w:rFonts w:ascii="宋体"/>
                <w:w w:val="95"/>
                <w:sz w:val="13"/>
              </w:rPr>
              <w:t>100.00</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hAnsi="宋体" w:cs="宋体" w:eastAsia="宋体" w:hint="default"/>
                <w:sz w:val="13"/>
                <w:szCs w:val="13"/>
              </w:rPr>
              <w:t>合计</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123,973,959.78</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w w:val="99"/>
                <w:sz w:val="13"/>
              </w:rPr>
              <w:t>/</w:t>
            </w:r>
            <w:r>
              <w:rPr>
                <w:rFonts w:ascii="宋体"/>
                <w:sz w:val="13"/>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9,562,388.83</w:t>
            </w:r>
            <w:r>
              <w:rPr>
                <w:rFonts w:ascii="宋体"/>
                <w:sz w:val="13"/>
              </w:rPr>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w w:val="99"/>
                <w:sz w:val="13"/>
              </w:rPr>
              <w:t>/</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7"/>
              <w:jc w:val="right"/>
              <w:rPr>
                <w:rFonts w:ascii="宋体" w:hAnsi="宋体" w:cs="宋体" w:eastAsia="宋体" w:hint="default"/>
                <w:sz w:val="13"/>
                <w:szCs w:val="13"/>
              </w:rPr>
            </w:pPr>
            <w:r>
              <w:rPr>
                <w:rFonts w:ascii="宋体"/>
                <w:w w:val="95"/>
                <w:sz w:val="13"/>
              </w:rPr>
              <w:t>114,411,570.95</w:t>
            </w:r>
            <w:r>
              <w:rPr>
                <w:rFonts w:ascii="宋体"/>
                <w:sz w:val="13"/>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1" w:right="0"/>
              <w:jc w:val="center"/>
              <w:rPr>
                <w:rFonts w:ascii="宋体" w:hAnsi="宋体" w:cs="宋体" w:eastAsia="宋体" w:hint="default"/>
                <w:sz w:val="13"/>
                <w:szCs w:val="13"/>
              </w:rPr>
            </w:pPr>
            <w:r>
              <w:rPr>
                <w:rFonts w:ascii="宋体"/>
                <w:sz w:val="13"/>
              </w:rPr>
              <w:t>103,643,351.06</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w w:val="99"/>
                <w:sz w:val="13"/>
              </w:rPr>
              <w:t>/</w:t>
            </w:r>
            <w:r>
              <w:rPr>
                <w:rFonts w:ascii="宋体"/>
                <w:sz w:val="13"/>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4" w:right="0"/>
              <w:jc w:val="center"/>
              <w:rPr>
                <w:rFonts w:ascii="宋体" w:hAnsi="宋体" w:cs="宋体" w:eastAsia="宋体" w:hint="default"/>
                <w:sz w:val="13"/>
                <w:szCs w:val="13"/>
              </w:rPr>
            </w:pPr>
            <w:r>
              <w:rPr>
                <w:rFonts w:ascii="宋体"/>
                <w:sz w:val="13"/>
              </w:rPr>
              <w:t>6,335,244.41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w w:val="99"/>
                <w:sz w:val="13"/>
              </w:rPr>
              <w:t>/</w:t>
            </w:r>
            <w:r>
              <w:rPr>
                <w:rFonts w:ascii="宋体"/>
                <w:sz w:val="13"/>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4" w:right="0"/>
              <w:jc w:val="center"/>
              <w:rPr>
                <w:rFonts w:ascii="宋体" w:hAnsi="宋体" w:cs="宋体" w:eastAsia="宋体" w:hint="default"/>
                <w:sz w:val="13"/>
                <w:szCs w:val="13"/>
              </w:rPr>
            </w:pPr>
            <w:r>
              <w:rPr>
                <w:rFonts w:ascii="宋体"/>
                <w:sz w:val="13"/>
              </w:rPr>
              <w:t>97,308,106.65</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680" w:right="1020"/>
        </w:sectPr>
      </w:pPr>
    </w:p>
    <w:p>
      <w:pPr>
        <w:pStyle w:val="BodyText"/>
        <w:spacing w:line="274" w:lineRule="exact" w:before="36"/>
        <w:ind w:left="1118" w:right="0"/>
        <w:jc w:val="left"/>
      </w:pPr>
      <w:r>
        <w:rPr>
          <w:spacing w:val="-2"/>
        </w:rPr>
        <w:t>期末单项金额重大并单项计提坏帐准备的应收账款</w:t>
      </w:r>
    </w:p>
    <w:p>
      <w:pPr>
        <w:pStyle w:val="BodyText"/>
        <w:spacing w:line="272" w:lineRule="exact" w:before="27"/>
        <w:ind w:left="1118" w:right="0"/>
        <w:jc w:val="left"/>
      </w:pPr>
      <w:r>
        <w:rPr/>
        <w:t>□适用</w:t>
      </w:r>
      <w:r>
        <w:rPr>
          <w:spacing w:val="-2"/>
        </w:rPr>
        <w:t> </w:t>
      </w:r>
      <w:r>
        <w:rPr/>
        <w:t>√不适用</w:t>
      </w:r>
      <w:r>
        <w:rPr>
          <w:w w:val="100"/>
        </w:rPr>
        <w:t> </w:t>
      </w:r>
      <w:r>
        <w:rPr>
          <w:spacing w:val="-2"/>
        </w:rPr>
        <w:t>组合中，按账龄分析法计提坏账准备的应收账款：</w:t>
      </w:r>
    </w:p>
    <w:p>
      <w:pPr>
        <w:pStyle w:val="BodyText"/>
        <w:spacing w:line="249" w:lineRule="exact"/>
        <w:ind w:left="111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1020"/>
          <w:cols w:num="2" w:equalWidth="0">
            <w:col w:w="5744" w:space="778"/>
            <w:col w:w="368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048"/>
        <w:gridCol w:w="2282"/>
        <w:gridCol w:w="2316"/>
        <w:gridCol w:w="2249"/>
      </w:tblGrid>
      <w:tr>
        <w:trPr>
          <w:trHeight w:val="284"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8"/>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105,631,417.25</w:t>
            </w: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8,751,787.90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437,589.40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5.00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582,444.00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116,488.80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5,868,093.63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5,868,093.63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120,833,742.78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6,422,171.83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5.31</w:t>
            </w:r>
          </w:p>
        </w:tc>
      </w:tr>
    </w:tbl>
    <w:p>
      <w:pPr>
        <w:spacing w:line="240" w:lineRule="auto" w:before="7"/>
        <w:rPr>
          <w:rFonts w:ascii="宋体" w:hAnsi="宋体" w:cs="宋体" w:eastAsia="宋体" w:hint="default"/>
          <w:sz w:val="15"/>
          <w:szCs w:val="15"/>
        </w:rPr>
      </w:pPr>
    </w:p>
    <w:p>
      <w:pPr>
        <w:pStyle w:val="BodyText"/>
        <w:spacing w:line="273" w:lineRule="exact" w:before="36"/>
        <w:ind w:left="218" w:right="147"/>
        <w:jc w:val="left"/>
      </w:pPr>
      <w:r>
        <w:rPr/>
        <w:t>组合中，采用余额百分比法计提坏账准备的应收账款：</w:t>
      </w:r>
    </w:p>
    <w:p>
      <w:pPr>
        <w:pStyle w:val="BodyText"/>
        <w:spacing w:line="273" w:lineRule="exact"/>
        <w:ind w:left="218" w:right="147"/>
        <w:jc w:val="left"/>
      </w:pPr>
      <w:r>
        <w:rPr/>
        <w:t>□适用√不适用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2"/>
        <w:spacing w:line="240" w:lineRule="auto" w:before="0"/>
        <w:ind w:right="147"/>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40" w:lineRule="auto" w:before="58"/>
        <w:ind w:left="218" w:right="147"/>
        <w:jc w:val="left"/>
      </w:pPr>
      <w:r>
        <w:rPr/>
        <w:t>本期计提坏账准备金额</w:t>
      </w:r>
      <w:r>
        <w:rPr>
          <w:spacing w:val="-54"/>
        </w:rPr>
        <w:t> </w:t>
      </w:r>
      <w:r>
        <w:rPr>
          <w:rFonts w:ascii="宋体" w:hAnsi="宋体" w:cs="宋体" w:eastAsia="宋体" w:hint="default"/>
        </w:rPr>
        <w:t>3,227,144.42</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w:t>
      </w:r>
      <w:r>
        <w:rPr>
          <w:rFonts w:ascii="宋体" w:hAnsi="宋体" w:cs="宋体" w:eastAsia="宋体" w:hint="default"/>
          <w:spacing w:val="-55"/>
        </w:rPr>
        <w:t> </w:t>
      </w:r>
      <w:r>
        <w:rPr>
          <w:spacing w:val="-3"/>
        </w:rPr>
        <w:t>元。</w:t>
      </w:r>
      <w:r>
        <w:rPr/>
      </w:r>
    </w:p>
    <w:p>
      <w:pPr>
        <w:spacing w:line="240" w:lineRule="auto" w:before="8"/>
        <w:rPr>
          <w:rFonts w:ascii="宋体" w:hAnsi="宋体" w:cs="宋体" w:eastAsia="宋体" w:hint="default"/>
          <w:sz w:val="20"/>
          <w:szCs w:val="20"/>
        </w:rPr>
      </w:pPr>
    </w:p>
    <w:p>
      <w:pPr>
        <w:pStyle w:val="BodyText"/>
        <w:spacing w:line="273" w:lineRule="exact"/>
        <w:ind w:left="218" w:right="147"/>
        <w:jc w:val="left"/>
      </w:pPr>
      <w:r>
        <w:rPr/>
        <w:t>其中本期坏账准备收回或转回金额重要的：</w:t>
      </w:r>
    </w:p>
    <w:p>
      <w:pPr>
        <w:pStyle w:val="BodyText"/>
        <w:spacing w:line="273" w:lineRule="exact"/>
        <w:ind w:left="218" w:right="14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before="0"/>
        <w:ind w:right="147"/>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6"/>
        <w:ind w:left="218" w:right="14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before="0"/>
        <w:ind w:right="147"/>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pStyle w:val="BodyText"/>
        <w:spacing w:line="240" w:lineRule="auto" w:before="56"/>
        <w:ind w:left="112" w:right="147"/>
        <w:jc w:val="left"/>
      </w:pPr>
      <w:r>
        <w:rPr>
          <w:spacing w:val="-2"/>
          <w:w w:val="100"/>
        </w:rPr>
        <w:t>本期按欠款方归集的期末余额前五名应收账款汇总金额</w:t>
      </w:r>
      <w:r>
        <w:rPr>
          <w:spacing w:val="-40"/>
          <w:w w:val="100"/>
        </w:rPr>
        <w:t> </w:t>
      </w:r>
      <w:r>
        <w:rPr>
          <w:rFonts w:ascii="宋体" w:hAnsi="宋体" w:cs="宋体" w:eastAsia="宋体" w:hint="default"/>
          <w:spacing w:val="-1"/>
          <w:w w:val="100"/>
        </w:rPr>
        <w:t>77,465,212.30</w:t>
      </w:r>
      <w:r>
        <w:rPr>
          <w:rFonts w:ascii="宋体" w:hAnsi="宋体" w:cs="宋体" w:eastAsia="宋体" w:hint="default"/>
          <w:spacing w:val="-43"/>
          <w:w w:val="100"/>
        </w:rPr>
        <w:t> </w:t>
      </w:r>
      <w:r>
        <w:rPr>
          <w:spacing w:val="-10"/>
          <w:w w:val="100"/>
        </w:rPr>
        <w:t>元，占应收账款期末余额合</w:t>
      </w:r>
      <w:r>
        <w:rPr>
          <w:spacing w:val="-101"/>
          <w:w w:val="100"/>
        </w:rPr>
        <w:t> </w:t>
      </w:r>
      <w:r>
        <w:rPr>
          <w:spacing w:val="-101"/>
          <w:w w:val="100"/>
        </w:rPr>
      </w:r>
      <w:r>
        <w:rPr/>
        <w:t>计数的比例为</w:t>
      </w:r>
      <w:r>
        <w:rPr>
          <w:spacing w:val="-55"/>
        </w:rPr>
        <w:t> </w:t>
      </w:r>
      <w:r>
        <w:rPr>
          <w:rFonts w:ascii="宋体" w:hAnsi="宋体" w:cs="宋体" w:eastAsia="宋体" w:hint="default"/>
        </w:rPr>
        <w:t>62.49%</w:t>
      </w:r>
      <w:r>
        <w:rPr/>
        <w:t>，相应计提的坏账准备期末余额汇总金额</w:t>
      </w:r>
      <w:r>
        <w:rPr>
          <w:spacing w:val="-54"/>
        </w:rPr>
        <w:t> </w:t>
      </w:r>
      <w:r>
        <w:rPr>
          <w:rFonts w:ascii="宋体" w:hAnsi="宋体" w:cs="宋体" w:eastAsia="宋体" w:hint="default"/>
        </w:rPr>
        <w:t>434,504.62</w:t>
      </w:r>
      <w:r>
        <w:rPr>
          <w:rFonts w:ascii="宋体" w:hAnsi="宋体" w:cs="宋体" w:eastAsia="宋体" w:hint="default"/>
          <w:spacing w:val="-57"/>
        </w:rPr>
        <w:t> </w:t>
      </w:r>
      <w:r>
        <w:rPr>
          <w:spacing w:val="-3"/>
        </w:rPr>
        <w:t>元。</w:t>
      </w:r>
      <w:r>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33"/>
          <w:pgSz w:w="11910" w:h="16840"/>
          <w:pgMar w:footer="1195" w:header="882" w:top="1120" w:bottom="1380" w:left="1580" w:right="1120"/>
          <w:pgNumType w:start="71"/>
        </w:sectPr>
      </w:pPr>
    </w:p>
    <w:p>
      <w:pPr>
        <w:pStyle w:val="Heading2"/>
        <w:spacing w:line="240" w:lineRule="auto"/>
        <w:ind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pStyle w:val="Heading2"/>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20"/>
          <w:cols w:num="2" w:equalWidth="0">
            <w:col w:w="2736" w:space="3786"/>
            <w:col w:w="268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8"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73,552,577.93</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98.85</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97,782,151.23</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99.47</w:t>
            </w:r>
          </w:p>
        </w:tc>
      </w:tr>
      <w:tr>
        <w:trPr>
          <w:trHeight w:val="375"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4"/>
              <w:jc w:val="right"/>
              <w:rPr>
                <w:rFonts w:ascii="宋体" w:hAnsi="宋体" w:cs="宋体" w:eastAsia="宋体" w:hint="default"/>
                <w:sz w:val="21"/>
                <w:szCs w:val="21"/>
              </w:rPr>
            </w:pPr>
            <w:r>
              <w:rPr>
                <w:rFonts w:ascii="宋体"/>
                <w:spacing w:val="-1"/>
                <w:sz w:val="21"/>
              </w:rPr>
              <w:t>630,402.10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4"/>
              <w:jc w:val="right"/>
              <w:rPr>
                <w:rFonts w:ascii="宋体" w:hAnsi="宋体" w:cs="宋体" w:eastAsia="宋体" w:hint="default"/>
                <w:sz w:val="21"/>
                <w:szCs w:val="21"/>
              </w:rPr>
            </w:pPr>
            <w:r>
              <w:rPr>
                <w:rFonts w:ascii="宋体"/>
                <w:sz w:val="21"/>
              </w:rPr>
              <w:t>0.85</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4"/>
              <w:jc w:val="right"/>
              <w:rPr>
                <w:rFonts w:ascii="宋体" w:hAnsi="宋体" w:cs="宋体" w:eastAsia="宋体" w:hint="default"/>
                <w:sz w:val="21"/>
                <w:szCs w:val="21"/>
              </w:rPr>
            </w:pPr>
            <w:r>
              <w:rPr>
                <w:rFonts w:ascii="宋体"/>
                <w:spacing w:val="-1"/>
                <w:sz w:val="21"/>
              </w:rPr>
              <w:t>357,558.00</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4"/>
              <w:jc w:val="right"/>
              <w:rPr>
                <w:rFonts w:ascii="宋体" w:hAnsi="宋体" w:cs="宋体" w:eastAsia="宋体" w:hint="default"/>
                <w:sz w:val="21"/>
                <w:szCs w:val="21"/>
              </w:rPr>
            </w:pPr>
            <w:r>
              <w:rPr>
                <w:rFonts w:ascii="宋体"/>
                <w:sz w:val="21"/>
              </w:rPr>
              <w:t>0.36</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57,243.00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0.08</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164,947.00</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0.17</w:t>
            </w:r>
          </w:p>
        </w:tc>
      </w:tr>
      <w:tr>
        <w:trPr>
          <w:trHeight w:val="37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pacing w:val="-1"/>
                <w:sz w:val="21"/>
              </w:rPr>
              <w:t>164,947.00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z w:val="21"/>
              </w:rPr>
              <w:t>0.22</w:t>
            </w:r>
          </w:p>
        </w:tc>
        <w:tc>
          <w:tcPr>
            <w:tcW w:w="1874" w:type="dxa"/>
            <w:tcBorders>
              <w:top w:val="single" w:sz="6" w:space="0" w:color="000000"/>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74,405,170.03</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100.00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98,304,656.23</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100.00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147"/>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pStyle w:val="BodyText"/>
        <w:spacing w:line="240" w:lineRule="auto" w:before="56"/>
        <w:ind w:left="218" w:right="147"/>
        <w:jc w:val="left"/>
      </w:pPr>
      <w:r>
        <w:rPr/>
        <w:t>本期按预付对象归集的期末余额前五名预付款项汇总金额 </w:t>
      </w:r>
      <w:r>
        <w:rPr>
          <w:rFonts w:ascii="宋体" w:hAnsi="宋体" w:cs="宋体" w:eastAsia="宋体" w:hint="default"/>
        </w:rPr>
        <w:t>29,109,460.10</w:t>
      </w:r>
      <w:r>
        <w:rPr>
          <w:rFonts w:ascii="宋体" w:hAnsi="宋体" w:cs="宋体" w:eastAsia="宋体" w:hint="default"/>
          <w:spacing w:val="-44"/>
        </w:rPr>
        <w:t> </w:t>
      </w:r>
      <w:r>
        <w:rPr>
          <w:spacing w:val="-6"/>
        </w:rPr>
        <w:t>元，占预付款项期末余</w:t>
      </w:r>
      <w:r>
        <w:rPr>
          <w:w w:val="100"/>
        </w:rPr>
        <w:t> </w:t>
      </w:r>
      <w:r>
        <w:rPr/>
        <w:t>额合计数的比例为</w:t>
      </w:r>
      <w:r>
        <w:rPr>
          <w:spacing w:val="-56"/>
        </w:rPr>
        <w:t> </w:t>
      </w:r>
      <w:r>
        <w:rPr>
          <w:rFonts w:ascii="宋体" w:hAnsi="宋体" w:cs="宋体" w:eastAsia="宋体" w:hint="default"/>
        </w:rPr>
        <w:t>39.12%</w:t>
      </w:r>
      <w:r>
        <w:rPr/>
        <w:t>。</w:t>
      </w:r>
    </w:p>
    <w:p>
      <w:pPr>
        <w:spacing w:after="0" w:line="240" w:lineRule="auto"/>
        <w:jc w:val="left"/>
        <w:sectPr>
          <w:type w:val="continuous"/>
          <w:pgSz w:w="11910" w:h="16840"/>
          <w:pgMar w:top="1120" w:bottom="1380" w:left="1580" w:right="1120"/>
        </w:sectPr>
      </w:pPr>
    </w:p>
    <w:p>
      <w:pPr>
        <w:spacing w:line="240" w:lineRule="auto" w:before="1"/>
        <w:rPr>
          <w:rFonts w:ascii="宋体" w:hAnsi="宋体" w:cs="宋体" w:eastAsia="宋体" w:hint="default"/>
          <w:sz w:val="25"/>
          <w:szCs w:val="25"/>
        </w:rPr>
      </w:pPr>
    </w:p>
    <w:p>
      <w:pPr>
        <w:pStyle w:val="Heading2"/>
        <w:spacing w:line="240" w:lineRule="auto"/>
        <w:ind w:left="1258" w:right="1687"/>
        <w:jc w:val="left"/>
        <w:rPr>
          <w:b w:val="0"/>
          <w:bCs w:val="0"/>
        </w:rPr>
      </w:pPr>
      <w:r>
        <w:rPr>
          <w:rFonts w:ascii="宋体" w:hAnsi="宋体" w:cs="宋体" w:eastAsia="宋体" w:hint="default"/>
        </w:rPr>
        <w:t>7</w:t>
      </w:r>
      <w:r>
        <w:rPr/>
        <w:t>、</w:t>
      </w:r>
      <w:r>
        <w:rPr>
          <w:spacing w:val="-2"/>
        </w:rPr>
        <w:t> </w:t>
      </w:r>
      <w:r>
        <w:rPr/>
        <w:t>应收利息</w:t>
      </w:r>
      <w:r>
        <w:rPr>
          <w:b w:val="0"/>
          <w:bCs w:val="0"/>
        </w:rPr>
      </w:r>
    </w:p>
    <w:p>
      <w:pPr>
        <w:pStyle w:val="BodyText"/>
        <w:spacing w:line="240" w:lineRule="auto" w:before="58"/>
        <w:ind w:left="1258" w:right="168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258" w:right="1687"/>
        <w:jc w:val="left"/>
        <w:rPr>
          <w:b w:val="0"/>
          <w:bCs w:val="0"/>
        </w:rPr>
      </w:pPr>
      <w:r>
        <w:rPr>
          <w:rFonts w:ascii="宋体" w:hAnsi="宋体" w:cs="宋体" w:eastAsia="宋体" w:hint="default"/>
        </w:rPr>
        <w:t>8</w:t>
      </w:r>
      <w:r>
        <w:rPr/>
        <w:t>、</w:t>
      </w:r>
      <w:r>
        <w:rPr>
          <w:spacing w:val="-2"/>
        </w:rPr>
        <w:t> </w:t>
      </w:r>
      <w:r>
        <w:rPr/>
        <w:t>应收股利</w:t>
      </w:r>
      <w:r>
        <w:rPr>
          <w:b w:val="0"/>
          <w:bCs w:val="0"/>
        </w:rPr>
      </w:r>
    </w:p>
    <w:p>
      <w:pPr>
        <w:pStyle w:val="BodyText"/>
        <w:spacing w:line="240" w:lineRule="auto" w:before="56"/>
        <w:ind w:left="1258" w:right="168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540" w:right="1120"/>
        </w:sectPr>
      </w:pPr>
    </w:p>
    <w:p>
      <w:pPr>
        <w:pStyle w:val="Heading2"/>
        <w:spacing w:line="240" w:lineRule="auto"/>
        <w:ind w:left="1258" w:right="-19"/>
        <w:jc w:val="left"/>
        <w:rPr>
          <w:b w:val="0"/>
          <w:bCs w:val="0"/>
        </w:rPr>
      </w:pPr>
      <w:r>
        <w:rPr>
          <w:rFonts w:ascii="宋体" w:hAnsi="宋体" w:cs="宋体" w:eastAsia="宋体" w:hint="default"/>
        </w:rPr>
        <w:t>9</w:t>
      </w:r>
      <w:r>
        <w:rPr/>
        <w:t>、</w:t>
      </w:r>
      <w:r>
        <w:rPr>
          <w:spacing w:val="-1"/>
        </w:rPr>
        <w:t> </w:t>
      </w:r>
      <w:r>
        <w:rPr/>
        <w:t>其他应收款</w:t>
      </w:r>
      <w:r>
        <w:rPr>
          <w:b w:val="0"/>
          <w:bCs w:val="0"/>
        </w:rPr>
      </w:r>
    </w:p>
    <w:p>
      <w:pPr>
        <w:pStyle w:val="Heading2"/>
        <w:spacing w:line="240" w:lineRule="auto" w:before="56"/>
        <w:ind w:left="1258" w:right="-19"/>
        <w:jc w:val="left"/>
        <w:rPr>
          <w:b w:val="0"/>
          <w:bCs w:val="0"/>
        </w:rPr>
      </w:pPr>
      <w:r>
        <w:rPr>
          <w:rFonts w:ascii="宋体" w:hAnsi="宋体" w:cs="宋体" w:eastAsia="宋体" w:hint="default"/>
        </w:rPr>
        <w:t>(1).</w:t>
      </w:r>
      <w:r>
        <w:rPr>
          <w:rFonts w:ascii="宋体" w:hAnsi="宋体" w:cs="宋体" w:eastAsia="宋体" w:hint="default"/>
          <w:spacing w:val="61"/>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309" w:val="left" w:leader="none"/>
        </w:tabs>
        <w:spacing w:line="240" w:lineRule="auto" w:before="177"/>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540" w:right="1120"/>
          <w:cols w:num="2" w:equalWidth="0">
            <w:col w:w="3747" w:space="2671"/>
            <w:col w:w="3832"/>
          </w:cols>
        </w:sectPr>
      </w:pP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988"/>
        <w:gridCol w:w="1037"/>
        <w:gridCol w:w="512"/>
        <w:gridCol w:w="962"/>
        <w:gridCol w:w="478"/>
        <w:gridCol w:w="1037"/>
        <w:gridCol w:w="1039"/>
        <w:gridCol w:w="511"/>
        <w:gridCol w:w="963"/>
        <w:gridCol w:w="437"/>
        <w:gridCol w:w="1037"/>
      </w:tblGrid>
      <w:tr>
        <w:trPr>
          <w:trHeight w:val="293" w:hRule="exact"/>
        </w:trPr>
        <w:tc>
          <w:tcPr>
            <w:tcW w:w="19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402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9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4" w:hRule="exact"/>
        </w:trPr>
        <w:tc>
          <w:tcPr>
            <w:tcW w:w="1988" w:type="dxa"/>
            <w:vMerge/>
            <w:tcBorders>
              <w:left w:val="single" w:sz="4" w:space="0" w:color="000000"/>
              <w:right w:val="single" w:sz="4" w:space="0" w:color="000000"/>
            </w:tcBorders>
          </w:tcPr>
          <w:p>
            <w:pPr/>
          </w:p>
        </w:tc>
        <w:tc>
          <w:tcPr>
            <w:tcW w:w="1549"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6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15"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62" w:right="360"/>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70"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93"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62" w:right="360"/>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595" w:hRule="exact"/>
        </w:trPr>
        <w:tc>
          <w:tcPr>
            <w:tcW w:w="1988" w:type="dxa"/>
            <w:vMerge/>
            <w:tcBorders>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金额</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37" w:right="99"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84"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20" w:right="79" w:hanging="36"/>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37" w:type="dxa"/>
            <w:vMerge/>
            <w:tcBorders>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36" w:right="98"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62"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98" w:right="60" w:hanging="36"/>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37" w:type="dxa"/>
            <w:vMerge/>
            <w:tcBorders>
              <w:left w:val="single" w:sz="4" w:space="0" w:color="000000"/>
              <w:bottom w:val="single" w:sz="4" w:space="0" w:color="000000"/>
              <w:right w:val="single" w:sz="4" w:space="0" w:color="000000"/>
            </w:tcBorders>
          </w:tcPr>
          <w:p>
            <w:pPr/>
          </w:p>
        </w:tc>
      </w:tr>
      <w:tr>
        <w:trPr>
          <w:trHeight w:val="39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单项金额重大并单独计提坏</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sz w:val="15"/>
                <w:szCs w:val="15"/>
              </w:rPr>
              <w:t>账准备的其他应收款</w:t>
            </w:r>
          </w:p>
        </w:tc>
        <w:tc>
          <w:tcPr>
            <w:tcW w:w="1037"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按信用风险特征组合计提坏</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sz w:val="15"/>
                <w:szCs w:val="15"/>
              </w:rPr>
              <w:t>账准备的其他应收款</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sz w:val="15"/>
              </w:rPr>
              <w:t>66,996,964.89</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4,461,009.25</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6" w:right="0"/>
              <w:jc w:val="center"/>
              <w:rPr>
                <w:rFonts w:ascii="宋体" w:hAnsi="宋体" w:cs="宋体" w:eastAsia="宋体" w:hint="default"/>
                <w:sz w:val="15"/>
                <w:szCs w:val="15"/>
              </w:rPr>
            </w:pPr>
            <w:r>
              <w:rPr>
                <w:rFonts w:ascii="宋体"/>
                <w:sz w:val="15"/>
              </w:rPr>
              <w:t>6.66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62,535,955.64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 w:right="0"/>
              <w:jc w:val="center"/>
              <w:rPr>
                <w:rFonts w:ascii="宋体" w:hAnsi="宋体" w:cs="宋体" w:eastAsia="宋体" w:hint="default"/>
                <w:sz w:val="15"/>
                <w:szCs w:val="15"/>
              </w:rPr>
            </w:pPr>
            <w:r>
              <w:rPr>
                <w:rFonts w:ascii="宋体"/>
                <w:sz w:val="15"/>
              </w:rPr>
              <w:t>45,680,404.33</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100.00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5,861,954.36</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12.83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39,818,449.97</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6" w:right="0"/>
              <w:jc w:val="left"/>
              <w:rPr>
                <w:rFonts w:ascii="宋体" w:hAnsi="宋体" w:cs="宋体" w:eastAsia="宋体" w:hint="default"/>
                <w:sz w:val="15"/>
                <w:szCs w:val="15"/>
              </w:rPr>
            </w:pPr>
            <w:r>
              <w:rPr>
                <w:rFonts w:ascii="宋体" w:hAnsi="宋体" w:cs="宋体" w:eastAsia="宋体" w:hint="default"/>
                <w:sz w:val="15"/>
                <w:szCs w:val="15"/>
              </w:rPr>
              <w:t>单项金额不重大但单独计提</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sz w:val="15"/>
                <w:szCs w:val="15"/>
              </w:rPr>
              <w:t>坏账准备的其他应收款</w:t>
            </w:r>
          </w:p>
        </w:tc>
        <w:tc>
          <w:tcPr>
            <w:tcW w:w="1037"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sz w:val="15"/>
              </w:rPr>
              <w:t>66,996,964.89</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4,461,009.25</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62,535,955.64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 w:right="0"/>
              <w:jc w:val="center"/>
              <w:rPr>
                <w:rFonts w:ascii="宋体" w:hAnsi="宋体" w:cs="宋体" w:eastAsia="宋体" w:hint="default"/>
                <w:sz w:val="15"/>
                <w:szCs w:val="15"/>
              </w:rPr>
            </w:pPr>
            <w:r>
              <w:rPr>
                <w:rFonts w:ascii="宋体"/>
                <w:sz w:val="15"/>
              </w:rPr>
              <w:t>45,680,404.33</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5,861,954.36</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39,818,449.97</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540" w:right="1120"/>
        </w:sectPr>
      </w:pPr>
    </w:p>
    <w:p>
      <w:pPr>
        <w:pStyle w:val="BodyText"/>
        <w:spacing w:line="273" w:lineRule="exact" w:before="36"/>
        <w:ind w:left="1258" w:right="0"/>
        <w:jc w:val="left"/>
      </w:pPr>
      <w:r>
        <w:rPr>
          <w:spacing w:val="-2"/>
        </w:rPr>
        <w:t>期末单项金额重大并单项计提坏帐准备的其他应收款</w:t>
      </w:r>
    </w:p>
    <w:p>
      <w:pPr>
        <w:pStyle w:val="BodyText"/>
        <w:spacing w:line="272" w:lineRule="exact" w:before="26"/>
        <w:ind w:left="1258" w:right="0"/>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49" w:lineRule="exact"/>
        <w:ind w:left="125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540" w:right="1120"/>
          <w:cols w:num="2" w:equalWidth="0">
            <w:col w:w="6093" w:space="429"/>
            <w:col w:w="3728"/>
          </w:cols>
        </w:sectPr>
      </w:pPr>
    </w:p>
    <w:p>
      <w:pPr>
        <w:spacing w:line="240" w:lineRule="auto" w:before="7"/>
        <w:rPr>
          <w:rFonts w:ascii="宋体" w:hAnsi="宋体" w:cs="宋体" w:eastAsia="宋体" w:hint="default"/>
          <w:sz w:val="2"/>
          <w:szCs w:val="2"/>
        </w:rPr>
      </w:pPr>
    </w:p>
    <w:tbl>
      <w:tblPr>
        <w:tblW w:w="0" w:type="auto"/>
        <w:jc w:val="left"/>
        <w:tblInd w:w="1222" w:type="dxa"/>
        <w:tblLayout w:type="fixed"/>
        <w:tblCellMar>
          <w:top w:w="0" w:type="dxa"/>
          <w:left w:w="0" w:type="dxa"/>
          <w:bottom w:w="0" w:type="dxa"/>
          <w:right w:w="0" w:type="dxa"/>
        </w:tblCellMar>
        <w:tblLook w:val="01E0"/>
      </w:tblPr>
      <w:tblGrid>
        <w:gridCol w:w="2374"/>
        <w:gridCol w:w="2203"/>
        <w:gridCol w:w="2131"/>
        <w:gridCol w:w="2187"/>
      </w:tblGrid>
      <w:tr>
        <w:trPr>
          <w:trHeight w:val="283"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62,388,716.54</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146,516.95</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7,325.85</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10,060.00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2,012.00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20.00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4,451,671.40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4,451,671.40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66,996,964.89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4,461,009.25</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6.66</w:t>
            </w:r>
          </w:p>
        </w:tc>
      </w:tr>
    </w:tbl>
    <w:p>
      <w:pPr>
        <w:spacing w:line="240" w:lineRule="auto" w:before="5"/>
        <w:rPr>
          <w:rFonts w:ascii="宋体" w:hAnsi="宋体" w:cs="宋体" w:eastAsia="宋体" w:hint="default"/>
          <w:sz w:val="15"/>
          <w:szCs w:val="15"/>
        </w:rPr>
      </w:pPr>
    </w:p>
    <w:p>
      <w:pPr>
        <w:pStyle w:val="BodyText"/>
        <w:spacing w:line="275" w:lineRule="exact" w:before="36"/>
        <w:ind w:left="1258" w:right="1687"/>
        <w:jc w:val="left"/>
      </w:pPr>
      <w:r>
        <w:rPr/>
        <w:t>组合中，采用余额百分比法计提坏账准备的其他应收款：</w:t>
      </w:r>
    </w:p>
    <w:p>
      <w:pPr>
        <w:pStyle w:val="BodyText"/>
        <w:spacing w:line="275" w:lineRule="exact"/>
        <w:ind w:left="1258" w:right="1687"/>
        <w:jc w:val="left"/>
      </w:pPr>
      <w:r>
        <w:rPr/>
        <w:t>□适用√不适用</w:t>
      </w:r>
    </w:p>
    <w:p>
      <w:pPr>
        <w:spacing w:line="240" w:lineRule="auto" w:before="6"/>
        <w:rPr>
          <w:rFonts w:ascii="宋体" w:hAnsi="宋体" w:cs="宋体" w:eastAsia="宋体" w:hint="default"/>
          <w:sz w:val="20"/>
          <w:szCs w:val="20"/>
        </w:rPr>
      </w:pPr>
    </w:p>
    <w:p>
      <w:pPr>
        <w:pStyle w:val="BodyText"/>
        <w:spacing w:line="274" w:lineRule="exact"/>
        <w:ind w:left="1258" w:right="1687"/>
        <w:jc w:val="left"/>
      </w:pPr>
      <w:r>
        <w:rPr/>
        <w:t>组合中，采用其他方法计提坏账准备的其他应收款：</w:t>
      </w:r>
    </w:p>
    <w:p>
      <w:pPr>
        <w:pStyle w:val="BodyText"/>
        <w:spacing w:line="274" w:lineRule="exact"/>
        <w:ind w:left="1258" w:right="168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258" w:right="1687"/>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40" w:lineRule="auto" w:before="56"/>
        <w:ind w:left="1258" w:right="1687"/>
        <w:jc w:val="left"/>
      </w:pPr>
      <w:r>
        <w:rPr/>
        <w:t>本期计提坏账准备金额</w:t>
      </w:r>
      <w:r>
        <w:rPr>
          <w:rFonts w:ascii="宋体" w:hAnsi="宋体" w:cs="宋体" w:eastAsia="宋体" w:hint="default"/>
        </w:rPr>
        <w:t>-1,400,945.11</w:t>
      </w:r>
      <w:r>
        <w:rPr>
          <w:rFonts w:ascii="宋体" w:hAnsi="宋体" w:cs="宋体" w:eastAsia="宋体" w:hint="default"/>
          <w:spacing w:val="-56"/>
        </w:rPr>
        <w:t> </w:t>
      </w:r>
      <w:r>
        <w:rPr/>
        <w:t>元；本期收回或转回坏账准备金额</w:t>
      </w:r>
      <w:r>
        <w:rPr>
          <w:spacing w:val="-56"/>
        </w:rPr>
        <w:t> </w:t>
      </w:r>
      <w:r>
        <w:rPr>
          <w:rFonts w:ascii="宋体" w:hAnsi="宋体" w:cs="宋体" w:eastAsia="宋体" w:hint="default"/>
        </w:rPr>
        <w:t>0</w:t>
      </w:r>
      <w:r>
        <w:rPr>
          <w:rFonts w:ascii="宋体" w:hAnsi="宋体" w:cs="宋体" w:eastAsia="宋体" w:hint="default"/>
          <w:spacing w:val="-56"/>
        </w:rPr>
        <w:t> </w:t>
      </w:r>
      <w:r>
        <w:rPr>
          <w:spacing w:val="-3"/>
        </w:rPr>
        <w:t>元。</w:t>
      </w:r>
      <w:r>
        <w:rPr>
          <w:spacing w:val="-3"/>
          <w:w w:val="100"/>
        </w:rPr>
        <w:t> </w:t>
      </w:r>
      <w:r>
        <w:rPr/>
        <w:t>其中本期坏账准备转回或收回金额重要的：</w:t>
      </w:r>
    </w:p>
    <w:p>
      <w:pPr>
        <w:pStyle w:val="BodyText"/>
        <w:spacing w:line="271" w:lineRule="exact"/>
        <w:ind w:left="1258" w:right="1687"/>
        <w:jc w:val="left"/>
      </w:pPr>
      <w:r>
        <w:rPr/>
        <w:t>□适用</w:t>
      </w:r>
      <w:r>
        <w:rPr>
          <w:spacing w:val="-1"/>
        </w:rPr>
        <w:t> </w:t>
      </w:r>
      <w:r>
        <w:rPr/>
        <w:t>√不适用</w:t>
      </w:r>
    </w:p>
    <w:p>
      <w:pPr>
        <w:pStyle w:val="Heading2"/>
        <w:spacing w:line="240" w:lineRule="auto" w:before="58"/>
        <w:ind w:left="1258" w:right="1687"/>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40" w:lineRule="auto" w:before="56"/>
        <w:ind w:left="1258" w:right="1687"/>
        <w:jc w:val="left"/>
      </w:pPr>
      <w:r>
        <w:rPr/>
        <w:t>□适用</w:t>
      </w:r>
      <w:r>
        <w:rPr>
          <w:spacing w:val="-1"/>
        </w:rPr>
        <w:t> </w:t>
      </w:r>
      <w:r>
        <w:rPr/>
        <w:t>√不适用</w:t>
      </w:r>
    </w:p>
    <w:p>
      <w:pPr>
        <w:spacing w:after="0" w:line="240" w:lineRule="auto"/>
        <w:jc w:val="left"/>
        <w:sectPr>
          <w:type w:val="continuous"/>
          <w:pgSz w:w="11910" w:h="16840"/>
          <w:pgMar w:top="1120" w:bottom="1380" w:left="54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59" w:space="2753"/>
            <w:col w:w="277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56,128,990.45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34,925,262.96</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3,598,678.98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3,812,640.02</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441,969.45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367,383.49</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代收代付款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2,051,780.30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1,414,141.90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4,775,545.71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5,160,975.96</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66,996,964.89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45,680,404.33</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ind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56"/>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655" w:space="867"/>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483"/>
        <w:gridCol w:w="1304"/>
        <w:gridCol w:w="1500"/>
        <w:gridCol w:w="1275"/>
        <w:gridCol w:w="1712"/>
        <w:gridCol w:w="1622"/>
      </w:tblGrid>
      <w:tr>
        <w:trPr>
          <w:trHeight w:val="833"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1"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55"/>
              <w:jc w:val="right"/>
              <w:rPr>
                <w:rFonts w:ascii="宋体" w:hAnsi="宋体" w:cs="宋体" w:eastAsia="宋体" w:hint="default"/>
                <w:sz w:val="21"/>
                <w:szCs w:val="21"/>
              </w:rPr>
            </w:pPr>
            <w:r>
              <w:rPr>
                <w:rFonts w:ascii="宋体" w:hAnsi="宋体" w:cs="宋体" w:eastAsia="宋体" w:hint="default"/>
                <w:sz w:val="21"/>
                <w:szCs w:val="21"/>
              </w:rPr>
              <w:t>账龄</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80" w:right="108"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81" w:right="381"/>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9"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锦州开发区财</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政局</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41,616,880.45</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47"/>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62.12</w:t>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葫芦岛市财政</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局</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7,380,000.00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47"/>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z w:val="21"/>
              </w:rPr>
              <w:t>11.02</w:t>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锦州市财政局</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7,131,510.00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47"/>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10.64</w:t>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方大锦化化工</w:t>
            </w:r>
          </w:p>
          <w:p>
            <w:pPr>
              <w:pStyle w:val="TableParagraph"/>
              <w:spacing w:line="237" w:lineRule="auto" w:before="2"/>
              <w:ind w:left="24" w:right="180"/>
              <w:jc w:val="both"/>
              <w:rPr>
                <w:rFonts w:ascii="宋体" w:hAnsi="宋体" w:cs="宋体" w:eastAsia="宋体" w:hint="default"/>
                <w:sz w:val="21"/>
                <w:szCs w:val="21"/>
              </w:rPr>
            </w:pPr>
            <w:r>
              <w:rPr>
                <w:rFonts w:ascii="宋体" w:hAnsi="宋体" w:cs="宋体" w:eastAsia="宋体" w:hint="default"/>
                <w:sz w:val="21"/>
                <w:szCs w:val="21"/>
              </w:rPr>
              <w:t>科技股份有限</w:t>
            </w:r>
            <w:r>
              <w:rPr>
                <w:rFonts w:ascii="宋体" w:hAnsi="宋体" w:cs="宋体" w:eastAsia="宋体" w:hint="default"/>
                <w:w w:val="100"/>
                <w:sz w:val="21"/>
                <w:szCs w:val="21"/>
              </w:rPr>
              <w:t> </w:t>
            </w:r>
            <w:r>
              <w:rPr>
                <w:rFonts w:ascii="宋体" w:hAnsi="宋体" w:cs="宋体" w:eastAsia="宋体" w:hint="default"/>
                <w:sz w:val="21"/>
                <w:szCs w:val="21"/>
              </w:rPr>
              <w:t>公司锦州分公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1,083,251.80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47"/>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1.62</w:t>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公路工程队</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850,000.00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447"/>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z w:val="21"/>
              </w:rPr>
              <w:t>1.27</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850,000.00</w:t>
            </w:r>
          </w:p>
        </w:tc>
      </w:tr>
      <w:tr>
        <w:trPr>
          <w:trHeight w:val="288" w:hRule="exact"/>
        </w:trPr>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w w:val="100"/>
                <w:sz w:val="21"/>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58,061,642.25</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6"/>
              <w:jc w:val="center"/>
              <w:rPr>
                <w:rFonts w:ascii="宋体" w:hAnsi="宋体" w:cs="宋体" w:eastAsia="宋体" w:hint="default"/>
                <w:sz w:val="21"/>
                <w:szCs w:val="21"/>
              </w:rPr>
            </w:pPr>
            <w:r>
              <w:rPr>
                <w:rFonts w:ascii="宋体"/>
                <w:w w:val="100"/>
                <w:sz w:val="21"/>
              </w:rPr>
              <w:t>/</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86.67</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850,000.00</w:t>
            </w:r>
          </w:p>
        </w:tc>
      </w:tr>
    </w:tbl>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56"/>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2"/>
        <w:tabs>
          <w:tab w:pos="849" w:val="left" w:leader="none"/>
          <w:tab w:pos="1057" w:val="left" w:leader="none"/>
        </w:tabs>
        <w:spacing w:line="292" w:lineRule="auto"/>
        <w:ind w:right="0"/>
        <w:jc w:val="left"/>
        <w:rPr>
          <w:b w:val="0"/>
          <w:bCs w:val="0"/>
        </w:rPr>
      </w:pPr>
      <w:r>
        <w:rPr>
          <w:rFonts w:ascii="宋体" w:hAnsi="宋体" w:cs="宋体" w:eastAsia="宋体" w:hint="default"/>
          <w:spacing w:val="-1"/>
        </w:rPr>
        <w:t>10</w:t>
      </w:r>
      <w:r>
        <w:rPr>
          <w:spacing w:val="-1"/>
        </w:rPr>
        <w:t>、</w:t>
        <w:tab/>
        <w:tab/>
      </w:r>
      <w:r>
        <w:rPr/>
        <w:t>存货</w:t>
      </w:r>
      <w:r>
        <w:rPr>
          <w:w w:val="100"/>
        </w:rPr>
        <w:t> </w:t>
      </w: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8"/>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695" w:space="4827"/>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087"/>
        <w:gridCol w:w="1539"/>
        <w:gridCol w:w="835"/>
        <w:gridCol w:w="1536"/>
        <w:gridCol w:w="1538"/>
        <w:gridCol w:w="824"/>
        <w:gridCol w:w="1536"/>
      </w:tblGrid>
      <w:tr>
        <w:trPr>
          <w:trHeight w:val="288" w:hRule="exact"/>
        </w:trPr>
        <w:tc>
          <w:tcPr>
            <w:tcW w:w="1087"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91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9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9" w:hRule="exact"/>
        </w:trPr>
        <w:tc>
          <w:tcPr>
            <w:tcW w:w="1087" w:type="dxa"/>
            <w:vMerge/>
            <w:tcBorders>
              <w:left w:val="single" w:sz="6" w:space="0" w:color="000000"/>
              <w:bottom w:val="single" w:sz="6" w:space="0" w:color="000000"/>
              <w:right w:val="single" w:sz="6" w:space="0" w:color="000000"/>
            </w:tcBorders>
          </w:tcPr>
          <w:p>
            <w:pPr/>
          </w:p>
        </w:tc>
        <w:tc>
          <w:tcPr>
            <w:tcW w:w="1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跌价准</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3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5"/>
              <w:jc w:val="center"/>
              <w:rPr>
                <w:rFonts w:ascii="宋体" w:hAnsi="宋体" w:cs="宋体" w:eastAsia="宋体" w:hint="default"/>
                <w:sz w:val="21"/>
                <w:szCs w:val="21"/>
              </w:rPr>
            </w:pPr>
            <w:r>
              <w:rPr>
                <w:rFonts w:ascii="宋体" w:hAnsi="宋体" w:cs="宋体" w:eastAsia="宋体" w:hint="default"/>
                <w:sz w:val="21"/>
                <w:szCs w:val="21"/>
              </w:rPr>
              <w:t>跌价准</w:t>
            </w:r>
          </w:p>
          <w:p>
            <w:pPr>
              <w:pStyle w:val="TableParagraph"/>
              <w:spacing w:line="273" w:lineRule="exact"/>
              <w:ind w:right="1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12,647,626.66</w:t>
            </w:r>
          </w:p>
        </w:tc>
        <w:tc>
          <w:tcPr>
            <w:tcW w:w="835"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12,647,626.66</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13,703,134.85</w:t>
            </w:r>
          </w:p>
        </w:tc>
        <w:tc>
          <w:tcPr>
            <w:tcW w:w="824"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13,703,134.85</w:t>
            </w:r>
          </w:p>
        </w:tc>
      </w:tr>
      <w:tr>
        <w:trPr>
          <w:trHeight w:val="286" w:hRule="exact"/>
        </w:trPr>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312,848,239.38</w:t>
            </w:r>
          </w:p>
        </w:tc>
        <w:tc>
          <w:tcPr>
            <w:tcW w:w="835"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312,848,239.38</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236,435,302.31</w:t>
            </w:r>
          </w:p>
        </w:tc>
        <w:tc>
          <w:tcPr>
            <w:tcW w:w="824"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236,435,302.31</w:t>
            </w:r>
          </w:p>
        </w:tc>
      </w:tr>
      <w:tr>
        <w:trPr>
          <w:trHeight w:val="288" w:hRule="exact"/>
        </w:trPr>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325,495,866.04</w:t>
            </w:r>
          </w:p>
        </w:tc>
        <w:tc>
          <w:tcPr>
            <w:tcW w:w="835"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325,495,866.04</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250,138,437.16</w:t>
            </w:r>
          </w:p>
        </w:tc>
        <w:tc>
          <w:tcPr>
            <w:tcW w:w="824"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250,138,437.16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tabs>
          <w:tab w:pos="849" w:val="left" w:leader="none"/>
        </w:tabs>
        <w:spacing w:line="240" w:lineRule="auto"/>
        <w:ind w:right="0"/>
        <w:jc w:val="left"/>
        <w:rPr>
          <w:b w:val="0"/>
          <w:bCs w:val="0"/>
        </w:rPr>
      </w:pPr>
      <w:r>
        <w:rPr>
          <w:rFonts w:ascii="宋体" w:hAnsi="宋体" w:cs="宋体" w:eastAsia="宋体" w:hint="default"/>
          <w:w w:val="95"/>
        </w:rPr>
        <w:t>(2).</w:t>
        <w:tab/>
      </w:r>
      <w:r>
        <w:rPr/>
        <w:t>期末建造合同形成的已完工未结算资产情况：</w:t>
      </w:r>
      <w:r>
        <w:rPr>
          <w:b w:val="0"/>
          <w:bCs w:val="0"/>
        </w:rPr>
      </w:r>
    </w:p>
    <w:p>
      <w:pPr>
        <w:pStyle w:val="BodyText"/>
        <w:spacing w:line="240" w:lineRule="auto" w:before="59"/>
        <w:ind w:left="218" w:right="0"/>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right="0"/>
        <w:jc w:val="left"/>
        <w:rPr>
          <w:b w:val="0"/>
          <w:bCs w:val="0"/>
        </w:rPr>
      </w:pPr>
      <w:r>
        <w:rPr>
          <w:rFonts w:ascii="宋体" w:hAnsi="宋体" w:cs="宋体" w:eastAsia="宋体" w:hint="default"/>
        </w:rPr>
        <w:t>11</w:t>
      </w:r>
      <w:r>
        <w:rPr/>
        <w:t>、</w:t>
      </w:r>
      <w:r>
        <w:rPr>
          <w:spacing w:val="-26"/>
        </w:rPr>
        <w:t> </w:t>
      </w:r>
      <w:r>
        <w:rPr/>
        <w:t>划分为持有待售的资产</w:t>
      </w:r>
      <w:r>
        <w:rPr>
          <w:b w:val="0"/>
          <w:bCs w:val="0"/>
        </w:rPr>
      </w:r>
    </w:p>
    <w:p>
      <w:pPr>
        <w:pStyle w:val="BodyText"/>
        <w:spacing w:line="240" w:lineRule="auto" w:before="56"/>
        <w:ind w:left="2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ind w:right="0"/>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pStyle w:val="BodyText"/>
        <w:tabs>
          <w:tab w:pos="1051" w:val="left" w:leader="none"/>
        </w:tabs>
        <w:spacing w:line="240" w:lineRule="auto" w:before="58"/>
        <w:ind w:left="0" w:right="439"/>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897"/>
        <w:gridCol w:w="2864"/>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年内到期的长期应收款</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453,000.00</w:t>
            </w:r>
          </w:p>
        </w:tc>
        <w:tc>
          <w:tcPr>
            <w:tcW w:w="286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453,000.00</w:t>
            </w:r>
          </w:p>
        </w:tc>
        <w:tc>
          <w:tcPr>
            <w:tcW w:w="28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r>
        <w:rPr>
          <w:rFonts w:ascii="宋体" w:hAnsi="宋体" w:cs="宋体" w:eastAsia="宋体" w:hint="default"/>
        </w:rPr>
        <w:t>13</w:t>
      </w:r>
      <w:r>
        <w:rPr/>
        <w:t>、</w:t>
      </w:r>
      <w:r>
        <w:rPr>
          <w:spacing w:val="-24"/>
        </w:rPr>
        <w:t> </w:t>
      </w:r>
      <w:r>
        <w:rPr/>
        <w:t>其他流动资产</w:t>
      </w:r>
      <w:r>
        <w:rPr>
          <w:b w:val="0"/>
          <w:bCs w:val="0"/>
        </w:rPr>
      </w:r>
    </w:p>
    <w:p>
      <w:pPr>
        <w:pStyle w:val="BodyText"/>
        <w:tabs>
          <w:tab w:pos="1051" w:val="left" w:leader="none"/>
        </w:tabs>
        <w:spacing w:line="240" w:lineRule="auto" w:before="57"/>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待抵扣进项税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18,325,001.83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4,474,539.28</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预缴所得税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17,561,348.46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26,234,187.42</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预缴其他税费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1,178,927.11</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81,000,000.00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37,065,277.40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111,708,726.70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40" w:lineRule="auto"/>
        <w:ind w:right="-9"/>
        <w:jc w:val="left"/>
        <w:rPr>
          <w:b w:val="0"/>
          <w:bCs w:val="0"/>
        </w:rPr>
      </w:pPr>
      <w:r>
        <w:rPr>
          <w:rFonts w:ascii="宋体" w:hAnsi="宋体" w:cs="宋体" w:eastAsia="宋体" w:hint="default"/>
        </w:rPr>
        <w:t>14</w:t>
      </w:r>
      <w:r>
        <w:rPr/>
        <w:t>、</w:t>
      </w:r>
      <w:r>
        <w:rPr>
          <w:spacing w:val="-24"/>
        </w:rPr>
        <w:t> </w:t>
      </w:r>
      <w:r>
        <w:rPr/>
        <w:t>可供出售金融资产</w:t>
      </w:r>
      <w:r>
        <w:rPr>
          <w:b w:val="0"/>
          <w:bCs w:val="0"/>
        </w:rPr>
      </w:r>
    </w:p>
    <w:p>
      <w:pPr>
        <w:pStyle w:val="BodyText"/>
        <w:spacing w:line="240" w:lineRule="auto" w:before="56"/>
        <w:ind w:left="218" w:right="-9"/>
        <w:jc w:val="left"/>
      </w:pPr>
      <w:r>
        <w:rPr/>
        <w:t>√适用</w:t>
      </w:r>
      <w:r>
        <w:rPr>
          <w:spacing w:val="-1"/>
        </w:rPr>
        <w:t> </w:t>
      </w:r>
      <w:r>
        <w:rPr/>
        <w:t>□不适用</w:t>
      </w:r>
    </w:p>
    <w:p>
      <w:pPr>
        <w:pStyle w:val="Heading2"/>
        <w:tabs>
          <w:tab w:pos="861" w:val="left" w:leader="none"/>
        </w:tabs>
        <w:spacing w:line="240" w:lineRule="auto" w:before="59"/>
        <w:ind w:right="-9"/>
        <w:jc w:val="left"/>
        <w:rPr>
          <w:b w:val="0"/>
          <w:bCs w:val="0"/>
        </w:rPr>
      </w:pPr>
      <w:r>
        <w:rPr>
          <w:rFonts w:ascii="宋体" w:hAnsi="宋体" w:cs="宋体" w:eastAsia="宋体" w:hint="default"/>
          <w:w w:val="95"/>
        </w:rPr>
        <w:t>(1).</w:t>
        <w:tab/>
      </w:r>
      <w:r>
        <w:rPr>
          <w:spacing w:val="-1"/>
        </w:rPr>
        <w:t>可供出售金融资产情况</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71" w:space="3550"/>
            <w:col w:w="2769"/>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173"/>
        <w:gridCol w:w="1147"/>
        <w:gridCol w:w="1130"/>
        <w:gridCol w:w="1114"/>
        <w:gridCol w:w="1111"/>
        <w:gridCol w:w="1107"/>
        <w:gridCol w:w="1114"/>
      </w:tblGrid>
      <w:tr>
        <w:trPr>
          <w:trHeight w:val="286" w:hRule="exact"/>
        </w:trPr>
        <w:tc>
          <w:tcPr>
            <w:tcW w:w="2173" w:type="dxa"/>
            <w:vMerge w:val="restart"/>
            <w:tcBorders>
              <w:top w:val="single" w:sz="6" w:space="0" w:color="000000"/>
              <w:left w:val="single" w:sz="6" w:space="0" w:color="000000"/>
              <w:right w:val="single" w:sz="6"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9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173" w:type="dxa"/>
            <w:vMerge/>
            <w:tcBorders>
              <w:left w:val="single" w:sz="6" w:space="0" w:color="000000"/>
              <w:bottom w:val="single" w:sz="6" w:space="0" w:color="000000"/>
              <w:right w:val="single" w:sz="6" w:space="0" w:color="000000"/>
            </w:tcBorders>
          </w:tcPr>
          <w:p>
            <w:pP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3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2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21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300,000.00</w:t>
            </w:r>
          </w:p>
        </w:tc>
        <w:tc>
          <w:tcPr>
            <w:tcW w:w="1130"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300,000.00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300,000.00</w:t>
            </w:r>
          </w:p>
        </w:tc>
        <w:tc>
          <w:tcPr>
            <w:tcW w:w="1107"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300,000.00</w:t>
            </w:r>
          </w:p>
        </w:tc>
      </w:tr>
      <w:tr>
        <w:trPr>
          <w:trHeight w:val="288" w:hRule="exact"/>
        </w:trPr>
        <w:tc>
          <w:tcPr>
            <w:tcW w:w="21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300,000.00</w:t>
            </w:r>
          </w:p>
        </w:tc>
        <w:tc>
          <w:tcPr>
            <w:tcW w:w="1130"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300,000.00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300,000.00</w:t>
            </w:r>
          </w:p>
        </w:tc>
        <w:tc>
          <w:tcPr>
            <w:tcW w:w="1107"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300,000.00</w:t>
            </w:r>
          </w:p>
        </w:tc>
      </w:tr>
      <w:tr>
        <w:trPr>
          <w:trHeight w:val="288" w:hRule="exact"/>
        </w:trPr>
        <w:tc>
          <w:tcPr>
            <w:tcW w:w="21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300,000.00</w:t>
            </w:r>
          </w:p>
        </w:tc>
        <w:tc>
          <w:tcPr>
            <w:tcW w:w="1130"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300,000.00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300,000.00</w:t>
            </w:r>
          </w:p>
        </w:tc>
        <w:tc>
          <w:tcPr>
            <w:tcW w:w="1107"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300,000.00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tabs>
          <w:tab w:pos="861" w:val="left" w:leader="none"/>
        </w:tabs>
        <w:spacing w:line="240" w:lineRule="auto"/>
        <w:ind w:right="0"/>
        <w:jc w:val="left"/>
        <w:rPr>
          <w:b w:val="0"/>
          <w:bCs w:val="0"/>
        </w:rPr>
      </w:pPr>
      <w:r>
        <w:rPr>
          <w:rFonts w:ascii="宋体" w:hAnsi="宋体" w:cs="宋体" w:eastAsia="宋体" w:hint="default"/>
          <w:w w:val="95"/>
        </w:rPr>
        <w:t>(2).</w:t>
        <w:tab/>
      </w:r>
      <w:r>
        <w:rPr>
          <w:spacing w:val="-1"/>
        </w:rPr>
        <w:t>期末按公允价值计量的可供出售金融资产</w:t>
      </w:r>
      <w:r>
        <w:rPr>
          <w:b w:val="0"/>
          <w:bCs w:val="0"/>
          <w:spacing w:val="-1"/>
        </w:rPr>
      </w:r>
    </w:p>
    <w:p>
      <w:pPr>
        <w:pStyle w:val="BodyText"/>
        <w:spacing w:line="240" w:lineRule="auto" w:before="58"/>
        <w:ind w:left="218" w:right="0"/>
        <w:jc w:val="left"/>
      </w:pPr>
      <w:r>
        <w:rPr/>
        <w:t>□适用</w:t>
      </w:r>
      <w:r>
        <w:rPr>
          <w:spacing w:val="-1"/>
        </w:rPr>
        <w:t> </w:t>
      </w:r>
      <w:r>
        <w:rPr/>
        <w:t>√不适用</w:t>
      </w:r>
    </w:p>
    <w:p>
      <w:pPr>
        <w:pStyle w:val="Heading2"/>
        <w:tabs>
          <w:tab w:pos="861" w:val="left" w:leader="none"/>
        </w:tabs>
        <w:spacing w:line="240" w:lineRule="auto" w:before="57"/>
        <w:ind w:right="0"/>
        <w:jc w:val="left"/>
        <w:rPr>
          <w:b w:val="0"/>
          <w:bCs w:val="0"/>
        </w:rPr>
      </w:pPr>
      <w:r>
        <w:rPr>
          <w:rFonts w:ascii="宋体" w:hAnsi="宋体" w:cs="宋体" w:eastAsia="宋体" w:hint="default"/>
          <w:w w:val="95"/>
        </w:rPr>
        <w:t>(3).</w:t>
        <w:tab/>
      </w:r>
      <w:r>
        <w:rPr/>
        <w:t>期末按成本计量的可供出售金融资产</w:t>
      </w:r>
      <w:r>
        <w:rPr>
          <w:b w:val="0"/>
          <w:bCs w:val="0"/>
        </w:rPr>
      </w:r>
    </w:p>
    <w:p>
      <w:pPr>
        <w:pStyle w:val="BodyText"/>
        <w:spacing w:line="240" w:lineRule="auto" w:before="56"/>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659" w:space="186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76"/>
        <w:gridCol w:w="1268"/>
        <w:gridCol w:w="689"/>
        <w:gridCol w:w="691"/>
        <w:gridCol w:w="1265"/>
        <w:gridCol w:w="691"/>
        <w:gridCol w:w="701"/>
        <w:gridCol w:w="674"/>
        <w:gridCol w:w="663"/>
        <w:gridCol w:w="790"/>
        <w:gridCol w:w="742"/>
      </w:tblGrid>
      <w:tr>
        <w:trPr>
          <w:trHeight w:val="720" w:hRule="exact"/>
        </w:trPr>
        <w:tc>
          <w:tcPr>
            <w:tcW w:w="8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72" w:lineRule="exact"/>
              <w:ind w:left="223" w:right="113" w:hanging="106"/>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39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4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790" w:type="dxa"/>
            <w:vMerge w:val="restart"/>
            <w:tcBorders>
              <w:top w:val="single" w:sz="4" w:space="0" w:color="000000"/>
              <w:left w:val="single" w:sz="4" w:space="0" w:color="000000"/>
              <w:right w:val="single" w:sz="4" w:space="0" w:color="000000"/>
            </w:tcBorders>
          </w:tcPr>
          <w:p>
            <w:pPr>
              <w:pStyle w:val="TableParagraph"/>
              <w:spacing w:line="244" w:lineRule="exact"/>
              <w:ind w:left="177" w:right="0"/>
              <w:jc w:val="both"/>
              <w:rPr>
                <w:rFonts w:ascii="宋体" w:hAnsi="宋体" w:cs="宋体" w:eastAsia="宋体" w:hint="default"/>
                <w:sz w:val="21"/>
                <w:szCs w:val="21"/>
              </w:rPr>
            </w:pPr>
            <w:r>
              <w:rPr>
                <w:rFonts w:ascii="宋体" w:hAnsi="宋体" w:cs="宋体" w:eastAsia="宋体" w:hint="default"/>
                <w:sz w:val="21"/>
                <w:szCs w:val="21"/>
              </w:rPr>
              <w:t>在被</w:t>
            </w:r>
          </w:p>
          <w:p>
            <w:pPr>
              <w:pStyle w:val="TableParagraph"/>
              <w:spacing w:line="237" w:lineRule="auto"/>
              <w:ind w:left="177" w:right="179"/>
              <w:jc w:val="both"/>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单位</w:t>
            </w:r>
            <w:r>
              <w:rPr>
                <w:rFonts w:ascii="宋体" w:hAnsi="宋体" w:cs="宋体" w:eastAsia="宋体" w:hint="default"/>
                <w:spacing w:val="-103"/>
                <w:sz w:val="21"/>
                <w:szCs w:val="21"/>
              </w:rPr>
              <w:t> </w:t>
            </w: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74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37" w:lineRule="auto"/>
              <w:ind w:left="155" w:right="151"/>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红利</w:t>
            </w:r>
          </w:p>
        </w:tc>
      </w:tr>
      <w:tr>
        <w:trPr>
          <w:trHeight w:val="931" w:hRule="exact"/>
        </w:trPr>
        <w:tc>
          <w:tcPr>
            <w:tcW w:w="876" w:type="dxa"/>
            <w:vMerge/>
            <w:tcBorders>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期初</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27" w:right="127"/>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29" w:right="127"/>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36" w:right="131"/>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20" w:right="120"/>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790" w:type="dxa"/>
            <w:vMerge/>
            <w:tcBorders>
              <w:left w:val="single" w:sz="4" w:space="0" w:color="000000"/>
              <w:bottom w:val="single" w:sz="4" w:space="0" w:color="000000"/>
              <w:right w:val="single" w:sz="4" w:space="0" w:color="000000"/>
            </w:tcBorders>
          </w:tcPr>
          <w:p>
            <w:pPr/>
          </w:p>
        </w:tc>
        <w:tc>
          <w:tcPr>
            <w:tcW w:w="742" w:type="dxa"/>
            <w:vMerge/>
            <w:tcBorders>
              <w:left w:val="single" w:sz="4" w:space="0" w:color="000000"/>
              <w:bottom w:val="single" w:sz="4" w:space="0" w:color="000000"/>
              <w:right w:val="single" w:sz="4" w:space="0" w:color="000000"/>
            </w:tcBorders>
          </w:tcPr>
          <w:p>
            <w:pPr/>
          </w:p>
        </w:tc>
      </w:tr>
      <w:tr>
        <w:trPr>
          <w:trHeight w:val="1373"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大连集</w:t>
            </w:r>
          </w:p>
          <w:p>
            <w:pPr>
              <w:pStyle w:val="TableParagraph"/>
              <w:spacing w:line="237" w:lineRule="auto" w:before="2"/>
              <w:ind w:left="103" w:right="127"/>
              <w:jc w:val="both"/>
              <w:rPr>
                <w:rFonts w:ascii="宋体" w:hAnsi="宋体" w:cs="宋体" w:eastAsia="宋体" w:hint="default"/>
                <w:sz w:val="21"/>
                <w:szCs w:val="21"/>
              </w:rPr>
            </w:pPr>
            <w:r>
              <w:rPr>
                <w:rFonts w:ascii="宋体" w:hAnsi="宋体" w:cs="宋体" w:eastAsia="宋体" w:hint="default"/>
                <w:sz w:val="21"/>
                <w:szCs w:val="21"/>
              </w:rPr>
              <w:t>发环渤</w:t>
            </w:r>
            <w:r>
              <w:rPr>
                <w:rFonts w:ascii="宋体" w:hAnsi="宋体" w:cs="宋体" w:eastAsia="宋体" w:hint="default"/>
                <w:spacing w:val="-102"/>
                <w:sz w:val="21"/>
                <w:szCs w:val="21"/>
              </w:rPr>
              <w:t> </w:t>
            </w:r>
            <w:r>
              <w:rPr>
                <w:rFonts w:ascii="宋体" w:hAnsi="宋体" w:cs="宋体" w:eastAsia="宋体" w:hint="default"/>
                <w:sz w:val="21"/>
                <w:szCs w:val="21"/>
              </w:rPr>
              <w:t>海集装</w:t>
            </w:r>
            <w:r>
              <w:rPr>
                <w:rFonts w:ascii="宋体" w:hAnsi="宋体" w:cs="宋体" w:eastAsia="宋体" w:hint="default"/>
                <w:spacing w:val="-102"/>
                <w:sz w:val="21"/>
                <w:szCs w:val="21"/>
              </w:rPr>
              <w:t> </w:t>
            </w:r>
            <w:r>
              <w:rPr>
                <w:rFonts w:ascii="宋体" w:hAnsi="宋体" w:cs="宋体" w:eastAsia="宋体" w:hint="default"/>
                <w:sz w:val="21"/>
                <w:szCs w:val="21"/>
              </w:rPr>
              <w:t>箱运输</w:t>
            </w:r>
            <w:r>
              <w:rPr>
                <w:rFonts w:ascii="宋体" w:hAnsi="宋体" w:cs="宋体" w:eastAsia="宋体" w:hint="default"/>
                <w:spacing w:val="-102"/>
                <w:sz w:val="21"/>
                <w:szCs w:val="21"/>
              </w:rPr>
              <w:t> </w:t>
            </w:r>
            <w:r>
              <w:rPr>
                <w:rFonts w:ascii="宋体" w:hAnsi="宋体" w:cs="宋体" w:eastAsia="宋体" w:hint="default"/>
                <w:sz w:val="21"/>
                <w:szCs w:val="21"/>
              </w:rPr>
              <w:t>有限公</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300,000.00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300,000.00</w:t>
            </w:r>
          </w:p>
        </w:tc>
        <w:tc>
          <w:tcPr>
            <w:tcW w:w="69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sz w:val="21"/>
              </w:rPr>
              <w:t>0.61</w:t>
            </w:r>
          </w:p>
        </w:tc>
        <w:tc>
          <w:tcPr>
            <w:tcW w:w="74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45" w:type="dxa"/>
        <w:tblLayout w:type="fixed"/>
        <w:tblCellMar>
          <w:top w:w="0" w:type="dxa"/>
          <w:left w:w="0" w:type="dxa"/>
          <w:bottom w:w="0" w:type="dxa"/>
          <w:right w:w="0" w:type="dxa"/>
        </w:tblCellMar>
        <w:tblLook w:val="01E0"/>
      </w:tblPr>
      <w:tblGrid>
        <w:gridCol w:w="876"/>
        <w:gridCol w:w="1268"/>
        <w:gridCol w:w="689"/>
        <w:gridCol w:w="691"/>
        <w:gridCol w:w="1265"/>
        <w:gridCol w:w="691"/>
        <w:gridCol w:w="701"/>
        <w:gridCol w:w="674"/>
        <w:gridCol w:w="663"/>
        <w:gridCol w:w="790"/>
        <w:gridCol w:w="742"/>
      </w:tblGrid>
      <w:tr>
        <w:trPr>
          <w:trHeight w:val="435"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68"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300,000.00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300,000.00</w:t>
            </w:r>
          </w:p>
        </w:tc>
        <w:tc>
          <w:tcPr>
            <w:tcW w:w="69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4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tabs>
          <w:tab w:pos="1901" w:val="left" w:leader="none"/>
        </w:tabs>
        <w:spacing w:line="240" w:lineRule="auto"/>
        <w:ind w:left="1258" w:right="0"/>
        <w:jc w:val="left"/>
        <w:rPr>
          <w:b w:val="0"/>
          <w:bCs w:val="0"/>
        </w:rPr>
      </w:pPr>
      <w:r>
        <w:rPr>
          <w:rFonts w:ascii="宋体" w:hAnsi="宋体" w:cs="宋体" w:eastAsia="宋体" w:hint="default"/>
          <w:w w:val="95"/>
        </w:rPr>
        <w:t>(4).</w:t>
        <w:tab/>
      </w:r>
      <w:r>
        <w:rPr/>
        <w:t>报告期内可供出售金融资产减值的变动情况</w:t>
      </w:r>
      <w:r>
        <w:rPr>
          <w:b w:val="0"/>
          <w:bCs w:val="0"/>
        </w:rPr>
      </w:r>
    </w:p>
    <w:p>
      <w:pPr>
        <w:pStyle w:val="BodyText"/>
        <w:spacing w:line="240" w:lineRule="auto" w:before="56"/>
        <w:ind w:left="1258" w:right="0"/>
        <w:jc w:val="left"/>
      </w:pPr>
      <w:r>
        <w:rPr/>
        <w:t>□适用</w:t>
      </w:r>
      <w:r>
        <w:rPr>
          <w:spacing w:val="-1"/>
        </w:rPr>
        <w:t> </w:t>
      </w:r>
      <w:r>
        <w:rPr/>
        <w:t>√不适用</w:t>
      </w:r>
    </w:p>
    <w:p>
      <w:pPr>
        <w:pStyle w:val="Heading2"/>
        <w:tabs>
          <w:tab w:pos="1901" w:val="left" w:leader="none"/>
        </w:tabs>
        <w:spacing w:line="240" w:lineRule="auto" w:before="58"/>
        <w:ind w:left="1258" w:right="0"/>
        <w:jc w:val="left"/>
        <w:rPr>
          <w:b w:val="0"/>
          <w:bCs w:val="0"/>
        </w:rPr>
      </w:pPr>
      <w:r>
        <w:rPr>
          <w:rFonts w:ascii="宋体" w:hAnsi="宋体" w:cs="宋体" w:eastAsia="宋体" w:hint="default"/>
          <w:w w:val="95"/>
        </w:rPr>
        <w:t>(5).</w:t>
        <w:tab/>
      </w:r>
      <w:r>
        <w:rPr/>
        <w:t>可供出售权益工具期末公允价值严重下跌或非暂时性下跌但未计提减值准备的相关说明：</w:t>
      </w:r>
      <w:r>
        <w:rPr>
          <w:b w:val="0"/>
          <w:bCs w:val="0"/>
        </w:rPr>
      </w:r>
    </w:p>
    <w:p>
      <w:pPr>
        <w:pStyle w:val="BodyText"/>
        <w:spacing w:line="240" w:lineRule="auto" w:before="56"/>
        <w:ind w:left="125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540" w:right="780"/>
        </w:sectPr>
      </w:pPr>
    </w:p>
    <w:p>
      <w:pPr>
        <w:pStyle w:val="Heading2"/>
        <w:spacing w:line="240" w:lineRule="auto"/>
        <w:ind w:left="1258" w:right="-20"/>
        <w:jc w:val="left"/>
        <w:rPr>
          <w:b w:val="0"/>
          <w:bCs w:val="0"/>
        </w:rPr>
      </w:pPr>
      <w:r>
        <w:rPr>
          <w:rFonts w:ascii="宋体" w:hAnsi="宋体" w:cs="宋体" w:eastAsia="宋体" w:hint="default"/>
        </w:rPr>
        <w:t>15</w:t>
      </w:r>
      <w:r>
        <w:rPr/>
        <w:t>、</w:t>
      </w:r>
      <w:r>
        <w:rPr>
          <w:spacing w:val="-25"/>
        </w:rPr>
        <w:t> </w:t>
      </w:r>
      <w:r>
        <w:rPr/>
        <w:t>长期应收款</w:t>
      </w:r>
      <w:r>
        <w:rPr>
          <w:b w:val="0"/>
          <w:bCs w:val="0"/>
        </w:rPr>
      </w:r>
    </w:p>
    <w:p>
      <w:pPr>
        <w:pStyle w:val="BodyText"/>
        <w:spacing w:line="240" w:lineRule="auto" w:before="58"/>
        <w:ind w:left="1258" w:right="-20"/>
        <w:jc w:val="left"/>
      </w:pPr>
      <w:r>
        <w:rPr/>
        <w:t>√适用</w:t>
      </w:r>
      <w:r>
        <w:rPr>
          <w:spacing w:val="-1"/>
        </w:rPr>
        <w:t> </w:t>
      </w:r>
      <w:r>
        <w:rPr/>
        <w:t>□不适用</w:t>
      </w:r>
    </w:p>
    <w:p>
      <w:pPr>
        <w:pStyle w:val="Heading2"/>
        <w:spacing w:line="240" w:lineRule="auto" w:before="57"/>
        <w:ind w:left="1258" w:right="-20"/>
        <w:jc w:val="left"/>
        <w:rPr>
          <w:b w:val="0"/>
          <w:bCs w:val="0"/>
        </w:rPr>
      </w:pPr>
      <w:r>
        <w:rPr>
          <w:rFonts w:ascii="宋体" w:hAnsi="宋体" w:cs="宋体" w:eastAsia="宋体" w:hint="default"/>
        </w:rPr>
        <w:t>(1)</w:t>
      </w:r>
      <w:r>
        <w:rPr>
          <w:rFonts w:ascii="宋体" w:hAnsi="宋体" w:cs="宋体" w:eastAsia="宋体" w:hint="default"/>
          <w:spacing w:val="4"/>
        </w:rPr>
        <w:t> </w:t>
      </w:r>
      <w:r>
        <w:rPr/>
        <w:t>长期应收款情况：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540" w:right="780"/>
          <w:cols w:num="2" w:equalWidth="0">
            <w:col w:w="3373" w:space="3149"/>
            <w:col w:w="4068"/>
          </w:cols>
        </w:sectPr>
      </w:pPr>
    </w:p>
    <w:p>
      <w:pPr>
        <w:spacing w:line="240" w:lineRule="auto" w:before="4"/>
        <w:rPr>
          <w:rFonts w:ascii="宋体" w:hAnsi="宋体" w:cs="宋体" w:eastAsia="宋体" w:hint="default"/>
          <w:sz w:val="2"/>
          <w:szCs w:val="2"/>
        </w:rPr>
      </w:pPr>
    </w:p>
    <w:tbl>
      <w:tblPr>
        <w:tblW w:w="0" w:type="auto"/>
        <w:jc w:val="left"/>
        <w:tblInd w:w="1142" w:type="dxa"/>
        <w:tblLayout w:type="fixed"/>
        <w:tblCellMar>
          <w:top w:w="0" w:type="dxa"/>
          <w:left w:w="0" w:type="dxa"/>
          <w:bottom w:w="0" w:type="dxa"/>
          <w:right w:w="0" w:type="dxa"/>
        </w:tblCellMar>
        <w:tblLook w:val="01E0"/>
      </w:tblPr>
      <w:tblGrid>
        <w:gridCol w:w="1963"/>
        <w:gridCol w:w="1323"/>
        <w:gridCol w:w="898"/>
        <w:gridCol w:w="1325"/>
        <w:gridCol w:w="898"/>
        <w:gridCol w:w="901"/>
        <w:gridCol w:w="919"/>
        <w:gridCol w:w="823"/>
      </w:tblGrid>
      <w:tr>
        <w:trPr>
          <w:trHeight w:val="286" w:hRule="exact"/>
        </w:trPr>
        <w:tc>
          <w:tcPr>
            <w:tcW w:w="196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46"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17"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823" w:type="dxa"/>
            <w:vMerge w:val="restart"/>
            <w:tcBorders>
              <w:top w:val="single" w:sz="4" w:space="0" w:color="000000"/>
              <w:left w:val="single" w:sz="4" w:space="0" w:color="000000"/>
              <w:right w:val="single" w:sz="4" w:space="0" w:color="000000"/>
            </w:tcBorders>
          </w:tcPr>
          <w:p>
            <w:pPr>
              <w:pStyle w:val="TableParagraph"/>
              <w:spacing w:line="247" w:lineRule="exact"/>
              <w:ind w:left="194" w:right="0"/>
              <w:jc w:val="left"/>
              <w:rPr>
                <w:rFonts w:ascii="宋体" w:hAnsi="宋体" w:cs="宋体" w:eastAsia="宋体" w:hint="default"/>
                <w:sz w:val="21"/>
                <w:szCs w:val="21"/>
              </w:rPr>
            </w:pPr>
            <w:r>
              <w:rPr>
                <w:rFonts w:ascii="宋体" w:hAnsi="宋体" w:cs="宋体" w:eastAsia="宋体" w:hint="default"/>
                <w:sz w:val="21"/>
                <w:szCs w:val="21"/>
              </w:rPr>
              <w:t>折现</w:t>
            </w:r>
          </w:p>
          <w:p>
            <w:pPr>
              <w:pStyle w:val="TableParagraph"/>
              <w:spacing w:line="272" w:lineRule="exact" w:before="27"/>
              <w:ind w:left="300" w:right="194" w:hanging="106"/>
              <w:jc w:val="left"/>
              <w:rPr>
                <w:rFonts w:ascii="宋体" w:hAnsi="宋体" w:cs="宋体" w:eastAsia="宋体" w:hint="default"/>
                <w:sz w:val="21"/>
                <w:szCs w:val="21"/>
              </w:rPr>
            </w:pPr>
            <w:r>
              <w:rPr>
                <w:rFonts w:ascii="宋体" w:hAnsi="宋体" w:cs="宋体" w:eastAsia="宋体" w:hint="default"/>
                <w:sz w:val="21"/>
                <w:szCs w:val="21"/>
              </w:rPr>
              <w:t>率区</w:t>
            </w:r>
            <w:r>
              <w:rPr>
                <w:rFonts w:ascii="宋体" w:hAnsi="宋体" w:cs="宋体" w:eastAsia="宋体" w:hint="default"/>
                <w:spacing w:val="-103"/>
                <w:sz w:val="21"/>
                <w:szCs w:val="21"/>
              </w:rPr>
              <w:t> </w:t>
            </w:r>
            <w:r>
              <w:rPr>
                <w:rFonts w:ascii="宋体" w:hAnsi="宋体" w:cs="宋体" w:eastAsia="宋体" w:hint="default"/>
                <w:sz w:val="21"/>
                <w:szCs w:val="21"/>
              </w:rPr>
              <w:t>间</w:t>
            </w:r>
          </w:p>
        </w:tc>
      </w:tr>
      <w:tr>
        <w:trPr>
          <w:trHeight w:val="559" w:hRule="exact"/>
        </w:trPr>
        <w:tc>
          <w:tcPr>
            <w:tcW w:w="1963" w:type="dxa"/>
            <w:vMerge/>
            <w:tcBorders>
              <w:left w:val="single" w:sz="4" w:space="0" w:color="000000"/>
              <w:bottom w:val="single" w:sz="6" w:space="0" w:color="000000"/>
              <w:right w:val="single" w:sz="4" w:space="0" w:color="000000"/>
            </w:tcBorders>
          </w:tcPr>
          <w:p>
            <w:pPr/>
          </w:p>
        </w:tc>
        <w:tc>
          <w:tcPr>
            <w:tcW w:w="132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坏账准</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账面余</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坏账准</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91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left="2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823" w:type="dxa"/>
            <w:vMerge/>
            <w:tcBorders>
              <w:left w:val="single" w:sz="4" w:space="0" w:color="000000"/>
              <w:bottom w:val="single" w:sz="6" w:space="0" w:color="000000"/>
              <w:right w:val="single" w:sz="4" w:space="0" w:color="000000"/>
            </w:tcBorders>
          </w:tcPr>
          <w:p>
            <w:pPr/>
          </w:p>
        </w:tc>
      </w:tr>
      <w:tr>
        <w:trPr>
          <w:trHeight w:val="288" w:hRule="exact"/>
        </w:trPr>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1,352,299.06</w:t>
            </w:r>
          </w:p>
        </w:tc>
        <w:tc>
          <w:tcPr>
            <w:tcW w:w="898"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1,352,299.06</w:t>
            </w:r>
          </w:p>
        </w:tc>
        <w:tc>
          <w:tcPr>
            <w:tcW w:w="898"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4" w:space="0" w:color="000000"/>
            </w:tcBorders>
          </w:tcPr>
          <w:p>
            <w:pPr/>
          </w:p>
        </w:tc>
        <w:tc>
          <w:tcPr>
            <w:tcW w:w="823"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43" w:right="0"/>
              <w:jc w:val="left"/>
              <w:rPr>
                <w:rFonts w:ascii="宋体" w:hAnsi="宋体" w:cs="宋体" w:eastAsia="宋体" w:hint="default"/>
                <w:sz w:val="21"/>
                <w:szCs w:val="21"/>
              </w:rPr>
            </w:pPr>
            <w:r>
              <w:rPr>
                <w:rFonts w:ascii="宋体" w:hAnsi="宋体" w:cs="宋体" w:eastAsia="宋体" w:hint="default"/>
                <w:sz w:val="21"/>
                <w:szCs w:val="21"/>
              </w:rPr>
              <w:t>其中：未实现融</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1323"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4" w:space="0" w:color="000000"/>
            </w:tcBorders>
          </w:tcPr>
          <w:p>
            <w:pPr/>
          </w:p>
        </w:tc>
        <w:tc>
          <w:tcPr>
            <w:tcW w:w="823"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1,352,299.06</w:t>
            </w:r>
          </w:p>
        </w:tc>
        <w:tc>
          <w:tcPr>
            <w:tcW w:w="898"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1,352,299.06</w:t>
            </w:r>
          </w:p>
        </w:tc>
        <w:tc>
          <w:tcPr>
            <w:tcW w:w="898"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919" w:type="dxa"/>
            <w:tcBorders>
              <w:top w:val="single" w:sz="6" w:space="0" w:color="000000"/>
              <w:left w:val="single" w:sz="6" w:space="0" w:color="000000"/>
              <w:bottom w:val="single" w:sz="6" w:space="0" w:color="000000"/>
              <w:right w:val="single" w:sz="4" w:space="0" w:color="000000"/>
            </w:tcBorders>
          </w:tcPr>
          <w:p>
            <w:pPr/>
          </w:p>
        </w:tc>
        <w:tc>
          <w:tcPr>
            <w:tcW w:w="82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540" w:right="780"/>
        </w:sectPr>
      </w:pPr>
    </w:p>
    <w:p>
      <w:pPr>
        <w:pStyle w:val="Heading2"/>
        <w:spacing w:line="240" w:lineRule="auto"/>
        <w:ind w:left="1258" w:right="-18"/>
        <w:jc w:val="left"/>
        <w:rPr>
          <w:b w:val="0"/>
          <w:bCs w:val="0"/>
        </w:rPr>
      </w:pPr>
      <w:r>
        <w:rPr>
          <w:rFonts w:ascii="宋体" w:hAnsi="宋体" w:cs="宋体" w:eastAsia="宋体" w:hint="default"/>
        </w:rPr>
        <w:t>16</w:t>
      </w:r>
      <w:r>
        <w:rPr/>
        <w:t>、</w:t>
      </w:r>
      <w:r>
        <w:rPr>
          <w:spacing w:val="-24"/>
        </w:rPr>
        <w:t> </w:t>
      </w:r>
      <w:r>
        <w:rPr/>
        <w:t>长期股权投资</w:t>
      </w:r>
      <w:r>
        <w:rPr>
          <w:b w:val="0"/>
          <w:bCs w:val="0"/>
        </w:rPr>
      </w:r>
    </w:p>
    <w:p>
      <w:pPr>
        <w:pStyle w:val="BodyText"/>
        <w:spacing w:line="240" w:lineRule="auto" w:before="56"/>
        <w:ind w:left="1258"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540" w:right="780"/>
          <w:cols w:num="2" w:equalWidth="0">
            <w:col w:w="3030" w:space="3492"/>
            <w:col w:w="4068"/>
          </w:cols>
        </w:sectPr>
      </w:pP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133"/>
        <w:gridCol w:w="1284"/>
        <w:gridCol w:w="994"/>
        <w:gridCol w:w="427"/>
        <w:gridCol w:w="1272"/>
        <w:gridCol w:w="427"/>
        <w:gridCol w:w="423"/>
        <w:gridCol w:w="1279"/>
        <w:gridCol w:w="281"/>
        <w:gridCol w:w="281"/>
        <w:gridCol w:w="1275"/>
        <w:gridCol w:w="1274"/>
      </w:tblGrid>
      <w:tr>
        <w:trPr>
          <w:trHeight w:val="206" w:hRule="exact"/>
        </w:trPr>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84"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12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2"/>
              <w:ind w:left="487" w:right="482"/>
              <w:jc w:val="center"/>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5384" w:type="dxa"/>
            <w:gridSpan w:val="8"/>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2"/>
              <w:ind w:left="480" w:right="480"/>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2"/>
              <w:ind w:left="556" w:right="103" w:hanging="452"/>
              <w:jc w:val="left"/>
              <w:rPr>
                <w:rFonts w:ascii="宋体" w:hAnsi="宋体" w:cs="宋体" w:eastAsia="宋体" w:hint="default"/>
                <w:sz w:val="15"/>
                <w:szCs w:val="15"/>
              </w:rPr>
            </w:pPr>
            <w:r>
              <w:rPr>
                <w:rFonts w:ascii="宋体" w:hAnsi="宋体" w:cs="宋体" w:eastAsia="宋体" w:hint="default"/>
                <w:sz w:val="15"/>
                <w:szCs w:val="15"/>
              </w:rPr>
              <w:t>减值准备期末余</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额</w:t>
            </w:r>
          </w:p>
        </w:tc>
      </w:tr>
      <w:tr>
        <w:trPr>
          <w:trHeight w:val="1565" w:hRule="exact"/>
        </w:trPr>
        <w:tc>
          <w:tcPr>
            <w:tcW w:w="1133" w:type="dxa"/>
            <w:vMerge/>
            <w:tcBorders>
              <w:left w:val="single" w:sz="4" w:space="0" w:color="000000"/>
              <w:bottom w:val="single" w:sz="4" w:space="0" w:color="000000"/>
              <w:right w:val="single" w:sz="4" w:space="0" w:color="000000"/>
            </w:tcBorders>
          </w:tcPr>
          <w:p>
            <w:pPr/>
          </w:p>
        </w:tc>
        <w:tc>
          <w:tcPr>
            <w:tcW w:w="1284"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191" w:right="0"/>
              <w:jc w:val="left"/>
              <w:rPr>
                <w:rFonts w:ascii="宋体" w:hAnsi="宋体" w:cs="宋体" w:eastAsia="宋体" w:hint="default"/>
                <w:sz w:val="15"/>
                <w:szCs w:val="15"/>
              </w:rPr>
            </w:pPr>
            <w:r>
              <w:rPr>
                <w:rFonts w:ascii="宋体" w:hAnsi="宋体" w:cs="宋体" w:eastAsia="宋体" w:hint="default"/>
                <w:sz w:val="15"/>
                <w:szCs w:val="15"/>
              </w:rPr>
              <w:t>追加投资</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31" w:right="132"/>
              <w:jc w:val="both"/>
              <w:rPr>
                <w:rFonts w:ascii="宋体" w:hAnsi="宋体" w:cs="宋体" w:eastAsia="宋体" w:hint="default"/>
                <w:sz w:val="15"/>
                <w:szCs w:val="15"/>
              </w:rPr>
            </w:pPr>
            <w:r>
              <w:rPr>
                <w:rFonts w:ascii="宋体" w:hAnsi="宋体" w:cs="宋体" w:eastAsia="宋体" w:hint="default"/>
                <w:sz w:val="15"/>
                <w:szCs w:val="15"/>
              </w:rPr>
              <w:t>减</w:t>
            </w:r>
            <w:r>
              <w:rPr>
                <w:rFonts w:ascii="宋体" w:hAnsi="宋体" w:cs="宋体" w:eastAsia="宋体" w:hint="default"/>
                <w:w w:val="100"/>
                <w:sz w:val="15"/>
                <w:szCs w:val="15"/>
              </w:rPr>
              <w:t> </w:t>
            </w:r>
            <w:r>
              <w:rPr>
                <w:rFonts w:ascii="宋体" w:hAnsi="宋体" w:cs="宋体" w:eastAsia="宋体" w:hint="default"/>
                <w:sz w:val="15"/>
                <w:szCs w:val="15"/>
              </w:rPr>
              <w:t>少</w:t>
            </w:r>
            <w:r>
              <w:rPr>
                <w:rFonts w:ascii="宋体" w:hAnsi="宋体" w:cs="宋体" w:eastAsia="宋体" w:hint="default"/>
                <w:w w:val="100"/>
                <w:sz w:val="15"/>
                <w:szCs w:val="15"/>
              </w:rPr>
              <w:t> </w:t>
            </w:r>
            <w:r>
              <w:rPr>
                <w:rFonts w:ascii="宋体" w:hAnsi="宋体" w:cs="宋体" w:eastAsia="宋体" w:hint="default"/>
                <w:sz w:val="15"/>
                <w:szCs w:val="15"/>
              </w:rPr>
              <w:t>投</w:t>
            </w:r>
            <w:r>
              <w:rPr>
                <w:rFonts w:ascii="宋体" w:hAnsi="宋体" w:cs="宋体" w:eastAsia="宋体" w:hint="default"/>
                <w:w w:val="100"/>
                <w:sz w:val="15"/>
                <w:szCs w:val="15"/>
              </w:rPr>
              <w:t> </w:t>
            </w:r>
            <w:r>
              <w:rPr>
                <w:rFonts w:ascii="宋体" w:hAnsi="宋体" w:cs="宋体" w:eastAsia="宋体" w:hint="default"/>
                <w:sz w:val="15"/>
                <w:szCs w:val="15"/>
              </w:rPr>
              <w:t>资</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31" w:right="101" w:hanging="226"/>
              <w:jc w:val="left"/>
              <w:rPr>
                <w:rFonts w:ascii="宋体" w:hAnsi="宋体" w:cs="宋体" w:eastAsia="宋体" w:hint="default"/>
                <w:sz w:val="15"/>
                <w:szCs w:val="15"/>
              </w:rPr>
            </w:pPr>
            <w:r>
              <w:rPr>
                <w:rFonts w:ascii="宋体" w:hAnsi="宋体" w:cs="宋体" w:eastAsia="宋体" w:hint="default"/>
                <w:sz w:val="15"/>
                <w:szCs w:val="15"/>
              </w:rPr>
              <w:t>权益法下确认的</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投资损益</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1" w:right="0"/>
              <w:jc w:val="both"/>
              <w:rPr>
                <w:rFonts w:ascii="宋体" w:hAnsi="宋体" w:cs="宋体" w:eastAsia="宋体" w:hint="default"/>
                <w:sz w:val="15"/>
                <w:szCs w:val="15"/>
              </w:rPr>
            </w:pPr>
            <w:r>
              <w:rPr>
                <w:rFonts w:ascii="宋体" w:hAnsi="宋体" w:cs="宋体" w:eastAsia="宋体" w:hint="default"/>
                <w:w w:val="100"/>
                <w:sz w:val="15"/>
                <w:szCs w:val="15"/>
              </w:rPr>
              <w:t>其</w:t>
            </w:r>
          </w:p>
          <w:p>
            <w:pPr>
              <w:pStyle w:val="TableParagraph"/>
              <w:spacing w:line="240" w:lineRule="auto"/>
              <w:ind w:left="131" w:right="132"/>
              <w:jc w:val="both"/>
              <w:rPr>
                <w:rFonts w:ascii="宋体" w:hAnsi="宋体" w:cs="宋体" w:eastAsia="宋体" w:hint="default"/>
                <w:sz w:val="15"/>
                <w:szCs w:val="15"/>
              </w:rPr>
            </w:pPr>
            <w:r>
              <w:rPr>
                <w:rFonts w:ascii="宋体" w:hAnsi="宋体" w:cs="宋体" w:eastAsia="宋体" w:hint="default"/>
                <w:sz w:val="15"/>
                <w:szCs w:val="15"/>
              </w:rPr>
              <w:t>他</w:t>
            </w:r>
            <w:r>
              <w:rPr>
                <w:rFonts w:ascii="宋体" w:hAnsi="宋体" w:cs="宋体" w:eastAsia="宋体" w:hint="default"/>
                <w:w w:val="100"/>
                <w:sz w:val="15"/>
                <w:szCs w:val="15"/>
              </w:rPr>
              <w:t> </w:t>
            </w:r>
            <w:r>
              <w:rPr>
                <w:rFonts w:ascii="宋体" w:hAnsi="宋体" w:cs="宋体" w:eastAsia="宋体" w:hint="default"/>
                <w:sz w:val="15"/>
                <w:szCs w:val="15"/>
              </w:rPr>
              <w:t>综</w:t>
            </w:r>
            <w:r>
              <w:rPr>
                <w:rFonts w:ascii="宋体" w:hAnsi="宋体" w:cs="宋体" w:eastAsia="宋体" w:hint="default"/>
                <w:w w:val="100"/>
                <w:sz w:val="15"/>
                <w:szCs w:val="15"/>
              </w:rPr>
              <w:t> </w:t>
            </w:r>
            <w:r>
              <w:rPr>
                <w:rFonts w:ascii="宋体" w:hAnsi="宋体" w:cs="宋体" w:eastAsia="宋体" w:hint="default"/>
                <w:sz w:val="15"/>
                <w:szCs w:val="15"/>
              </w:rPr>
              <w:t>合</w:t>
            </w:r>
            <w:r>
              <w:rPr>
                <w:rFonts w:ascii="宋体" w:hAnsi="宋体" w:cs="宋体" w:eastAsia="宋体" w:hint="default"/>
                <w:w w:val="100"/>
                <w:sz w:val="15"/>
                <w:szCs w:val="15"/>
              </w:rPr>
              <w:t> </w:t>
            </w:r>
            <w:r>
              <w:rPr>
                <w:rFonts w:ascii="宋体" w:hAnsi="宋体" w:cs="宋体" w:eastAsia="宋体" w:hint="default"/>
                <w:sz w:val="15"/>
                <w:szCs w:val="15"/>
              </w:rPr>
              <w:t>收</w:t>
            </w:r>
            <w:r>
              <w:rPr>
                <w:rFonts w:ascii="宋体" w:hAnsi="宋体" w:cs="宋体" w:eastAsia="宋体" w:hint="default"/>
                <w:w w:val="100"/>
                <w:sz w:val="15"/>
                <w:szCs w:val="15"/>
              </w:rPr>
              <w:t> </w:t>
            </w:r>
            <w:r>
              <w:rPr>
                <w:rFonts w:ascii="宋体" w:hAnsi="宋体" w:cs="宋体" w:eastAsia="宋体" w:hint="default"/>
                <w:sz w:val="15"/>
                <w:szCs w:val="15"/>
              </w:rPr>
              <w:t>益</w:t>
            </w:r>
            <w:r>
              <w:rPr>
                <w:rFonts w:ascii="宋体" w:hAnsi="宋体" w:cs="宋体" w:eastAsia="宋体" w:hint="default"/>
                <w:w w:val="100"/>
                <w:sz w:val="15"/>
                <w:szCs w:val="15"/>
              </w:rPr>
              <w:t> </w:t>
            </w:r>
            <w:r>
              <w:rPr>
                <w:rFonts w:ascii="宋体" w:hAnsi="宋体" w:cs="宋体" w:eastAsia="宋体" w:hint="default"/>
                <w:sz w:val="15"/>
                <w:szCs w:val="15"/>
              </w:rPr>
              <w:t>调</w:t>
            </w:r>
            <w:r>
              <w:rPr>
                <w:rFonts w:ascii="宋体" w:hAnsi="宋体" w:cs="宋体" w:eastAsia="宋体" w:hint="default"/>
                <w:w w:val="100"/>
                <w:sz w:val="15"/>
                <w:szCs w:val="15"/>
              </w:rPr>
              <w:t> </w:t>
            </w:r>
            <w:r>
              <w:rPr>
                <w:rFonts w:ascii="宋体" w:hAnsi="宋体" w:cs="宋体" w:eastAsia="宋体" w:hint="default"/>
                <w:sz w:val="15"/>
                <w:szCs w:val="15"/>
              </w:rPr>
              <w:t>整</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31" w:right="129"/>
              <w:jc w:val="both"/>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r>
              <w:rPr>
                <w:rFonts w:ascii="宋体" w:hAnsi="宋体" w:cs="宋体" w:eastAsia="宋体" w:hint="default"/>
                <w:w w:val="100"/>
                <w:sz w:val="15"/>
                <w:szCs w:val="15"/>
              </w:rPr>
              <w:t> </w:t>
            </w:r>
            <w:r>
              <w:rPr>
                <w:rFonts w:ascii="宋体" w:hAnsi="宋体" w:cs="宋体" w:eastAsia="宋体" w:hint="default"/>
                <w:sz w:val="15"/>
                <w:szCs w:val="15"/>
              </w:rPr>
              <w:t>权</w:t>
            </w:r>
            <w:r>
              <w:rPr>
                <w:rFonts w:ascii="宋体" w:hAnsi="宋体" w:cs="宋体" w:eastAsia="宋体" w:hint="default"/>
                <w:w w:val="100"/>
                <w:sz w:val="15"/>
                <w:szCs w:val="15"/>
              </w:rPr>
              <w:t> </w:t>
            </w:r>
            <w:r>
              <w:rPr>
                <w:rFonts w:ascii="宋体" w:hAnsi="宋体" w:cs="宋体" w:eastAsia="宋体" w:hint="default"/>
                <w:sz w:val="15"/>
                <w:szCs w:val="15"/>
              </w:rPr>
              <w:t>益</w:t>
            </w:r>
            <w:r>
              <w:rPr>
                <w:rFonts w:ascii="宋体" w:hAnsi="宋体" w:cs="宋体" w:eastAsia="宋体" w:hint="default"/>
                <w:w w:val="100"/>
                <w:sz w:val="15"/>
                <w:szCs w:val="15"/>
              </w:rPr>
              <w:t> </w:t>
            </w:r>
            <w:r>
              <w:rPr>
                <w:rFonts w:ascii="宋体" w:hAnsi="宋体" w:cs="宋体" w:eastAsia="宋体" w:hint="default"/>
                <w:sz w:val="15"/>
                <w:szCs w:val="15"/>
              </w:rPr>
              <w:t>变</w:t>
            </w:r>
            <w:r>
              <w:rPr>
                <w:rFonts w:ascii="宋体" w:hAnsi="宋体" w:cs="宋体" w:eastAsia="宋体" w:hint="default"/>
                <w:w w:val="100"/>
                <w:sz w:val="15"/>
                <w:szCs w:val="15"/>
              </w:rPr>
              <w:t> </w:t>
            </w:r>
            <w:r>
              <w:rPr>
                <w:rFonts w:ascii="宋体" w:hAnsi="宋体" w:cs="宋体" w:eastAsia="宋体" w:hint="default"/>
                <w:sz w:val="15"/>
                <w:szCs w:val="15"/>
              </w:rPr>
              <w:t>动</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33" w:right="106" w:hanging="226"/>
              <w:jc w:val="left"/>
              <w:rPr>
                <w:rFonts w:ascii="宋体" w:hAnsi="宋体" w:cs="宋体" w:eastAsia="宋体" w:hint="default"/>
                <w:sz w:val="15"/>
                <w:szCs w:val="15"/>
              </w:rPr>
            </w:pPr>
            <w:r>
              <w:rPr>
                <w:rFonts w:ascii="宋体" w:hAnsi="宋体" w:cs="宋体" w:eastAsia="宋体" w:hint="default"/>
                <w:sz w:val="15"/>
                <w:szCs w:val="15"/>
              </w:rPr>
              <w:t>宣告发放现金股</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利或利润</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0" w:right="17"/>
              <w:jc w:val="both"/>
              <w:rPr>
                <w:rFonts w:ascii="宋体" w:hAnsi="宋体" w:cs="宋体" w:eastAsia="宋体" w:hint="default"/>
                <w:sz w:val="15"/>
                <w:szCs w:val="15"/>
              </w:rPr>
            </w:pPr>
            <w:r>
              <w:rPr>
                <w:rFonts w:ascii="宋体" w:hAnsi="宋体" w:cs="宋体" w:eastAsia="宋体" w:hint="default"/>
                <w:sz w:val="15"/>
                <w:szCs w:val="15"/>
              </w:rPr>
              <w:t>计</w:t>
            </w:r>
            <w:r>
              <w:rPr>
                <w:rFonts w:ascii="宋体" w:hAnsi="宋体" w:cs="宋体" w:eastAsia="宋体" w:hint="default"/>
                <w:w w:val="100"/>
                <w:sz w:val="15"/>
                <w:szCs w:val="15"/>
              </w:rPr>
              <w:t> </w:t>
            </w:r>
            <w:r>
              <w:rPr>
                <w:rFonts w:ascii="宋体" w:hAnsi="宋体" w:cs="宋体" w:eastAsia="宋体" w:hint="default"/>
                <w:sz w:val="15"/>
                <w:szCs w:val="15"/>
              </w:rPr>
              <w:t>提</w:t>
            </w:r>
            <w:r>
              <w:rPr>
                <w:rFonts w:ascii="宋体" w:hAnsi="宋体" w:cs="宋体" w:eastAsia="宋体" w:hint="default"/>
                <w:w w:val="100"/>
                <w:sz w:val="15"/>
                <w:szCs w:val="15"/>
              </w:rPr>
              <w:t> </w:t>
            </w:r>
            <w:r>
              <w:rPr>
                <w:rFonts w:ascii="宋体" w:hAnsi="宋体" w:cs="宋体" w:eastAsia="宋体" w:hint="default"/>
                <w:sz w:val="15"/>
                <w:szCs w:val="15"/>
              </w:rPr>
              <w:t>减</w:t>
            </w:r>
            <w:r>
              <w:rPr>
                <w:rFonts w:ascii="宋体" w:hAnsi="宋体" w:cs="宋体" w:eastAsia="宋体" w:hint="default"/>
                <w:w w:val="100"/>
                <w:sz w:val="15"/>
                <w:szCs w:val="15"/>
              </w:rPr>
              <w:t> </w:t>
            </w:r>
            <w:r>
              <w:rPr>
                <w:rFonts w:ascii="宋体" w:hAnsi="宋体" w:cs="宋体" w:eastAsia="宋体" w:hint="default"/>
                <w:sz w:val="15"/>
                <w:szCs w:val="15"/>
              </w:rPr>
              <w:t>值</w:t>
            </w:r>
            <w:r>
              <w:rPr>
                <w:rFonts w:ascii="宋体" w:hAnsi="宋体" w:cs="宋体" w:eastAsia="宋体" w:hint="default"/>
                <w:w w:val="100"/>
                <w:sz w:val="15"/>
                <w:szCs w:val="15"/>
              </w:rPr>
              <w:t> </w:t>
            </w:r>
            <w:r>
              <w:rPr>
                <w:rFonts w:ascii="宋体" w:hAnsi="宋体" w:cs="宋体" w:eastAsia="宋体" w:hint="default"/>
                <w:sz w:val="15"/>
                <w:szCs w:val="15"/>
              </w:rPr>
              <w:t>准</w:t>
            </w:r>
            <w:r>
              <w:rPr>
                <w:rFonts w:ascii="宋体" w:hAnsi="宋体" w:cs="宋体" w:eastAsia="宋体" w:hint="default"/>
                <w:w w:val="100"/>
                <w:sz w:val="15"/>
                <w:szCs w:val="15"/>
              </w:rPr>
              <w:t> </w:t>
            </w:r>
            <w:r>
              <w:rPr>
                <w:rFonts w:ascii="宋体" w:hAnsi="宋体" w:cs="宋体" w:eastAsia="宋体" w:hint="default"/>
                <w:sz w:val="15"/>
                <w:szCs w:val="15"/>
              </w:rPr>
              <w:t>备</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17"/>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275"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r>
      <w:tr>
        <w:trPr>
          <w:trHeight w:val="20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一、合营企业</w:t>
            </w:r>
          </w:p>
        </w:tc>
        <w:tc>
          <w:tcPr>
            <w:tcW w:w="128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辽宁锦港宝地</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置业有限公司</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2"/>
                <w:sz w:val="15"/>
              </w:rPr>
              <w:t>58,312,430.42</w:t>
            </w:r>
          </w:p>
        </w:tc>
        <w:tc>
          <w:tcPr>
            <w:tcW w:w="9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2"/>
                <w:sz w:val="15"/>
              </w:rPr>
              <w:t>8,634,670.96</w:t>
            </w:r>
          </w:p>
        </w:tc>
        <w:tc>
          <w:tcPr>
            <w:tcW w:w="427"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84" w:right="0"/>
              <w:jc w:val="center"/>
              <w:rPr>
                <w:rFonts w:ascii="宋体" w:hAnsi="宋体" w:cs="宋体" w:eastAsia="宋体" w:hint="default"/>
                <w:sz w:val="15"/>
                <w:szCs w:val="15"/>
              </w:rPr>
            </w:pPr>
            <w:r>
              <w:rPr>
                <w:rFonts w:ascii="宋体"/>
                <w:sz w:val="15"/>
              </w:rPr>
              <w:t>10,000,000.00</w:t>
            </w:r>
          </w:p>
        </w:tc>
        <w:tc>
          <w:tcPr>
            <w:tcW w:w="281"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宋体" w:hAnsi="宋体" w:cs="宋体" w:eastAsia="宋体" w:hint="default"/>
                <w:sz w:val="15"/>
                <w:szCs w:val="15"/>
              </w:rPr>
            </w:pPr>
            <w:r>
              <w:rPr>
                <w:rFonts w:ascii="宋体"/>
                <w:spacing w:val="-2"/>
                <w:sz w:val="15"/>
              </w:rPr>
              <w:t>56,947,101.38</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2"/>
                <w:sz w:val="15"/>
              </w:rPr>
              <w:t>58,312,430.42</w:t>
            </w:r>
          </w:p>
        </w:tc>
        <w:tc>
          <w:tcPr>
            <w:tcW w:w="9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2"/>
                <w:sz w:val="15"/>
              </w:rPr>
              <w:t>8,634,670.96</w:t>
            </w:r>
          </w:p>
        </w:tc>
        <w:tc>
          <w:tcPr>
            <w:tcW w:w="427"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84" w:right="0"/>
              <w:jc w:val="center"/>
              <w:rPr>
                <w:rFonts w:ascii="宋体" w:hAnsi="宋体" w:cs="宋体" w:eastAsia="宋体" w:hint="default"/>
                <w:sz w:val="15"/>
                <w:szCs w:val="15"/>
              </w:rPr>
            </w:pPr>
            <w:r>
              <w:rPr>
                <w:rFonts w:ascii="宋体"/>
                <w:sz w:val="15"/>
              </w:rPr>
              <w:t>10,000,000.00</w:t>
            </w:r>
          </w:p>
        </w:tc>
        <w:tc>
          <w:tcPr>
            <w:tcW w:w="281"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3"/>
              <w:jc w:val="right"/>
              <w:rPr>
                <w:rFonts w:ascii="宋体" w:hAnsi="宋体" w:cs="宋体" w:eastAsia="宋体" w:hint="default"/>
                <w:sz w:val="15"/>
                <w:szCs w:val="15"/>
              </w:rPr>
            </w:pPr>
            <w:r>
              <w:rPr>
                <w:rFonts w:ascii="宋体"/>
                <w:spacing w:val="-2"/>
                <w:sz w:val="15"/>
              </w:rPr>
              <w:t>56,947,101.38</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二、联营企业</w:t>
            </w:r>
          </w:p>
        </w:tc>
        <w:tc>
          <w:tcPr>
            <w:tcW w:w="128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锦州新时代集</w:t>
            </w:r>
          </w:p>
          <w:p>
            <w:pPr>
              <w:pStyle w:val="TableParagraph"/>
              <w:spacing w:line="240" w:lineRule="auto"/>
              <w:ind w:left="103" w:right="116"/>
              <w:jc w:val="left"/>
              <w:rPr>
                <w:rFonts w:ascii="宋体" w:hAnsi="宋体" w:cs="宋体" w:eastAsia="宋体" w:hint="default"/>
                <w:sz w:val="15"/>
                <w:szCs w:val="15"/>
              </w:rPr>
            </w:pPr>
            <w:r>
              <w:rPr>
                <w:rFonts w:ascii="宋体" w:hAnsi="宋体" w:cs="宋体" w:eastAsia="宋体" w:hint="default"/>
                <w:sz w:val="15"/>
                <w:szCs w:val="15"/>
              </w:rPr>
              <w:t>装箱码头有限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99,633,247.71</w:t>
            </w:r>
          </w:p>
        </w:tc>
        <w:tc>
          <w:tcPr>
            <w:tcW w:w="9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-22,662.54</w:t>
            </w:r>
          </w:p>
        </w:tc>
        <w:tc>
          <w:tcPr>
            <w:tcW w:w="427"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99,610,585.17</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锦州中理外轮</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理货有限公司</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2"/>
                <w:sz w:val="15"/>
              </w:rPr>
              <w:t>8,453,968.67</w:t>
            </w:r>
          </w:p>
        </w:tc>
        <w:tc>
          <w:tcPr>
            <w:tcW w:w="9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604,137.64</w:t>
            </w:r>
          </w:p>
        </w:tc>
        <w:tc>
          <w:tcPr>
            <w:tcW w:w="427"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宋体" w:hAnsi="宋体" w:cs="宋体" w:eastAsia="宋体" w:hint="default"/>
                <w:sz w:val="15"/>
                <w:szCs w:val="15"/>
              </w:rPr>
            </w:pPr>
            <w:r>
              <w:rPr>
                <w:rFonts w:ascii="宋体"/>
                <w:spacing w:val="-2"/>
                <w:sz w:val="15"/>
              </w:rPr>
              <w:t>9,058,106.31</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中电投锦州港</w:t>
            </w:r>
          </w:p>
          <w:p>
            <w:pPr>
              <w:pStyle w:val="TableParagraph"/>
              <w:spacing w:line="240" w:lineRule="auto"/>
              <w:ind w:left="103" w:right="116"/>
              <w:jc w:val="left"/>
              <w:rPr>
                <w:rFonts w:ascii="宋体" w:hAnsi="宋体" w:cs="宋体" w:eastAsia="宋体" w:hint="default"/>
                <w:sz w:val="15"/>
                <w:szCs w:val="15"/>
              </w:rPr>
            </w:pPr>
            <w:r>
              <w:rPr>
                <w:rFonts w:ascii="宋体" w:hAnsi="宋体" w:cs="宋体" w:eastAsia="宋体" w:hint="default"/>
                <w:sz w:val="15"/>
                <w:szCs w:val="15"/>
              </w:rPr>
              <w:t>口有限责任公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142,863,693.28</w:t>
            </w:r>
          </w:p>
        </w:tc>
        <w:tc>
          <w:tcPr>
            <w:tcW w:w="9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-540,035.14</w:t>
            </w:r>
          </w:p>
        </w:tc>
        <w:tc>
          <w:tcPr>
            <w:tcW w:w="427"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142,323,658.14</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锦州港龙煤瑞</w:t>
            </w:r>
          </w:p>
          <w:p>
            <w:pPr>
              <w:pStyle w:val="TableParagraph"/>
              <w:spacing w:line="240" w:lineRule="auto"/>
              <w:ind w:left="103" w:right="116"/>
              <w:jc w:val="left"/>
              <w:rPr>
                <w:rFonts w:ascii="宋体" w:hAnsi="宋体" w:cs="宋体" w:eastAsia="宋体" w:hint="default"/>
                <w:sz w:val="15"/>
                <w:szCs w:val="15"/>
              </w:rPr>
            </w:pPr>
            <w:r>
              <w:rPr>
                <w:rFonts w:ascii="宋体" w:hAnsi="宋体" w:cs="宋体" w:eastAsia="宋体" w:hint="default"/>
                <w:sz w:val="15"/>
                <w:szCs w:val="15"/>
              </w:rPr>
              <w:t>隆能源有限公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4,200,845.15</w:t>
            </w:r>
          </w:p>
        </w:tc>
        <w:tc>
          <w:tcPr>
            <w:tcW w:w="9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-101,030.70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4,099,814.45</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中丝锦州化工</w:t>
            </w:r>
          </w:p>
          <w:p>
            <w:pPr>
              <w:pStyle w:val="TableParagraph"/>
              <w:spacing w:line="240" w:lineRule="auto"/>
              <w:ind w:left="103" w:right="116"/>
              <w:jc w:val="left"/>
              <w:rPr>
                <w:rFonts w:ascii="宋体" w:hAnsi="宋体" w:cs="宋体" w:eastAsia="宋体" w:hint="default"/>
                <w:sz w:val="15"/>
                <w:szCs w:val="15"/>
              </w:rPr>
            </w:pPr>
            <w:r>
              <w:rPr>
                <w:rFonts w:ascii="宋体" w:hAnsi="宋体" w:cs="宋体" w:eastAsia="宋体" w:hint="default"/>
                <w:sz w:val="15"/>
                <w:szCs w:val="15"/>
              </w:rPr>
              <w:t>品港储有限公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22,189,771.37</w:t>
            </w:r>
          </w:p>
        </w:tc>
        <w:tc>
          <w:tcPr>
            <w:tcW w:w="9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-1,503,206.13</w:t>
            </w:r>
          </w:p>
        </w:tc>
        <w:tc>
          <w:tcPr>
            <w:tcW w:w="427"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5"/>
                <w:szCs w:val="15"/>
              </w:rPr>
            </w:pPr>
            <w:r>
              <w:rPr>
                <w:rFonts w:ascii="宋体"/>
                <w:spacing w:val="-2"/>
                <w:sz w:val="15"/>
              </w:rPr>
              <w:t>20,686,565.24</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锦港国际贸易</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发展有限公司</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525,908,430.74</w:t>
            </w:r>
          </w:p>
        </w:tc>
        <w:tc>
          <w:tcPr>
            <w:tcW w:w="9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2"/>
                <w:sz w:val="15"/>
              </w:rPr>
              <w:t>20,910,252.38</w:t>
            </w:r>
          </w:p>
        </w:tc>
        <w:tc>
          <w:tcPr>
            <w:tcW w:w="427"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84" w:right="0"/>
              <w:jc w:val="center"/>
              <w:rPr>
                <w:rFonts w:ascii="宋体" w:hAnsi="宋体" w:cs="宋体" w:eastAsia="宋体" w:hint="default"/>
                <w:sz w:val="15"/>
                <w:szCs w:val="15"/>
              </w:rPr>
            </w:pPr>
            <w:r>
              <w:rPr>
                <w:rFonts w:ascii="宋体"/>
                <w:sz w:val="15"/>
              </w:rPr>
              <w:t>23,317,587.67</w:t>
            </w:r>
          </w:p>
        </w:tc>
        <w:tc>
          <w:tcPr>
            <w:tcW w:w="281"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宋体" w:hAnsi="宋体" w:cs="宋体" w:eastAsia="宋体" w:hint="default"/>
                <w:sz w:val="15"/>
                <w:szCs w:val="15"/>
              </w:rPr>
            </w:pPr>
            <w:r>
              <w:rPr>
                <w:rFonts w:ascii="宋体"/>
                <w:spacing w:val="-1"/>
                <w:sz w:val="15"/>
              </w:rPr>
              <w:t>523,501,095.45</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辽宁沈哈红运</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物流锦州有限</w:t>
            </w:r>
          </w:p>
        </w:tc>
        <w:tc>
          <w:tcPr>
            <w:tcW w:w="128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31" w:right="0"/>
              <w:jc w:val="left"/>
              <w:rPr>
                <w:rFonts w:ascii="宋体" w:hAnsi="宋体" w:cs="宋体" w:eastAsia="宋体" w:hint="default"/>
                <w:sz w:val="15"/>
                <w:szCs w:val="15"/>
              </w:rPr>
            </w:pPr>
            <w:r>
              <w:rPr>
                <w:rFonts w:ascii="宋体"/>
                <w:sz w:val="15"/>
              </w:rPr>
              <w:t>850,924.75</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宋体" w:hAnsi="宋体" w:cs="宋体" w:eastAsia="宋体" w:hint="default"/>
                <w:sz w:val="15"/>
                <w:szCs w:val="15"/>
              </w:rPr>
            </w:pPr>
            <w:r>
              <w:rPr>
                <w:rFonts w:ascii="宋体"/>
                <w:spacing w:val="-1"/>
                <w:sz w:val="15"/>
              </w:rPr>
              <w:t>-133,023.74</w:t>
            </w:r>
          </w:p>
        </w:tc>
        <w:tc>
          <w:tcPr>
            <w:tcW w:w="427"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宋体" w:hAnsi="宋体" w:cs="宋体" w:eastAsia="宋体" w:hint="default"/>
                <w:sz w:val="15"/>
                <w:szCs w:val="15"/>
              </w:rPr>
            </w:pPr>
            <w:r>
              <w:rPr>
                <w:rFonts w:ascii="宋体"/>
                <w:spacing w:val="-1"/>
                <w:sz w:val="15"/>
              </w:rPr>
              <w:t>717,901.01</w:t>
            </w:r>
          </w:p>
        </w:tc>
        <w:tc>
          <w:tcPr>
            <w:tcW w:w="127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54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133"/>
        <w:gridCol w:w="1284"/>
        <w:gridCol w:w="994"/>
        <w:gridCol w:w="427"/>
        <w:gridCol w:w="1272"/>
        <w:gridCol w:w="427"/>
        <w:gridCol w:w="423"/>
        <w:gridCol w:w="1279"/>
        <w:gridCol w:w="281"/>
        <w:gridCol w:w="281"/>
        <w:gridCol w:w="1275"/>
        <w:gridCol w:w="1274"/>
      </w:tblGrid>
      <w:tr>
        <w:trPr>
          <w:trHeight w:val="207"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128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803,249,956.92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850,924.75</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19,214,431.77</w:t>
            </w:r>
          </w:p>
        </w:tc>
        <w:tc>
          <w:tcPr>
            <w:tcW w:w="427"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4" w:right="0"/>
              <w:jc w:val="center"/>
              <w:rPr>
                <w:rFonts w:ascii="宋体" w:hAnsi="宋体" w:cs="宋体" w:eastAsia="宋体" w:hint="default"/>
                <w:sz w:val="15"/>
                <w:szCs w:val="15"/>
              </w:rPr>
            </w:pPr>
            <w:r>
              <w:rPr>
                <w:rFonts w:ascii="宋体"/>
                <w:sz w:val="15"/>
              </w:rPr>
              <w:t>23,317,587.67</w:t>
            </w:r>
          </w:p>
        </w:tc>
        <w:tc>
          <w:tcPr>
            <w:tcW w:w="281"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7" w:right="0"/>
              <w:jc w:val="left"/>
              <w:rPr>
                <w:rFonts w:ascii="宋体" w:hAnsi="宋体" w:cs="宋体" w:eastAsia="宋体" w:hint="default"/>
                <w:sz w:val="15"/>
                <w:szCs w:val="15"/>
              </w:rPr>
            </w:pPr>
            <w:r>
              <w:rPr>
                <w:rFonts w:ascii="宋体"/>
                <w:sz w:val="15"/>
              </w:rPr>
              <w:t>799,997,725.77</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861,562,387.34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850,924.75</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27,849,102.73</w:t>
            </w:r>
          </w:p>
        </w:tc>
        <w:tc>
          <w:tcPr>
            <w:tcW w:w="427"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4" w:right="0"/>
              <w:jc w:val="center"/>
              <w:rPr>
                <w:rFonts w:ascii="宋体" w:hAnsi="宋体" w:cs="宋体" w:eastAsia="宋体" w:hint="default"/>
                <w:sz w:val="15"/>
                <w:szCs w:val="15"/>
              </w:rPr>
            </w:pPr>
            <w:r>
              <w:rPr>
                <w:rFonts w:ascii="宋体"/>
                <w:sz w:val="15"/>
              </w:rPr>
              <w:t>33,317,587.67</w:t>
            </w:r>
          </w:p>
        </w:tc>
        <w:tc>
          <w:tcPr>
            <w:tcW w:w="281"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7" w:right="0"/>
              <w:jc w:val="left"/>
              <w:rPr>
                <w:rFonts w:ascii="宋体" w:hAnsi="宋体" w:cs="宋体" w:eastAsia="宋体" w:hint="default"/>
                <w:sz w:val="15"/>
                <w:szCs w:val="15"/>
              </w:rPr>
            </w:pPr>
            <w:r>
              <w:rPr>
                <w:rFonts w:ascii="宋体"/>
                <w:sz w:val="15"/>
              </w:rPr>
              <w:t>856,944,827.15</w:t>
            </w:r>
          </w:p>
        </w:tc>
        <w:tc>
          <w:tcPr>
            <w:tcW w:w="12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37" w:lineRule="auto" w:before="38"/>
        <w:ind w:left="1258" w:right="0"/>
        <w:jc w:val="left"/>
      </w:pPr>
      <w:r>
        <w:rPr/>
        <w:t>其他说明</w:t>
      </w:r>
      <w:r>
        <w:rPr>
          <w:w w:val="100"/>
        </w:rPr>
        <w:t> </w:t>
      </w:r>
      <w:r>
        <w:rPr>
          <w:spacing w:val="-2"/>
        </w:rPr>
        <w:t>报告期公司与辽宁沈铁红运物流有限公司签订《股权转让合同》，公司将持有辽宁沈哈红运物流</w:t>
      </w:r>
      <w:r>
        <w:rPr>
          <w:spacing w:val="-25"/>
        </w:rPr>
        <w:t> </w:t>
      </w:r>
      <w:r>
        <w:rPr>
          <w:spacing w:val="-25"/>
        </w:rPr>
      </w:r>
      <w:r>
        <w:rPr>
          <w:spacing w:val="-4"/>
        </w:rPr>
        <w:t>锦州有限公司（原名锦州港集铁物流有限公司）</w:t>
      </w:r>
      <w:r>
        <w:rPr>
          <w:rFonts w:ascii="宋体" w:hAnsi="宋体" w:cs="宋体" w:eastAsia="宋体" w:hint="default"/>
          <w:spacing w:val="-4"/>
        </w:rPr>
        <w:t>45%</w:t>
      </w:r>
      <w:r>
        <w:rPr>
          <w:spacing w:val="-4"/>
        </w:rPr>
        <w:t>的股权转让给辽宁沈铁红运物流有限公司，相</w:t>
      </w:r>
      <w:r>
        <w:rPr>
          <w:spacing w:val="-29"/>
        </w:rPr>
        <w:t> </w:t>
      </w:r>
      <w:r>
        <w:rPr>
          <w:spacing w:val="-29"/>
        </w:rPr>
      </w:r>
      <w:r>
        <w:rPr/>
        <w:t>关股权转让手续已办理完毕。对剩余</w:t>
      </w:r>
      <w:r>
        <w:rPr>
          <w:spacing w:val="-55"/>
        </w:rPr>
        <w:t> </w:t>
      </w:r>
      <w:r>
        <w:rPr>
          <w:rFonts w:ascii="宋体" w:hAnsi="宋体" w:cs="宋体" w:eastAsia="宋体" w:hint="default"/>
        </w:rPr>
        <w:t>10%</w:t>
      </w:r>
      <w:r>
        <w:rPr/>
        <w:t>的股权，鉴于公司已委派一名董事参与被投资单位的经</w:t>
      </w:r>
      <w:r>
        <w:rPr>
          <w:w w:val="100"/>
        </w:rPr>
        <w:t> </w:t>
      </w:r>
      <w:r>
        <w:rPr/>
        <w:t>营决策，本公司判断对被投资单位具有重大影响。</w:t>
      </w:r>
    </w:p>
    <w:p>
      <w:pPr>
        <w:spacing w:line="240" w:lineRule="auto" w:before="3"/>
        <w:rPr>
          <w:rFonts w:ascii="宋体" w:hAnsi="宋体" w:cs="宋体" w:eastAsia="宋体" w:hint="default"/>
          <w:sz w:val="25"/>
          <w:szCs w:val="25"/>
        </w:rPr>
      </w:pPr>
    </w:p>
    <w:p>
      <w:pPr>
        <w:pStyle w:val="Heading2"/>
        <w:spacing w:line="240" w:lineRule="auto" w:before="0"/>
        <w:ind w:left="1258" w:right="0"/>
        <w:jc w:val="left"/>
        <w:rPr>
          <w:b w:val="0"/>
          <w:bCs w:val="0"/>
        </w:rPr>
      </w:pPr>
      <w:r>
        <w:rPr>
          <w:rFonts w:ascii="宋体" w:hAnsi="宋体" w:cs="宋体" w:eastAsia="宋体" w:hint="default"/>
        </w:rPr>
        <w:t>17</w:t>
      </w:r>
      <w:r>
        <w:rPr/>
        <w:t>、</w:t>
      </w:r>
      <w:r>
        <w:rPr>
          <w:spacing w:val="-24"/>
        </w:rPr>
        <w:t> </w:t>
      </w:r>
      <w:r>
        <w:rPr/>
        <w:t>投资性房地产</w:t>
      </w:r>
      <w:r>
        <w:rPr>
          <w:b w:val="0"/>
          <w:bCs w:val="0"/>
        </w:rPr>
      </w:r>
    </w:p>
    <w:p>
      <w:pPr>
        <w:pStyle w:val="BodyText"/>
        <w:spacing w:line="240" w:lineRule="auto" w:before="56"/>
        <w:ind w:left="12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540" w:right="780"/>
        </w:sectPr>
      </w:pPr>
    </w:p>
    <w:p>
      <w:pPr>
        <w:pStyle w:val="Heading2"/>
        <w:spacing w:line="240" w:lineRule="auto"/>
        <w:ind w:left="1258" w:right="-19"/>
        <w:jc w:val="left"/>
        <w:rPr>
          <w:b w:val="0"/>
          <w:bCs w:val="0"/>
        </w:rPr>
      </w:pPr>
      <w:r>
        <w:rPr>
          <w:rFonts w:ascii="宋体" w:hAnsi="宋体" w:cs="宋体" w:eastAsia="宋体" w:hint="default"/>
        </w:rPr>
        <w:t>18</w:t>
      </w:r>
      <w:r>
        <w:rPr/>
        <w:t>、</w:t>
      </w:r>
      <w:r>
        <w:rPr>
          <w:spacing w:val="-25"/>
        </w:rPr>
        <w:t> </w:t>
      </w:r>
      <w:r>
        <w:rPr/>
        <w:t>固定资产</w:t>
      </w:r>
      <w:r>
        <w:rPr>
          <w:b w:val="0"/>
          <w:bCs w:val="0"/>
        </w:rPr>
      </w:r>
    </w:p>
    <w:p>
      <w:pPr>
        <w:pStyle w:val="Heading2"/>
        <w:spacing w:line="240" w:lineRule="auto" w:before="58"/>
        <w:ind w:left="1258"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309" w:val="left" w:leader="none"/>
        </w:tabs>
        <w:spacing w:line="240" w:lineRule="auto" w:before="177"/>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540" w:right="780"/>
          <w:cols w:num="2" w:equalWidth="0">
            <w:col w:w="3114" w:space="3408"/>
            <w:col w:w="4068"/>
          </w:cols>
        </w:sectPr>
      </w:pPr>
    </w:p>
    <w:p>
      <w:pPr>
        <w:spacing w:line="240" w:lineRule="auto" w:before="7"/>
        <w:rPr>
          <w:rFonts w:ascii="宋体" w:hAnsi="宋体" w:cs="宋体" w:eastAsia="宋体" w:hint="default"/>
          <w:sz w:val="2"/>
          <w:szCs w:val="2"/>
        </w:rPr>
      </w:pPr>
    </w:p>
    <w:tbl>
      <w:tblPr>
        <w:tblW w:w="0" w:type="auto"/>
        <w:jc w:val="left"/>
        <w:tblInd w:w="1219" w:type="dxa"/>
        <w:tblLayout w:type="fixed"/>
        <w:tblCellMar>
          <w:top w:w="0" w:type="dxa"/>
          <w:left w:w="0" w:type="dxa"/>
          <w:bottom w:w="0" w:type="dxa"/>
          <w:right w:w="0" w:type="dxa"/>
        </w:tblCellMar>
        <w:tblLook w:val="01E0"/>
      </w:tblPr>
      <w:tblGrid>
        <w:gridCol w:w="1634"/>
        <w:gridCol w:w="1261"/>
        <w:gridCol w:w="1260"/>
        <w:gridCol w:w="1260"/>
        <w:gridCol w:w="1109"/>
        <w:gridCol w:w="1037"/>
        <w:gridCol w:w="1334"/>
      </w:tblGrid>
      <w:tr>
        <w:trPr>
          <w:trHeight w:val="403"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95" w:right="0"/>
              <w:jc w:val="left"/>
              <w:rPr>
                <w:rFonts w:ascii="宋体" w:hAnsi="宋体" w:cs="宋体" w:eastAsia="宋体" w:hint="default"/>
                <w:sz w:val="15"/>
                <w:szCs w:val="15"/>
              </w:rPr>
            </w:pPr>
            <w:r>
              <w:rPr>
                <w:rFonts w:ascii="宋体" w:hAnsi="宋体" w:cs="宋体" w:eastAsia="宋体" w:hint="default"/>
                <w:sz w:val="15"/>
                <w:szCs w:val="15"/>
              </w:rPr>
              <w:t>码头及辅助设施</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70" w:right="0"/>
              <w:jc w:val="left"/>
              <w:rPr>
                <w:rFonts w:ascii="宋体" w:hAnsi="宋体" w:cs="宋体" w:eastAsia="宋体" w:hint="default"/>
                <w:sz w:val="15"/>
                <w:szCs w:val="15"/>
              </w:rPr>
            </w:pPr>
            <w:r>
              <w:rPr>
                <w:rFonts w:ascii="宋体" w:hAnsi="宋体" w:cs="宋体" w:eastAsia="宋体" w:hint="default"/>
                <w:sz w:val="15"/>
                <w:szCs w:val="15"/>
              </w:rPr>
              <w:t>房屋及建筑物</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321" w:right="0"/>
              <w:jc w:val="left"/>
              <w:rPr>
                <w:rFonts w:ascii="宋体" w:hAnsi="宋体" w:cs="宋体" w:eastAsia="宋体" w:hint="default"/>
                <w:sz w:val="15"/>
                <w:szCs w:val="15"/>
              </w:rPr>
            </w:pPr>
            <w:r>
              <w:rPr>
                <w:rFonts w:ascii="宋体" w:hAnsi="宋体" w:cs="宋体" w:eastAsia="宋体" w:hint="default"/>
                <w:sz w:val="15"/>
                <w:szCs w:val="15"/>
              </w:rPr>
              <w:t>机器设备</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47" w:right="0"/>
              <w:jc w:val="left"/>
              <w:rPr>
                <w:rFonts w:ascii="宋体" w:hAnsi="宋体" w:cs="宋体" w:eastAsia="宋体" w:hint="default"/>
                <w:sz w:val="15"/>
                <w:szCs w:val="15"/>
              </w:rPr>
            </w:pPr>
            <w:r>
              <w:rPr>
                <w:rFonts w:ascii="宋体" w:hAnsi="宋体" w:cs="宋体" w:eastAsia="宋体" w:hint="default"/>
                <w:sz w:val="15"/>
                <w:szCs w:val="15"/>
              </w:rPr>
              <w:t>运输工具</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办公及其他设</w:t>
            </w:r>
          </w:p>
          <w:p>
            <w:pPr>
              <w:pStyle w:val="TableParagraph"/>
              <w:spacing w:line="195" w:lineRule="exact"/>
              <w:ind w:right="2"/>
              <w:jc w:val="center"/>
              <w:rPr>
                <w:rFonts w:ascii="宋体" w:hAnsi="宋体" w:cs="宋体" w:eastAsia="宋体" w:hint="default"/>
                <w:sz w:val="15"/>
                <w:szCs w:val="15"/>
              </w:rPr>
            </w:pPr>
            <w:r>
              <w:rPr>
                <w:rFonts w:ascii="宋体" w:hAnsi="宋体" w:cs="宋体" w:eastAsia="宋体" w:hint="default"/>
                <w:w w:val="100"/>
                <w:sz w:val="15"/>
                <w:szCs w:val="15"/>
              </w:rPr>
              <w:t>备</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211"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24" w:right="0"/>
              <w:jc w:val="left"/>
              <w:rPr>
                <w:rFonts w:ascii="宋体" w:hAnsi="宋体" w:cs="宋体" w:eastAsia="宋体" w:hint="default"/>
                <w:sz w:val="15"/>
                <w:szCs w:val="15"/>
              </w:rPr>
            </w:pPr>
            <w:r>
              <w:rPr>
                <w:rFonts w:ascii="宋体" w:hAnsi="宋体" w:cs="宋体" w:eastAsia="宋体" w:hint="default"/>
                <w:sz w:val="15"/>
                <w:szCs w:val="15"/>
              </w:rPr>
              <w:t>一、账面原值：</w:t>
            </w:r>
          </w:p>
        </w:tc>
        <w:tc>
          <w:tcPr>
            <w:tcW w:w="1261"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2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期初余额</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2"/>
                <w:sz w:val="15"/>
              </w:rPr>
              <w:t>4,882,447,930.84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2,522,547,149.74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1,554,990,863.49</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9"/>
              <w:jc w:val="right"/>
              <w:rPr>
                <w:rFonts w:ascii="宋体" w:hAnsi="宋体" w:cs="宋体" w:eastAsia="宋体" w:hint="default"/>
                <w:sz w:val="15"/>
                <w:szCs w:val="15"/>
              </w:rPr>
            </w:pPr>
            <w:r>
              <w:rPr>
                <w:rFonts w:ascii="宋体"/>
                <w:spacing w:val="-1"/>
                <w:sz w:val="15"/>
              </w:rPr>
              <w:t>352,962,454.19</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70,597,035.30</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9,383,545,433.56</w:t>
            </w:r>
          </w:p>
        </w:tc>
      </w:tr>
      <w:tr>
        <w:trPr>
          <w:trHeight w:val="209"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2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本期增加金额</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5,625,284.88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427,792,570.50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536,972,967.27</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8"/>
              <w:jc w:val="right"/>
              <w:rPr>
                <w:rFonts w:ascii="宋体" w:hAnsi="宋体" w:cs="宋体" w:eastAsia="宋体" w:hint="default"/>
                <w:sz w:val="15"/>
                <w:szCs w:val="15"/>
              </w:rPr>
            </w:pPr>
            <w:r>
              <w:rPr>
                <w:rFonts w:ascii="宋体"/>
                <w:spacing w:val="-2"/>
                <w:sz w:val="15"/>
              </w:rPr>
              <w:t>1,653,063.48</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27,182,224.76</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999,226,110.89</w:t>
            </w:r>
          </w:p>
        </w:tc>
      </w:tr>
      <w:tr>
        <w:trPr>
          <w:trHeight w:val="209"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75"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）购置</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1,635,041.06</w:t>
            </w: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14,429,243.41</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8"/>
              <w:jc w:val="right"/>
              <w:rPr>
                <w:rFonts w:ascii="宋体" w:hAnsi="宋体" w:cs="宋体" w:eastAsia="宋体" w:hint="default"/>
                <w:sz w:val="15"/>
                <w:szCs w:val="15"/>
              </w:rPr>
            </w:pPr>
            <w:r>
              <w:rPr>
                <w:rFonts w:ascii="宋体"/>
                <w:spacing w:val="-2"/>
                <w:sz w:val="15"/>
              </w:rPr>
              <w:t>1,653,063.48</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11,969,922.43</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29,687,270.38</w:t>
            </w:r>
          </w:p>
        </w:tc>
      </w:tr>
      <w:tr>
        <w:trPr>
          <w:trHeight w:val="406"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left="475"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2</w:t>
            </w:r>
            <w:r>
              <w:rPr>
                <w:rFonts w:ascii="宋体" w:hAnsi="宋体" w:cs="宋体" w:eastAsia="宋体" w:hint="default"/>
                <w:sz w:val="15"/>
                <w:szCs w:val="15"/>
              </w:rPr>
              <w:t>）在建工程转</w:t>
            </w:r>
          </w:p>
          <w:p>
            <w:pPr>
              <w:pStyle w:val="TableParagraph"/>
              <w:spacing w:line="195" w:lineRule="exact"/>
              <w:ind w:left="24" w:right="0"/>
              <w:jc w:val="left"/>
              <w:rPr>
                <w:rFonts w:ascii="宋体" w:hAnsi="宋体" w:cs="宋体" w:eastAsia="宋体" w:hint="default"/>
                <w:sz w:val="15"/>
                <w:szCs w:val="15"/>
              </w:rPr>
            </w:pPr>
            <w:r>
              <w:rPr>
                <w:rFonts w:ascii="宋体" w:hAnsi="宋体" w:cs="宋体" w:eastAsia="宋体" w:hint="default"/>
                <w:w w:val="100"/>
                <w:sz w:val="15"/>
                <w:szCs w:val="15"/>
              </w:rPr>
              <w:t>入</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3,990,243.82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427,792,570.50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522,543,723.86</w:t>
            </w:r>
          </w:p>
        </w:tc>
        <w:tc>
          <w:tcPr>
            <w:tcW w:w="1109"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2"/>
                <w:sz w:val="15"/>
              </w:rPr>
              <w:t>15,212,302.33</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969,538,840.51</w:t>
            </w:r>
          </w:p>
        </w:tc>
      </w:tr>
      <w:tr>
        <w:trPr>
          <w:trHeight w:val="209"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98"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本期减少金额</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51,800.00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778,982.17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8,812,201.99</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8"/>
              <w:jc w:val="right"/>
              <w:rPr>
                <w:rFonts w:ascii="宋体" w:hAnsi="宋体" w:cs="宋体" w:eastAsia="宋体" w:hint="default"/>
                <w:sz w:val="15"/>
                <w:szCs w:val="15"/>
              </w:rPr>
            </w:pPr>
            <w:r>
              <w:rPr>
                <w:rFonts w:ascii="宋体"/>
                <w:spacing w:val="-2"/>
                <w:sz w:val="15"/>
              </w:rPr>
              <w:t>32,408,863.48</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640,392.70</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42,692,240.34</w:t>
            </w:r>
          </w:p>
        </w:tc>
      </w:tr>
      <w:tr>
        <w:trPr>
          <w:trHeight w:val="209"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19"/>
              <w:jc w:val="right"/>
              <w:rPr>
                <w:rFonts w:ascii="宋体" w:hAnsi="宋体" w:cs="宋体" w:eastAsia="宋体" w:hint="default"/>
                <w:sz w:val="15"/>
                <w:szCs w:val="15"/>
              </w:rPr>
            </w:pPr>
            <w:r>
              <w:rPr>
                <w:rFonts w:ascii="宋体" w:hAnsi="宋体" w:cs="宋体" w:eastAsia="宋体" w:hint="default"/>
                <w:spacing w:val="-2"/>
                <w:sz w:val="15"/>
                <w:szCs w:val="15"/>
              </w:rPr>
              <w:t>（</w:t>
            </w:r>
            <w:r>
              <w:rPr>
                <w:rFonts w:ascii="宋体" w:hAnsi="宋体" w:cs="宋体" w:eastAsia="宋体" w:hint="default"/>
                <w:spacing w:val="-2"/>
                <w:sz w:val="15"/>
                <w:szCs w:val="15"/>
              </w:rPr>
              <w:t>1</w:t>
            </w:r>
            <w:r>
              <w:rPr>
                <w:rFonts w:ascii="宋体" w:hAnsi="宋体" w:cs="宋体" w:eastAsia="宋体" w:hint="default"/>
                <w:spacing w:val="-2"/>
                <w:sz w:val="15"/>
                <w:szCs w:val="15"/>
              </w:rPr>
              <w:t>）处置或报废</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1"/>
              <w:jc w:val="right"/>
              <w:rPr>
                <w:rFonts w:ascii="宋体" w:hAnsi="宋体" w:cs="宋体" w:eastAsia="宋体" w:hint="default"/>
                <w:sz w:val="15"/>
                <w:szCs w:val="15"/>
              </w:rPr>
            </w:pPr>
            <w:r>
              <w:rPr>
                <w:rFonts w:ascii="宋体"/>
                <w:spacing w:val="-2"/>
                <w:sz w:val="15"/>
              </w:rPr>
              <w:t>51,800.00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1"/>
              <w:jc w:val="right"/>
              <w:rPr>
                <w:rFonts w:ascii="宋体" w:hAnsi="宋体" w:cs="宋体" w:eastAsia="宋体" w:hint="default"/>
                <w:sz w:val="15"/>
                <w:szCs w:val="15"/>
              </w:rPr>
            </w:pPr>
            <w:r>
              <w:rPr>
                <w:rFonts w:ascii="宋体"/>
                <w:spacing w:val="-1"/>
                <w:sz w:val="15"/>
              </w:rPr>
              <w:t>691,502.17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1"/>
              <w:jc w:val="right"/>
              <w:rPr>
                <w:rFonts w:ascii="宋体" w:hAnsi="宋体" w:cs="宋体" w:eastAsia="宋体" w:hint="default"/>
                <w:sz w:val="15"/>
                <w:szCs w:val="15"/>
              </w:rPr>
            </w:pPr>
            <w:r>
              <w:rPr>
                <w:rFonts w:ascii="宋体"/>
                <w:spacing w:val="-2"/>
                <w:sz w:val="15"/>
              </w:rPr>
              <w:t>7,380,301.83</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18"/>
              <w:jc w:val="right"/>
              <w:rPr>
                <w:rFonts w:ascii="宋体" w:hAnsi="宋体" w:cs="宋体" w:eastAsia="宋体" w:hint="default"/>
                <w:sz w:val="15"/>
                <w:szCs w:val="15"/>
              </w:rPr>
            </w:pPr>
            <w:r>
              <w:rPr>
                <w:rFonts w:ascii="宋体"/>
                <w:spacing w:val="-2"/>
                <w:sz w:val="15"/>
              </w:rPr>
              <w:t>27,025,713.98</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1"/>
              <w:jc w:val="right"/>
              <w:rPr>
                <w:rFonts w:ascii="宋体" w:hAnsi="宋体" w:cs="宋体" w:eastAsia="宋体" w:hint="default"/>
                <w:sz w:val="15"/>
                <w:szCs w:val="15"/>
              </w:rPr>
            </w:pPr>
            <w:r>
              <w:rPr>
                <w:rFonts w:ascii="宋体"/>
                <w:spacing w:val="-1"/>
                <w:sz w:val="15"/>
              </w:rPr>
              <w:t>353,517.62</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1"/>
              <w:jc w:val="right"/>
              <w:rPr>
                <w:rFonts w:ascii="宋体" w:hAnsi="宋体" w:cs="宋体" w:eastAsia="宋体" w:hint="default"/>
                <w:sz w:val="15"/>
                <w:szCs w:val="15"/>
              </w:rPr>
            </w:pPr>
            <w:r>
              <w:rPr>
                <w:rFonts w:ascii="宋体"/>
                <w:spacing w:val="-2"/>
                <w:sz w:val="15"/>
              </w:rPr>
              <w:t>35,502,835.60</w:t>
            </w:r>
          </w:p>
        </w:tc>
      </w:tr>
      <w:tr>
        <w:trPr>
          <w:trHeight w:val="211"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475"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2</w:t>
            </w:r>
            <w:r>
              <w:rPr>
                <w:rFonts w:ascii="宋体" w:hAnsi="宋体" w:cs="宋体" w:eastAsia="宋体" w:hint="default"/>
                <w:sz w:val="15"/>
                <w:szCs w:val="15"/>
              </w:rPr>
              <w:t>）其他减少</w:t>
            </w:r>
          </w:p>
        </w:tc>
        <w:tc>
          <w:tcPr>
            <w:tcW w:w="1261"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1"/>
              <w:jc w:val="right"/>
              <w:rPr>
                <w:rFonts w:ascii="宋体" w:hAnsi="宋体" w:cs="宋体" w:eastAsia="宋体" w:hint="default"/>
                <w:sz w:val="15"/>
                <w:szCs w:val="15"/>
              </w:rPr>
            </w:pPr>
            <w:r>
              <w:rPr>
                <w:rFonts w:ascii="宋体"/>
                <w:spacing w:val="-2"/>
                <w:sz w:val="15"/>
              </w:rPr>
              <w:t>87,480.00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1"/>
              <w:jc w:val="right"/>
              <w:rPr>
                <w:rFonts w:ascii="宋体" w:hAnsi="宋体" w:cs="宋体" w:eastAsia="宋体" w:hint="default"/>
                <w:sz w:val="15"/>
                <w:szCs w:val="15"/>
              </w:rPr>
            </w:pPr>
            <w:r>
              <w:rPr>
                <w:rFonts w:ascii="宋体"/>
                <w:spacing w:val="-2"/>
                <w:sz w:val="15"/>
              </w:rPr>
              <w:t>1,431,900.16</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18"/>
              <w:jc w:val="right"/>
              <w:rPr>
                <w:rFonts w:ascii="宋体" w:hAnsi="宋体" w:cs="宋体" w:eastAsia="宋体" w:hint="default"/>
                <w:sz w:val="15"/>
                <w:szCs w:val="15"/>
              </w:rPr>
            </w:pPr>
            <w:r>
              <w:rPr>
                <w:rFonts w:ascii="宋体"/>
                <w:spacing w:val="-2"/>
                <w:sz w:val="15"/>
              </w:rPr>
              <w:t>5,383,149.50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1"/>
              <w:jc w:val="right"/>
              <w:rPr>
                <w:rFonts w:ascii="宋体" w:hAnsi="宋体" w:cs="宋体" w:eastAsia="宋体" w:hint="default"/>
                <w:sz w:val="15"/>
                <w:szCs w:val="15"/>
              </w:rPr>
            </w:pPr>
            <w:r>
              <w:rPr>
                <w:rFonts w:ascii="宋体"/>
                <w:spacing w:val="-1"/>
                <w:sz w:val="15"/>
              </w:rPr>
              <w:t>286,875.08</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1"/>
              <w:jc w:val="right"/>
              <w:rPr>
                <w:rFonts w:ascii="宋体" w:hAnsi="宋体" w:cs="宋体" w:eastAsia="宋体" w:hint="default"/>
                <w:sz w:val="15"/>
                <w:szCs w:val="15"/>
              </w:rPr>
            </w:pPr>
            <w:r>
              <w:rPr>
                <w:rFonts w:ascii="宋体"/>
                <w:spacing w:val="-2"/>
                <w:sz w:val="15"/>
              </w:rPr>
              <w:t>7,189,404.74</w:t>
            </w:r>
          </w:p>
        </w:tc>
      </w:tr>
      <w:tr>
        <w:trPr>
          <w:trHeight w:val="209"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2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期末余额</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2"/>
                <w:sz w:val="15"/>
              </w:rPr>
              <w:t>4,888,021,415.72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2,949,560,738.07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2,083,151,628.77</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9"/>
              <w:jc w:val="right"/>
              <w:rPr>
                <w:rFonts w:ascii="宋体" w:hAnsi="宋体" w:cs="宋体" w:eastAsia="宋体" w:hint="default"/>
                <w:sz w:val="15"/>
                <w:szCs w:val="15"/>
              </w:rPr>
            </w:pPr>
            <w:r>
              <w:rPr>
                <w:rFonts w:ascii="宋体"/>
                <w:spacing w:val="-1"/>
                <w:sz w:val="15"/>
              </w:rPr>
              <w:t>322,206,654.19</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97,138,867.36</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10,340,079,304.11</w:t>
            </w:r>
          </w:p>
        </w:tc>
      </w:tr>
      <w:tr>
        <w:trPr>
          <w:trHeight w:val="209"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4" w:right="0"/>
              <w:jc w:val="left"/>
              <w:rPr>
                <w:rFonts w:ascii="宋体" w:hAnsi="宋体" w:cs="宋体" w:eastAsia="宋体" w:hint="default"/>
                <w:sz w:val="15"/>
                <w:szCs w:val="15"/>
              </w:rPr>
            </w:pPr>
            <w:r>
              <w:rPr>
                <w:rFonts w:ascii="宋体" w:hAnsi="宋体" w:cs="宋体" w:eastAsia="宋体" w:hint="default"/>
                <w:sz w:val="15"/>
                <w:szCs w:val="15"/>
              </w:rPr>
              <w:t>二、累计折旧</w:t>
            </w:r>
          </w:p>
        </w:tc>
        <w:tc>
          <w:tcPr>
            <w:tcW w:w="1261"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32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期初余额</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2"/>
              <w:jc w:val="right"/>
              <w:rPr>
                <w:rFonts w:ascii="宋体" w:hAnsi="宋体" w:cs="宋体" w:eastAsia="宋体" w:hint="default"/>
                <w:sz w:val="15"/>
                <w:szCs w:val="15"/>
              </w:rPr>
            </w:pPr>
            <w:r>
              <w:rPr>
                <w:rFonts w:ascii="宋体"/>
                <w:spacing w:val="-1"/>
                <w:sz w:val="15"/>
              </w:rPr>
              <w:t>533,860,658.29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1"/>
              <w:jc w:val="right"/>
              <w:rPr>
                <w:rFonts w:ascii="宋体" w:hAnsi="宋体" w:cs="宋体" w:eastAsia="宋体" w:hint="default"/>
                <w:sz w:val="15"/>
                <w:szCs w:val="15"/>
              </w:rPr>
            </w:pPr>
            <w:r>
              <w:rPr>
                <w:rFonts w:ascii="宋体"/>
                <w:spacing w:val="-1"/>
                <w:sz w:val="15"/>
              </w:rPr>
              <w:t>249,581,285.72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1"/>
              <w:jc w:val="right"/>
              <w:rPr>
                <w:rFonts w:ascii="宋体" w:hAnsi="宋体" w:cs="宋体" w:eastAsia="宋体" w:hint="default"/>
                <w:sz w:val="15"/>
                <w:szCs w:val="15"/>
              </w:rPr>
            </w:pPr>
            <w:r>
              <w:rPr>
                <w:rFonts w:ascii="宋体"/>
                <w:spacing w:val="-1"/>
                <w:sz w:val="15"/>
              </w:rPr>
              <w:t>483,274,931.59</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18"/>
              <w:jc w:val="right"/>
              <w:rPr>
                <w:rFonts w:ascii="宋体" w:hAnsi="宋体" w:cs="宋体" w:eastAsia="宋体" w:hint="default"/>
                <w:sz w:val="15"/>
                <w:szCs w:val="15"/>
              </w:rPr>
            </w:pPr>
            <w:r>
              <w:rPr>
                <w:rFonts w:ascii="宋体"/>
                <w:spacing w:val="-2"/>
                <w:sz w:val="15"/>
              </w:rPr>
              <w:t>93,799,628.95</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1"/>
              <w:jc w:val="right"/>
              <w:rPr>
                <w:rFonts w:ascii="宋体" w:hAnsi="宋体" w:cs="宋体" w:eastAsia="宋体" w:hint="default"/>
                <w:sz w:val="15"/>
                <w:szCs w:val="15"/>
              </w:rPr>
            </w:pPr>
            <w:r>
              <w:rPr>
                <w:rFonts w:ascii="宋体"/>
                <w:spacing w:val="-2"/>
                <w:sz w:val="15"/>
              </w:rPr>
              <w:t>26,965,391.15</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1"/>
              <w:jc w:val="right"/>
              <w:rPr>
                <w:rFonts w:ascii="宋体" w:hAnsi="宋体" w:cs="宋体" w:eastAsia="宋体" w:hint="default"/>
                <w:sz w:val="15"/>
                <w:szCs w:val="15"/>
              </w:rPr>
            </w:pPr>
            <w:r>
              <w:rPr>
                <w:rFonts w:ascii="宋体"/>
                <w:spacing w:val="-2"/>
                <w:sz w:val="15"/>
              </w:rPr>
              <w:t>1,387,481,895.70</w:t>
            </w:r>
          </w:p>
        </w:tc>
      </w:tr>
      <w:tr>
        <w:trPr>
          <w:trHeight w:val="209"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2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本期增加金额</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58,438,601.32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97,006,958.07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116,920,985.09</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8"/>
              <w:jc w:val="right"/>
              <w:rPr>
                <w:rFonts w:ascii="宋体" w:hAnsi="宋体" w:cs="宋体" w:eastAsia="宋体" w:hint="default"/>
                <w:sz w:val="15"/>
                <w:szCs w:val="15"/>
              </w:rPr>
            </w:pPr>
            <w:r>
              <w:rPr>
                <w:rFonts w:ascii="宋体"/>
                <w:spacing w:val="-2"/>
                <w:sz w:val="15"/>
              </w:rPr>
              <w:t>18,206,131.11</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12,270,766.01</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302,843,441.60</w:t>
            </w:r>
          </w:p>
        </w:tc>
      </w:tr>
      <w:tr>
        <w:trPr>
          <w:trHeight w:val="209"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75"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）计提</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58,438,601.32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97,006,958.07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116,920,985.09</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8"/>
              <w:jc w:val="right"/>
              <w:rPr>
                <w:rFonts w:ascii="宋体" w:hAnsi="宋体" w:cs="宋体" w:eastAsia="宋体" w:hint="default"/>
                <w:sz w:val="15"/>
                <w:szCs w:val="15"/>
              </w:rPr>
            </w:pPr>
            <w:r>
              <w:rPr>
                <w:rFonts w:ascii="宋体"/>
                <w:spacing w:val="-2"/>
                <w:sz w:val="15"/>
              </w:rPr>
              <w:t>18,206,131.11</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12,270,766.01</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302,843,441.60</w:t>
            </w:r>
          </w:p>
        </w:tc>
      </w:tr>
      <w:tr>
        <w:trPr>
          <w:trHeight w:val="211"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32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本期减少金额</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1"/>
              <w:jc w:val="right"/>
              <w:rPr>
                <w:rFonts w:ascii="宋体" w:hAnsi="宋体" w:cs="宋体" w:eastAsia="宋体" w:hint="default"/>
                <w:sz w:val="15"/>
                <w:szCs w:val="15"/>
              </w:rPr>
            </w:pPr>
            <w:r>
              <w:rPr>
                <w:rFonts w:ascii="宋体"/>
                <w:spacing w:val="-2"/>
                <w:sz w:val="15"/>
              </w:rPr>
              <w:t>47,471.30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1"/>
              <w:jc w:val="right"/>
              <w:rPr>
                <w:rFonts w:ascii="宋体" w:hAnsi="宋体" w:cs="宋体" w:eastAsia="宋体" w:hint="default"/>
                <w:sz w:val="15"/>
                <w:szCs w:val="15"/>
              </w:rPr>
            </w:pPr>
            <w:r>
              <w:rPr>
                <w:rFonts w:ascii="宋体"/>
                <w:spacing w:val="-1"/>
                <w:sz w:val="15"/>
              </w:rPr>
              <w:t>115,224.00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1"/>
              <w:jc w:val="right"/>
              <w:rPr>
                <w:rFonts w:ascii="宋体" w:hAnsi="宋体" w:cs="宋体" w:eastAsia="宋体" w:hint="default"/>
                <w:sz w:val="15"/>
                <w:szCs w:val="15"/>
              </w:rPr>
            </w:pPr>
            <w:r>
              <w:rPr>
                <w:rFonts w:ascii="宋体"/>
                <w:spacing w:val="-2"/>
                <w:sz w:val="15"/>
              </w:rPr>
              <w:t>4,710,963.46</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18"/>
              <w:jc w:val="right"/>
              <w:rPr>
                <w:rFonts w:ascii="宋体" w:hAnsi="宋体" w:cs="宋体" w:eastAsia="宋体" w:hint="default"/>
                <w:sz w:val="15"/>
                <w:szCs w:val="15"/>
              </w:rPr>
            </w:pPr>
            <w:r>
              <w:rPr>
                <w:rFonts w:ascii="宋体"/>
                <w:spacing w:val="-2"/>
                <w:sz w:val="15"/>
              </w:rPr>
              <w:t>21,765,443.32</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1"/>
              <w:jc w:val="right"/>
              <w:rPr>
                <w:rFonts w:ascii="宋体" w:hAnsi="宋体" w:cs="宋体" w:eastAsia="宋体" w:hint="default"/>
                <w:sz w:val="15"/>
                <w:szCs w:val="15"/>
              </w:rPr>
            </w:pPr>
            <w:r>
              <w:rPr>
                <w:rFonts w:ascii="宋体"/>
                <w:spacing w:val="-1"/>
                <w:sz w:val="15"/>
              </w:rPr>
              <w:t>457,061.74</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1"/>
              <w:jc w:val="right"/>
              <w:rPr>
                <w:rFonts w:ascii="宋体" w:hAnsi="宋体" w:cs="宋体" w:eastAsia="宋体" w:hint="default"/>
                <w:sz w:val="15"/>
                <w:szCs w:val="15"/>
              </w:rPr>
            </w:pPr>
            <w:r>
              <w:rPr>
                <w:rFonts w:ascii="宋体"/>
                <w:spacing w:val="-2"/>
                <w:sz w:val="15"/>
              </w:rPr>
              <w:t>27,096,163.82</w:t>
            </w:r>
          </w:p>
        </w:tc>
      </w:tr>
      <w:tr>
        <w:trPr>
          <w:trHeight w:val="209"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9"/>
              <w:jc w:val="right"/>
              <w:rPr>
                <w:rFonts w:ascii="宋体" w:hAnsi="宋体" w:cs="宋体" w:eastAsia="宋体" w:hint="default"/>
                <w:sz w:val="15"/>
                <w:szCs w:val="15"/>
              </w:rPr>
            </w:pPr>
            <w:r>
              <w:rPr>
                <w:rFonts w:ascii="宋体" w:hAnsi="宋体" w:cs="宋体" w:eastAsia="宋体" w:hint="default"/>
                <w:spacing w:val="-2"/>
                <w:sz w:val="15"/>
                <w:szCs w:val="15"/>
              </w:rPr>
              <w:t>（</w:t>
            </w:r>
            <w:r>
              <w:rPr>
                <w:rFonts w:ascii="宋体" w:hAnsi="宋体" w:cs="宋体" w:eastAsia="宋体" w:hint="default"/>
                <w:spacing w:val="-2"/>
                <w:sz w:val="15"/>
                <w:szCs w:val="15"/>
              </w:rPr>
              <w:t>1</w:t>
            </w:r>
            <w:r>
              <w:rPr>
                <w:rFonts w:ascii="宋体" w:hAnsi="宋体" w:cs="宋体" w:eastAsia="宋体" w:hint="default"/>
                <w:spacing w:val="-2"/>
                <w:sz w:val="15"/>
                <w:szCs w:val="15"/>
              </w:rPr>
              <w:t>）处置或报废</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47,471.30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106,287.52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4,701,893.69</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8"/>
              <w:jc w:val="right"/>
              <w:rPr>
                <w:rFonts w:ascii="宋体" w:hAnsi="宋体" w:cs="宋体" w:eastAsia="宋体" w:hint="default"/>
                <w:sz w:val="15"/>
                <w:szCs w:val="15"/>
              </w:rPr>
            </w:pPr>
            <w:r>
              <w:rPr>
                <w:rFonts w:ascii="宋体"/>
                <w:spacing w:val="-2"/>
                <w:sz w:val="15"/>
              </w:rPr>
              <w:t>20,833,928.75</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322,595.64</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26,012,176.90</w:t>
            </w:r>
          </w:p>
        </w:tc>
      </w:tr>
      <w:tr>
        <w:trPr>
          <w:trHeight w:val="209"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75"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2</w:t>
            </w:r>
            <w:r>
              <w:rPr>
                <w:rFonts w:ascii="宋体" w:hAnsi="宋体" w:cs="宋体" w:eastAsia="宋体" w:hint="default"/>
                <w:sz w:val="15"/>
                <w:szCs w:val="15"/>
              </w:rPr>
              <w:t>）其他减少</w:t>
            </w:r>
          </w:p>
        </w:tc>
        <w:tc>
          <w:tcPr>
            <w:tcW w:w="1261"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8,936.48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9,069.77</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8"/>
              <w:jc w:val="right"/>
              <w:rPr>
                <w:rFonts w:ascii="宋体" w:hAnsi="宋体" w:cs="宋体" w:eastAsia="宋体" w:hint="default"/>
                <w:sz w:val="15"/>
                <w:szCs w:val="15"/>
              </w:rPr>
            </w:pPr>
            <w:r>
              <w:rPr>
                <w:rFonts w:ascii="宋体"/>
                <w:spacing w:val="-1"/>
                <w:sz w:val="15"/>
              </w:rPr>
              <w:t>931,514.57</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134,466.10</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1,083,986.92</w:t>
            </w:r>
          </w:p>
        </w:tc>
      </w:tr>
      <w:tr>
        <w:trPr>
          <w:trHeight w:val="211"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2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期末余额</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592,251,788.31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346,473,019.79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595,484,953.22</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8"/>
              <w:jc w:val="right"/>
              <w:rPr>
                <w:rFonts w:ascii="宋体" w:hAnsi="宋体" w:cs="宋体" w:eastAsia="宋体" w:hint="default"/>
                <w:sz w:val="15"/>
                <w:szCs w:val="15"/>
              </w:rPr>
            </w:pPr>
            <w:r>
              <w:rPr>
                <w:rFonts w:ascii="宋体"/>
                <w:spacing w:val="-2"/>
                <w:sz w:val="15"/>
              </w:rPr>
              <w:t>90,240,316.74</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38,779,095.42</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1,663,229,173.48</w:t>
            </w:r>
          </w:p>
        </w:tc>
      </w:tr>
      <w:tr>
        <w:trPr>
          <w:trHeight w:val="209"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4" w:right="0"/>
              <w:jc w:val="left"/>
              <w:rPr>
                <w:rFonts w:ascii="宋体" w:hAnsi="宋体" w:cs="宋体" w:eastAsia="宋体" w:hint="default"/>
                <w:sz w:val="15"/>
                <w:szCs w:val="15"/>
              </w:rPr>
            </w:pPr>
            <w:r>
              <w:rPr>
                <w:rFonts w:ascii="宋体" w:hAnsi="宋体" w:cs="宋体" w:eastAsia="宋体" w:hint="default"/>
                <w:sz w:val="15"/>
                <w:szCs w:val="15"/>
              </w:rPr>
              <w:t>三、减值准备</w:t>
            </w:r>
          </w:p>
        </w:tc>
        <w:tc>
          <w:tcPr>
            <w:tcW w:w="1261"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2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期初余额</w:t>
            </w:r>
          </w:p>
        </w:tc>
        <w:tc>
          <w:tcPr>
            <w:tcW w:w="1261"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2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本期增加金额</w:t>
            </w:r>
          </w:p>
        </w:tc>
        <w:tc>
          <w:tcPr>
            <w:tcW w:w="1261"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475"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）计提</w:t>
            </w:r>
          </w:p>
        </w:tc>
        <w:tc>
          <w:tcPr>
            <w:tcW w:w="1261"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475"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2</w:t>
            </w:r>
            <w:r>
              <w:rPr>
                <w:rFonts w:ascii="宋体" w:hAnsi="宋体" w:cs="宋体" w:eastAsia="宋体" w:hint="default"/>
                <w:sz w:val="15"/>
                <w:szCs w:val="15"/>
              </w:rPr>
              <w:t>）其他增加</w:t>
            </w:r>
          </w:p>
        </w:tc>
        <w:tc>
          <w:tcPr>
            <w:tcW w:w="1261"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2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本期减少金额</w:t>
            </w:r>
          </w:p>
        </w:tc>
        <w:tc>
          <w:tcPr>
            <w:tcW w:w="1261"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19"/>
              <w:jc w:val="right"/>
              <w:rPr>
                <w:rFonts w:ascii="宋体" w:hAnsi="宋体" w:cs="宋体" w:eastAsia="宋体" w:hint="default"/>
                <w:sz w:val="15"/>
                <w:szCs w:val="15"/>
              </w:rPr>
            </w:pPr>
            <w:r>
              <w:rPr>
                <w:rFonts w:ascii="宋体" w:hAnsi="宋体" w:cs="宋体" w:eastAsia="宋体" w:hint="default"/>
                <w:spacing w:val="-2"/>
                <w:sz w:val="15"/>
                <w:szCs w:val="15"/>
              </w:rPr>
              <w:t>（</w:t>
            </w:r>
            <w:r>
              <w:rPr>
                <w:rFonts w:ascii="宋体" w:hAnsi="宋体" w:cs="宋体" w:eastAsia="宋体" w:hint="default"/>
                <w:spacing w:val="-2"/>
                <w:sz w:val="15"/>
                <w:szCs w:val="15"/>
              </w:rPr>
              <w:t>1</w:t>
            </w:r>
            <w:r>
              <w:rPr>
                <w:rFonts w:ascii="宋体" w:hAnsi="宋体" w:cs="宋体" w:eastAsia="宋体" w:hint="default"/>
                <w:spacing w:val="-2"/>
                <w:sz w:val="15"/>
                <w:szCs w:val="15"/>
              </w:rPr>
              <w:t>）处置或报废</w:t>
            </w:r>
          </w:p>
        </w:tc>
        <w:tc>
          <w:tcPr>
            <w:tcW w:w="1261"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75"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2</w:t>
            </w:r>
            <w:r>
              <w:rPr>
                <w:rFonts w:ascii="宋体" w:hAnsi="宋体" w:cs="宋体" w:eastAsia="宋体" w:hint="default"/>
                <w:sz w:val="15"/>
                <w:szCs w:val="15"/>
              </w:rPr>
              <w:t>）其他减少</w:t>
            </w:r>
          </w:p>
        </w:tc>
        <w:tc>
          <w:tcPr>
            <w:tcW w:w="1261"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2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期末余额</w:t>
            </w:r>
          </w:p>
        </w:tc>
        <w:tc>
          <w:tcPr>
            <w:tcW w:w="1261"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24" w:right="0"/>
              <w:jc w:val="left"/>
              <w:rPr>
                <w:rFonts w:ascii="宋体" w:hAnsi="宋体" w:cs="宋体" w:eastAsia="宋体" w:hint="default"/>
                <w:sz w:val="15"/>
                <w:szCs w:val="15"/>
              </w:rPr>
            </w:pPr>
            <w:r>
              <w:rPr>
                <w:rFonts w:ascii="宋体" w:hAnsi="宋体" w:cs="宋体" w:eastAsia="宋体" w:hint="default"/>
                <w:sz w:val="15"/>
                <w:szCs w:val="15"/>
              </w:rPr>
              <w:t>四、账面价值</w:t>
            </w:r>
          </w:p>
        </w:tc>
        <w:tc>
          <w:tcPr>
            <w:tcW w:w="1261"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2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期末账面价值</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2"/>
                <w:sz w:val="15"/>
              </w:rPr>
              <w:t>4,295,769,627.41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2,603,087,718.28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1,487,666,675.55</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9"/>
              <w:jc w:val="right"/>
              <w:rPr>
                <w:rFonts w:ascii="宋体" w:hAnsi="宋体" w:cs="宋体" w:eastAsia="宋体" w:hint="default"/>
                <w:sz w:val="15"/>
                <w:szCs w:val="15"/>
              </w:rPr>
            </w:pPr>
            <w:r>
              <w:rPr>
                <w:rFonts w:ascii="宋体"/>
                <w:spacing w:val="-1"/>
                <w:sz w:val="15"/>
              </w:rPr>
              <w:t>231,966,337.45</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58,359,771.94</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8,676,850,130.63</w:t>
            </w:r>
          </w:p>
        </w:tc>
      </w:tr>
      <w:tr>
        <w:trPr>
          <w:trHeight w:val="209"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32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期初账面价值</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2"/>
                <w:sz w:val="15"/>
              </w:rPr>
              <w:t>4,348,587,272.55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2,272,965,864.02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1,071,715,931.90</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9"/>
              <w:jc w:val="right"/>
              <w:rPr>
                <w:rFonts w:ascii="宋体" w:hAnsi="宋体" w:cs="宋体" w:eastAsia="宋体" w:hint="default"/>
                <w:sz w:val="15"/>
                <w:szCs w:val="15"/>
              </w:rPr>
            </w:pPr>
            <w:r>
              <w:rPr>
                <w:rFonts w:ascii="宋体"/>
                <w:spacing w:val="-1"/>
                <w:sz w:val="15"/>
              </w:rPr>
              <w:t>259,162,825.24</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43,631,644.15</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7,996,063,537.86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1258" w:right="0"/>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spacing w:line="240" w:lineRule="auto" w:before="58"/>
        <w:ind w:left="1258" w:right="0"/>
        <w:jc w:val="left"/>
      </w:pPr>
      <w:r>
        <w:rPr/>
        <w:t>□适用</w:t>
      </w:r>
      <w:r>
        <w:rPr>
          <w:spacing w:val="-1"/>
        </w:rPr>
        <w:t> </w:t>
      </w:r>
      <w:r>
        <w:rPr/>
        <w:t>√不适用</w:t>
      </w:r>
    </w:p>
    <w:p>
      <w:pPr>
        <w:pStyle w:val="Heading2"/>
        <w:spacing w:line="240" w:lineRule="auto" w:before="56"/>
        <w:ind w:left="1258" w:right="0"/>
        <w:jc w:val="left"/>
        <w:rPr>
          <w:b w:val="0"/>
          <w:bCs w:val="0"/>
        </w:rPr>
      </w:pPr>
      <w:r>
        <w:rPr>
          <w:rFonts w:ascii="宋体" w:hAnsi="宋体" w:cs="宋体" w:eastAsia="宋体" w:hint="default"/>
        </w:rPr>
        <w:t>(3).</w:t>
      </w:r>
      <w:r>
        <w:rPr>
          <w:rFonts w:ascii="宋体" w:hAnsi="宋体" w:cs="宋体" w:eastAsia="宋体" w:hint="default"/>
          <w:spacing w:val="57"/>
        </w:rPr>
        <w:t> </w:t>
      </w:r>
      <w:r>
        <w:rPr/>
        <w:t>通过融资租赁租入的固定资产情况</w:t>
      </w:r>
      <w:r>
        <w:rPr>
          <w:b w:val="0"/>
          <w:bCs w:val="0"/>
        </w:rPr>
      </w:r>
    </w:p>
    <w:p>
      <w:pPr>
        <w:pStyle w:val="BodyText"/>
        <w:spacing w:line="240" w:lineRule="auto" w:before="59"/>
        <w:ind w:left="1258" w:right="0"/>
        <w:jc w:val="left"/>
      </w:pPr>
      <w:r>
        <w:rPr/>
        <w:t>□适用</w:t>
      </w:r>
      <w:r>
        <w:rPr>
          <w:spacing w:val="-1"/>
        </w:rPr>
        <w:t> </w:t>
      </w:r>
      <w:r>
        <w:rPr/>
        <w:t>√不适用</w:t>
      </w:r>
    </w:p>
    <w:p>
      <w:pPr>
        <w:spacing w:after="0" w:line="240" w:lineRule="auto"/>
        <w:jc w:val="left"/>
        <w:sectPr>
          <w:type w:val="continuous"/>
          <w:pgSz w:w="11910" w:h="16840"/>
          <w:pgMar w:top="1120" w:bottom="1380" w:left="540" w:right="78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ind w:right="-17"/>
        <w:jc w:val="left"/>
        <w:rPr>
          <w:b w:val="0"/>
          <w:bCs w:val="0"/>
        </w:rPr>
      </w:pPr>
      <w:r>
        <w:rPr>
          <w:rFonts w:ascii="宋体" w:hAnsi="宋体" w:cs="宋体" w:eastAsia="宋体" w:hint="default"/>
        </w:rPr>
        <w:t>(4).</w:t>
      </w:r>
      <w:r>
        <w:rPr>
          <w:rFonts w:ascii="宋体" w:hAnsi="宋体" w:cs="宋体" w:eastAsia="宋体" w:hint="default"/>
          <w:spacing w:val="56"/>
        </w:rPr>
        <w:t> </w:t>
      </w:r>
      <w:r>
        <w:rPr/>
        <w:t>通过经营租赁租出的固定资产</w:t>
      </w:r>
      <w:r>
        <w:rPr>
          <w:b w:val="0"/>
          <w:bCs w:val="0"/>
        </w:rPr>
      </w:r>
    </w:p>
    <w:p>
      <w:pPr>
        <w:pStyle w:val="BodyText"/>
        <w:spacing w:line="240" w:lineRule="auto" w:before="58"/>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47" w:space="2974"/>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53"/>
        <w:gridCol w:w="4897"/>
      </w:tblGrid>
      <w:tr>
        <w:trPr>
          <w:trHeight w:val="281"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码头及辅助设施</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12,709,703.39</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6,979,420.18</w:t>
            </w:r>
          </w:p>
        </w:tc>
      </w:tr>
      <w:tr>
        <w:trPr>
          <w:trHeight w:val="281"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1,274,635.54</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2,448,765.85</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办公设备及其他设备</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23,738.63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(5).</w:t>
      </w:r>
      <w:r>
        <w:rPr>
          <w:rFonts w:ascii="宋体" w:hAnsi="宋体" w:cs="宋体" w:eastAsia="宋体" w:hint="default"/>
          <w:spacing w:val="57"/>
        </w:rPr>
        <w:t> </w:t>
      </w:r>
      <w:r>
        <w:rPr/>
        <w:t>未办妥产权证书的固定资产情况</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59" w:space="276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8"/>
        <w:gridCol w:w="3044"/>
        <w:gridCol w:w="3058"/>
      </w:tblGrid>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59" w:right="0"/>
              <w:jc w:val="left"/>
              <w:rPr>
                <w:rFonts w:ascii="宋体" w:hAnsi="宋体" w:cs="宋体" w:eastAsia="宋体" w:hint="default"/>
                <w:sz w:val="21"/>
                <w:szCs w:val="21"/>
              </w:rPr>
            </w:pPr>
            <w:r>
              <w:rPr>
                <w:rFonts w:ascii="宋体"/>
                <w:sz w:val="21"/>
              </w:rPr>
              <w:t>409,714,843.60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19</w:t>
      </w:r>
      <w:r>
        <w:rPr/>
        <w:t>、</w:t>
      </w:r>
      <w:r>
        <w:rPr>
          <w:spacing w:val="-25"/>
        </w:rPr>
        <w:t> </w:t>
      </w:r>
      <w:r>
        <w:rPr/>
        <w:t>在建工程</w:t>
      </w:r>
      <w:r>
        <w:rPr>
          <w:b w:val="0"/>
          <w:bCs w:val="0"/>
        </w:rPr>
      </w:r>
    </w:p>
    <w:p>
      <w:pPr>
        <w:spacing w:line="290" w:lineRule="auto" w:before="56"/>
        <w:ind w:left="218" w:right="-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313"/>
        <w:gridCol w:w="1637"/>
        <w:gridCol w:w="638"/>
        <w:gridCol w:w="1606"/>
        <w:gridCol w:w="1531"/>
        <w:gridCol w:w="639"/>
        <w:gridCol w:w="1531"/>
      </w:tblGrid>
      <w:tr>
        <w:trPr>
          <w:trHeight w:val="286" w:hRule="exact"/>
        </w:trPr>
        <w:tc>
          <w:tcPr>
            <w:tcW w:w="1313"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8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0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833" w:hRule="exact"/>
        </w:trPr>
        <w:tc>
          <w:tcPr>
            <w:tcW w:w="1313" w:type="dxa"/>
            <w:vMerge/>
            <w:tcBorders>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40" w:lineRule="auto" w:before="133"/>
              <w:ind w:left="2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2"/>
              <w:ind w:left="2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6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40" w:lineRule="auto" w:before="133"/>
              <w:ind w:left="2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2"/>
              <w:ind w:left="44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833" w:hRule="exact"/>
        </w:trPr>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锦州港西部</w:t>
            </w:r>
          </w:p>
          <w:p>
            <w:pPr>
              <w:pStyle w:val="TableParagraph"/>
              <w:spacing w:line="272" w:lineRule="exact" w:before="27"/>
              <w:ind w:left="24" w:right="218"/>
              <w:jc w:val="left"/>
              <w:rPr>
                <w:rFonts w:ascii="宋体" w:hAnsi="宋体" w:cs="宋体" w:eastAsia="宋体" w:hint="default"/>
                <w:sz w:val="21"/>
                <w:szCs w:val="21"/>
              </w:rPr>
            </w:pPr>
            <w:r>
              <w:rPr>
                <w:rFonts w:ascii="宋体" w:hAnsi="宋体" w:cs="宋体" w:eastAsia="宋体" w:hint="default"/>
                <w:sz w:val="21"/>
                <w:szCs w:val="21"/>
              </w:rPr>
              <w:t>海域防波堤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工程</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
              <w:jc w:val="right"/>
              <w:rPr>
                <w:rFonts w:ascii="宋体" w:hAnsi="宋体" w:cs="宋体" w:eastAsia="宋体" w:hint="default"/>
                <w:sz w:val="21"/>
                <w:szCs w:val="21"/>
              </w:rPr>
            </w:pPr>
            <w:r>
              <w:rPr>
                <w:rFonts w:ascii="宋体"/>
                <w:spacing w:val="-1"/>
                <w:sz w:val="21"/>
              </w:rPr>
              <w:t>136,582,515.52</w:t>
            </w:r>
          </w:p>
        </w:tc>
        <w:tc>
          <w:tcPr>
            <w:tcW w:w="638"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136,582,515.52</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45,210,558.36</w:t>
            </w:r>
          </w:p>
        </w:tc>
        <w:tc>
          <w:tcPr>
            <w:tcW w:w="63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45,210,558.36</w:t>
            </w:r>
          </w:p>
        </w:tc>
      </w:tr>
      <w:tr>
        <w:trPr>
          <w:trHeight w:val="830" w:hRule="exact"/>
        </w:trPr>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锦州港油品</w:t>
            </w:r>
          </w:p>
          <w:p>
            <w:pPr>
              <w:pStyle w:val="TableParagraph"/>
              <w:spacing w:line="240" w:lineRule="auto"/>
              <w:ind w:left="24" w:right="218"/>
              <w:jc w:val="left"/>
              <w:rPr>
                <w:rFonts w:ascii="宋体" w:hAnsi="宋体" w:cs="宋体" w:eastAsia="宋体" w:hint="default"/>
                <w:sz w:val="21"/>
                <w:szCs w:val="21"/>
              </w:rPr>
            </w:pPr>
            <w:r>
              <w:rPr>
                <w:rFonts w:ascii="宋体" w:hAnsi="宋体" w:cs="宋体" w:eastAsia="宋体" w:hint="default"/>
                <w:sz w:val="21"/>
                <w:szCs w:val="21"/>
              </w:rPr>
              <w:t>罐区二期工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程</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
              <w:jc w:val="right"/>
              <w:rPr>
                <w:rFonts w:ascii="宋体" w:hAnsi="宋体" w:cs="宋体" w:eastAsia="宋体" w:hint="default"/>
                <w:sz w:val="21"/>
                <w:szCs w:val="21"/>
              </w:rPr>
            </w:pPr>
            <w:r>
              <w:rPr>
                <w:rFonts w:ascii="宋体"/>
                <w:spacing w:val="-1"/>
                <w:sz w:val="21"/>
              </w:rPr>
              <w:t>38,085,418.73</w:t>
            </w:r>
          </w:p>
        </w:tc>
        <w:tc>
          <w:tcPr>
            <w:tcW w:w="638"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38,085,418.73</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14,164,073.71</w:t>
            </w:r>
          </w:p>
        </w:tc>
        <w:tc>
          <w:tcPr>
            <w:tcW w:w="63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14,164,073.71</w:t>
            </w:r>
          </w:p>
        </w:tc>
      </w:tr>
      <w:tr>
        <w:trPr>
          <w:trHeight w:val="562" w:hRule="exact"/>
        </w:trPr>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新建围堰工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程</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3"/>
              <w:jc w:val="right"/>
              <w:rPr>
                <w:rFonts w:ascii="宋体" w:hAnsi="宋体" w:cs="宋体" w:eastAsia="宋体" w:hint="default"/>
                <w:sz w:val="21"/>
                <w:szCs w:val="21"/>
              </w:rPr>
            </w:pPr>
            <w:r>
              <w:rPr>
                <w:rFonts w:ascii="宋体"/>
                <w:spacing w:val="-1"/>
                <w:sz w:val="21"/>
              </w:rPr>
              <w:t>18,229,527.37</w:t>
            </w:r>
          </w:p>
        </w:tc>
        <w:tc>
          <w:tcPr>
            <w:tcW w:w="638"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1"/>
              <w:jc w:val="right"/>
              <w:rPr>
                <w:rFonts w:ascii="宋体" w:hAnsi="宋体" w:cs="宋体" w:eastAsia="宋体" w:hint="default"/>
                <w:sz w:val="21"/>
                <w:szCs w:val="21"/>
              </w:rPr>
            </w:pPr>
            <w:r>
              <w:rPr>
                <w:rFonts w:ascii="宋体"/>
                <w:spacing w:val="-1"/>
                <w:sz w:val="21"/>
              </w:rPr>
              <w:t>18,229,527.37</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17,886,761.02</w:t>
            </w:r>
          </w:p>
        </w:tc>
        <w:tc>
          <w:tcPr>
            <w:tcW w:w="63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17,886,761.02</w:t>
            </w:r>
          </w:p>
        </w:tc>
      </w:tr>
      <w:tr>
        <w:trPr>
          <w:trHeight w:val="286" w:hRule="exact"/>
        </w:trPr>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五港池</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
              <w:jc w:val="right"/>
              <w:rPr>
                <w:rFonts w:ascii="宋体" w:hAnsi="宋体" w:cs="宋体" w:eastAsia="宋体" w:hint="default"/>
                <w:sz w:val="21"/>
                <w:szCs w:val="21"/>
              </w:rPr>
            </w:pPr>
            <w:r>
              <w:rPr>
                <w:rFonts w:ascii="宋体"/>
                <w:spacing w:val="-1"/>
                <w:sz w:val="21"/>
              </w:rPr>
              <w:t>7,698,996.24</w:t>
            </w:r>
          </w:p>
        </w:tc>
        <w:tc>
          <w:tcPr>
            <w:tcW w:w="638"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7,698,996.24</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6" w:right="0"/>
              <w:jc w:val="center"/>
              <w:rPr>
                <w:rFonts w:ascii="宋体" w:hAnsi="宋体" w:cs="宋体" w:eastAsia="宋体" w:hint="default"/>
                <w:sz w:val="21"/>
                <w:szCs w:val="21"/>
              </w:rPr>
            </w:pPr>
            <w:r>
              <w:rPr>
                <w:rFonts w:ascii="宋体"/>
                <w:sz w:val="21"/>
              </w:rPr>
              <w:t>7,554,233.47</w:t>
            </w:r>
          </w:p>
        </w:tc>
        <w:tc>
          <w:tcPr>
            <w:tcW w:w="63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7,554,233.47</w:t>
            </w:r>
          </w:p>
        </w:tc>
      </w:tr>
      <w:tr>
        <w:trPr>
          <w:trHeight w:val="288" w:hRule="exact"/>
        </w:trPr>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西围堰</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3"/>
              <w:jc w:val="right"/>
              <w:rPr>
                <w:rFonts w:ascii="宋体" w:hAnsi="宋体" w:cs="宋体" w:eastAsia="宋体" w:hint="default"/>
                <w:sz w:val="21"/>
                <w:szCs w:val="21"/>
              </w:rPr>
            </w:pPr>
            <w:r>
              <w:rPr>
                <w:rFonts w:ascii="宋体"/>
                <w:spacing w:val="-1"/>
                <w:sz w:val="21"/>
              </w:rPr>
              <w:t>4,381,942.33</w:t>
            </w:r>
          </w:p>
        </w:tc>
        <w:tc>
          <w:tcPr>
            <w:tcW w:w="638"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1"/>
              <w:jc w:val="right"/>
              <w:rPr>
                <w:rFonts w:ascii="宋体" w:hAnsi="宋体" w:cs="宋体" w:eastAsia="宋体" w:hint="default"/>
                <w:sz w:val="21"/>
                <w:szCs w:val="21"/>
              </w:rPr>
            </w:pPr>
            <w:r>
              <w:rPr>
                <w:rFonts w:ascii="宋体"/>
                <w:spacing w:val="-1"/>
                <w:sz w:val="21"/>
              </w:rPr>
              <w:t>4,381,942.33</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6" w:right="0"/>
              <w:jc w:val="center"/>
              <w:rPr>
                <w:rFonts w:ascii="宋体" w:hAnsi="宋体" w:cs="宋体" w:eastAsia="宋体" w:hint="default"/>
                <w:sz w:val="21"/>
                <w:szCs w:val="21"/>
              </w:rPr>
            </w:pPr>
            <w:r>
              <w:rPr>
                <w:rFonts w:ascii="宋体"/>
                <w:sz w:val="21"/>
              </w:rPr>
              <w:t>4,299,549.50</w:t>
            </w:r>
          </w:p>
        </w:tc>
        <w:tc>
          <w:tcPr>
            <w:tcW w:w="63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4,299,549.50</w:t>
            </w:r>
          </w:p>
        </w:tc>
      </w:tr>
      <w:tr>
        <w:trPr>
          <w:trHeight w:val="833" w:hRule="exact"/>
        </w:trPr>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锦州港四港</w:t>
            </w:r>
          </w:p>
          <w:p>
            <w:pPr>
              <w:pStyle w:val="TableParagraph"/>
              <w:spacing w:line="272" w:lineRule="exact" w:before="27"/>
              <w:ind w:left="24" w:right="218"/>
              <w:jc w:val="left"/>
              <w:rPr>
                <w:rFonts w:ascii="宋体" w:hAnsi="宋体" w:cs="宋体" w:eastAsia="宋体" w:hint="default"/>
                <w:sz w:val="21"/>
                <w:szCs w:val="21"/>
              </w:rPr>
            </w:pPr>
            <w:r>
              <w:rPr>
                <w:rFonts w:ascii="宋体" w:hAnsi="宋体" w:cs="宋体" w:eastAsia="宋体" w:hint="default"/>
                <w:sz w:val="21"/>
                <w:szCs w:val="21"/>
              </w:rPr>
              <w:t>池南围堰工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程</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
              <w:jc w:val="right"/>
              <w:rPr>
                <w:rFonts w:ascii="宋体" w:hAnsi="宋体" w:cs="宋体" w:eastAsia="宋体" w:hint="default"/>
                <w:sz w:val="21"/>
                <w:szCs w:val="21"/>
              </w:rPr>
            </w:pPr>
            <w:r>
              <w:rPr>
                <w:rFonts w:ascii="宋体"/>
                <w:spacing w:val="-1"/>
                <w:sz w:val="21"/>
              </w:rPr>
              <w:t>1,374,813.15</w:t>
            </w:r>
          </w:p>
        </w:tc>
        <w:tc>
          <w:tcPr>
            <w:tcW w:w="638"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1,374,813.15</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6" w:right="0"/>
              <w:jc w:val="center"/>
              <w:rPr>
                <w:rFonts w:ascii="宋体" w:hAnsi="宋体" w:cs="宋体" w:eastAsia="宋体" w:hint="default"/>
                <w:sz w:val="21"/>
                <w:szCs w:val="21"/>
              </w:rPr>
            </w:pPr>
            <w:r>
              <w:rPr>
                <w:rFonts w:ascii="宋体"/>
                <w:sz w:val="21"/>
              </w:rPr>
              <w:t>1,009,272.00</w:t>
            </w:r>
          </w:p>
        </w:tc>
        <w:tc>
          <w:tcPr>
            <w:tcW w:w="63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1,009,272.00</w:t>
            </w:r>
          </w:p>
        </w:tc>
      </w:tr>
      <w:tr>
        <w:trPr>
          <w:trHeight w:val="559" w:hRule="exact"/>
        </w:trPr>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24" w:right="23"/>
              <w:jc w:val="left"/>
              <w:rPr>
                <w:rFonts w:ascii="宋体" w:hAnsi="宋体" w:cs="宋体" w:eastAsia="宋体" w:hint="default"/>
                <w:sz w:val="21"/>
                <w:szCs w:val="21"/>
              </w:rPr>
            </w:pPr>
            <w:r>
              <w:rPr>
                <w:rFonts w:ascii="宋体" w:hAnsi="宋体" w:cs="宋体" w:eastAsia="宋体" w:hint="default"/>
                <w:sz w:val="21"/>
                <w:szCs w:val="21"/>
              </w:rPr>
              <w:t>五港池</w:t>
            </w:r>
            <w:r>
              <w:rPr>
                <w:rFonts w:ascii="宋体" w:hAnsi="宋体" w:cs="宋体" w:eastAsia="宋体" w:hint="default"/>
                <w:spacing w:val="-59"/>
                <w:sz w:val="21"/>
                <w:szCs w:val="21"/>
              </w:rPr>
              <w:t> </w:t>
            </w:r>
            <w:r>
              <w:rPr>
                <w:rFonts w:ascii="Calibri" w:hAnsi="Calibri" w:cs="Calibri" w:eastAsia="Calibri" w:hint="default"/>
                <w:sz w:val="21"/>
                <w:szCs w:val="21"/>
              </w:rPr>
              <w:t>5</w:t>
            </w:r>
            <w:r>
              <w:rPr>
                <w:rFonts w:ascii="Calibri" w:hAnsi="Calibri" w:cs="Calibri" w:eastAsia="Calibri" w:hint="default"/>
                <w:spacing w:val="2"/>
                <w:sz w:val="21"/>
                <w:szCs w:val="21"/>
              </w:rPr>
              <w:t> </w:t>
            </w:r>
            <w:r>
              <w:rPr>
                <w:rFonts w:ascii="宋体" w:hAnsi="宋体" w:cs="宋体" w:eastAsia="宋体" w:hint="default"/>
                <w:spacing w:val="-3"/>
                <w:sz w:val="21"/>
                <w:szCs w:val="21"/>
              </w:rPr>
              <w:t>万吨</w:t>
            </w:r>
            <w:r>
              <w:rPr>
                <w:rFonts w:ascii="宋体" w:hAnsi="宋体" w:cs="宋体" w:eastAsia="宋体" w:hint="default"/>
                <w:spacing w:val="-3"/>
                <w:w w:val="100"/>
                <w:sz w:val="21"/>
                <w:szCs w:val="21"/>
              </w:rPr>
              <w:t> </w:t>
            </w:r>
            <w:r>
              <w:rPr>
                <w:rFonts w:ascii="宋体" w:hAnsi="宋体" w:cs="宋体" w:eastAsia="宋体" w:hint="default"/>
                <w:sz w:val="21"/>
                <w:szCs w:val="21"/>
              </w:rPr>
              <w:t>油泊位</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
              <w:jc w:val="right"/>
              <w:rPr>
                <w:rFonts w:ascii="宋体" w:hAnsi="宋体" w:cs="宋体" w:eastAsia="宋体" w:hint="default"/>
                <w:sz w:val="21"/>
                <w:szCs w:val="21"/>
              </w:rPr>
            </w:pPr>
            <w:r>
              <w:rPr>
                <w:rFonts w:ascii="宋体"/>
                <w:spacing w:val="-1"/>
                <w:sz w:val="21"/>
              </w:rPr>
              <w:t>1,326,784.84</w:t>
            </w:r>
          </w:p>
        </w:tc>
        <w:tc>
          <w:tcPr>
            <w:tcW w:w="638"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1,326,784.84</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6" w:right="0"/>
              <w:jc w:val="center"/>
              <w:rPr>
                <w:rFonts w:ascii="宋体" w:hAnsi="宋体" w:cs="宋体" w:eastAsia="宋体" w:hint="default"/>
                <w:sz w:val="21"/>
                <w:szCs w:val="21"/>
              </w:rPr>
            </w:pPr>
            <w:r>
              <w:rPr>
                <w:rFonts w:ascii="宋体"/>
                <w:sz w:val="21"/>
              </w:rPr>
              <w:t>1,297,967.36</w:t>
            </w:r>
          </w:p>
        </w:tc>
        <w:tc>
          <w:tcPr>
            <w:tcW w:w="63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1,297,967.36</w:t>
            </w:r>
          </w:p>
        </w:tc>
      </w:tr>
      <w:tr>
        <w:trPr>
          <w:trHeight w:val="833" w:hRule="exact"/>
        </w:trPr>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锦州港油品</w:t>
            </w:r>
          </w:p>
          <w:p>
            <w:pPr>
              <w:pStyle w:val="TableParagraph"/>
              <w:spacing w:line="272" w:lineRule="exact" w:before="27"/>
              <w:ind w:left="24" w:right="19"/>
              <w:jc w:val="left"/>
              <w:rPr>
                <w:rFonts w:ascii="宋体" w:hAnsi="宋体" w:cs="宋体" w:eastAsia="宋体" w:hint="default"/>
                <w:sz w:val="21"/>
                <w:szCs w:val="21"/>
              </w:rPr>
            </w:pPr>
            <w:r>
              <w:rPr>
                <w:rFonts w:ascii="宋体" w:hAnsi="宋体" w:cs="宋体" w:eastAsia="宋体" w:hint="default"/>
                <w:spacing w:val="-3"/>
                <w:sz w:val="21"/>
                <w:szCs w:val="21"/>
              </w:rPr>
              <w:t>罐区工程（一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期）</w:t>
            </w:r>
          </w:p>
        </w:tc>
        <w:tc>
          <w:tcPr>
            <w:tcW w:w="1637" w:type="dxa"/>
            <w:tcBorders>
              <w:top w:val="single" w:sz="6" w:space="0" w:color="000000"/>
              <w:left w:val="single" w:sz="6" w:space="0" w:color="000000"/>
              <w:bottom w:val="single" w:sz="6" w:space="0" w:color="000000"/>
              <w:right w:val="single" w:sz="6" w:space="0" w:color="000000"/>
            </w:tcBorders>
          </w:tcPr>
          <w:p>
            <w:pPr/>
          </w:p>
        </w:tc>
        <w:tc>
          <w:tcPr>
            <w:tcW w:w="638"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734,102,720.75</w:t>
            </w:r>
          </w:p>
        </w:tc>
        <w:tc>
          <w:tcPr>
            <w:tcW w:w="63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734,102,720.75</w:t>
            </w:r>
          </w:p>
        </w:tc>
      </w:tr>
      <w:tr>
        <w:trPr>
          <w:trHeight w:val="560" w:hRule="exact"/>
        </w:trPr>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其它单列工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程</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
              <w:jc w:val="right"/>
              <w:rPr>
                <w:rFonts w:ascii="宋体" w:hAnsi="宋体" w:cs="宋体" w:eastAsia="宋体" w:hint="default"/>
                <w:sz w:val="21"/>
                <w:szCs w:val="21"/>
              </w:rPr>
            </w:pPr>
            <w:r>
              <w:rPr>
                <w:rFonts w:ascii="宋体"/>
                <w:spacing w:val="-1"/>
                <w:sz w:val="21"/>
              </w:rPr>
              <w:t>100,313,853.76</w:t>
            </w:r>
          </w:p>
        </w:tc>
        <w:tc>
          <w:tcPr>
            <w:tcW w:w="638"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100,313,853.76</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119,848,817.27</w:t>
            </w:r>
          </w:p>
        </w:tc>
        <w:tc>
          <w:tcPr>
            <w:tcW w:w="63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119,848,817.27</w:t>
            </w:r>
          </w:p>
        </w:tc>
      </w:tr>
      <w:tr>
        <w:trPr>
          <w:trHeight w:val="288" w:hRule="exact"/>
        </w:trPr>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
              <w:jc w:val="right"/>
              <w:rPr>
                <w:rFonts w:ascii="宋体" w:hAnsi="宋体" w:cs="宋体" w:eastAsia="宋体" w:hint="default"/>
                <w:sz w:val="21"/>
                <w:szCs w:val="21"/>
              </w:rPr>
            </w:pPr>
            <w:r>
              <w:rPr>
                <w:rFonts w:ascii="宋体"/>
                <w:spacing w:val="-1"/>
                <w:sz w:val="21"/>
              </w:rPr>
              <w:t>307,993,851.94</w:t>
            </w:r>
          </w:p>
        </w:tc>
        <w:tc>
          <w:tcPr>
            <w:tcW w:w="638"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307,993,851.94</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945,373,953.44</w:t>
            </w:r>
          </w:p>
        </w:tc>
        <w:tc>
          <w:tcPr>
            <w:tcW w:w="63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945,373,953.44</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260" w:right="660"/>
        </w:sectPr>
      </w:pPr>
    </w:p>
    <w:p>
      <w:pPr>
        <w:pStyle w:val="Heading2"/>
        <w:spacing w:line="240" w:lineRule="auto" w:before="175"/>
        <w:ind w:left="1538" w:right="-18"/>
        <w:jc w:val="left"/>
        <w:rPr>
          <w:b w:val="0"/>
          <w:bCs w:val="0"/>
        </w:rPr>
      </w:pPr>
      <w:r>
        <w:rPr>
          <w:rFonts w:ascii="宋体" w:hAnsi="宋体" w:cs="宋体" w:eastAsia="宋体" w:hint="default"/>
        </w:rPr>
        <w:t>(2).</w:t>
      </w:r>
      <w:r>
        <w:rPr>
          <w:rFonts w:ascii="宋体" w:hAnsi="宋体" w:cs="宋体" w:eastAsia="宋体" w:hint="default"/>
          <w:spacing w:val="57"/>
        </w:rPr>
        <w:t> </w:t>
      </w:r>
      <w:r>
        <w:rPr/>
        <w:t>重要在建工程项目本期变动情况</w:t>
      </w:r>
      <w:r>
        <w:rPr>
          <w:b w:val="0"/>
          <w:bCs w:val="0"/>
        </w:rPr>
      </w:r>
    </w:p>
    <w:p>
      <w:pPr>
        <w:pStyle w:val="BodyText"/>
        <w:spacing w:line="240" w:lineRule="auto" w:before="56"/>
        <w:ind w:left="15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2589" w:val="left" w:leader="none"/>
        </w:tabs>
        <w:spacing w:line="240" w:lineRule="auto"/>
        <w:ind w:left="1538" w:right="0"/>
        <w:jc w:val="left"/>
      </w:pPr>
      <w:r>
        <w:rPr>
          <w:spacing w:val="-1"/>
        </w:rPr>
        <w:t>单位：元</w:t>
        <w:tab/>
      </w:r>
      <w:r>
        <w:rPr>
          <w:spacing w:val="-2"/>
        </w:rPr>
        <w:t>币种：人民币</w:t>
      </w:r>
    </w:p>
    <w:p>
      <w:pPr>
        <w:spacing w:after="0" w:line="240" w:lineRule="auto"/>
        <w:jc w:val="left"/>
        <w:sectPr>
          <w:type w:val="continuous"/>
          <w:pgSz w:w="11910" w:h="16840"/>
          <w:pgMar w:top="1120" w:bottom="1380" w:left="260" w:right="660"/>
          <w:cols w:num="2" w:equalWidth="0">
            <w:col w:w="5079" w:space="1443"/>
            <w:col w:w="4468"/>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27"/>
        <w:gridCol w:w="1208"/>
        <w:gridCol w:w="974"/>
        <w:gridCol w:w="1045"/>
        <w:gridCol w:w="1046"/>
        <w:gridCol w:w="972"/>
        <w:gridCol w:w="975"/>
        <w:gridCol w:w="451"/>
        <w:gridCol w:w="701"/>
        <w:gridCol w:w="910"/>
        <w:gridCol w:w="842"/>
        <w:gridCol w:w="636"/>
        <w:gridCol w:w="557"/>
      </w:tblGrid>
      <w:tr>
        <w:trPr>
          <w:trHeight w:val="859"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168" w:lineRule="exact" w:before="90"/>
              <w:ind w:left="23" w:right="127"/>
              <w:jc w:val="left"/>
              <w:rPr>
                <w:rFonts w:ascii="宋体" w:hAnsi="宋体" w:cs="宋体" w:eastAsia="宋体" w:hint="default"/>
                <w:sz w:val="13"/>
                <w:szCs w:val="13"/>
              </w:rPr>
            </w:pPr>
            <w:r>
              <w:rPr>
                <w:rFonts w:ascii="宋体" w:hAnsi="宋体" w:cs="宋体" w:eastAsia="宋体" w:hint="default"/>
                <w:sz w:val="13"/>
                <w:szCs w:val="13"/>
              </w:rPr>
              <w:t>项目</w:t>
            </w:r>
            <w:r>
              <w:rPr>
                <w:rFonts w:ascii="宋体" w:hAnsi="宋体" w:cs="宋体" w:eastAsia="宋体" w:hint="default"/>
                <w:w w:val="99"/>
                <w:sz w:val="13"/>
                <w:szCs w:val="13"/>
              </w:rPr>
              <w:t> </w:t>
            </w:r>
            <w:r>
              <w:rPr>
                <w:rFonts w:ascii="宋体" w:hAnsi="宋体" w:cs="宋体" w:eastAsia="宋体" w:hint="default"/>
                <w:sz w:val="13"/>
                <w:szCs w:val="13"/>
              </w:rPr>
              <w:t>名称</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348" w:right="0"/>
              <w:jc w:val="left"/>
              <w:rPr>
                <w:rFonts w:ascii="宋体" w:hAnsi="宋体" w:cs="宋体" w:eastAsia="宋体" w:hint="default"/>
                <w:sz w:val="13"/>
                <w:szCs w:val="13"/>
              </w:rPr>
            </w:pPr>
            <w:r>
              <w:rPr>
                <w:rFonts w:ascii="宋体" w:hAnsi="宋体" w:cs="宋体" w:eastAsia="宋体" w:hint="default"/>
                <w:sz w:val="13"/>
                <w:szCs w:val="13"/>
              </w:rPr>
              <w:t>预算数</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168" w:lineRule="exact" w:before="90"/>
              <w:ind w:left="297" w:right="401"/>
              <w:jc w:val="left"/>
              <w:rPr>
                <w:rFonts w:ascii="宋体" w:hAnsi="宋体" w:cs="宋体" w:eastAsia="宋体" w:hint="default"/>
                <w:sz w:val="13"/>
                <w:szCs w:val="13"/>
              </w:rPr>
            </w:pPr>
            <w:r>
              <w:rPr>
                <w:rFonts w:ascii="宋体" w:hAnsi="宋体" w:cs="宋体" w:eastAsia="宋体" w:hint="default"/>
                <w:sz w:val="13"/>
                <w:szCs w:val="13"/>
              </w:rPr>
              <w:t>期初</w:t>
            </w:r>
            <w:r>
              <w:rPr>
                <w:rFonts w:ascii="宋体" w:hAnsi="宋体" w:cs="宋体" w:eastAsia="宋体" w:hint="default"/>
                <w:w w:val="99"/>
                <w:sz w:val="13"/>
                <w:szCs w:val="13"/>
              </w:rPr>
              <w:t> </w:t>
            </w:r>
            <w:r>
              <w:rPr>
                <w:rFonts w:ascii="宋体" w:hAnsi="宋体" w:cs="宋体" w:eastAsia="宋体" w:hint="default"/>
                <w:sz w:val="13"/>
                <w:szCs w:val="13"/>
              </w:rPr>
              <w:t>余额</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71" w:right="0"/>
              <w:jc w:val="left"/>
              <w:rPr>
                <w:rFonts w:ascii="宋体" w:hAnsi="宋体" w:cs="宋体" w:eastAsia="宋体" w:hint="default"/>
                <w:sz w:val="13"/>
                <w:szCs w:val="13"/>
              </w:rPr>
            </w:pPr>
            <w:r>
              <w:rPr>
                <w:rFonts w:ascii="宋体" w:hAnsi="宋体" w:cs="宋体" w:eastAsia="宋体" w:hint="default"/>
                <w:sz w:val="13"/>
                <w:szCs w:val="13"/>
              </w:rPr>
              <w:t>本期增加金额</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168" w:lineRule="exact" w:before="90"/>
              <w:ind w:left="283" w:right="98" w:hanging="260"/>
              <w:jc w:val="left"/>
              <w:rPr>
                <w:rFonts w:ascii="宋体" w:hAnsi="宋体" w:cs="宋体" w:eastAsia="宋体" w:hint="default"/>
                <w:sz w:val="13"/>
                <w:szCs w:val="13"/>
              </w:rPr>
            </w:pPr>
            <w:r>
              <w:rPr>
                <w:rFonts w:ascii="宋体" w:hAnsi="宋体" w:cs="宋体" w:eastAsia="宋体" w:hint="default"/>
                <w:sz w:val="13"/>
                <w:szCs w:val="13"/>
              </w:rPr>
              <w:t>本期转入固定资</w:t>
            </w:r>
            <w:r>
              <w:rPr>
                <w:rFonts w:ascii="宋体" w:hAnsi="宋体" w:cs="宋体" w:eastAsia="宋体" w:hint="default"/>
                <w:w w:val="99"/>
                <w:sz w:val="13"/>
                <w:szCs w:val="13"/>
              </w:rPr>
              <w:t> </w:t>
            </w:r>
            <w:r>
              <w:rPr>
                <w:rFonts w:ascii="宋体" w:hAnsi="宋体" w:cs="宋体" w:eastAsia="宋体" w:hint="default"/>
                <w:sz w:val="13"/>
                <w:szCs w:val="13"/>
              </w:rPr>
              <w:t>产金额</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168" w:lineRule="exact" w:before="90"/>
              <w:ind w:left="309" w:right="127" w:hanging="260"/>
              <w:jc w:val="left"/>
              <w:rPr>
                <w:rFonts w:ascii="宋体" w:hAnsi="宋体" w:cs="宋体" w:eastAsia="宋体" w:hint="default"/>
                <w:sz w:val="13"/>
                <w:szCs w:val="13"/>
              </w:rPr>
            </w:pPr>
            <w:r>
              <w:rPr>
                <w:rFonts w:ascii="宋体" w:hAnsi="宋体" w:cs="宋体" w:eastAsia="宋体" w:hint="default"/>
                <w:sz w:val="13"/>
                <w:szCs w:val="13"/>
              </w:rPr>
              <w:t>本期其他减少</w:t>
            </w:r>
            <w:r>
              <w:rPr>
                <w:rFonts w:ascii="宋体" w:hAnsi="宋体" w:cs="宋体" w:eastAsia="宋体" w:hint="default"/>
                <w:w w:val="99"/>
                <w:sz w:val="13"/>
                <w:szCs w:val="13"/>
              </w:rPr>
              <w:t> </w:t>
            </w:r>
            <w:r>
              <w:rPr>
                <w:rFonts w:ascii="宋体" w:hAnsi="宋体" w:cs="宋体" w:eastAsia="宋体" w:hint="default"/>
                <w:sz w:val="13"/>
                <w:szCs w:val="13"/>
              </w:rPr>
              <w:t>金额</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168" w:lineRule="exact" w:before="90"/>
              <w:ind w:left="350" w:right="348"/>
              <w:jc w:val="center"/>
              <w:rPr>
                <w:rFonts w:ascii="宋体" w:hAnsi="宋体" w:cs="宋体" w:eastAsia="宋体" w:hint="default"/>
                <w:sz w:val="13"/>
                <w:szCs w:val="13"/>
              </w:rPr>
            </w:pPr>
            <w:r>
              <w:rPr>
                <w:rFonts w:ascii="宋体" w:hAnsi="宋体" w:cs="宋体" w:eastAsia="宋体" w:hint="default"/>
                <w:sz w:val="13"/>
                <w:szCs w:val="13"/>
              </w:rPr>
              <w:t>期末</w:t>
            </w:r>
            <w:r>
              <w:rPr>
                <w:rFonts w:ascii="宋体" w:hAnsi="宋体" w:cs="宋体" w:eastAsia="宋体" w:hint="default"/>
                <w:w w:val="99"/>
                <w:sz w:val="13"/>
                <w:szCs w:val="13"/>
              </w:rPr>
              <w:t> </w:t>
            </w:r>
            <w:r>
              <w:rPr>
                <w:rFonts w:ascii="宋体" w:hAnsi="宋体" w:cs="宋体" w:eastAsia="宋体" w:hint="default"/>
                <w:sz w:val="13"/>
                <w:szCs w:val="13"/>
              </w:rPr>
              <w:t>余额</w:t>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
              <w:jc w:val="center"/>
              <w:rPr>
                <w:rFonts w:ascii="宋体" w:hAnsi="宋体" w:cs="宋体" w:eastAsia="宋体" w:hint="default"/>
                <w:sz w:val="13"/>
                <w:szCs w:val="13"/>
              </w:rPr>
            </w:pPr>
            <w:r>
              <w:rPr>
                <w:rFonts w:ascii="宋体" w:hAnsi="宋体" w:cs="宋体" w:eastAsia="宋体" w:hint="default"/>
                <w:sz w:val="13"/>
                <w:szCs w:val="13"/>
              </w:rPr>
              <w:t>工程累</w:t>
            </w:r>
          </w:p>
          <w:p>
            <w:pPr>
              <w:pStyle w:val="TableParagraph"/>
              <w:spacing w:line="237" w:lineRule="auto"/>
              <w:ind w:left="21" w:right="24"/>
              <w:jc w:val="center"/>
              <w:rPr>
                <w:rFonts w:ascii="宋体" w:hAnsi="宋体" w:cs="宋体" w:eastAsia="宋体" w:hint="default"/>
                <w:sz w:val="13"/>
                <w:szCs w:val="13"/>
              </w:rPr>
            </w:pPr>
            <w:r>
              <w:rPr>
                <w:rFonts w:ascii="宋体" w:hAnsi="宋体" w:cs="宋体" w:eastAsia="宋体" w:hint="default"/>
                <w:sz w:val="13"/>
                <w:szCs w:val="13"/>
              </w:rPr>
              <w:t>计投入</w:t>
            </w:r>
            <w:r>
              <w:rPr>
                <w:rFonts w:ascii="宋体" w:hAnsi="宋体" w:cs="宋体" w:eastAsia="宋体" w:hint="default"/>
                <w:w w:val="99"/>
                <w:sz w:val="13"/>
                <w:szCs w:val="13"/>
              </w:rPr>
              <w:t> </w:t>
            </w:r>
            <w:r>
              <w:rPr>
                <w:rFonts w:ascii="宋体" w:hAnsi="宋体" w:cs="宋体" w:eastAsia="宋体" w:hint="default"/>
                <w:sz w:val="13"/>
                <w:szCs w:val="13"/>
              </w:rPr>
              <w:t>占预算</w:t>
            </w:r>
            <w:r>
              <w:rPr>
                <w:rFonts w:ascii="宋体" w:hAnsi="宋体" w:cs="宋体" w:eastAsia="宋体" w:hint="default"/>
                <w:w w:val="99"/>
                <w:sz w:val="13"/>
                <w:szCs w:val="13"/>
              </w:rPr>
              <w:t> </w:t>
            </w:r>
            <w:r>
              <w:rPr>
                <w:rFonts w:ascii="宋体" w:hAnsi="宋体" w:cs="宋体" w:eastAsia="宋体" w:hint="default"/>
                <w:sz w:val="13"/>
                <w:szCs w:val="13"/>
              </w:rPr>
              <w:t>比例</w:t>
            </w:r>
            <w:r>
              <w:rPr>
                <w:rFonts w:ascii="宋体" w:hAnsi="宋体" w:cs="宋体" w:eastAsia="宋体" w:hint="default"/>
                <w:w w:val="99"/>
                <w:sz w:val="13"/>
                <w:szCs w:val="13"/>
              </w:rPr>
              <w:t> </w:t>
            </w:r>
            <w:r>
              <w:rPr>
                <w:rFonts w:ascii="宋体" w:hAnsi="宋体" w:cs="宋体" w:eastAsia="宋体" w:hint="default"/>
                <w:sz w:val="13"/>
                <w:szCs w:val="13"/>
              </w:rPr>
              <w:t>(%)</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81" w:right="0"/>
              <w:jc w:val="left"/>
              <w:rPr>
                <w:rFonts w:ascii="宋体" w:hAnsi="宋体" w:cs="宋体" w:eastAsia="宋体" w:hint="default"/>
                <w:sz w:val="13"/>
                <w:szCs w:val="13"/>
              </w:rPr>
            </w:pPr>
            <w:r>
              <w:rPr>
                <w:rFonts w:ascii="宋体" w:hAnsi="宋体" w:cs="宋体" w:eastAsia="宋体" w:hint="default"/>
                <w:sz w:val="13"/>
                <w:szCs w:val="13"/>
              </w:rPr>
              <w:t>工程进度</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168" w:lineRule="exact" w:before="90"/>
              <w:ind w:left="251" w:right="58" w:hanging="195"/>
              <w:jc w:val="left"/>
              <w:rPr>
                <w:rFonts w:ascii="宋体" w:hAnsi="宋体" w:cs="宋体" w:eastAsia="宋体" w:hint="default"/>
                <w:sz w:val="13"/>
                <w:szCs w:val="13"/>
              </w:rPr>
            </w:pPr>
            <w:r>
              <w:rPr>
                <w:rFonts w:ascii="宋体" w:hAnsi="宋体" w:cs="宋体" w:eastAsia="宋体" w:hint="default"/>
                <w:sz w:val="13"/>
                <w:szCs w:val="13"/>
              </w:rPr>
              <w:t>利息资本化累</w:t>
            </w:r>
            <w:r>
              <w:rPr>
                <w:rFonts w:ascii="宋体" w:hAnsi="宋体" w:cs="宋体" w:eastAsia="宋体" w:hint="default"/>
                <w:w w:val="99"/>
                <w:sz w:val="13"/>
                <w:szCs w:val="13"/>
              </w:rPr>
              <w:t> </w:t>
            </w:r>
            <w:r>
              <w:rPr>
                <w:rFonts w:ascii="宋体" w:hAnsi="宋体" w:cs="宋体" w:eastAsia="宋体" w:hint="default"/>
                <w:sz w:val="13"/>
                <w:szCs w:val="13"/>
              </w:rPr>
              <w:t>计金额</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168" w:lineRule="exact" w:before="90"/>
              <w:ind w:left="21" w:right="26"/>
              <w:jc w:val="left"/>
              <w:rPr>
                <w:rFonts w:ascii="宋体" w:hAnsi="宋体" w:cs="宋体" w:eastAsia="宋体" w:hint="default"/>
                <w:sz w:val="13"/>
                <w:szCs w:val="13"/>
              </w:rPr>
            </w:pPr>
            <w:r>
              <w:rPr>
                <w:rFonts w:ascii="宋体" w:hAnsi="宋体" w:cs="宋体" w:eastAsia="宋体" w:hint="default"/>
                <w:sz w:val="13"/>
                <w:szCs w:val="13"/>
              </w:rPr>
              <w:t>其中：本期利</w:t>
            </w:r>
            <w:r>
              <w:rPr>
                <w:rFonts w:ascii="宋体" w:hAnsi="宋体" w:cs="宋体" w:eastAsia="宋体" w:hint="default"/>
                <w:w w:val="99"/>
                <w:sz w:val="13"/>
                <w:szCs w:val="13"/>
              </w:rPr>
              <w:t> </w:t>
            </w:r>
            <w:r>
              <w:rPr>
                <w:rFonts w:ascii="宋体" w:hAnsi="宋体" w:cs="宋体" w:eastAsia="宋体" w:hint="default"/>
                <w:sz w:val="13"/>
                <w:szCs w:val="13"/>
              </w:rPr>
              <w:t>息资本化金额</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168" w:lineRule="exact"/>
              <w:ind w:left="47" w:right="53"/>
              <w:jc w:val="center"/>
              <w:rPr>
                <w:rFonts w:ascii="宋体" w:hAnsi="宋体" w:cs="宋体" w:eastAsia="宋体" w:hint="default"/>
                <w:sz w:val="13"/>
                <w:szCs w:val="13"/>
              </w:rPr>
            </w:pPr>
            <w:r>
              <w:rPr>
                <w:rFonts w:ascii="宋体" w:hAnsi="宋体" w:cs="宋体" w:eastAsia="宋体" w:hint="default"/>
                <w:sz w:val="13"/>
                <w:szCs w:val="13"/>
              </w:rPr>
              <w:t>本期利息</w:t>
            </w:r>
            <w:r>
              <w:rPr>
                <w:rFonts w:ascii="宋体" w:hAnsi="宋体" w:cs="宋体" w:eastAsia="宋体" w:hint="default"/>
                <w:w w:val="99"/>
                <w:sz w:val="13"/>
                <w:szCs w:val="13"/>
              </w:rPr>
              <w:t> </w:t>
            </w:r>
            <w:r>
              <w:rPr>
                <w:rFonts w:ascii="宋体" w:hAnsi="宋体" w:cs="宋体" w:eastAsia="宋体" w:hint="default"/>
                <w:sz w:val="13"/>
                <w:szCs w:val="13"/>
              </w:rPr>
              <w:t>资本化率</w:t>
            </w:r>
            <w:r>
              <w:rPr>
                <w:rFonts w:ascii="宋体" w:hAnsi="宋体" w:cs="宋体" w:eastAsia="宋体" w:hint="default"/>
                <w:w w:val="99"/>
                <w:sz w:val="13"/>
                <w:szCs w:val="13"/>
              </w:rPr>
              <w:t> </w:t>
            </w:r>
            <w:r>
              <w:rPr>
                <w:rFonts w:ascii="宋体" w:hAnsi="宋体" w:cs="宋体" w:eastAsia="宋体" w:hint="default"/>
                <w:sz w:val="13"/>
                <w:szCs w:val="13"/>
              </w:rPr>
              <w:t>(%)</w:t>
            </w:r>
          </w:p>
        </w:tc>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168" w:lineRule="exact" w:before="90"/>
              <w:ind w:left="204" w:right="77" w:hanging="130"/>
              <w:jc w:val="left"/>
              <w:rPr>
                <w:rFonts w:ascii="宋体" w:hAnsi="宋体" w:cs="宋体" w:eastAsia="宋体" w:hint="default"/>
                <w:sz w:val="13"/>
                <w:szCs w:val="13"/>
              </w:rPr>
            </w:pPr>
            <w:r>
              <w:rPr>
                <w:rFonts w:ascii="宋体" w:hAnsi="宋体" w:cs="宋体" w:eastAsia="宋体" w:hint="default"/>
                <w:sz w:val="13"/>
                <w:szCs w:val="13"/>
              </w:rPr>
              <w:t>资金来</w:t>
            </w:r>
            <w:r>
              <w:rPr>
                <w:rFonts w:ascii="宋体" w:hAnsi="宋体" w:cs="宋体" w:eastAsia="宋体" w:hint="default"/>
                <w:w w:val="99"/>
                <w:sz w:val="13"/>
                <w:szCs w:val="13"/>
              </w:rPr>
              <w:t> </w:t>
            </w:r>
            <w:r>
              <w:rPr>
                <w:rFonts w:ascii="宋体" w:hAnsi="宋体" w:cs="宋体" w:eastAsia="宋体" w:hint="default"/>
                <w:sz w:val="13"/>
                <w:szCs w:val="13"/>
              </w:rPr>
              <w:t>源</w:t>
            </w:r>
          </w:p>
        </w:tc>
      </w:tr>
      <w:tr>
        <w:trPr>
          <w:trHeight w:val="1027"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144" w:lineRule="exact"/>
              <w:ind w:left="23" w:right="0"/>
              <w:jc w:val="both"/>
              <w:rPr>
                <w:rFonts w:ascii="宋体" w:hAnsi="宋体" w:cs="宋体" w:eastAsia="宋体" w:hint="default"/>
                <w:sz w:val="13"/>
                <w:szCs w:val="13"/>
              </w:rPr>
            </w:pPr>
            <w:r>
              <w:rPr>
                <w:rFonts w:ascii="宋体" w:hAnsi="宋体" w:cs="宋体" w:eastAsia="宋体" w:hint="default"/>
                <w:sz w:val="13"/>
                <w:szCs w:val="13"/>
              </w:rPr>
              <w:t>锦州</w:t>
            </w:r>
          </w:p>
          <w:p>
            <w:pPr>
              <w:pStyle w:val="TableParagraph"/>
              <w:spacing w:line="237" w:lineRule="auto"/>
              <w:ind w:left="23" w:right="127"/>
              <w:jc w:val="both"/>
              <w:rPr>
                <w:rFonts w:ascii="宋体" w:hAnsi="宋体" w:cs="宋体" w:eastAsia="宋体" w:hint="default"/>
                <w:sz w:val="13"/>
                <w:szCs w:val="13"/>
              </w:rPr>
            </w:pPr>
            <w:r>
              <w:rPr>
                <w:rFonts w:ascii="宋体" w:hAnsi="宋体" w:cs="宋体" w:eastAsia="宋体" w:hint="default"/>
                <w:sz w:val="13"/>
                <w:szCs w:val="13"/>
              </w:rPr>
              <w:t>港西</w:t>
            </w:r>
            <w:r>
              <w:rPr>
                <w:rFonts w:ascii="宋体" w:hAnsi="宋体" w:cs="宋体" w:eastAsia="宋体" w:hint="default"/>
                <w:w w:val="99"/>
                <w:sz w:val="13"/>
                <w:szCs w:val="13"/>
              </w:rPr>
              <w:t> </w:t>
            </w:r>
            <w:r>
              <w:rPr>
                <w:rFonts w:ascii="宋体" w:hAnsi="宋体" w:cs="宋体" w:eastAsia="宋体" w:hint="default"/>
                <w:sz w:val="13"/>
                <w:szCs w:val="13"/>
              </w:rPr>
              <w:t>部海</w:t>
            </w:r>
            <w:r>
              <w:rPr>
                <w:rFonts w:ascii="宋体" w:hAnsi="宋体" w:cs="宋体" w:eastAsia="宋体" w:hint="default"/>
                <w:w w:val="99"/>
                <w:sz w:val="13"/>
                <w:szCs w:val="13"/>
              </w:rPr>
              <w:t> </w:t>
            </w:r>
            <w:r>
              <w:rPr>
                <w:rFonts w:ascii="宋体" w:hAnsi="宋体" w:cs="宋体" w:eastAsia="宋体" w:hint="default"/>
                <w:sz w:val="13"/>
                <w:szCs w:val="13"/>
              </w:rPr>
              <w:t>域防</w:t>
            </w:r>
            <w:r>
              <w:rPr>
                <w:rFonts w:ascii="宋体" w:hAnsi="宋体" w:cs="宋体" w:eastAsia="宋体" w:hint="default"/>
                <w:w w:val="99"/>
                <w:sz w:val="13"/>
                <w:szCs w:val="13"/>
              </w:rPr>
              <w:t> </w:t>
            </w:r>
            <w:r>
              <w:rPr>
                <w:rFonts w:ascii="宋体" w:hAnsi="宋体" w:cs="宋体" w:eastAsia="宋体" w:hint="default"/>
                <w:sz w:val="13"/>
                <w:szCs w:val="13"/>
              </w:rPr>
              <w:t>波堤</w:t>
            </w:r>
            <w:r>
              <w:rPr>
                <w:rFonts w:ascii="宋体" w:hAnsi="宋体" w:cs="宋体" w:eastAsia="宋体" w:hint="default"/>
                <w:w w:val="99"/>
                <w:sz w:val="13"/>
                <w:szCs w:val="13"/>
              </w:rPr>
              <w:t> </w:t>
            </w:r>
            <w:r>
              <w:rPr>
                <w:rFonts w:ascii="宋体" w:hAnsi="宋体" w:cs="宋体" w:eastAsia="宋体" w:hint="default"/>
                <w:sz w:val="13"/>
                <w:szCs w:val="13"/>
              </w:rPr>
              <w:t>工程</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29"/>
              <w:jc w:val="right"/>
              <w:rPr>
                <w:rFonts w:ascii="宋体" w:hAnsi="宋体" w:cs="宋体" w:eastAsia="宋体" w:hint="default"/>
                <w:sz w:val="13"/>
                <w:szCs w:val="13"/>
              </w:rPr>
            </w:pPr>
            <w:r>
              <w:rPr>
                <w:rFonts w:ascii="宋体"/>
                <w:w w:val="95"/>
                <w:sz w:val="13"/>
              </w:rPr>
              <w:t>464,988,800.00</w:t>
            </w:r>
            <w:r>
              <w:rPr>
                <w:rFonts w:ascii="宋体"/>
                <w:sz w:val="13"/>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45,210,558.36</w:t>
            </w:r>
            <w:r>
              <w:rPr>
                <w:rFonts w:ascii="宋体"/>
                <w:sz w:val="13"/>
              </w:rPr>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88" w:right="0"/>
              <w:jc w:val="left"/>
              <w:rPr>
                <w:rFonts w:ascii="宋体" w:hAnsi="宋体" w:cs="宋体" w:eastAsia="宋体" w:hint="default"/>
                <w:sz w:val="13"/>
                <w:szCs w:val="13"/>
              </w:rPr>
            </w:pPr>
            <w:r>
              <w:rPr>
                <w:rFonts w:ascii="宋体"/>
                <w:sz w:val="13"/>
              </w:rPr>
              <w:t>91,371,957.16</w:t>
            </w:r>
          </w:p>
        </w:tc>
        <w:tc>
          <w:tcPr>
            <w:tcW w:w="1046"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136,582,515.52</w:t>
            </w:r>
            <w:r>
              <w:rPr>
                <w:rFonts w:ascii="宋体"/>
                <w:sz w:val="13"/>
              </w:rPr>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23"/>
              <w:jc w:val="right"/>
              <w:rPr>
                <w:rFonts w:ascii="宋体" w:hAnsi="宋体" w:cs="宋体" w:eastAsia="宋体" w:hint="default"/>
                <w:sz w:val="13"/>
                <w:szCs w:val="13"/>
              </w:rPr>
            </w:pPr>
            <w:r>
              <w:rPr>
                <w:rFonts w:ascii="宋体"/>
                <w:w w:val="95"/>
                <w:sz w:val="13"/>
              </w:rPr>
              <w:t>29.37</w:t>
            </w:r>
            <w:r>
              <w:rPr>
                <w:rFonts w:ascii="宋体"/>
                <w:sz w:val="13"/>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23" w:right="0"/>
              <w:jc w:val="left"/>
              <w:rPr>
                <w:rFonts w:ascii="宋体" w:hAnsi="宋体" w:cs="宋体" w:eastAsia="宋体" w:hint="default"/>
                <w:sz w:val="13"/>
                <w:szCs w:val="13"/>
              </w:rPr>
            </w:pPr>
            <w:r>
              <w:rPr>
                <w:rFonts w:ascii="宋体" w:hAnsi="宋体" w:cs="宋体" w:eastAsia="宋体" w:hint="default"/>
                <w:sz w:val="13"/>
                <w:szCs w:val="13"/>
              </w:rPr>
              <w:t>在建</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64" w:right="0"/>
              <w:jc w:val="center"/>
              <w:rPr>
                <w:rFonts w:ascii="宋体" w:hAnsi="宋体" w:cs="宋体" w:eastAsia="宋体" w:hint="default"/>
                <w:sz w:val="13"/>
                <w:szCs w:val="13"/>
              </w:rPr>
            </w:pPr>
            <w:r>
              <w:rPr>
                <w:rFonts w:ascii="宋体"/>
                <w:sz w:val="13"/>
              </w:rPr>
              <w:t>4,011,999.99</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5"/>
              <w:jc w:val="center"/>
              <w:rPr>
                <w:rFonts w:ascii="宋体" w:hAnsi="宋体" w:cs="宋体" w:eastAsia="宋体" w:hint="default"/>
                <w:sz w:val="13"/>
                <w:szCs w:val="13"/>
              </w:rPr>
            </w:pPr>
            <w:r>
              <w:rPr>
                <w:rFonts w:ascii="宋体"/>
                <w:sz w:val="13"/>
              </w:rPr>
              <w:t>4,011,999.99</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336" w:right="0"/>
              <w:jc w:val="left"/>
              <w:rPr>
                <w:rFonts w:ascii="宋体" w:hAnsi="宋体" w:cs="宋体" w:eastAsia="宋体" w:hint="default"/>
                <w:sz w:val="13"/>
                <w:szCs w:val="13"/>
              </w:rPr>
            </w:pPr>
            <w:r>
              <w:rPr>
                <w:rFonts w:ascii="宋体"/>
                <w:sz w:val="13"/>
              </w:rPr>
              <w:t>5.90</w:t>
            </w:r>
          </w:p>
        </w:tc>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144" w:lineRule="exact"/>
              <w:ind w:left="21" w:right="0"/>
              <w:jc w:val="left"/>
              <w:rPr>
                <w:rFonts w:ascii="宋体" w:hAnsi="宋体" w:cs="宋体" w:eastAsia="宋体" w:hint="default"/>
                <w:sz w:val="13"/>
                <w:szCs w:val="13"/>
              </w:rPr>
            </w:pPr>
            <w:r>
              <w:rPr>
                <w:rFonts w:ascii="宋体" w:hAnsi="宋体" w:cs="宋体" w:eastAsia="宋体" w:hint="default"/>
                <w:sz w:val="13"/>
                <w:szCs w:val="13"/>
              </w:rPr>
              <w:t>自筹及</w:t>
            </w:r>
          </w:p>
          <w:p>
            <w:pPr>
              <w:pStyle w:val="TableParagraph"/>
              <w:spacing w:line="169" w:lineRule="exact"/>
              <w:ind w:left="21" w:right="0"/>
              <w:jc w:val="left"/>
              <w:rPr>
                <w:rFonts w:ascii="宋体" w:hAnsi="宋体" w:cs="宋体" w:eastAsia="宋体" w:hint="default"/>
                <w:sz w:val="13"/>
                <w:szCs w:val="13"/>
              </w:rPr>
            </w:pPr>
            <w:r>
              <w:rPr>
                <w:rFonts w:ascii="宋体" w:hAnsi="宋体" w:cs="宋体" w:eastAsia="宋体" w:hint="default"/>
                <w:sz w:val="13"/>
                <w:szCs w:val="13"/>
              </w:rPr>
              <w:t>贷款</w:t>
            </w:r>
          </w:p>
        </w:tc>
      </w:tr>
      <w:tr>
        <w:trPr>
          <w:trHeight w:val="1025"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23" w:right="0"/>
              <w:jc w:val="both"/>
              <w:rPr>
                <w:rFonts w:ascii="宋体" w:hAnsi="宋体" w:cs="宋体" w:eastAsia="宋体" w:hint="default"/>
                <w:sz w:val="13"/>
                <w:szCs w:val="13"/>
              </w:rPr>
            </w:pPr>
            <w:r>
              <w:rPr>
                <w:rFonts w:ascii="宋体" w:hAnsi="宋体" w:cs="宋体" w:eastAsia="宋体" w:hint="default"/>
                <w:sz w:val="13"/>
                <w:szCs w:val="13"/>
              </w:rPr>
              <w:t>锦州</w:t>
            </w:r>
          </w:p>
          <w:p>
            <w:pPr>
              <w:pStyle w:val="TableParagraph"/>
              <w:spacing w:line="237" w:lineRule="auto"/>
              <w:ind w:left="23" w:right="127"/>
              <w:jc w:val="both"/>
              <w:rPr>
                <w:rFonts w:ascii="宋体" w:hAnsi="宋体" w:cs="宋体" w:eastAsia="宋体" w:hint="default"/>
                <w:sz w:val="13"/>
                <w:szCs w:val="13"/>
              </w:rPr>
            </w:pPr>
            <w:r>
              <w:rPr>
                <w:rFonts w:ascii="宋体" w:hAnsi="宋体" w:cs="宋体" w:eastAsia="宋体" w:hint="default"/>
                <w:sz w:val="13"/>
                <w:szCs w:val="13"/>
              </w:rPr>
              <w:t>港油</w:t>
            </w:r>
            <w:r>
              <w:rPr>
                <w:rFonts w:ascii="宋体" w:hAnsi="宋体" w:cs="宋体" w:eastAsia="宋体" w:hint="default"/>
                <w:w w:val="99"/>
                <w:sz w:val="13"/>
                <w:szCs w:val="13"/>
              </w:rPr>
              <w:t> </w:t>
            </w:r>
            <w:r>
              <w:rPr>
                <w:rFonts w:ascii="宋体" w:hAnsi="宋体" w:cs="宋体" w:eastAsia="宋体" w:hint="default"/>
                <w:sz w:val="13"/>
                <w:szCs w:val="13"/>
              </w:rPr>
              <w:t>品灌</w:t>
            </w:r>
            <w:r>
              <w:rPr>
                <w:rFonts w:ascii="宋体" w:hAnsi="宋体" w:cs="宋体" w:eastAsia="宋体" w:hint="default"/>
                <w:w w:val="99"/>
                <w:sz w:val="13"/>
                <w:szCs w:val="13"/>
              </w:rPr>
              <w:t> </w:t>
            </w:r>
            <w:r>
              <w:rPr>
                <w:rFonts w:ascii="宋体" w:hAnsi="宋体" w:cs="宋体" w:eastAsia="宋体" w:hint="default"/>
                <w:sz w:val="13"/>
                <w:szCs w:val="13"/>
              </w:rPr>
              <w:t>区二</w:t>
            </w:r>
            <w:r>
              <w:rPr>
                <w:rFonts w:ascii="宋体" w:hAnsi="宋体" w:cs="宋体" w:eastAsia="宋体" w:hint="default"/>
                <w:w w:val="99"/>
                <w:sz w:val="13"/>
                <w:szCs w:val="13"/>
              </w:rPr>
              <w:t> </w:t>
            </w:r>
            <w:r>
              <w:rPr>
                <w:rFonts w:ascii="宋体" w:hAnsi="宋体" w:cs="宋体" w:eastAsia="宋体" w:hint="default"/>
                <w:sz w:val="13"/>
                <w:szCs w:val="13"/>
              </w:rPr>
              <w:t>期工</w:t>
            </w:r>
            <w:r>
              <w:rPr>
                <w:rFonts w:ascii="宋体" w:hAnsi="宋体" w:cs="宋体" w:eastAsia="宋体" w:hint="default"/>
                <w:w w:val="99"/>
                <w:sz w:val="13"/>
                <w:szCs w:val="13"/>
              </w:rPr>
              <w:t> </w:t>
            </w:r>
            <w:r>
              <w:rPr>
                <w:rFonts w:ascii="宋体" w:hAnsi="宋体" w:cs="宋体" w:eastAsia="宋体" w:hint="default"/>
                <w:sz w:val="13"/>
                <w:szCs w:val="13"/>
              </w:rPr>
              <w:t>程</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29"/>
              <w:jc w:val="right"/>
              <w:rPr>
                <w:rFonts w:ascii="宋体" w:hAnsi="宋体" w:cs="宋体" w:eastAsia="宋体" w:hint="default"/>
                <w:sz w:val="13"/>
                <w:szCs w:val="13"/>
              </w:rPr>
            </w:pPr>
            <w:r>
              <w:rPr>
                <w:rFonts w:ascii="宋体"/>
                <w:w w:val="95"/>
                <w:sz w:val="13"/>
              </w:rPr>
              <w:t>569,794,500.00</w:t>
            </w:r>
            <w:r>
              <w:rPr>
                <w:rFonts w:ascii="宋体"/>
                <w:sz w:val="13"/>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14,164,073.71</w:t>
            </w:r>
            <w:r>
              <w:rPr>
                <w:rFonts w:ascii="宋体"/>
                <w:sz w:val="13"/>
              </w:rPr>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88" w:right="0"/>
              <w:jc w:val="left"/>
              <w:rPr>
                <w:rFonts w:ascii="宋体" w:hAnsi="宋体" w:cs="宋体" w:eastAsia="宋体" w:hint="default"/>
                <w:sz w:val="13"/>
                <w:szCs w:val="13"/>
              </w:rPr>
            </w:pPr>
            <w:r>
              <w:rPr>
                <w:rFonts w:ascii="宋体"/>
                <w:sz w:val="13"/>
              </w:rPr>
              <w:t>23,921,345.02</w:t>
            </w:r>
          </w:p>
        </w:tc>
        <w:tc>
          <w:tcPr>
            <w:tcW w:w="1046"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38,085,418.73</w:t>
            </w:r>
            <w:r>
              <w:rPr>
                <w:rFonts w:ascii="宋体"/>
                <w:sz w:val="13"/>
              </w:rPr>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23"/>
              <w:jc w:val="right"/>
              <w:rPr>
                <w:rFonts w:ascii="宋体" w:hAnsi="宋体" w:cs="宋体" w:eastAsia="宋体" w:hint="default"/>
                <w:sz w:val="13"/>
                <w:szCs w:val="13"/>
              </w:rPr>
            </w:pPr>
            <w:r>
              <w:rPr>
                <w:rFonts w:ascii="宋体"/>
                <w:w w:val="95"/>
                <w:sz w:val="13"/>
              </w:rPr>
              <w:t>6.68</w:t>
            </w:r>
            <w:r>
              <w:rPr>
                <w:rFonts w:ascii="宋体"/>
                <w:sz w:val="13"/>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23" w:right="0"/>
              <w:jc w:val="left"/>
              <w:rPr>
                <w:rFonts w:ascii="宋体" w:hAnsi="宋体" w:cs="宋体" w:eastAsia="宋体" w:hint="default"/>
                <w:sz w:val="13"/>
                <w:szCs w:val="13"/>
              </w:rPr>
            </w:pPr>
            <w:r>
              <w:rPr>
                <w:rFonts w:ascii="宋体" w:hAnsi="宋体" w:cs="宋体" w:eastAsia="宋体" w:hint="default"/>
                <w:sz w:val="13"/>
                <w:szCs w:val="13"/>
              </w:rPr>
              <w:t>在建</w:t>
            </w:r>
          </w:p>
        </w:tc>
        <w:tc>
          <w:tcPr>
            <w:tcW w:w="910"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21" w:right="0"/>
              <w:jc w:val="left"/>
              <w:rPr>
                <w:rFonts w:ascii="宋体" w:hAnsi="宋体" w:cs="宋体" w:eastAsia="宋体" w:hint="default"/>
                <w:sz w:val="13"/>
                <w:szCs w:val="13"/>
              </w:rPr>
            </w:pPr>
            <w:r>
              <w:rPr>
                <w:rFonts w:ascii="宋体" w:hAnsi="宋体" w:cs="宋体" w:eastAsia="宋体" w:hint="default"/>
                <w:sz w:val="13"/>
                <w:szCs w:val="13"/>
              </w:rPr>
              <w:t>自筹及</w:t>
            </w:r>
          </w:p>
          <w:p>
            <w:pPr>
              <w:pStyle w:val="TableParagraph"/>
              <w:spacing w:line="169" w:lineRule="exact"/>
              <w:ind w:left="21" w:right="0"/>
              <w:jc w:val="left"/>
              <w:rPr>
                <w:rFonts w:ascii="宋体" w:hAnsi="宋体" w:cs="宋体" w:eastAsia="宋体" w:hint="default"/>
                <w:sz w:val="13"/>
                <w:szCs w:val="13"/>
              </w:rPr>
            </w:pPr>
            <w:r>
              <w:rPr>
                <w:rFonts w:ascii="宋体" w:hAnsi="宋体" w:cs="宋体" w:eastAsia="宋体" w:hint="default"/>
                <w:sz w:val="13"/>
                <w:szCs w:val="13"/>
              </w:rPr>
              <w:t>贷款</w:t>
            </w:r>
          </w:p>
        </w:tc>
      </w:tr>
      <w:tr>
        <w:trPr>
          <w:trHeight w:val="521"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23" w:right="0"/>
              <w:jc w:val="left"/>
              <w:rPr>
                <w:rFonts w:ascii="宋体" w:hAnsi="宋体" w:cs="宋体" w:eastAsia="宋体" w:hint="default"/>
                <w:sz w:val="13"/>
                <w:szCs w:val="13"/>
              </w:rPr>
            </w:pPr>
            <w:r>
              <w:rPr>
                <w:rFonts w:ascii="宋体" w:hAnsi="宋体" w:cs="宋体" w:eastAsia="宋体" w:hint="default"/>
                <w:sz w:val="13"/>
                <w:szCs w:val="13"/>
              </w:rPr>
              <w:t>新建</w:t>
            </w:r>
          </w:p>
          <w:p>
            <w:pPr>
              <w:pStyle w:val="TableParagraph"/>
              <w:spacing w:line="168" w:lineRule="exact" w:before="16"/>
              <w:ind w:left="23" w:right="127"/>
              <w:jc w:val="left"/>
              <w:rPr>
                <w:rFonts w:ascii="宋体" w:hAnsi="宋体" w:cs="宋体" w:eastAsia="宋体" w:hint="default"/>
                <w:sz w:val="13"/>
                <w:szCs w:val="13"/>
              </w:rPr>
            </w:pPr>
            <w:r>
              <w:rPr>
                <w:rFonts w:ascii="宋体" w:hAnsi="宋体" w:cs="宋体" w:eastAsia="宋体" w:hint="default"/>
                <w:sz w:val="13"/>
                <w:szCs w:val="13"/>
              </w:rPr>
              <w:t>围堰</w:t>
            </w:r>
            <w:r>
              <w:rPr>
                <w:rFonts w:ascii="宋体" w:hAnsi="宋体" w:cs="宋体" w:eastAsia="宋体" w:hint="default"/>
                <w:w w:val="99"/>
                <w:sz w:val="13"/>
                <w:szCs w:val="13"/>
              </w:rPr>
              <w:t> </w:t>
            </w:r>
            <w:r>
              <w:rPr>
                <w:rFonts w:ascii="宋体" w:hAnsi="宋体" w:cs="宋体" w:eastAsia="宋体" w:hint="default"/>
                <w:sz w:val="13"/>
                <w:szCs w:val="13"/>
              </w:rPr>
              <w:t>工程</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29"/>
              <w:jc w:val="right"/>
              <w:rPr>
                <w:rFonts w:ascii="宋体" w:hAnsi="宋体" w:cs="宋体" w:eastAsia="宋体" w:hint="default"/>
                <w:sz w:val="13"/>
                <w:szCs w:val="13"/>
              </w:rPr>
            </w:pPr>
            <w:r>
              <w:rPr>
                <w:rFonts w:ascii="宋体"/>
                <w:w w:val="95"/>
                <w:sz w:val="13"/>
              </w:rPr>
              <w:t>43,770,000.00</w:t>
            </w:r>
            <w:r>
              <w:rPr>
                <w:rFonts w:ascii="宋体"/>
                <w:sz w:val="13"/>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4"/>
              <w:jc w:val="right"/>
              <w:rPr>
                <w:rFonts w:ascii="宋体" w:hAnsi="宋体" w:cs="宋体" w:eastAsia="宋体" w:hint="default"/>
                <w:sz w:val="13"/>
                <w:szCs w:val="13"/>
              </w:rPr>
            </w:pPr>
            <w:r>
              <w:rPr>
                <w:rFonts w:ascii="宋体"/>
                <w:w w:val="95"/>
                <w:sz w:val="13"/>
              </w:rPr>
              <w:t>17,886,761.02</w:t>
            </w:r>
            <w:r>
              <w:rPr>
                <w:rFonts w:ascii="宋体"/>
                <w:sz w:val="13"/>
              </w:rPr>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98"/>
              <w:jc w:val="right"/>
              <w:rPr>
                <w:rFonts w:ascii="宋体" w:hAnsi="宋体" w:cs="宋体" w:eastAsia="宋体" w:hint="default"/>
                <w:sz w:val="13"/>
                <w:szCs w:val="13"/>
              </w:rPr>
            </w:pPr>
            <w:r>
              <w:rPr>
                <w:rFonts w:ascii="宋体"/>
                <w:w w:val="95"/>
                <w:sz w:val="13"/>
              </w:rPr>
              <w:t>342,766.35</w:t>
            </w:r>
            <w:r>
              <w:rPr>
                <w:rFonts w:ascii="宋体"/>
                <w:sz w:val="13"/>
              </w:rPr>
            </w:r>
          </w:p>
        </w:tc>
        <w:tc>
          <w:tcPr>
            <w:tcW w:w="1046"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4"/>
              <w:jc w:val="right"/>
              <w:rPr>
                <w:rFonts w:ascii="宋体" w:hAnsi="宋体" w:cs="宋体" w:eastAsia="宋体" w:hint="default"/>
                <w:sz w:val="13"/>
                <w:szCs w:val="13"/>
              </w:rPr>
            </w:pPr>
            <w:r>
              <w:rPr>
                <w:rFonts w:ascii="宋体"/>
                <w:w w:val="95"/>
                <w:sz w:val="13"/>
              </w:rPr>
              <w:t>18,229,527.37</w:t>
            </w:r>
            <w:r>
              <w:rPr>
                <w:rFonts w:ascii="宋体"/>
                <w:sz w:val="13"/>
              </w:rPr>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4"/>
              <w:jc w:val="right"/>
              <w:rPr>
                <w:rFonts w:ascii="宋体" w:hAnsi="宋体" w:cs="宋体" w:eastAsia="宋体" w:hint="default"/>
                <w:sz w:val="13"/>
                <w:szCs w:val="13"/>
              </w:rPr>
            </w:pPr>
            <w:r>
              <w:rPr>
                <w:rFonts w:ascii="宋体"/>
                <w:w w:val="95"/>
                <w:sz w:val="13"/>
              </w:rPr>
              <w:t>106.00</w:t>
            </w:r>
            <w:r>
              <w:rPr>
                <w:rFonts w:ascii="宋体"/>
                <w:sz w:val="13"/>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23" w:right="0"/>
              <w:jc w:val="left"/>
              <w:rPr>
                <w:rFonts w:ascii="宋体" w:hAnsi="宋体" w:cs="宋体" w:eastAsia="宋体" w:hint="default"/>
                <w:sz w:val="13"/>
                <w:szCs w:val="13"/>
              </w:rPr>
            </w:pPr>
            <w:r>
              <w:rPr>
                <w:rFonts w:ascii="宋体" w:hAnsi="宋体" w:cs="宋体" w:eastAsia="宋体" w:hint="default"/>
                <w:sz w:val="13"/>
                <w:szCs w:val="13"/>
              </w:rPr>
              <w:t>在建</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64" w:right="0"/>
              <w:jc w:val="center"/>
              <w:rPr>
                <w:rFonts w:ascii="宋体" w:hAnsi="宋体" w:cs="宋体" w:eastAsia="宋体" w:hint="default"/>
                <w:sz w:val="13"/>
                <w:szCs w:val="13"/>
              </w:rPr>
            </w:pPr>
            <w:r>
              <w:rPr>
                <w:rFonts w:ascii="宋体"/>
                <w:sz w:val="13"/>
              </w:rPr>
              <w:t>1,013,720.24</w:t>
            </w:r>
          </w:p>
        </w:tc>
        <w:tc>
          <w:tcPr>
            <w:tcW w:w="842"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39"/>
              <w:jc w:val="center"/>
              <w:rPr>
                <w:rFonts w:ascii="宋体" w:hAnsi="宋体" w:cs="宋体" w:eastAsia="宋体" w:hint="default"/>
                <w:sz w:val="13"/>
                <w:szCs w:val="13"/>
              </w:rPr>
            </w:pPr>
            <w:r>
              <w:rPr>
                <w:rFonts w:ascii="宋体" w:hAnsi="宋体" w:cs="宋体" w:eastAsia="宋体" w:hint="default"/>
                <w:sz w:val="13"/>
                <w:szCs w:val="13"/>
              </w:rPr>
              <w:t>贷款</w:t>
            </w:r>
          </w:p>
        </w:tc>
      </w:tr>
      <w:tr>
        <w:trPr>
          <w:trHeight w:val="353"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23" w:right="0"/>
              <w:jc w:val="left"/>
              <w:rPr>
                <w:rFonts w:ascii="宋体" w:hAnsi="宋体" w:cs="宋体" w:eastAsia="宋体" w:hint="default"/>
                <w:sz w:val="13"/>
                <w:szCs w:val="13"/>
              </w:rPr>
            </w:pPr>
            <w:r>
              <w:rPr>
                <w:rFonts w:ascii="宋体" w:hAnsi="宋体" w:cs="宋体" w:eastAsia="宋体" w:hint="default"/>
                <w:sz w:val="13"/>
                <w:szCs w:val="13"/>
              </w:rPr>
              <w:t>五港</w:t>
            </w:r>
          </w:p>
          <w:p>
            <w:pPr>
              <w:pStyle w:val="TableParagraph"/>
              <w:spacing w:line="169" w:lineRule="exact"/>
              <w:ind w:left="23" w:right="0"/>
              <w:jc w:val="left"/>
              <w:rPr>
                <w:rFonts w:ascii="宋体" w:hAnsi="宋体" w:cs="宋体" w:eastAsia="宋体" w:hint="default"/>
                <w:sz w:val="13"/>
                <w:szCs w:val="13"/>
              </w:rPr>
            </w:pPr>
            <w:r>
              <w:rPr>
                <w:rFonts w:ascii="宋体" w:hAnsi="宋体" w:cs="宋体" w:eastAsia="宋体" w:hint="default"/>
                <w:w w:val="99"/>
                <w:sz w:val="13"/>
                <w:szCs w:val="13"/>
              </w:rPr>
              <w:t>池</w:t>
            </w:r>
            <w:r>
              <w:rPr>
                <w:rFonts w:ascii="宋体" w:hAnsi="宋体" w:cs="宋体" w:eastAsia="宋体" w:hint="default"/>
                <w:sz w:val="13"/>
                <w:szCs w:val="13"/>
              </w:rPr>
            </w:r>
          </w:p>
        </w:tc>
        <w:tc>
          <w:tcPr>
            <w:tcW w:w="1208"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4"/>
              <w:jc w:val="right"/>
              <w:rPr>
                <w:rFonts w:ascii="宋体" w:hAnsi="宋体" w:cs="宋体" w:eastAsia="宋体" w:hint="default"/>
                <w:sz w:val="13"/>
                <w:szCs w:val="13"/>
              </w:rPr>
            </w:pPr>
            <w:r>
              <w:rPr>
                <w:rFonts w:ascii="宋体"/>
                <w:w w:val="95"/>
                <w:sz w:val="13"/>
              </w:rPr>
              <w:t>7,554,233.47</w:t>
            </w:r>
            <w:r>
              <w:rPr>
                <w:rFonts w:ascii="宋体"/>
                <w:sz w:val="13"/>
              </w:rPr>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98"/>
              <w:jc w:val="right"/>
              <w:rPr>
                <w:rFonts w:ascii="宋体" w:hAnsi="宋体" w:cs="宋体" w:eastAsia="宋体" w:hint="default"/>
                <w:sz w:val="13"/>
                <w:szCs w:val="13"/>
              </w:rPr>
            </w:pPr>
            <w:r>
              <w:rPr>
                <w:rFonts w:ascii="宋体"/>
                <w:w w:val="95"/>
                <w:sz w:val="13"/>
              </w:rPr>
              <w:t>144,762.77</w:t>
            </w:r>
            <w:r>
              <w:rPr>
                <w:rFonts w:ascii="宋体"/>
                <w:sz w:val="13"/>
              </w:rPr>
            </w:r>
          </w:p>
        </w:tc>
        <w:tc>
          <w:tcPr>
            <w:tcW w:w="1046"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4"/>
              <w:jc w:val="right"/>
              <w:rPr>
                <w:rFonts w:ascii="宋体" w:hAnsi="宋体" w:cs="宋体" w:eastAsia="宋体" w:hint="default"/>
                <w:sz w:val="13"/>
                <w:szCs w:val="13"/>
              </w:rPr>
            </w:pPr>
            <w:r>
              <w:rPr>
                <w:rFonts w:ascii="宋体"/>
                <w:w w:val="95"/>
                <w:sz w:val="13"/>
              </w:rPr>
              <w:t>7,698,996.24</w:t>
            </w:r>
            <w:r>
              <w:rPr>
                <w:rFonts w:ascii="宋体"/>
                <w:sz w:val="13"/>
              </w:rPr>
            </w:r>
          </w:p>
        </w:tc>
        <w:tc>
          <w:tcPr>
            <w:tcW w:w="45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64" w:right="0"/>
              <w:jc w:val="center"/>
              <w:rPr>
                <w:rFonts w:ascii="宋体" w:hAnsi="宋体" w:cs="宋体" w:eastAsia="宋体" w:hint="default"/>
                <w:sz w:val="13"/>
                <w:szCs w:val="13"/>
              </w:rPr>
            </w:pPr>
            <w:r>
              <w:rPr>
                <w:rFonts w:ascii="宋体"/>
                <w:sz w:val="13"/>
              </w:rPr>
              <w:t>3,470,374.23</w:t>
            </w:r>
          </w:p>
        </w:tc>
        <w:tc>
          <w:tcPr>
            <w:tcW w:w="842"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
        </w:tc>
      </w:tr>
      <w:tr>
        <w:trPr>
          <w:trHeight w:val="353"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23" w:right="0"/>
              <w:jc w:val="left"/>
              <w:rPr>
                <w:rFonts w:ascii="宋体" w:hAnsi="宋体" w:cs="宋体" w:eastAsia="宋体" w:hint="default"/>
                <w:sz w:val="13"/>
                <w:szCs w:val="13"/>
              </w:rPr>
            </w:pPr>
            <w:r>
              <w:rPr>
                <w:rFonts w:ascii="宋体" w:hAnsi="宋体" w:cs="宋体" w:eastAsia="宋体" w:hint="default"/>
                <w:sz w:val="13"/>
                <w:szCs w:val="13"/>
              </w:rPr>
              <w:t>西围</w:t>
            </w:r>
          </w:p>
          <w:p>
            <w:pPr>
              <w:pStyle w:val="TableParagraph"/>
              <w:spacing w:line="240" w:lineRule="auto"/>
              <w:ind w:left="23" w:right="0"/>
              <w:jc w:val="left"/>
              <w:rPr>
                <w:rFonts w:ascii="宋体" w:hAnsi="宋体" w:cs="宋体" w:eastAsia="宋体" w:hint="default"/>
                <w:sz w:val="13"/>
                <w:szCs w:val="13"/>
              </w:rPr>
            </w:pPr>
            <w:r>
              <w:rPr>
                <w:rFonts w:ascii="宋体" w:hAnsi="宋体" w:cs="宋体" w:eastAsia="宋体" w:hint="default"/>
                <w:w w:val="99"/>
                <w:sz w:val="13"/>
                <w:szCs w:val="13"/>
              </w:rPr>
              <w:t>堰</w:t>
            </w:r>
            <w:r>
              <w:rPr>
                <w:rFonts w:ascii="宋体" w:hAnsi="宋体" w:cs="宋体" w:eastAsia="宋体" w:hint="default"/>
                <w:sz w:val="13"/>
                <w:szCs w:val="13"/>
              </w:rPr>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29"/>
              <w:jc w:val="right"/>
              <w:rPr>
                <w:rFonts w:ascii="宋体" w:hAnsi="宋体" w:cs="宋体" w:eastAsia="宋体" w:hint="default"/>
                <w:sz w:val="13"/>
                <w:szCs w:val="13"/>
              </w:rPr>
            </w:pPr>
            <w:r>
              <w:rPr>
                <w:rFonts w:ascii="宋体"/>
                <w:w w:val="95"/>
                <w:sz w:val="13"/>
              </w:rPr>
              <w:t>34,920,000.00</w:t>
            </w:r>
            <w:r>
              <w:rPr>
                <w:rFonts w:ascii="宋体"/>
                <w:sz w:val="13"/>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4,299,549.50</w:t>
            </w:r>
            <w:r>
              <w:rPr>
                <w:rFonts w:ascii="宋体"/>
                <w:sz w:val="13"/>
              </w:rPr>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82,392.83</w:t>
            </w:r>
            <w:r>
              <w:rPr>
                <w:rFonts w:ascii="宋体"/>
                <w:sz w:val="13"/>
              </w:rPr>
            </w:r>
          </w:p>
        </w:tc>
        <w:tc>
          <w:tcPr>
            <w:tcW w:w="1046"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4,381,942.33</w:t>
            </w:r>
            <w:r>
              <w:rPr>
                <w:rFonts w:ascii="宋体"/>
                <w:sz w:val="13"/>
              </w:rPr>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23"/>
              <w:jc w:val="right"/>
              <w:rPr>
                <w:rFonts w:ascii="宋体" w:hAnsi="宋体" w:cs="宋体" w:eastAsia="宋体" w:hint="default"/>
                <w:sz w:val="13"/>
                <w:szCs w:val="13"/>
              </w:rPr>
            </w:pPr>
            <w:r>
              <w:rPr>
                <w:rFonts w:ascii="宋体"/>
                <w:w w:val="95"/>
                <w:sz w:val="13"/>
              </w:rPr>
              <w:t>86.09</w:t>
            </w:r>
            <w:r>
              <w:rPr>
                <w:rFonts w:ascii="宋体"/>
                <w:sz w:val="13"/>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23" w:right="0"/>
              <w:jc w:val="left"/>
              <w:rPr>
                <w:rFonts w:ascii="宋体" w:hAnsi="宋体" w:cs="宋体" w:eastAsia="宋体" w:hint="default"/>
                <w:sz w:val="13"/>
                <w:szCs w:val="13"/>
              </w:rPr>
            </w:pPr>
            <w:r>
              <w:rPr>
                <w:rFonts w:ascii="宋体" w:hAnsi="宋体" w:cs="宋体" w:eastAsia="宋体" w:hint="default"/>
                <w:sz w:val="13"/>
                <w:szCs w:val="13"/>
              </w:rPr>
              <w:t>在建</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64" w:right="0"/>
              <w:jc w:val="center"/>
              <w:rPr>
                <w:rFonts w:ascii="宋体" w:hAnsi="宋体" w:cs="宋体" w:eastAsia="宋体" w:hint="default"/>
                <w:sz w:val="13"/>
                <w:szCs w:val="13"/>
              </w:rPr>
            </w:pPr>
            <w:r>
              <w:rPr>
                <w:rFonts w:ascii="宋体"/>
                <w:sz w:val="13"/>
              </w:rPr>
              <w:t>2,173,966.35</w:t>
            </w:r>
          </w:p>
        </w:tc>
        <w:tc>
          <w:tcPr>
            <w:tcW w:w="842"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239"/>
              <w:jc w:val="center"/>
              <w:rPr>
                <w:rFonts w:ascii="宋体" w:hAnsi="宋体" w:cs="宋体" w:eastAsia="宋体" w:hint="default"/>
                <w:sz w:val="13"/>
                <w:szCs w:val="13"/>
              </w:rPr>
            </w:pPr>
            <w:r>
              <w:rPr>
                <w:rFonts w:ascii="宋体" w:hAnsi="宋体" w:cs="宋体" w:eastAsia="宋体" w:hint="default"/>
                <w:sz w:val="13"/>
                <w:szCs w:val="13"/>
              </w:rPr>
              <w:t>贷款</w:t>
            </w:r>
          </w:p>
        </w:tc>
      </w:tr>
      <w:tr>
        <w:trPr>
          <w:trHeight w:val="1025"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144" w:lineRule="exact"/>
              <w:ind w:left="23" w:right="0"/>
              <w:jc w:val="both"/>
              <w:rPr>
                <w:rFonts w:ascii="宋体" w:hAnsi="宋体" w:cs="宋体" w:eastAsia="宋体" w:hint="default"/>
                <w:sz w:val="13"/>
                <w:szCs w:val="13"/>
              </w:rPr>
            </w:pPr>
            <w:r>
              <w:rPr>
                <w:rFonts w:ascii="宋体" w:hAnsi="宋体" w:cs="宋体" w:eastAsia="宋体" w:hint="default"/>
                <w:sz w:val="13"/>
                <w:szCs w:val="13"/>
              </w:rPr>
              <w:t>锦州</w:t>
            </w:r>
          </w:p>
          <w:p>
            <w:pPr>
              <w:pStyle w:val="TableParagraph"/>
              <w:spacing w:line="237" w:lineRule="auto"/>
              <w:ind w:left="23" w:right="127"/>
              <w:jc w:val="both"/>
              <w:rPr>
                <w:rFonts w:ascii="宋体" w:hAnsi="宋体" w:cs="宋体" w:eastAsia="宋体" w:hint="default"/>
                <w:sz w:val="13"/>
                <w:szCs w:val="13"/>
              </w:rPr>
            </w:pPr>
            <w:r>
              <w:rPr>
                <w:rFonts w:ascii="宋体" w:hAnsi="宋体" w:cs="宋体" w:eastAsia="宋体" w:hint="default"/>
                <w:sz w:val="13"/>
                <w:szCs w:val="13"/>
              </w:rPr>
              <w:t>港四</w:t>
            </w:r>
            <w:r>
              <w:rPr>
                <w:rFonts w:ascii="宋体" w:hAnsi="宋体" w:cs="宋体" w:eastAsia="宋体" w:hint="default"/>
                <w:w w:val="99"/>
                <w:sz w:val="13"/>
                <w:szCs w:val="13"/>
              </w:rPr>
              <w:t> </w:t>
            </w:r>
            <w:r>
              <w:rPr>
                <w:rFonts w:ascii="宋体" w:hAnsi="宋体" w:cs="宋体" w:eastAsia="宋体" w:hint="default"/>
                <w:sz w:val="13"/>
                <w:szCs w:val="13"/>
              </w:rPr>
              <w:t>港池</w:t>
            </w:r>
            <w:r>
              <w:rPr>
                <w:rFonts w:ascii="宋体" w:hAnsi="宋体" w:cs="宋体" w:eastAsia="宋体" w:hint="default"/>
                <w:w w:val="99"/>
                <w:sz w:val="13"/>
                <w:szCs w:val="13"/>
              </w:rPr>
              <w:t> </w:t>
            </w:r>
            <w:r>
              <w:rPr>
                <w:rFonts w:ascii="宋体" w:hAnsi="宋体" w:cs="宋体" w:eastAsia="宋体" w:hint="default"/>
                <w:sz w:val="13"/>
                <w:szCs w:val="13"/>
              </w:rPr>
              <w:t>南围</w:t>
            </w:r>
            <w:r>
              <w:rPr>
                <w:rFonts w:ascii="宋体" w:hAnsi="宋体" w:cs="宋体" w:eastAsia="宋体" w:hint="default"/>
                <w:w w:val="99"/>
                <w:sz w:val="13"/>
                <w:szCs w:val="13"/>
              </w:rPr>
              <w:t> </w:t>
            </w:r>
            <w:r>
              <w:rPr>
                <w:rFonts w:ascii="宋体" w:hAnsi="宋体" w:cs="宋体" w:eastAsia="宋体" w:hint="default"/>
                <w:sz w:val="13"/>
                <w:szCs w:val="13"/>
              </w:rPr>
              <w:t>堰工</w:t>
            </w:r>
            <w:r>
              <w:rPr>
                <w:rFonts w:ascii="宋体" w:hAnsi="宋体" w:cs="宋体" w:eastAsia="宋体" w:hint="default"/>
                <w:w w:val="99"/>
                <w:sz w:val="13"/>
                <w:szCs w:val="13"/>
              </w:rPr>
              <w:t> </w:t>
            </w:r>
            <w:r>
              <w:rPr>
                <w:rFonts w:ascii="宋体" w:hAnsi="宋体" w:cs="宋体" w:eastAsia="宋体" w:hint="default"/>
                <w:sz w:val="13"/>
                <w:szCs w:val="13"/>
              </w:rPr>
              <w:t>程</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29"/>
              <w:jc w:val="right"/>
              <w:rPr>
                <w:rFonts w:ascii="宋体" w:hAnsi="宋体" w:cs="宋体" w:eastAsia="宋体" w:hint="default"/>
                <w:sz w:val="13"/>
                <w:szCs w:val="13"/>
              </w:rPr>
            </w:pPr>
            <w:r>
              <w:rPr>
                <w:rFonts w:ascii="宋体"/>
                <w:w w:val="95"/>
                <w:sz w:val="13"/>
              </w:rPr>
              <w:t>185,075,300.00</w:t>
            </w:r>
            <w:r>
              <w:rPr>
                <w:rFonts w:ascii="宋体"/>
                <w:sz w:val="13"/>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1,009,272.00</w:t>
            </w:r>
            <w:r>
              <w:rPr>
                <w:rFonts w:ascii="宋体"/>
                <w:sz w:val="13"/>
              </w:rPr>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365,541.15</w:t>
            </w:r>
            <w:r>
              <w:rPr>
                <w:rFonts w:ascii="宋体"/>
                <w:sz w:val="13"/>
              </w:rPr>
            </w:r>
          </w:p>
        </w:tc>
        <w:tc>
          <w:tcPr>
            <w:tcW w:w="1046"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1,374,813.15</w:t>
            </w:r>
            <w:r>
              <w:rPr>
                <w:rFonts w:ascii="宋体"/>
                <w:sz w:val="13"/>
              </w:rPr>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23"/>
              <w:jc w:val="right"/>
              <w:rPr>
                <w:rFonts w:ascii="宋体" w:hAnsi="宋体" w:cs="宋体" w:eastAsia="宋体" w:hint="default"/>
                <w:sz w:val="13"/>
                <w:szCs w:val="13"/>
              </w:rPr>
            </w:pPr>
            <w:r>
              <w:rPr>
                <w:rFonts w:ascii="宋体"/>
                <w:w w:val="95"/>
                <w:sz w:val="13"/>
              </w:rPr>
              <w:t>0.74</w:t>
            </w:r>
            <w:r>
              <w:rPr>
                <w:rFonts w:ascii="宋体"/>
                <w:sz w:val="13"/>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23" w:right="0"/>
              <w:jc w:val="left"/>
              <w:rPr>
                <w:rFonts w:ascii="宋体" w:hAnsi="宋体" w:cs="宋体" w:eastAsia="宋体" w:hint="default"/>
                <w:sz w:val="13"/>
                <w:szCs w:val="13"/>
              </w:rPr>
            </w:pPr>
            <w:r>
              <w:rPr>
                <w:rFonts w:ascii="宋体" w:hAnsi="宋体" w:cs="宋体" w:eastAsia="宋体" w:hint="default"/>
                <w:sz w:val="13"/>
                <w:szCs w:val="13"/>
              </w:rPr>
              <w:t>在建</w:t>
            </w:r>
          </w:p>
        </w:tc>
        <w:tc>
          <w:tcPr>
            <w:tcW w:w="910"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144" w:lineRule="exact"/>
              <w:ind w:left="21" w:right="0"/>
              <w:jc w:val="left"/>
              <w:rPr>
                <w:rFonts w:ascii="宋体" w:hAnsi="宋体" w:cs="宋体" w:eastAsia="宋体" w:hint="default"/>
                <w:sz w:val="13"/>
                <w:szCs w:val="13"/>
              </w:rPr>
            </w:pPr>
            <w:r>
              <w:rPr>
                <w:rFonts w:ascii="宋体" w:hAnsi="宋体" w:cs="宋体" w:eastAsia="宋体" w:hint="default"/>
                <w:sz w:val="13"/>
                <w:szCs w:val="13"/>
              </w:rPr>
              <w:t>自筹及</w:t>
            </w:r>
          </w:p>
          <w:p>
            <w:pPr>
              <w:pStyle w:val="TableParagraph"/>
              <w:spacing w:line="169" w:lineRule="exact"/>
              <w:ind w:left="21" w:right="0"/>
              <w:jc w:val="left"/>
              <w:rPr>
                <w:rFonts w:ascii="宋体" w:hAnsi="宋体" w:cs="宋体" w:eastAsia="宋体" w:hint="default"/>
                <w:sz w:val="13"/>
                <w:szCs w:val="13"/>
              </w:rPr>
            </w:pPr>
            <w:r>
              <w:rPr>
                <w:rFonts w:ascii="宋体" w:hAnsi="宋体" w:cs="宋体" w:eastAsia="宋体" w:hint="default"/>
                <w:sz w:val="13"/>
                <w:szCs w:val="13"/>
              </w:rPr>
              <w:t>贷款</w:t>
            </w:r>
          </w:p>
        </w:tc>
      </w:tr>
      <w:tr>
        <w:trPr>
          <w:trHeight w:val="860"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23" w:right="0"/>
              <w:jc w:val="both"/>
              <w:rPr>
                <w:rFonts w:ascii="宋体" w:hAnsi="宋体" w:cs="宋体" w:eastAsia="宋体" w:hint="default"/>
                <w:sz w:val="13"/>
                <w:szCs w:val="13"/>
              </w:rPr>
            </w:pPr>
            <w:r>
              <w:rPr>
                <w:rFonts w:ascii="宋体" w:hAnsi="宋体" w:cs="宋体" w:eastAsia="宋体" w:hint="default"/>
                <w:sz w:val="13"/>
                <w:szCs w:val="13"/>
              </w:rPr>
              <w:t>五港</w:t>
            </w:r>
          </w:p>
          <w:p>
            <w:pPr>
              <w:pStyle w:val="TableParagraph"/>
              <w:spacing w:line="237" w:lineRule="auto"/>
              <w:ind w:left="23" w:right="127"/>
              <w:jc w:val="both"/>
              <w:rPr>
                <w:rFonts w:ascii="宋体" w:hAnsi="宋体" w:cs="宋体" w:eastAsia="宋体" w:hint="default"/>
                <w:sz w:val="13"/>
                <w:szCs w:val="13"/>
              </w:rPr>
            </w:pPr>
            <w:r>
              <w:rPr>
                <w:rFonts w:ascii="宋体" w:hAnsi="宋体" w:cs="宋体" w:eastAsia="宋体" w:hint="default"/>
                <w:sz w:val="13"/>
                <w:szCs w:val="13"/>
              </w:rPr>
              <w:t>池</w:t>
            </w:r>
            <w:r>
              <w:rPr>
                <w:rFonts w:ascii="宋体" w:hAnsi="宋体" w:cs="宋体" w:eastAsia="宋体" w:hint="default"/>
                <w:spacing w:val="-33"/>
                <w:sz w:val="13"/>
                <w:szCs w:val="13"/>
              </w:rPr>
              <w:t> </w:t>
            </w:r>
            <w:r>
              <w:rPr>
                <w:rFonts w:ascii="宋体" w:hAnsi="宋体" w:cs="宋体" w:eastAsia="宋体" w:hint="default"/>
                <w:sz w:val="13"/>
                <w:szCs w:val="13"/>
              </w:rPr>
              <w:t>5</w:t>
            </w:r>
            <w:r>
              <w:rPr>
                <w:rFonts w:ascii="宋体" w:hAnsi="宋体" w:cs="宋体" w:eastAsia="宋体" w:hint="default"/>
                <w:w w:val="99"/>
                <w:sz w:val="13"/>
                <w:szCs w:val="13"/>
              </w:rPr>
              <w:t> </w:t>
            </w:r>
            <w:r>
              <w:rPr>
                <w:rFonts w:ascii="宋体" w:hAnsi="宋体" w:cs="宋体" w:eastAsia="宋体" w:hint="default"/>
                <w:sz w:val="13"/>
                <w:szCs w:val="13"/>
              </w:rPr>
              <w:t>万吨</w:t>
            </w:r>
            <w:r>
              <w:rPr>
                <w:rFonts w:ascii="宋体" w:hAnsi="宋体" w:cs="宋体" w:eastAsia="宋体" w:hint="default"/>
                <w:w w:val="99"/>
                <w:sz w:val="13"/>
                <w:szCs w:val="13"/>
              </w:rPr>
              <w:t> </w:t>
            </w:r>
            <w:r>
              <w:rPr>
                <w:rFonts w:ascii="宋体" w:hAnsi="宋体" w:cs="宋体" w:eastAsia="宋体" w:hint="default"/>
                <w:sz w:val="13"/>
                <w:szCs w:val="13"/>
              </w:rPr>
              <w:t>油泊</w:t>
            </w:r>
            <w:r>
              <w:rPr>
                <w:rFonts w:ascii="宋体" w:hAnsi="宋体" w:cs="宋体" w:eastAsia="宋体" w:hint="default"/>
                <w:w w:val="99"/>
                <w:sz w:val="13"/>
                <w:szCs w:val="13"/>
              </w:rPr>
              <w:t> </w:t>
            </w:r>
            <w:r>
              <w:rPr>
                <w:rFonts w:ascii="宋体" w:hAnsi="宋体" w:cs="宋体" w:eastAsia="宋体" w:hint="default"/>
                <w:sz w:val="13"/>
                <w:szCs w:val="13"/>
              </w:rPr>
              <w:t>位</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29"/>
              <w:jc w:val="right"/>
              <w:rPr>
                <w:rFonts w:ascii="宋体" w:hAnsi="宋体" w:cs="宋体" w:eastAsia="宋体" w:hint="default"/>
                <w:sz w:val="13"/>
                <w:szCs w:val="13"/>
              </w:rPr>
            </w:pPr>
            <w:r>
              <w:rPr>
                <w:rFonts w:ascii="宋体"/>
                <w:w w:val="95"/>
                <w:sz w:val="13"/>
              </w:rPr>
              <w:t>204,800,000.00</w:t>
            </w:r>
            <w:r>
              <w:rPr>
                <w:rFonts w:ascii="宋体"/>
                <w:sz w:val="13"/>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4"/>
              <w:jc w:val="right"/>
              <w:rPr>
                <w:rFonts w:ascii="宋体" w:hAnsi="宋体" w:cs="宋体" w:eastAsia="宋体" w:hint="default"/>
                <w:sz w:val="13"/>
                <w:szCs w:val="13"/>
              </w:rPr>
            </w:pPr>
            <w:r>
              <w:rPr>
                <w:rFonts w:ascii="宋体"/>
                <w:w w:val="95"/>
                <w:sz w:val="13"/>
              </w:rPr>
              <w:t>1,297,967.36</w:t>
            </w:r>
            <w:r>
              <w:rPr>
                <w:rFonts w:ascii="宋体"/>
                <w:sz w:val="13"/>
              </w:rPr>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98"/>
              <w:jc w:val="right"/>
              <w:rPr>
                <w:rFonts w:ascii="宋体" w:hAnsi="宋体" w:cs="宋体" w:eastAsia="宋体" w:hint="default"/>
                <w:sz w:val="13"/>
                <w:szCs w:val="13"/>
              </w:rPr>
            </w:pPr>
            <w:r>
              <w:rPr>
                <w:rFonts w:ascii="宋体"/>
                <w:w w:val="95"/>
                <w:sz w:val="13"/>
              </w:rPr>
              <w:t>28,817.48</w:t>
            </w:r>
            <w:r>
              <w:rPr>
                <w:rFonts w:ascii="宋体"/>
                <w:sz w:val="13"/>
              </w:rPr>
            </w:r>
          </w:p>
        </w:tc>
        <w:tc>
          <w:tcPr>
            <w:tcW w:w="1046" w:type="dxa"/>
            <w:tcBorders>
              <w:top w:val="single" w:sz="6" w:space="0" w:color="000000"/>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4"/>
              <w:jc w:val="right"/>
              <w:rPr>
                <w:rFonts w:ascii="宋体" w:hAnsi="宋体" w:cs="宋体" w:eastAsia="宋体" w:hint="default"/>
                <w:sz w:val="13"/>
                <w:szCs w:val="13"/>
              </w:rPr>
            </w:pPr>
            <w:r>
              <w:rPr>
                <w:rFonts w:ascii="宋体"/>
                <w:w w:val="95"/>
                <w:sz w:val="13"/>
              </w:rPr>
              <w:t>1,326,784.84</w:t>
            </w:r>
            <w:r>
              <w:rPr>
                <w:rFonts w:ascii="宋体"/>
                <w:sz w:val="13"/>
              </w:rPr>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3"/>
              <w:jc w:val="right"/>
              <w:rPr>
                <w:rFonts w:ascii="宋体" w:hAnsi="宋体" w:cs="宋体" w:eastAsia="宋体" w:hint="default"/>
                <w:sz w:val="13"/>
                <w:szCs w:val="13"/>
              </w:rPr>
            </w:pPr>
            <w:r>
              <w:rPr>
                <w:rFonts w:ascii="宋体"/>
                <w:w w:val="95"/>
                <w:sz w:val="13"/>
              </w:rPr>
              <w:t>0.75</w:t>
            </w:r>
            <w:r>
              <w:rPr>
                <w:rFonts w:ascii="宋体"/>
                <w:sz w:val="13"/>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23" w:right="0"/>
              <w:jc w:val="left"/>
              <w:rPr>
                <w:rFonts w:ascii="宋体" w:hAnsi="宋体" w:cs="宋体" w:eastAsia="宋体" w:hint="default"/>
                <w:sz w:val="13"/>
                <w:szCs w:val="13"/>
              </w:rPr>
            </w:pPr>
            <w:r>
              <w:rPr>
                <w:rFonts w:ascii="宋体" w:hAnsi="宋体" w:cs="宋体" w:eastAsia="宋体" w:hint="default"/>
                <w:sz w:val="13"/>
                <w:szCs w:val="13"/>
              </w:rPr>
              <w:t>在建</w:t>
            </w:r>
          </w:p>
        </w:tc>
        <w:tc>
          <w:tcPr>
            <w:tcW w:w="910"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39"/>
              <w:jc w:val="center"/>
              <w:rPr>
                <w:rFonts w:ascii="宋体" w:hAnsi="宋体" w:cs="宋体" w:eastAsia="宋体" w:hint="default"/>
                <w:sz w:val="13"/>
                <w:szCs w:val="13"/>
              </w:rPr>
            </w:pPr>
            <w:r>
              <w:rPr>
                <w:rFonts w:ascii="宋体" w:hAnsi="宋体" w:cs="宋体" w:eastAsia="宋体" w:hint="default"/>
                <w:sz w:val="13"/>
                <w:szCs w:val="13"/>
              </w:rPr>
              <w:t>自筹</w:t>
            </w:r>
          </w:p>
        </w:tc>
      </w:tr>
      <w:tr>
        <w:trPr>
          <w:trHeight w:val="1027"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144" w:lineRule="exact"/>
              <w:ind w:left="23" w:right="0"/>
              <w:jc w:val="both"/>
              <w:rPr>
                <w:rFonts w:ascii="宋体" w:hAnsi="宋体" w:cs="宋体" w:eastAsia="宋体" w:hint="default"/>
                <w:sz w:val="13"/>
                <w:szCs w:val="13"/>
              </w:rPr>
            </w:pPr>
            <w:r>
              <w:rPr>
                <w:rFonts w:ascii="宋体" w:hAnsi="宋体" w:cs="宋体" w:eastAsia="宋体" w:hint="default"/>
                <w:sz w:val="13"/>
                <w:szCs w:val="13"/>
              </w:rPr>
              <w:t>三港</w:t>
            </w:r>
          </w:p>
          <w:p>
            <w:pPr>
              <w:pStyle w:val="TableParagraph"/>
              <w:spacing w:line="237" w:lineRule="auto"/>
              <w:ind w:left="23" w:right="127"/>
              <w:jc w:val="both"/>
              <w:rPr>
                <w:rFonts w:ascii="宋体" w:hAnsi="宋体" w:cs="宋体" w:eastAsia="宋体" w:hint="default"/>
                <w:sz w:val="13"/>
                <w:szCs w:val="13"/>
              </w:rPr>
            </w:pPr>
            <w:r>
              <w:rPr>
                <w:rFonts w:ascii="宋体" w:hAnsi="宋体" w:cs="宋体" w:eastAsia="宋体" w:hint="default"/>
                <w:sz w:val="13"/>
                <w:szCs w:val="13"/>
              </w:rPr>
              <w:t>池东</w:t>
            </w:r>
            <w:r>
              <w:rPr>
                <w:rFonts w:ascii="宋体" w:hAnsi="宋体" w:cs="宋体" w:eastAsia="宋体" w:hint="default"/>
                <w:w w:val="99"/>
                <w:sz w:val="13"/>
                <w:szCs w:val="13"/>
              </w:rPr>
              <w:t> </w:t>
            </w:r>
            <w:r>
              <w:rPr>
                <w:rFonts w:ascii="宋体" w:hAnsi="宋体" w:cs="宋体" w:eastAsia="宋体" w:hint="default"/>
                <w:sz w:val="13"/>
                <w:szCs w:val="13"/>
              </w:rPr>
              <w:t>岸区</w:t>
            </w:r>
            <w:r>
              <w:rPr>
                <w:rFonts w:ascii="宋体" w:hAnsi="宋体" w:cs="宋体" w:eastAsia="宋体" w:hint="default"/>
                <w:w w:val="99"/>
                <w:sz w:val="13"/>
                <w:szCs w:val="13"/>
              </w:rPr>
              <w:t> </w:t>
            </w:r>
            <w:r>
              <w:rPr>
                <w:rFonts w:ascii="宋体" w:hAnsi="宋体" w:cs="宋体" w:eastAsia="宋体" w:hint="default"/>
                <w:sz w:val="13"/>
                <w:szCs w:val="13"/>
              </w:rPr>
              <w:t>通用</w:t>
            </w:r>
            <w:r>
              <w:rPr>
                <w:rFonts w:ascii="宋体" w:hAnsi="宋体" w:cs="宋体" w:eastAsia="宋体" w:hint="default"/>
                <w:w w:val="99"/>
                <w:sz w:val="13"/>
                <w:szCs w:val="13"/>
              </w:rPr>
              <w:t> </w:t>
            </w:r>
            <w:r>
              <w:rPr>
                <w:rFonts w:ascii="宋体" w:hAnsi="宋体" w:cs="宋体" w:eastAsia="宋体" w:hint="default"/>
                <w:sz w:val="13"/>
                <w:szCs w:val="13"/>
              </w:rPr>
              <w:t>泊位</w:t>
            </w:r>
            <w:r>
              <w:rPr>
                <w:rFonts w:ascii="宋体" w:hAnsi="宋体" w:cs="宋体" w:eastAsia="宋体" w:hint="default"/>
                <w:w w:val="99"/>
                <w:sz w:val="13"/>
                <w:szCs w:val="13"/>
              </w:rPr>
              <w:t> </w:t>
            </w:r>
            <w:r>
              <w:rPr>
                <w:rFonts w:ascii="宋体" w:hAnsi="宋体" w:cs="宋体" w:eastAsia="宋体" w:hint="default"/>
                <w:sz w:val="13"/>
                <w:szCs w:val="13"/>
              </w:rPr>
              <w:t>工程</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29"/>
              <w:jc w:val="right"/>
              <w:rPr>
                <w:rFonts w:ascii="宋体" w:hAnsi="宋体" w:cs="宋体" w:eastAsia="宋体" w:hint="default"/>
                <w:sz w:val="13"/>
                <w:szCs w:val="13"/>
              </w:rPr>
            </w:pPr>
            <w:r>
              <w:rPr>
                <w:rFonts w:ascii="宋体"/>
                <w:w w:val="95"/>
                <w:sz w:val="13"/>
              </w:rPr>
              <w:t>1,069,661,000.00</w:t>
            </w:r>
            <w:r>
              <w:rPr>
                <w:rFonts w:ascii="宋体"/>
                <w:sz w:val="13"/>
              </w:rPr>
            </w:r>
          </w:p>
        </w:tc>
        <w:tc>
          <w:tcPr>
            <w:tcW w:w="974" w:type="dxa"/>
            <w:tcBorders>
              <w:top w:val="single" w:sz="6" w:space="0" w:color="000000"/>
              <w:left w:val="single" w:sz="6" w:space="0" w:color="000000"/>
              <w:bottom w:val="single" w:sz="6" w:space="0" w:color="000000"/>
              <w:right w:val="single" w:sz="6" w:space="0" w:color="000000"/>
            </w:tcBorders>
          </w:tcPr>
          <w:p>
            <w:pP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88" w:right="0"/>
              <w:jc w:val="left"/>
              <w:rPr>
                <w:rFonts w:ascii="宋体" w:hAnsi="宋体" w:cs="宋体" w:eastAsia="宋体" w:hint="default"/>
                <w:sz w:val="13"/>
                <w:szCs w:val="13"/>
              </w:rPr>
            </w:pPr>
            <w:r>
              <w:rPr>
                <w:rFonts w:ascii="宋体"/>
                <w:sz w:val="13"/>
              </w:rPr>
              <w:t>84,034,445.69</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1"/>
              <w:jc w:val="center"/>
              <w:rPr>
                <w:rFonts w:ascii="宋体" w:hAnsi="宋体" w:cs="宋体" w:eastAsia="宋体" w:hint="default"/>
                <w:sz w:val="13"/>
                <w:szCs w:val="13"/>
              </w:rPr>
            </w:pPr>
            <w:r>
              <w:rPr>
                <w:rFonts w:ascii="宋体"/>
                <w:sz w:val="13"/>
              </w:rPr>
              <w:t>84,034,445.69</w:t>
            </w:r>
          </w:p>
        </w:tc>
        <w:tc>
          <w:tcPr>
            <w:tcW w:w="972"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123.48</w:t>
            </w:r>
            <w:r>
              <w:rPr>
                <w:rFonts w:ascii="宋体"/>
                <w:sz w:val="13"/>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23" w:right="0"/>
              <w:jc w:val="left"/>
              <w:rPr>
                <w:rFonts w:ascii="宋体" w:hAnsi="宋体" w:cs="宋体" w:eastAsia="宋体" w:hint="default"/>
                <w:sz w:val="13"/>
                <w:szCs w:val="13"/>
              </w:rPr>
            </w:pPr>
            <w:r>
              <w:rPr>
                <w:rFonts w:ascii="宋体" w:hAnsi="宋体" w:cs="宋体" w:eastAsia="宋体" w:hint="default"/>
                <w:sz w:val="13"/>
                <w:szCs w:val="13"/>
              </w:rPr>
              <w:t>基本完工</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0"/>
              <w:jc w:val="center"/>
              <w:rPr>
                <w:rFonts w:ascii="宋体" w:hAnsi="宋体" w:cs="宋体" w:eastAsia="宋体" w:hint="default"/>
                <w:sz w:val="13"/>
                <w:szCs w:val="13"/>
              </w:rPr>
            </w:pPr>
            <w:r>
              <w:rPr>
                <w:rFonts w:ascii="宋体"/>
                <w:sz w:val="13"/>
              </w:rPr>
              <w:t>25,472,337.16</w:t>
            </w:r>
          </w:p>
        </w:tc>
        <w:tc>
          <w:tcPr>
            <w:tcW w:w="842"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144" w:lineRule="exact"/>
              <w:ind w:left="21" w:right="0"/>
              <w:jc w:val="left"/>
              <w:rPr>
                <w:rFonts w:ascii="宋体" w:hAnsi="宋体" w:cs="宋体" w:eastAsia="宋体" w:hint="default"/>
                <w:sz w:val="13"/>
                <w:szCs w:val="13"/>
              </w:rPr>
            </w:pPr>
            <w:r>
              <w:rPr>
                <w:rFonts w:ascii="宋体" w:hAnsi="宋体" w:cs="宋体" w:eastAsia="宋体" w:hint="default"/>
                <w:sz w:val="13"/>
                <w:szCs w:val="13"/>
              </w:rPr>
              <w:t>自筹及</w:t>
            </w:r>
          </w:p>
          <w:p>
            <w:pPr>
              <w:pStyle w:val="TableParagraph"/>
              <w:spacing w:line="169" w:lineRule="exact"/>
              <w:ind w:left="21" w:right="0"/>
              <w:jc w:val="left"/>
              <w:rPr>
                <w:rFonts w:ascii="宋体" w:hAnsi="宋体" w:cs="宋体" w:eastAsia="宋体" w:hint="default"/>
                <w:sz w:val="13"/>
                <w:szCs w:val="13"/>
              </w:rPr>
            </w:pPr>
            <w:r>
              <w:rPr>
                <w:rFonts w:ascii="宋体" w:hAnsi="宋体" w:cs="宋体" w:eastAsia="宋体" w:hint="default"/>
                <w:sz w:val="13"/>
                <w:szCs w:val="13"/>
              </w:rPr>
              <w:t>贷款</w:t>
            </w:r>
          </w:p>
        </w:tc>
      </w:tr>
      <w:tr>
        <w:trPr>
          <w:trHeight w:val="1195"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144" w:lineRule="exact"/>
              <w:ind w:left="23" w:right="0"/>
              <w:jc w:val="both"/>
              <w:rPr>
                <w:rFonts w:ascii="宋体" w:hAnsi="宋体" w:cs="宋体" w:eastAsia="宋体" w:hint="default"/>
                <w:sz w:val="13"/>
                <w:szCs w:val="13"/>
              </w:rPr>
            </w:pPr>
            <w:r>
              <w:rPr>
                <w:rFonts w:ascii="宋体" w:hAnsi="宋体" w:cs="宋体" w:eastAsia="宋体" w:hint="default"/>
                <w:sz w:val="13"/>
                <w:szCs w:val="13"/>
              </w:rPr>
              <w:t>锦州</w:t>
            </w:r>
          </w:p>
          <w:p>
            <w:pPr>
              <w:pStyle w:val="TableParagraph"/>
              <w:spacing w:line="237" w:lineRule="auto"/>
              <w:ind w:left="23" w:right="127"/>
              <w:jc w:val="both"/>
              <w:rPr>
                <w:rFonts w:ascii="宋体" w:hAnsi="宋体" w:cs="宋体" w:eastAsia="宋体" w:hint="default"/>
                <w:sz w:val="13"/>
                <w:szCs w:val="13"/>
              </w:rPr>
            </w:pPr>
            <w:r>
              <w:rPr>
                <w:rFonts w:ascii="宋体" w:hAnsi="宋体" w:cs="宋体" w:eastAsia="宋体" w:hint="default"/>
                <w:sz w:val="13"/>
                <w:szCs w:val="13"/>
              </w:rPr>
              <w:t>港油</w:t>
            </w:r>
            <w:r>
              <w:rPr>
                <w:rFonts w:ascii="宋体" w:hAnsi="宋体" w:cs="宋体" w:eastAsia="宋体" w:hint="default"/>
                <w:w w:val="99"/>
                <w:sz w:val="13"/>
                <w:szCs w:val="13"/>
              </w:rPr>
              <w:t> </w:t>
            </w:r>
            <w:r>
              <w:rPr>
                <w:rFonts w:ascii="宋体" w:hAnsi="宋体" w:cs="宋体" w:eastAsia="宋体" w:hint="default"/>
                <w:sz w:val="13"/>
                <w:szCs w:val="13"/>
              </w:rPr>
              <w:t>品灌</w:t>
            </w:r>
            <w:r>
              <w:rPr>
                <w:rFonts w:ascii="宋体" w:hAnsi="宋体" w:cs="宋体" w:eastAsia="宋体" w:hint="default"/>
                <w:w w:val="99"/>
                <w:sz w:val="13"/>
                <w:szCs w:val="13"/>
              </w:rPr>
              <w:t> </w:t>
            </w:r>
            <w:r>
              <w:rPr>
                <w:rFonts w:ascii="宋体" w:hAnsi="宋体" w:cs="宋体" w:eastAsia="宋体" w:hint="default"/>
                <w:sz w:val="13"/>
                <w:szCs w:val="13"/>
              </w:rPr>
              <w:t>区工</w:t>
            </w:r>
            <w:r>
              <w:rPr>
                <w:rFonts w:ascii="宋体" w:hAnsi="宋体" w:cs="宋体" w:eastAsia="宋体" w:hint="default"/>
                <w:w w:val="99"/>
                <w:sz w:val="13"/>
                <w:szCs w:val="13"/>
              </w:rPr>
              <w:t> </w:t>
            </w:r>
            <w:r>
              <w:rPr>
                <w:rFonts w:ascii="宋体" w:hAnsi="宋体" w:cs="宋体" w:eastAsia="宋体" w:hint="default"/>
                <w:sz w:val="13"/>
                <w:szCs w:val="13"/>
              </w:rPr>
              <w:t>程</w:t>
            </w:r>
          </w:p>
          <w:p>
            <w:pPr>
              <w:pStyle w:val="TableParagraph"/>
              <w:spacing w:line="168" w:lineRule="exact" w:before="15"/>
              <w:ind w:left="23" w:right="127"/>
              <w:jc w:val="both"/>
              <w:rPr>
                <w:rFonts w:ascii="宋体" w:hAnsi="宋体" w:cs="宋体" w:eastAsia="宋体" w:hint="default"/>
                <w:sz w:val="13"/>
                <w:szCs w:val="13"/>
              </w:rPr>
            </w:pPr>
            <w:r>
              <w:rPr>
                <w:rFonts w:ascii="宋体" w:hAnsi="宋体" w:cs="宋体" w:eastAsia="宋体" w:hint="default"/>
                <w:sz w:val="13"/>
                <w:szCs w:val="13"/>
              </w:rPr>
              <w:t>（一</w:t>
            </w:r>
            <w:r>
              <w:rPr>
                <w:rFonts w:ascii="宋体" w:hAnsi="宋体" w:cs="宋体" w:eastAsia="宋体" w:hint="default"/>
                <w:w w:val="99"/>
                <w:sz w:val="13"/>
                <w:szCs w:val="13"/>
              </w:rPr>
              <w:t> </w:t>
            </w:r>
            <w:r>
              <w:rPr>
                <w:rFonts w:ascii="宋体" w:hAnsi="宋体" w:cs="宋体" w:eastAsia="宋体" w:hint="default"/>
                <w:sz w:val="13"/>
                <w:szCs w:val="13"/>
              </w:rPr>
              <w:t>期）</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29"/>
              <w:jc w:val="right"/>
              <w:rPr>
                <w:rFonts w:ascii="宋体" w:hAnsi="宋体" w:cs="宋体" w:eastAsia="宋体" w:hint="default"/>
                <w:sz w:val="13"/>
                <w:szCs w:val="13"/>
              </w:rPr>
            </w:pPr>
            <w:r>
              <w:rPr>
                <w:rFonts w:ascii="宋体"/>
                <w:w w:val="95"/>
                <w:sz w:val="13"/>
              </w:rPr>
              <w:t>845,688,100.00</w:t>
            </w:r>
            <w:r>
              <w:rPr>
                <w:rFonts w:ascii="宋体"/>
                <w:sz w:val="13"/>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734,102,720.75</w:t>
            </w:r>
            <w:r>
              <w:rPr>
                <w:rFonts w:ascii="宋体"/>
                <w:sz w:val="13"/>
              </w:rPr>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88" w:right="0"/>
              <w:jc w:val="left"/>
              <w:rPr>
                <w:rFonts w:ascii="宋体" w:hAnsi="宋体" w:cs="宋体" w:eastAsia="宋体" w:hint="default"/>
                <w:sz w:val="13"/>
                <w:szCs w:val="13"/>
              </w:rPr>
            </w:pPr>
            <w:r>
              <w:rPr>
                <w:rFonts w:ascii="宋体"/>
                <w:sz w:val="13"/>
              </w:rPr>
              <w:t>27,140,933.55</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74"/>
              <w:jc w:val="center"/>
              <w:rPr>
                <w:rFonts w:ascii="宋体" w:hAnsi="宋体" w:cs="宋体" w:eastAsia="宋体" w:hint="default"/>
                <w:sz w:val="13"/>
                <w:szCs w:val="13"/>
              </w:rPr>
            </w:pPr>
            <w:r>
              <w:rPr>
                <w:rFonts w:ascii="宋体"/>
                <w:sz w:val="13"/>
              </w:rPr>
              <w:t>711,970,304.24</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49,273,350.06</w:t>
            </w:r>
            <w:r>
              <w:rPr>
                <w:rFonts w:ascii="宋体"/>
                <w:sz w:val="13"/>
              </w:rPr>
            </w:r>
          </w:p>
        </w:tc>
        <w:tc>
          <w:tcPr>
            <w:tcW w:w="975"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23"/>
              <w:jc w:val="right"/>
              <w:rPr>
                <w:rFonts w:ascii="宋体" w:hAnsi="宋体" w:cs="宋体" w:eastAsia="宋体" w:hint="default"/>
                <w:sz w:val="13"/>
                <w:szCs w:val="13"/>
              </w:rPr>
            </w:pPr>
            <w:r>
              <w:rPr>
                <w:rFonts w:ascii="宋体"/>
                <w:w w:val="95"/>
                <w:sz w:val="13"/>
              </w:rPr>
              <w:t>95.18</w:t>
            </w:r>
            <w:r>
              <w:rPr>
                <w:rFonts w:ascii="宋体"/>
                <w:sz w:val="13"/>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23" w:right="0"/>
              <w:jc w:val="left"/>
              <w:rPr>
                <w:rFonts w:ascii="宋体" w:hAnsi="宋体" w:cs="宋体" w:eastAsia="宋体" w:hint="default"/>
                <w:sz w:val="13"/>
                <w:szCs w:val="13"/>
              </w:rPr>
            </w:pPr>
            <w:r>
              <w:rPr>
                <w:rFonts w:ascii="宋体" w:hAnsi="宋体" w:cs="宋体" w:eastAsia="宋体" w:hint="default"/>
                <w:sz w:val="13"/>
                <w:szCs w:val="13"/>
              </w:rPr>
              <w:t>基本完工</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0"/>
              <w:jc w:val="center"/>
              <w:rPr>
                <w:rFonts w:ascii="宋体" w:hAnsi="宋体" w:cs="宋体" w:eastAsia="宋体" w:hint="default"/>
                <w:sz w:val="13"/>
                <w:szCs w:val="13"/>
              </w:rPr>
            </w:pPr>
            <w:r>
              <w:rPr>
                <w:rFonts w:ascii="宋体"/>
                <w:sz w:val="13"/>
              </w:rPr>
              <w:t>24,104,512.85</w:t>
            </w:r>
          </w:p>
        </w:tc>
        <w:tc>
          <w:tcPr>
            <w:tcW w:w="842"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144" w:lineRule="exact"/>
              <w:ind w:left="21" w:right="0"/>
              <w:jc w:val="left"/>
              <w:rPr>
                <w:rFonts w:ascii="宋体" w:hAnsi="宋体" w:cs="宋体" w:eastAsia="宋体" w:hint="default"/>
                <w:sz w:val="13"/>
                <w:szCs w:val="13"/>
              </w:rPr>
            </w:pPr>
            <w:r>
              <w:rPr>
                <w:rFonts w:ascii="宋体" w:hAnsi="宋体" w:cs="宋体" w:eastAsia="宋体" w:hint="default"/>
                <w:sz w:val="13"/>
                <w:szCs w:val="13"/>
              </w:rPr>
              <w:t>自筹及</w:t>
            </w:r>
          </w:p>
          <w:p>
            <w:pPr>
              <w:pStyle w:val="TableParagraph"/>
              <w:spacing w:line="169" w:lineRule="exact"/>
              <w:ind w:left="21" w:right="0"/>
              <w:jc w:val="left"/>
              <w:rPr>
                <w:rFonts w:ascii="宋体" w:hAnsi="宋体" w:cs="宋体" w:eastAsia="宋体" w:hint="default"/>
                <w:sz w:val="13"/>
                <w:szCs w:val="13"/>
              </w:rPr>
            </w:pPr>
            <w:r>
              <w:rPr>
                <w:rFonts w:ascii="宋体" w:hAnsi="宋体" w:cs="宋体" w:eastAsia="宋体" w:hint="default"/>
                <w:sz w:val="13"/>
                <w:szCs w:val="13"/>
              </w:rPr>
              <w:t>贷款</w:t>
            </w:r>
          </w:p>
        </w:tc>
      </w:tr>
      <w:tr>
        <w:trPr>
          <w:trHeight w:val="1196"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144" w:lineRule="exact"/>
              <w:ind w:left="23" w:right="0"/>
              <w:jc w:val="both"/>
              <w:rPr>
                <w:rFonts w:ascii="宋体" w:hAnsi="宋体" w:cs="宋体" w:eastAsia="宋体" w:hint="default"/>
                <w:sz w:val="13"/>
                <w:szCs w:val="13"/>
              </w:rPr>
            </w:pPr>
            <w:r>
              <w:rPr>
                <w:rFonts w:ascii="宋体" w:hAnsi="宋体" w:cs="宋体" w:eastAsia="宋体" w:hint="default"/>
                <w:sz w:val="13"/>
                <w:szCs w:val="13"/>
              </w:rPr>
              <w:t>三、</w:t>
            </w:r>
          </w:p>
          <w:p>
            <w:pPr>
              <w:pStyle w:val="TableParagraph"/>
              <w:spacing w:line="237" w:lineRule="auto"/>
              <w:ind w:left="23" w:right="127"/>
              <w:jc w:val="both"/>
              <w:rPr>
                <w:rFonts w:ascii="宋体" w:hAnsi="宋体" w:cs="宋体" w:eastAsia="宋体" w:hint="default"/>
                <w:sz w:val="13"/>
                <w:szCs w:val="13"/>
              </w:rPr>
            </w:pPr>
            <w:r>
              <w:rPr>
                <w:rFonts w:ascii="宋体" w:hAnsi="宋体" w:cs="宋体" w:eastAsia="宋体" w:hint="default"/>
                <w:sz w:val="13"/>
                <w:szCs w:val="13"/>
              </w:rPr>
              <w:t>四港</w:t>
            </w:r>
            <w:r>
              <w:rPr>
                <w:rFonts w:ascii="宋体" w:hAnsi="宋体" w:cs="宋体" w:eastAsia="宋体" w:hint="default"/>
                <w:w w:val="99"/>
                <w:sz w:val="13"/>
                <w:szCs w:val="13"/>
              </w:rPr>
              <w:t> </w:t>
            </w:r>
            <w:r>
              <w:rPr>
                <w:rFonts w:ascii="宋体" w:hAnsi="宋体" w:cs="宋体" w:eastAsia="宋体" w:hint="default"/>
                <w:sz w:val="13"/>
                <w:szCs w:val="13"/>
              </w:rPr>
              <w:t>池西</w:t>
            </w:r>
            <w:r>
              <w:rPr>
                <w:rFonts w:ascii="宋体" w:hAnsi="宋体" w:cs="宋体" w:eastAsia="宋体" w:hint="default"/>
                <w:w w:val="99"/>
                <w:sz w:val="13"/>
                <w:szCs w:val="13"/>
              </w:rPr>
              <w:t> </w:t>
            </w:r>
            <w:r>
              <w:rPr>
                <w:rFonts w:ascii="宋体" w:hAnsi="宋体" w:cs="宋体" w:eastAsia="宋体" w:hint="default"/>
                <w:sz w:val="13"/>
                <w:szCs w:val="13"/>
              </w:rPr>
              <w:t>防波</w:t>
            </w:r>
            <w:r>
              <w:rPr>
                <w:rFonts w:ascii="宋体" w:hAnsi="宋体" w:cs="宋体" w:eastAsia="宋体" w:hint="default"/>
                <w:w w:val="99"/>
                <w:sz w:val="13"/>
                <w:szCs w:val="13"/>
              </w:rPr>
              <w:t> </w:t>
            </w:r>
            <w:r>
              <w:rPr>
                <w:rFonts w:ascii="宋体" w:hAnsi="宋体" w:cs="宋体" w:eastAsia="宋体" w:hint="default"/>
                <w:sz w:val="13"/>
                <w:szCs w:val="13"/>
              </w:rPr>
              <w:t>堤及</w:t>
            </w:r>
            <w:r>
              <w:rPr>
                <w:rFonts w:ascii="宋体" w:hAnsi="宋体" w:cs="宋体" w:eastAsia="宋体" w:hint="default"/>
                <w:w w:val="99"/>
                <w:sz w:val="13"/>
                <w:szCs w:val="13"/>
              </w:rPr>
              <w:t> </w:t>
            </w:r>
            <w:r>
              <w:rPr>
                <w:rFonts w:ascii="宋体" w:hAnsi="宋体" w:cs="宋体" w:eastAsia="宋体" w:hint="default"/>
                <w:sz w:val="13"/>
                <w:szCs w:val="13"/>
              </w:rPr>
              <w:t>围埝</w:t>
            </w:r>
            <w:r>
              <w:rPr>
                <w:rFonts w:ascii="宋体" w:hAnsi="宋体" w:cs="宋体" w:eastAsia="宋体" w:hint="default"/>
                <w:w w:val="99"/>
                <w:sz w:val="13"/>
                <w:szCs w:val="13"/>
              </w:rPr>
              <w:t> </w:t>
            </w:r>
            <w:r>
              <w:rPr>
                <w:rFonts w:ascii="宋体" w:hAnsi="宋体" w:cs="宋体" w:eastAsia="宋体" w:hint="default"/>
                <w:sz w:val="13"/>
                <w:szCs w:val="13"/>
              </w:rPr>
              <w:t>工程</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29"/>
              <w:jc w:val="right"/>
              <w:rPr>
                <w:rFonts w:ascii="宋体" w:hAnsi="宋体" w:cs="宋体" w:eastAsia="宋体" w:hint="default"/>
                <w:sz w:val="13"/>
                <w:szCs w:val="13"/>
              </w:rPr>
            </w:pPr>
            <w:r>
              <w:rPr>
                <w:rFonts w:ascii="宋体"/>
                <w:w w:val="95"/>
                <w:sz w:val="13"/>
              </w:rPr>
              <w:t>374,141,800.00</w:t>
            </w:r>
            <w:r>
              <w:rPr>
                <w:rFonts w:ascii="宋体"/>
                <w:sz w:val="13"/>
              </w:rPr>
            </w:r>
          </w:p>
        </w:tc>
        <w:tc>
          <w:tcPr>
            <w:tcW w:w="974" w:type="dxa"/>
            <w:tcBorders>
              <w:top w:val="single" w:sz="6" w:space="0" w:color="000000"/>
              <w:left w:val="single" w:sz="6" w:space="0" w:color="000000"/>
              <w:bottom w:val="single" w:sz="6" w:space="0" w:color="000000"/>
              <w:right w:val="single" w:sz="6" w:space="0" w:color="000000"/>
            </w:tcBorders>
          </w:tcPr>
          <w:p>
            <w:pP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88" w:right="0"/>
              <w:jc w:val="left"/>
              <w:rPr>
                <w:rFonts w:ascii="宋体" w:hAnsi="宋体" w:cs="宋体" w:eastAsia="宋体" w:hint="default"/>
                <w:sz w:val="13"/>
                <w:szCs w:val="13"/>
              </w:rPr>
            </w:pPr>
            <w:r>
              <w:rPr>
                <w:rFonts w:ascii="宋体"/>
                <w:sz w:val="13"/>
              </w:rPr>
              <w:t>10,545,175.00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1"/>
              <w:jc w:val="center"/>
              <w:rPr>
                <w:rFonts w:ascii="宋体" w:hAnsi="宋体" w:cs="宋体" w:eastAsia="宋体" w:hint="default"/>
                <w:sz w:val="13"/>
                <w:szCs w:val="13"/>
              </w:rPr>
            </w:pPr>
            <w:r>
              <w:rPr>
                <w:rFonts w:ascii="宋体"/>
                <w:sz w:val="13"/>
              </w:rPr>
              <w:t>10,545,175.00</w:t>
            </w:r>
          </w:p>
        </w:tc>
        <w:tc>
          <w:tcPr>
            <w:tcW w:w="972"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23"/>
              <w:jc w:val="right"/>
              <w:rPr>
                <w:rFonts w:ascii="宋体" w:hAnsi="宋体" w:cs="宋体" w:eastAsia="宋体" w:hint="default"/>
                <w:sz w:val="13"/>
                <w:szCs w:val="13"/>
              </w:rPr>
            </w:pPr>
            <w:r>
              <w:rPr>
                <w:rFonts w:ascii="宋体"/>
                <w:w w:val="95"/>
                <w:sz w:val="13"/>
              </w:rPr>
              <w:t>66.38</w:t>
            </w:r>
            <w:r>
              <w:rPr>
                <w:rFonts w:ascii="宋体"/>
                <w:sz w:val="13"/>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23" w:right="0"/>
              <w:jc w:val="left"/>
              <w:rPr>
                <w:rFonts w:ascii="宋体" w:hAnsi="宋体" w:cs="宋体" w:eastAsia="宋体" w:hint="default"/>
                <w:sz w:val="13"/>
                <w:szCs w:val="13"/>
              </w:rPr>
            </w:pPr>
            <w:r>
              <w:rPr>
                <w:rFonts w:ascii="宋体" w:hAnsi="宋体" w:cs="宋体" w:eastAsia="宋体" w:hint="default"/>
                <w:sz w:val="13"/>
                <w:szCs w:val="13"/>
              </w:rPr>
              <w:t>基本完工</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0"/>
              <w:jc w:val="center"/>
              <w:rPr>
                <w:rFonts w:ascii="宋体" w:hAnsi="宋体" w:cs="宋体" w:eastAsia="宋体" w:hint="default"/>
                <w:sz w:val="13"/>
                <w:szCs w:val="13"/>
              </w:rPr>
            </w:pPr>
            <w:r>
              <w:rPr>
                <w:rFonts w:ascii="宋体"/>
                <w:sz w:val="13"/>
              </w:rPr>
              <w:t>17,950,407.94</w:t>
            </w:r>
          </w:p>
        </w:tc>
        <w:tc>
          <w:tcPr>
            <w:tcW w:w="842"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144" w:lineRule="exact"/>
              <w:ind w:left="21" w:right="0"/>
              <w:jc w:val="left"/>
              <w:rPr>
                <w:rFonts w:ascii="宋体" w:hAnsi="宋体" w:cs="宋体" w:eastAsia="宋体" w:hint="default"/>
                <w:sz w:val="13"/>
                <w:szCs w:val="13"/>
              </w:rPr>
            </w:pPr>
            <w:r>
              <w:rPr>
                <w:rFonts w:ascii="宋体" w:hAnsi="宋体" w:cs="宋体" w:eastAsia="宋体" w:hint="default"/>
                <w:sz w:val="13"/>
                <w:szCs w:val="13"/>
              </w:rPr>
              <w:t>自筹及</w:t>
            </w:r>
          </w:p>
          <w:p>
            <w:pPr>
              <w:pStyle w:val="TableParagraph"/>
              <w:spacing w:line="169" w:lineRule="exact"/>
              <w:ind w:left="21" w:right="0"/>
              <w:jc w:val="left"/>
              <w:rPr>
                <w:rFonts w:ascii="宋体" w:hAnsi="宋体" w:cs="宋体" w:eastAsia="宋体" w:hint="default"/>
                <w:sz w:val="13"/>
                <w:szCs w:val="13"/>
              </w:rPr>
            </w:pPr>
            <w:r>
              <w:rPr>
                <w:rFonts w:ascii="宋体" w:hAnsi="宋体" w:cs="宋体" w:eastAsia="宋体" w:hint="default"/>
                <w:sz w:val="13"/>
                <w:szCs w:val="13"/>
              </w:rPr>
              <w:t>贷款</w:t>
            </w:r>
          </w:p>
        </w:tc>
      </w:tr>
      <w:tr>
        <w:trPr>
          <w:trHeight w:val="1025"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144" w:lineRule="exact"/>
              <w:ind w:left="23" w:right="0"/>
              <w:jc w:val="both"/>
              <w:rPr>
                <w:rFonts w:ascii="宋体" w:hAnsi="宋体" w:cs="宋体" w:eastAsia="宋体" w:hint="default"/>
                <w:sz w:val="13"/>
                <w:szCs w:val="13"/>
              </w:rPr>
            </w:pPr>
            <w:r>
              <w:rPr>
                <w:rFonts w:ascii="宋体" w:hAnsi="宋体" w:cs="宋体" w:eastAsia="宋体" w:hint="default"/>
                <w:sz w:val="13"/>
                <w:szCs w:val="13"/>
              </w:rPr>
              <w:t>锦州</w:t>
            </w:r>
          </w:p>
          <w:p>
            <w:pPr>
              <w:pStyle w:val="TableParagraph"/>
              <w:spacing w:line="237" w:lineRule="auto"/>
              <w:ind w:left="23" w:right="127"/>
              <w:jc w:val="both"/>
              <w:rPr>
                <w:rFonts w:ascii="宋体" w:hAnsi="宋体" w:cs="宋体" w:eastAsia="宋体" w:hint="default"/>
                <w:sz w:val="13"/>
                <w:szCs w:val="13"/>
              </w:rPr>
            </w:pPr>
            <w:r>
              <w:rPr>
                <w:rFonts w:ascii="宋体" w:hAnsi="宋体" w:cs="宋体" w:eastAsia="宋体" w:hint="default"/>
                <w:sz w:val="13"/>
                <w:szCs w:val="13"/>
              </w:rPr>
              <w:t>港生</w:t>
            </w:r>
            <w:r>
              <w:rPr>
                <w:rFonts w:ascii="宋体" w:hAnsi="宋体" w:cs="宋体" w:eastAsia="宋体" w:hint="default"/>
                <w:w w:val="99"/>
                <w:sz w:val="13"/>
                <w:szCs w:val="13"/>
              </w:rPr>
              <w:t> </w:t>
            </w:r>
            <w:r>
              <w:rPr>
                <w:rFonts w:ascii="宋体" w:hAnsi="宋体" w:cs="宋体" w:eastAsia="宋体" w:hint="default"/>
                <w:sz w:val="13"/>
                <w:szCs w:val="13"/>
              </w:rPr>
              <w:t>产调</w:t>
            </w:r>
            <w:r>
              <w:rPr>
                <w:rFonts w:ascii="宋体" w:hAnsi="宋体" w:cs="宋体" w:eastAsia="宋体" w:hint="default"/>
                <w:w w:val="99"/>
                <w:sz w:val="13"/>
                <w:szCs w:val="13"/>
              </w:rPr>
              <w:t> </w:t>
            </w:r>
            <w:r>
              <w:rPr>
                <w:rFonts w:ascii="宋体" w:hAnsi="宋体" w:cs="宋体" w:eastAsia="宋体" w:hint="default"/>
                <w:sz w:val="13"/>
                <w:szCs w:val="13"/>
              </w:rPr>
              <w:t>度中</w:t>
            </w:r>
            <w:r>
              <w:rPr>
                <w:rFonts w:ascii="宋体" w:hAnsi="宋体" w:cs="宋体" w:eastAsia="宋体" w:hint="default"/>
                <w:w w:val="99"/>
                <w:sz w:val="13"/>
                <w:szCs w:val="13"/>
              </w:rPr>
              <w:t> </w:t>
            </w:r>
            <w:r>
              <w:rPr>
                <w:rFonts w:ascii="宋体" w:hAnsi="宋体" w:cs="宋体" w:eastAsia="宋体" w:hint="default"/>
                <w:sz w:val="13"/>
                <w:szCs w:val="13"/>
              </w:rPr>
              <w:t>心工</w:t>
            </w:r>
            <w:r>
              <w:rPr>
                <w:rFonts w:ascii="宋体" w:hAnsi="宋体" w:cs="宋体" w:eastAsia="宋体" w:hint="default"/>
                <w:w w:val="99"/>
                <w:sz w:val="13"/>
                <w:szCs w:val="13"/>
              </w:rPr>
              <w:t> </w:t>
            </w:r>
            <w:r>
              <w:rPr>
                <w:rFonts w:ascii="宋体" w:hAnsi="宋体" w:cs="宋体" w:eastAsia="宋体" w:hint="default"/>
                <w:sz w:val="13"/>
                <w:szCs w:val="13"/>
              </w:rPr>
              <w:t>程</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29"/>
              <w:jc w:val="right"/>
              <w:rPr>
                <w:rFonts w:ascii="宋体" w:hAnsi="宋体" w:cs="宋体" w:eastAsia="宋体" w:hint="default"/>
                <w:sz w:val="13"/>
                <w:szCs w:val="13"/>
              </w:rPr>
            </w:pPr>
            <w:r>
              <w:rPr>
                <w:rFonts w:ascii="宋体"/>
                <w:w w:val="95"/>
                <w:sz w:val="13"/>
              </w:rPr>
              <w:t>172,890,000.00</w:t>
            </w:r>
            <w:r>
              <w:rPr>
                <w:rFonts w:ascii="宋体"/>
                <w:sz w:val="13"/>
              </w:rPr>
            </w:r>
          </w:p>
        </w:tc>
        <w:tc>
          <w:tcPr>
            <w:tcW w:w="974" w:type="dxa"/>
            <w:tcBorders>
              <w:top w:val="single" w:sz="6" w:space="0" w:color="000000"/>
              <w:left w:val="single" w:sz="6" w:space="0" w:color="000000"/>
              <w:bottom w:val="single" w:sz="6" w:space="0" w:color="000000"/>
              <w:right w:val="single" w:sz="6" w:space="0" w:color="000000"/>
            </w:tcBorders>
          </w:tcPr>
          <w:p>
            <w:pP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88" w:right="0"/>
              <w:jc w:val="left"/>
              <w:rPr>
                <w:rFonts w:ascii="宋体" w:hAnsi="宋体" w:cs="宋体" w:eastAsia="宋体" w:hint="default"/>
                <w:sz w:val="13"/>
                <w:szCs w:val="13"/>
              </w:rPr>
            </w:pPr>
            <w:r>
              <w:rPr>
                <w:rFonts w:ascii="宋体"/>
                <w:sz w:val="13"/>
              </w:rPr>
              <w:t>20,231,556.50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1"/>
              <w:jc w:val="center"/>
              <w:rPr>
                <w:rFonts w:ascii="宋体" w:hAnsi="宋体" w:cs="宋体" w:eastAsia="宋体" w:hint="default"/>
                <w:sz w:val="13"/>
                <w:szCs w:val="13"/>
              </w:rPr>
            </w:pPr>
            <w:r>
              <w:rPr>
                <w:rFonts w:ascii="宋体"/>
                <w:sz w:val="13"/>
              </w:rPr>
              <w:t>20,231,556.50</w:t>
            </w:r>
          </w:p>
        </w:tc>
        <w:tc>
          <w:tcPr>
            <w:tcW w:w="972"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24"/>
              <w:jc w:val="right"/>
              <w:rPr>
                <w:rFonts w:ascii="宋体" w:hAnsi="宋体" w:cs="宋体" w:eastAsia="宋体" w:hint="default"/>
                <w:sz w:val="13"/>
                <w:szCs w:val="13"/>
              </w:rPr>
            </w:pPr>
            <w:r>
              <w:rPr>
                <w:rFonts w:ascii="宋体"/>
                <w:w w:val="95"/>
                <w:sz w:val="13"/>
              </w:rPr>
              <w:t>128.11</w:t>
            </w:r>
            <w:r>
              <w:rPr>
                <w:rFonts w:ascii="宋体"/>
                <w:sz w:val="13"/>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23" w:right="0"/>
              <w:jc w:val="left"/>
              <w:rPr>
                <w:rFonts w:ascii="宋体" w:hAnsi="宋体" w:cs="宋体" w:eastAsia="宋体" w:hint="default"/>
                <w:sz w:val="13"/>
                <w:szCs w:val="13"/>
              </w:rPr>
            </w:pPr>
            <w:r>
              <w:rPr>
                <w:rFonts w:ascii="宋体" w:hAnsi="宋体" w:cs="宋体" w:eastAsia="宋体" w:hint="default"/>
                <w:sz w:val="13"/>
                <w:szCs w:val="13"/>
              </w:rPr>
              <w:t>基本完工</w:t>
            </w:r>
          </w:p>
        </w:tc>
        <w:tc>
          <w:tcPr>
            <w:tcW w:w="910"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144" w:lineRule="exact"/>
              <w:ind w:left="21" w:right="0"/>
              <w:jc w:val="left"/>
              <w:rPr>
                <w:rFonts w:ascii="宋体" w:hAnsi="宋体" w:cs="宋体" w:eastAsia="宋体" w:hint="default"/>
                <w:sz w:val="13"/>
                <w:szCs w:val="13"/>
              </w:rPr>
            </w:pPr>
            <w:r>
              <w:rPr>
                <w:rFonts w:ascii="宋体" w:hAnsi="宋体" w:cs="宋体" w:eastAsia="宋体" w:hint="default"/>
                <w:sz w:val="13"/>
                <w:szCs w:val="13"/>
              </w:rPr>
              <w:t>自筹及</w:t>
            </w:r>
          </w:p>
          <w:p>
            <w:pPr>
              <w:pStyle w:val="TableParagraph"/>
              <w:spacing w:line="169" w:lineRule="exact"/>
              <w:ind w:left="21" w:right="0"/>
              <w:jc w:val="left"/>
              <w:rPr>
                <w:rFonts w:ascii="宋体" w:hAnsi="宋体" w:cs="宋体" w:eastAsia="宋体" w:hint="default"/>
                <w:sz w:val="13"/>
                <w:szCs w:val="13"/>
              </w:rPr>
            </w:pPr>
            <w:r>
              <w:rPr>
                <w:rFonts w:ascii="宋体" w:hAnsi="宋体" w:cs="宋体" w:eastAsia="宋体" w:hint="default"/>
                <w:sz w:val="13"/>
                <w:szCs w:val="13"/>
              </w:rPr>
              <w:t>贷款</w:t>
            </w:r>
          </w:p>
        </w:tc>
      </w:tr>
      <w:tr>
        <w:trPr>
          <w:trHeight w:val="521"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23" w:right="0"/>
              <w:jc w:val="left"/>
              <w:rPr>
                <w:rFonts w:ascii="宋体" w:hAnsi="宋体" w:cs="宋体" w:eastAsia="宋体" w:hint="default"/>
                <w:sz w:val="13"/>
                <w:szCs w:val="13"/>
              </w:rPr>
            </w:pPr>
            <w:r>
              <w:rPr>
                <w:rFonts w:ascii="宋体" w:hAnsi="宋体" w:cs="宋体" w:eastAsia="宋体" w:hint="default"/>
                <w:sz w:val="13"/>
                <w:szCs w:val="13"/>
              </w:rPr>
              <w:t>其它</w:t>
            </w:r>
          </w:p>
          <w:p>
            <w:pPr>
              <w:pStyle w:val="TableParagraph"/>
              <w:spacing w:line="168" w:lineRule="exact" w:before="16"/>
              <w:ind w:left="23" w:right="127"/>
              <w:jc w:val="left"/>
              <w:rPr>
                <w:rFonts w:ascii="宋体" w:hAnsi="宋体" w:cs="宋体" w:eastAsia="宋体" w:hint="default"/>
                <w:sz w:val="13"/>
                <w:szCs w:val="13"/>
              </w:rPr>
            </w:pPr>
            <w:r>
              <w:rPr>
                <w:rFonts w:ascii="宋体" w:hAnsi="宋体" w:cs="宋体" w:eastAsia="宋体" w:hint="default"/>
                <w:sz w:val="13"/>
                <w:szCs w:val="13"/>
              </w:rPr>
              <w:t>单列</w:t>
            </w:r>
            <w:r>
              <w:rPr>
                <w:rFonts w:ascii="宋体" w:hAnsi="宋体" w:cs="宋体" w:eastAsia="宋体" w:hint="default"/>
                <w:w w:val="99"/>
                <w:sz w:val="13"/>
                <w:szCs w:val="13"/>
              </w:rPr>
              <w:t> </w:t>
            </w:r>
            <w:r>
              <w:rPr>
                <w:rFonts w:ascii="宋体" w:hAnsi="宋体" w:cs="宋体" w:eastAsia="宋体" w:hint="default"/>
                <w:sz w:val="13"/>
                <w:szCs w:val="13"/>
              </w:rPr>
              <w:t>工程</w:t>
            </w:r>
          </w:p>
        </w:tc>
        <w:tc>
          <w:tcPr>
            <w:tcW w:w="1208"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4"/>
              <w:jc w:val="right"/>
              <w:rPr>
                <w:rFonts w:ascii="宋体" w:hAnsi="宋体" w:cs="宋体" w:eastAsia="宋体" w:hint="default"/>
                <w:sz w:val="13"/>
                <w:szCs w:val="13"/>
              </w:rPr>
            </w:pPr>
            <w:r>
              <w:rPr>
                <w:rFonts w:ascii="宋体"/>
                <w:w w:val="95"/>
                <w:sz w:val="13"/>
              </w:rPr>
              <w:t>119,848,817.27</w:t>
            </w:r>
            <w:r>
              <w:rPr>
                <w:rFonts w:ascii="宋体"/>
                <w:sz w:val="13"/>
              </w:rPr>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23" w:right="0"/>
              <w:jc w:val="left"/>
              <w:rPr>
                <w:rFonts w:ascii="宋体" w:hAnsi="宋体" w:cs="宋体" w:eastAsia="宋体" w:hint="default"/>
                <w:sz w:val="13"/>
                <w:szCs w:val="13"/>
              </w:rPr>
            </w:pPr>
            <w:r>
              <w:rPr>
                <w:rFonts w:ascii="宋体"/>
                <w:sz w:val="13"/>
              </w:rPr>
              <w:t>123,222,395.57</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74"/>
              <w:jc w:val="center"/>
              <w:rPr>
                <w:rFonts w:ascii="宋体" w:hAnsi="宋体" w:cs="宋体" w:eastAsia="宋体" w:hint="default"/>
                <w:sz w:val="13"/>
                <w:szCs w:val="13"/>
              </w:rPr>
            </w:pPr>
            <w:r>
              <w:rPr>
                <w:rFonts w:ascii="宋体"/>
                <w:sz w:val="13"/>
              </w:rPr>
              <w:t>142,757,359.08</w:t>
            </w:r>
          </w:p>
        </w:tc>
        <w:tc>
          <w:tcPr>
            <w:tcW w:w="972" w:type="dxa"/>
            <w:tcBorders>
              <w:top w:val="single" w:sz="6" w:space="0" w:color="000000"/>
              <w:left w:val="single" w:sz="6" w:space="0" w:color="000000"/>
              <w:bottom w:val="single" w:sz="6" w:space="0" w:color="000000"/>
              <w:right w:val="single" w:sz="6" w:space="0" w:color="000000"/>
            </w:tcBorders>
          </w:tcPr>
          <w:p>
            <w:pP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4"/>
              <w:jc w:val="right"/>
              <w:rPr>
                <w:rFonts w:ascii="宋体" w:hAnsi="宋体" w:cs="宋体" w:eastAsia="宋体" w:hint="default"/>
                <w:sz w:val="13"/>
                <w:szCs w:val="13"/>
              </w:rPr>
            </w:pPr>
            <w:r>
              <w:rPr>
                <w:rFonts w:ascii="宋体"/>
                <w:w w:val="95"/>
                <w:sz w:val="13"/>
              </w:rPr>
              <w:t>100,313,853.76</w:t>
            </w:r>
            <w:r>
              <w:rPr>
                <w:rFonts w:ascii="宋体"/>
                <w:sz w:val="13"/>
              </w:rPr>
            </w:r>
          </w:p>
        </w:tc>
        <w:tc>
          <w:tcPr>
            <w:tcW w:w="451"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23" w:right="0"/>
              <w:jc w:val="left"/>
              <w:rPr>
                <w:rFonts w:ascii="宋体" w:hAnsi="宋体" w:cs="宋体" w:eastAsia="宋体" w:hint="default"/>
                <w:sz w:val="13"/>
                <w:szCs w:val="13"/>
              </w:rPr>
            </w:pPr>
            <w:r>
              <w:rPr>
                <w:rFonts w:ascii="宋体" w:hAnsi="宋体" w:cs="宋体" w:eastAsia="宋体" w:hint="default"/>
                <w:sz w:val="13"/>
                <w:szCs w:val="13"/>
              </w:rPr>
              <w:t>在建</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64" w:right="0"/>
              <w:jc w:val="center"/>
              <w:rPr>
                <w:rFonts w:ascii="宋体" w:hAnsi="宋体" w:cs="宋体" w:eastAsia="宋体" w:hint="default"/>
                <w:sz w:val="13"/>
                <w:szCs w:val="13"/>
              </w:rPr>
            </w:pPr>
            <w:r>
              <w:rPr>
                <w:rFonts w:ascii="宋体"/>
                <w:sz w:val="13"/>
              </w:rPr>
              <w:t>1,154,117.30</w:t>
            </w:r>
          </w:p>
        </w:tc>
        <w:tc>
          <w:tcPr>
            <w:tcW w:w="842"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21" w:right="0"/>
              <w:jc w:val="left"/>
              <w:rPr>
                <w:rFonts w:ascii="宋体" w:hAnsi="宋体" w:cs="宋体" w:eastAsia="宋体" w:hint="default"/>
                <w:sz w:val="13"/>
                <w:szCs w:val="13"/>
              </w:rPr>
            </w:pPr>
            <w:r>
              <w:rPr>
                <w:rFonts w:ascii="宋体" w:hAnsi="宋体" w:cs="宋体" w:eastAsia="宋体" w:hint="default"/>
                <w:sz w:val="13"/>
                <w:szCs w:val="13"/>
              </w:rPr>
              <w:t>自筹及</w:t>
            </w:r>
          </w:p>
          <w:p>
            <w:pPr>
              <w:pStyle w:val="TableParagraph"/>
              <w:spacing w:line="169" w:lineRule="exact"/>
              <w:ind w:left="21" w:right="0"/>
              <w:jc w:val="left"/>
              <w:rPr>
                <w:rFonts w:ascii="宋体" w:hAnsi="宋体" w:cs="宋体" w:eastAsia="宋体" w:hint="default"/>
                <w:sz w:val="13"/>
                <w:szCs w:val="13"/>
              </w:rPr>
            </w:pPr>
            <w:r>
              <w:rPr>
                <w:rFonts w:ascii="宋体" w:hAnsi="宋体" w:cs="宋体" w:eastAsia="宋体" w:hint="default"/>
                <w:sz w:val="13"/>
                <w:szCs w:val="13"/>
              </w:rPr>
              <w:t>贷款</w:t>
            </w:r>
          </w:p>
        </w:tc>
      </w:tr>
      <w:tr>
        <w:trPr>
          <w:trHeight w:val="185"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23" w:right="0"/>
              <w:jc w:val="left"/>
              <w:rPr>
                <w:rFonts w:ascii="宋体" w:hAnsi="宋体" w:cs="宋体" w:eastAsia="宋体" w:hint="default"/>
                <w:sz w:val="13"/>
                <w:szCs w:val="13"/>
              </w:rPr>
            </w:pPr>
            <w:r>
              <w:rPr>
                <w:rFonts w:ascii="宋体" w:hAnsi="宋体" w:cs="宋体" w:eastAsia="宋体" w:hint="default"/>
                <w:sz w:val="13"/>
                <w:szCs w:val="13"/>
              </w:rPr>
              <w:t>合计</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29"/>
              <w:jc w:val="right"/>
              <w:rPr>
                <w:rFonts w:ascii="宋体" w:hAnsi="宋体" w:cs="宋体" w:eastAsia="宋体" w:hint="default"/>
                <w:sz w:val="13"/>
                <w:szCs w:val="13"/>
              </w:rPr>
            </w:pPr>
            <w:r>
              <w:rPr>
                <w:rFonts w:ascii="宋体"/>
                <w:w w:val="95"/>
                <w:sz w:val="13"/>
              </w:rPr>
              <w:t>3,965,729,500.00</w:t>
            </w:r>
            <w:r>
              <w:rPr>
                <w:rFonts w:ascii="宋体"/>
                <w:sz w:val="13"/>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4"/>
              <w:jc w:val="right"/>
              <w:rPr>
                <w:rFonts w:ascii="宋体" w:hAnsi="宋体" w:cs="宋体" w:eastAsia="宋体" w:hint="default"/>
                <w:sz w:val="13"/>
                <w:szCs w:val="13"/>
              </w:rPr>
            </w:pPr>
            <w:r>
              <w:rPr>
                <w:rFonts w:ascii="宋体"/>
                <w:w w:val="95"/>
                <w:sz w:val="13"/>
              </w:rPr>
              <w:t>945,373,953.44</w:t>
            </w:r>
            <w:r>
              <w:rPr>
                <w:rFonts w:ascii="宋体"/>
                <w:sz w:val="13"/>
              </w:rPr>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23" w:right="0"/>
              <w:jc w:val="left"/>
              <w:rPr>
                <w:rFonts w:ascii="宋体" w:hAnsi="宋体" w:cs="宋体" w:eastAsia="宋体" w:hint="default"/>
                <w:sz w:val="13"/>
                <w:szCs w:val="13"/>
              </w:rPr>
            </w:pPr>
            <w:r>
              <w:rPr>
                <w:rFonts w:ascii="宋体"/>
                <w:sz w:val="13"/>
              </w:rPr>
              <w:t>381,432,089.07</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74"/>
              <w:jc w:val="center"/>
              <w:rPr>
                <w:rFonts w:ascii="宋体" w:hAnsi="宋体" w:cs="宋体" w:eastAsia="宋体" w:hint="default"/>
                <w:sz w:val="13"/>
                <w:szCs w:val="13"/>
              </w:rPr>
            </w:pPr>
            <w:r>
              <w:rPr>
                <w:rFonts w:ascii="宋体"/>
                <w:sz w:val="13"/>
              </w:rPr>
              <w:t>969,538,840.51</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4"/>
              <w:jc w:val="right"/>
              <w:rPr>
                <w:rFonts w:ascii="宋体" w:hAnsi="宋体" w:cs="宋体" w:eastAsia="宋体" w:hint="default"/>
                <w:sz w:val="13"/>
                <w:szCs w:val="13"/>
              </w:rPr>
            </w:pPr>
            <w:r>
              <w:rPr>
                <w:rFonts w:ascii="宋体"/>
                <w:w w:val="95"/>
                <w:sz w:val="13"/>
              </w:rPr>
              <w:t>49,273,350.06</w:t>
            </w:r>
            <w:r>
              <w:rPr>
                <w:rFonts w:ascii="宋体"/>
                <w:sz w:val="13"/>
              </w:rPr>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4"/>
              <w:jc w:val="right"/>
              <w:rPr>
                <w:rFonts w:ascii="宋体" w:hAnsi="宋体" w:cs="宋体" w:eastAsia="宋体" w:hint="default"/>
                <w:sz w:val="13"/>
                <w:szCs w:val="13"/>
              </w:rPr>
            </w:pPr>
            <w:r>
              <w:rPr>
                <w:rFonts w:ascii="宋体"/>
                <w:w w:val="95"/>
                <w:sz w:val="13"/>
              </w:rPr>
              <w:t>307,993,851.94</w:t>
            </w:r>
            <w:r>
              <w:rPr>
                <w:rFonts w:ascii="宋体"/>
                <w:sz w:val="13"/>
              </w:rPr>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96" w:right="0"/>
              <w:jc w:val="left"/>
              <w:rPr>
                <w:rFonts w:ascii="宋体" w:hAnsi="宋体" w:cs="宋体" w:eastAsia="宋体" w:hint="default"/>
                <w:sz w:val="13"/>
                <w:szCs w:val="13"/>
              </w:rPr>
            </w:pPr>
            <w:r>
              <w:rPr>
                <w:rFonts w:ascii="宋体"/>
                <w:w w:val="99"/>
                <w:sz w:val="13"/>
              </w:rPr>
              <w:t>/</w:t>
            </w:r>
            <w:r>
              <w:rPr>
                <w:rFonts w:ascii="宋体"/>
                <w:sz w:val="13"/>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223" w:right="0"/>
              <w:jc w:val="left"/>
              <w:rPr>
                <w:rFonts w:ascii="宋体" w:hAnsi="宋体" w:cs="宋体" w:eastAsia="宋体" w:hint="default"/>
                <w:sz w:val="13"/>
                <w:szCs w:val="13"/>
              </w:rPr>
            </w:pPr>
            <w:r>
              <w:rPr>
                <w:rFonts w:ascii="宋体"/>
                <w:w w:val="99"/>
                <w:sz w:val="13"/>
              </w:rPr>
              <w:t>/</w:t>
            </w:r>
            <w:r>
              <w:rPr>
                <w:rFonts w:ascii="宋体"/>
                <w:sz w:val="13"/>
              </w:rPr>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0"/>
              <w:jc w:val="center"/>
              <w:rPr>
                <w:rFonts w:ascii="宋体" w:hAnsi="宋体" w:cs="宋体" w:eastAsia="宋体" w:hint="default"/>
                <w:sz w:val="13"/>
                <w:szCs w:val="13"/>
              </w:rPr>
            </w:pPr>
            <w:r>
              <w:rPr>
                <w:rFonts w:ascii="宋体"/>
                <w:sz w:val="13"/>
              </w:rPr>
              <w:t>79,351,436.06</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5"/>
              <w:jc w:val="center"/>
              <w:rPr>
                <w:rFonts w:ascii="宋体" w:hAnsi="宋体" w:cs="宋体" w:eastAsia="宋体" w:hint="default"/>
                <w:sz w:val="13"/>
                <w:szCs w:val="13"/>
              </w:rPr>
            </w:pPr>
            <w:r>
              <w:rPr>
                <w:rFonts w:ascii="宋体"/>
                <w:sz w:val="13"/>
              </w:rPr>
              <w:t>4,011,999.99</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89" w:right="0"/>
              <w:jc w:val="left"/>
              <w:rPr>
                <w:rFonts w:ascii="宋体" w:hAnsi="宋体" w:cs="宋体" w:eastAsia="宋体" w:hint="default"/>
                <w:sz w:val="13"/>
                <w:szCs w:val="13"/>
              </w:rPr>
            </w:pPr>
            <w:r>
              <w:rPr>
                <w:rFonts w:ascii="宋体"/>
                <w:w w:val="99"/>
                <w:sz w:val="13"/>
              </w:rPr>
              <w:t>/</w:t>
            </w:r>
            <w:r>
              <w:rPr>
                <w:rFonts w:ascii="宋体"/>
                <w:sz w:val="13"/>
              </w:rPr>
            </w:r>
          </w:p>
        </w:tc>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73"/>
              <w:jc w:val="center"/>
              <w:rPr>
                <w:rFonts w:ascii="宋体" w:hAnsi="宋体" w:cs="宋体" w:eastAsia="宋体" w:hint="default"/>
                <w:sz w:val="13"/>
                <w:szCs w:val="13"/>
              </w:rPr>
            </w:pPr>
            <w:r>
              <w:rPr>
                <w:rFonts w:ascii="宋体"/>
                <w:w w:val="99"/>
                <w:sz w:val="13"/>
              </w:rPr>
              <w:t>/</w:t>
            </w:r>
            <w:r>
              <w:rPr>
                <w:rFonts w:ascii="宋体"/>
                <w:sz w:val="13"/>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1538" w:right="0"/>
        <w:jc w:val="left"/>
        <w:rPr>
          <w:b w:val="0"/>
          <w:bCs w:val="0"/>
        </w:rPr>
      </w:pPr>
      <w:r>
        <w:rPr>
          <w:rFonts w:ascii="宋体" w:hAnsi="宋体" w:cs="宋体" w:eastAsia="宋体" w:hint="default"/>
        </w:rPr>
        <w:t>(3).</w:t>
      </w:r>
      <w:r>
        <w:rPr>
          <w:rFonts w:ascii="宋体" w:hAnsi="宋体" w:cs="宋体" w:eastAsia="宋体" w:hint="default"/>
          <w:spacing w:val="57"/>
        </w:rPr>
        <w:t> </w:t>
      </w:r>
      <w:r>
        <w:rPr/>
        <w:t>本期计提在建工程减值准备情况：</w:t>
      </w:r>
      <w:r>
        <w:rPr>
          <w:b w:val="0"/>
          <w:bCs w:val="0"/>
        </w:rPr>
      </w:r>
    </w:p>
    <w:p>
      <w:pPr>
        <w:pStyle w:val="BodyText"/>
        <w:spacing w:line="240" w:lineRule="auto" w:before="58"/>
        <w:ind w:left="1538" w:right="0"/>
        <w:jc w:val="left"/>
      </w:pPr>
      <w:r>
        <w:rPr/>
        <w:t>□适用</w:t>
      </w:r>
      <w:r>
        <w:rPr>
          <w:spacing w:val="-1"/>
        </w:rPr>
        <w:t> </w:t>
      </w:r>
      <w:r>
        <w:rPr/>
        <w:t>√不适用</w:t>
      </w:r>
    </w:p>
    <w:p>
      <w:pPr>
        <w:spacing w:after="0" w:line="240" w:lineRule="auto"/>
        <w:jc w:val="left"/>
        <w:sectPr>
          <w:type w:val="continuous"/>
          <w:pgSz w:w="11910" w:h="16840"/>
          <w:pgMar w:top="1120" w:bottom="1380" w:left="260" w:right="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right="0"/>
        <w:jc w:val="left"/>
        <w:rPr>
          <w:b w:val="0"/>
          <w:bCs w:val="0"/>
        </w:rPr>
      </w:pPr>
      <w:r>
        <w:rPr>
          <w:rFonts w:ascii="宋体" w:hAnsi="宋体" w:cs="宋体" w:eastAsia="宋体" w:hint="default"/>
        </w:rPr>
        <w:t>20</w:t>
      </w:r>
      <w:r>
        <w:rPr/>
        <w:t>、</w:t>
      </w:r>
      <w:r>
        <w:rPr>
          <w:spacing w:val="-25"/>
        </w:rPr>
        <w:t> </w:t>
      </w:r>
      <w:r>
        <w:rPr/>
        <w:t>工程物资</w:t>
      </w:r>
      <w:r>
        <w:rPr>
          <w:b w:val="0"/>
          <w:bCs w:val="0"/>
        </w:rPr>
      </w:r>
    </w:p>
    <w:p>
      <w:pPr>
        <w:pStyle w:val="BodyText"/>
        <w:spacing w:line="240" w:lineRule="auto" w:before="56"/>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before="0"/>
        <w:ind w:right="0"/>
        <w:jc w:val="left"/>
        <w:rPr>
          <w:b w:val="0"/>
          <w:bCs w:val="0"/>
        </w:rPr>
      </w:pPr>
      <w:r>
        <w:rPr>
          <w:rFonts w:ascii="宋体" w:hAnsi="宋体" w:cs="宋体" w:eastAsia="宋体" w:hint="default"/>
        </w:rPr>
        <w:t>21</w:t>
      </w:r>
      <w:r>
        <w:rPr/>
        <w:t>、</w:t>
      </w:r>
      <w:r>
        <w:rPr>
          <w:spacing w:val="-24"/>
        </w:rPr>
        <w:t> </w:t>
      </w:r>
      <w:r>
        <w:rPr/>
        <w:t>固定资产清理</w:t>
      </w:r>
      <w:r>
        <w:rPr>
          <w:b w:val="0"/>
          <w:bCs w:val="0"/>
        </w:rPr>
      </w:r>
    </w:p>
    <w:p>
      <w:pPr>
        <w:pStyle w:val="BodyText"/>
        <w:spacing w:line="240" w:lineRule="auto" w:before="56"/>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before="0"/>
        <w:ind w:right="0"/>
        <w:jc w:val="left"/>
        <w:rPr>
          <w:b w:val="0"/>
          <w:bCs w:val="0"/>
        </w:rPr>
      </w:pPr>
      <w:r>
        <w:rPr>
          <w:rFonts w:ascii="宋体" w:hAnsi="宋体" w:cs="宋体" w:eastAsia="宋体" w:hint="default"/>
        </w:rPr>
        <w:t>22</w:t>
      </w:r>
      <w:r>
        <w:rPr/>
        <w:t>、</w:t>
      </w:r>
      <w:r>
        <w:rPr>
          <w:spacing w:val="-24"/>
        </w:rPr>
        <w:t> </w:t>
      </w:r>
      <w:r>
        <w:rPr/>
        <w:t>生产性生物资产</w:t>
      </w:r>
      <w:r>
        <w:rPr>
          <w:b w:val="0"/>
          <w:bCs w:val="0"/>
        </w:rPr>
      </w:r>
    </w:p>
    <w:p>
      <w:pPr>
        <w:pStyle w:val="BodyText"/>
        <w:spacing w:line="240" w:lineRule="auto" w:before="56"/>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before="0"/>
        <w:ind w:right="0"/>
        <w:jc w:val="left"/>
        <w:rPr>
          <w:b w:val="0"/>
          <w:bCs w:val="0"/>
        </w:rPr>
      </w:pPr>
      <w:r>
        <w:rPr>
          <w:rFonts w:ascii="宋体" w:hAnsi="宋体" w:cs="宋体" w:eastAsia="宋体" w:hint="default"/>
        </w:rPr>
        <w:t>23</w:t>
      </w:r>
      <w:r>
        <w:rPr/>
        <w:t>、</w:t>
      </w:r>
      <w:r>
        <w:rPr>
          <w:spacing w:val="-25"/>
        </w:rPr>
        <w:t> </w:t>
      </w:r>
      <w:r>
        <w:rPr/>
        <w:t>油气资产</w:t>
      </w:r>
      <w:r>
        <w:rPr>
          <w:b w:val="0"/>
          <w:bCs w:val="0"/>
        </w:rPr>
      </w:r>
    </w:p>
    <w:p>
      <w:pPr>
        <w:pStyle w:val="BodyText"/>
        <w:spacing w:line="240" w:lineRule="auto" w:before="56"/>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2"/>
        <w:spacing w:line="240" w:lineRule="auto"/>
        <w:ind w:right="-20"/>
        <w:jc w:val="left"/>
        <w:rPr>
          <w:b w:val="0"/>
          <w:bCs w:val="0"/>
        </w:rPr>
      </w:pPr>
      <w:r>
        <w:rPr>
          <w:rFonts w:ascii="宋体" w:hAnsi="宋体" w:cs="宋体" w:eastAsia="宋体" w:hint="default"/>
        </w:rPr>
        <w:t>24</w:t>
      </w:r>
      <w:r>
        <w:rPr/>
        <w:t>、</w:t>
      </w:r>
      <w:r>
        <w:rPr>
          <w:spacing w:val="-25"/>
        </w:rPr>
        <w:t> </w:t>
      </w:r>
      <w:r>
        <w:rPr/>
        <w:t>无形资产</w:t>
      </w:r>
      <w:r>
        <w:rPr>
          <w:b w:val="0"/>
          <w:bCs w:val="0"/>
        </w:rPr>
      </w:r>
    </w:p>
    <w:p>
      <w:pPr>
        <w:pStyle w:val="Heading2"/>
        <w:spacing w:line="240" w:lineRule="auto" w:before="56"/>
        <w:ind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5"/>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88" w:space="4434"/>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54"/>
        <w:gridCol w:w="1687"/>
        <w:gridCol w:w="1685"/>
        <w:gridCol w:w="1738"/>
        <w:gridCol w:w="1685"/>
      </w:tblGrid>
      <w:tr>
        <w:trPr>
          <w:trHeight w:val="35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09" w:right="0"/>
              <w:jc w:val="left"/>
              <w:rPr>
                <w:rFonts w:ascii="宋体" w:hAnsi="宋体" w:cs="宋体" w:eastAsia="宋体" w:hint="default"/>
                <w:sz w:val="21"/>
                <w:szCs w:val="21"/>
              </w:rPr>
            </w:pPr>
            <w:r>
              <w:rPr>
                <w:rFonts w:ascii="宋体" w:hAnsi="宋体" w:cs="宋体" w:eastAsia="宋体" w:hint="default"/>
                <w:sz w:val="21"/>
                <w:szCs w:val="21"/>
              </w:rPr>
              <w:t>海域使用权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8" w:right="0"/>
              <w:jc w:val="left"/>
              <w:rPr>
                <w:rFonts w:ascii="宋体" w:hAnsi="宋体" w:cs="宋体" w:eastAsia="宋体" w:hint="default"/>
                <w:sz w:val="21"/>
                <w:szCs w:val="21"/>
              </w:rPr>
            </w:pPr>
            <w:r>
              <w:rPr>
                <w:rFonts w:ascii="宋体" w:hAnsi="宋体" w:cs="宋体" w:eastAsia="宋体" w:hint="default"/>
                <w:sz w:val="21"/>
                <w:szCs w:val="21"/>
              </w:rPr>
              <w:t>软件及其他</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1"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159,101,594.21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80,201,194.17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2,339,144.28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241,641,932.66</w:t>
            </w:r>
          </w:p>
        </w:tc>
      </w:tr>
      <w:tr>
        <w:trPr>
          <w:trHeight w:val="35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45"/>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66,367,086.96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29,697,328.00</w:t>
            </w:r>
          </w:p>
        </w:tc>
        <w:tc>
          <w:tcPr>
            <w:tcW w:w="173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96,064,414.96</w:t>
            </w:r>
          </w:p>
        </w:tc>
      </w:tr>
      <w:tr>
        <w:trPr>
          <w:trHeight w:val="35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66,367,086.96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29,697,328.00</w:t>
            </w:r>
          </w:p>
        </w:tc>
        <w:tc>
          <w:tcPr>
            <w:tcW w:w="173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96,064,414.96</w:t>
            </w:r>
          </w:p>
        </w:tc>
      </w:tr>
      <w:tr>
        <w:trPr>
          <w:trHeight w:val="35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5"/>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9,409,495.25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1,437,120.00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10,846,615.25</w:t>
            </w:r>
          </w:p>
        </w:tc>
      </w:tr>
      <w:tr>
        <w:trPr>
          <w:trHeight w:val="35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1,418,120.00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1,418,120.00</w:t>
            </w:r>
          </w:p>
        </w:tc>
      </w:tr>
      <w:tr>
        <w:trPr>
          <w:trHeight w:val="35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0"/>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）其他减少</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9,409,495.25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9,428,495.25</w:t>
            </w:r>
          </w:p>
        </w:tc>
      </w:tr>
      <w:tr>
        <w:trPr>
          <w:trHeight w:val="348"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9"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225,468,681.17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100,489,026.92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902,024.28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326,859,732.37</w:t>
            </w:r>
          </w:p>
        </w:tc>
      </w:tr>
      <w:tr>
        <w:trPr>
          <w:trHeight w:val="35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18,581,133.57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5,429,745.62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1,617,615.37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25,628,494.56</w:t>
            </w:r>
          </w:p>
        </w:tc>
      </w:tr>
      <w:tr>
        <w:trPr>
          <w:trHeight w:val="35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5"/>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3,655,725.15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2,580,695.73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380,022.43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6,616,443.31</w:t>
            </w:r>
          </w:p>
        </w:tc>
      </w:tr>
      <w:tr>
        <w:trPr>
          <w:trHeight w:val="35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3,655,725.15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2,580,695.73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380,022.43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6,616,443.31</w:t>
            </w:r>
          </w:p>
        </w:tc>
      </w:tr>
      <w:tr>
        <w:trPr>
          <w:trHeight w:val="35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5"/>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2,420,931.25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1,422,029.29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3,842,960.54</w:t>
            </w:r>
          </w:p>
        </w:tc>
      </w:tr>
      <w:tr>
        <w:trPr>
          <w:trHeight w:val="348"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3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1,418,120.00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1,418,120.00</w:t>
            </w:r>
          </w:p>
        </w:tc>
      </w:tr>
      <w:tr>
        <w:trPr>
          <w:trHeight w:val="35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0"/>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2</w:t>
            </w:r>
            <w:r>
              <w:rPr>
                <w:rFonts w:ascii="宋体" w:hAnsi="宋体" w:cs="宋体" w:eastAsia="宋体" w:hint="default"/>
                <w:spacing w:val="-1"/>
                <w:sz w:val="21"/>
                <w:szCs w:val="21"/>
              </w:rPr>
              <w:t>）其他减少</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2,420,931.25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3,909.29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2,424,840.54</w:t>
            </w:r>
          </w:p>
        </w:tc>
      </w:tr>
      <w:tr>
        <w:trPr>
          <w:trHeight w:val="35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22,236,858.72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5,589,510.10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575,608.51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28,401,977.33</w:t>
            </w:r>
          </w:p>
        </w:tc>
      </w:tr>
      <w:tr>
        <w:trPr>
          <w:trHeight w:val="35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5"/>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45"/>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54"/>
        <w:gridCol w:w="1687"/>
        <w:gridCol w:w="1685"/>
        <w:gridCol w:w="1738"/>
        <w:gridCol w:w="1685"/>
      </w:tblGrid>
      <w:tr>
        <w:trPr>
          <w:trHeight w:val="351"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45"/>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期末账面价值</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203,231,822.45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94,899,516.82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326,415.77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298,457,755.04</w:t>
            </w:r>
          </w:p>
        </w:tc>
      </w:tr>
      <w:tr>
        <w:trPr>
          <w:trHeight w:val="35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5"/>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期初账面价值</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140,520,460.64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74,771,448.55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721,528.91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216,013,438.10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2"/>
        <w:spacing w:line="240" w:lineRule="auto" w:before="0"/>
        <w:ind w:right="0"/>
        <w:jc w:val="left"/>
        <w:rPr>
          <w:b w:val="0"/>
          <w:bCs w:val="0"/>
        </w:rPr>
      </w:pPr>
      <w:r>
        <w:rPr>
          <w:rFonts w:ascii="宋体" w:hAnsi="宋体" w:cs="宋体" w:eastAsia="宋体" w:hint="default"/>
        </w:rPr>
        <w:t>25</w:t>
      </w:r>
      <w:r>
        <w:rPr/>
        <w:t>、</w:t>
      </w:r>
      <w:r>
        <w:rPr>
          <w:spacing w:val="-25"/>
        </w:rPr>
        <w:t> </w:t>
      </w:r>
      <w:r>
        <w:rPr/>
        <w:t>开发支出</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2"/>
        <w:spacing w:line="240" w:lineRule="auto" w:before="0"/>
        <w:ind w:right="0"/>
        <w:jc w:val="left"/>
        <w:rPr>
          <w:b w:val="0"/>
          <w:bCs w:val="0"/>
        </w:rPr>
      </w:pPr>
      <w:r>
        <w:rPr>
          <w:rFonts w:ascii="宋体" w:hAnsi="宋体" w:cs="宋体" w:eastAsia="宋体" w:hint="default"/>
        </w:rPr>
        <w:t>26</w:t>
      </w:r>
      <w:r>
        <w:rPr/>
        <w:t>、</w:t>
      </w:r>
      <w:r>
        <w:rPr>
          <w:spacing w:val="-26"/>
        </w:rPr>
        <w:t> </w:t>
      </w:r>
      <w:r>
        <w:rPr/>
        <w:t>商誉</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34"/>
          <w:pgSz w:w="11910" w:h="16840"/>
          <w:pgMar w:footer="1195" w:header="882" w:top="1120" w:bottom="1380" w:left="1580" w:right="1040"/>
        </w:sectPr>
      </w:pPr>
    </w:p>
    <w:p>
      <w:pPr>
        <w:pStyle w:val="Heading2"/>
        <w:spacing w:line="240" w:lineRule="auto"/>
        <w:ind w:right="-18"/>
        <w:jc w:val="left"/>
        <w:rPr>
          <w:b w:val="0"/>
          <w:bCs w:val="0"/>
        </w:rPr>
      </w:pPr>
      <w:r>
        <w:rPr>
          <w:rFonts w:ascii="宋体" w:hAnsi="宋体" w:cs="宋体" w:eastAsia="宋体" w:hint="default"/>
        </w:rPr>
        <w:t>27</w:t>
      </w:r>
      <w:r>
        <w:rPr/>
        <w:t>、</w:t>
      </w:r>
      <w:r>
        <w:rPr>
          <w:spacing w:val="-24"/>
        </w:rPr>
        <w:t> </w:t>
      </w:r>
      <w:r>
        <w:rPr/>
        <w:t>长期待摊费用</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30"/>
        <w:gridCol w:w="1582"/>
        <w:gridCol w:w="1481"/>
        <w:gridCol w:w="1479"/>
        <w:gridCol w:w="1505"/>
        <w:gridCol w:w="1572"/>
      </w:tblGrid>
      <w:tr>
        <w:trPr>
          <w:trHeight w:val="283"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本期增加金额</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本期摊销金额</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堆场辅助材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料</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8,800,271.25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1,303,804.26</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6,183,869.77</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3,920,205.74</w:t>
            </w:r>
          </w:p>
        </w:tc>
      </w:tr>
      <w:tr>
        <w:trPr>
          <w:trHeight w:val="555"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库场改造及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房屋装修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3,435,413.92</w:t>
            </w:r>
          </w:p>
        </w:tc>
        <w:tc>
          <w:tcPr>
            <w:tcW w:w="1481"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1,575,446.00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1,859,967.92</w:t>
            </w:r>
          </w:p>
        </w:tc>
      </w:tr>
      <w:tr>
        <w:trPr>
          <w:trHeight w:val="283" w:hRule="exact"/>
        </w:trPr>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12,235,685.17</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1,303,804.26</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7,759,315.77</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5,780,173.66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90" w:lineRule="auto"/>
        <w:ind w:right="-18"/>
        <w:jc w:val="left"/>
        <w:rPr>
          <w:b w:val="0"/>
          <w:bCs w:val="0"/>
        </w:rPr>
      </w:pPr>
      <w:r>
        <w:rPr>
          <w:rFonts w:ascii="宋体" w:hAnsi="宋体" w:cs="宋体" w:eastAsia="宋体" w:hint="default"/>
        </w:rPr>
        <w:t>28</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14"/>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89" w:space="263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25"/>
        <w:gridCol w:w="1687"/>
        <w:gridCol w:w="1628"/>
        <w:gridCol w:w="1688"/>
        <w:gridCol w:w="1625"/>
      </w:tblGrid>
      <w:tr>
        <w:trPr>
          <w:trHeight w:val="295" w:hRule="exact"/>
        </w:trPr>
        <w:tc>
          <w:tcPr>
            <w:tcW w:w="242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2425"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14,023,446.14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3,505,861.54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12,197,198.80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3,049,299.70</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23,782,108.12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5,945,527.03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22,359,565.16</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5,589,891.29</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54,808,351.24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13,702,087.81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68,562,115.84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17,140,528.96</w:t>
            </w:r>
          </w:p>
        </w:tc>
      </w:tr>
      <w:tr>
        <w:trPr>
          <w:trHeight w:val="29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65,024,940.52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16,256,235.13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66,684,068.68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16,671,017.17</w:t>
            </w:r>
          </w:p>
        </w:tc>
      </w:tr>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在建工程试运行所得税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2,312,063.40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578,015.85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3,311,574.28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827,893.57</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875,636.48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218,909.12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1,130,592.92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282,648.23</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160,826,545.90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40,206,636.48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174,245,115.68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43,561,278.92</w:t>
            </w:r>
          </w:p>
        </w:tc>
      </w:tr>
    </w:tbl>
    <w:p>
      <w:pPr>
        <w:spacing w:line="240" w:lineRule="auto" w:before="12"/>
        <w:rPr>
          <w:rFonts w:ascii="宋体" w:hAnsi="宋体" w:cs="宋体" w:eastAsia="宋体" w:hint="default"/>
          <w:sz w:val="19"/>
          <w:szCs w:val="19"/>
        </w:rPr>
      </w:pPr>
    </w:p>
    <w:p>
      <w:pPr>
        <w:pStyle w:val="Heading2"/>
        <w:spacing w:line="240" w:lineRule="auto"/>
        <w:ind w:right="0"/>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59"/>
        <w:ind w:left="218" w:right="0"/>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ind w:left="158" w:right="0"/>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spacing w:line="240" w:lineRule="auto" w:before="58"/>
        <w:ind w:left="158" w:right="0"/>
        <w:jc w:val="left"/>
      </w:pPr>
      <w:r>
        <w:rPr/>
        <w:t>□适用</w:t>
      </w:r>
      <w:r>
        <w:rPr>
          <w:spacing w:val="-1"/>
        </w:rPr>
        <w:t> </w:t>
      </w:r>
      <w:r>
        <w:rPr/>
        <w:t>√不适用</w:t>
      </w:r>
    </w:p>
    <w:p>
      <w:pPr>
        <w:pStyle w:val="Heading2"/>
        <w:spacing w:line="240" w:lineRule="auto" w:before="56"/>
        <w:ind w:left="158" w:right="0"/>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spacing w:line="240" w:lineRule="auto" w:before="58"/>
        <w:ind w:left="158" w:right="0"/>
        <w:jc w:val="left"/>
      </w:pPr>
      <w:r>
        <w:rPr/>
        <w:t>□适用</w:t>
      </w:r>
      <w:r>
        <w:rPr>
          <w:spacing w:val="-1"/>
        </w:rPr>
        <w:t> </w:t>
      </w:r>
      <w:r>
        <w:rPr/>
        <w:t>√不适用</w:t>
      </w:r>
    </w:p>
    <w:p>
      <w:pPr>
        <w:pStyle w:val="Heading2"/>
        <w:spacing w:line="240" w:lineRule="auto" w:before="56"/>
        <w:ind w:left="158" w:right="0"/>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40" w:lineRule="auto" w:before="58"/>
        <w:ind w:left="1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2"/>
        <w:spacing w:line="240" w:lineRule="auto"/>
        <w:ind w:left="158" w:right="0"/>
        <w:jc w:val="left"/>
        <w:rPr>
          <w:b w:val="0"/>
          <w:bCs w:val="0"/>
        </w:rPr>
      </w:pPr>
      <w:r>
        <w:rPr>
          <w:rFonts w:ascii="宋体" w:hAnsi="宋体" w:cs="宋体" w:eastAsia="宋体" w:hint="default"/>
        </w:rPr>
        <w:t>29</w:t>
      </w:r>
      <w:r>
        <w:rPr/>
        <w:t>、</w:t>
      </w:r>
      <w:r>
        <w:rPr>
          <w:spacing w:val="-24"/>
        </w:rPr>
        <w:t> </w:t>
      </w:r>
      <w:r>
        <w:rPr/>
        <w:t>其他非流动资产</w:t>
      </w:r>
      <w:r>
        <w:rPr>
          <w:b w:val="0"/>
          <w:bCs w:val="0"/>
        </w:rPr>
      </w:r>
    </w:p>
    <w:p>
      <w:pPr>
        <w:pStyle w:val="BodyText"/>
        <w:tabs>
          <w:tab w:pos="1051" w:val="left" w:leader="none"/>
        </w:tabs>
        <w:spacing w:line="240" w:lineRule="auto" w:before="58"/>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816"/>
        <w:gridCol w:w="3080"/>
        <w:gridCol w:w="3001"/>
      </w:tblGrid>
      <w:tr>
        <w:trPr>
          <w:trHeight w:val="289"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86"/>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581,000,000.00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500,000,000.00</w:t>
            </w:r>
          </w:p>
        </w:tc>
      </w:tr>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86"/>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581,000,000.00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500,000,000.00</w:t>
            </w:r>
          </w:p>
        </w:tc>
      </w:tr>
    </w:tbl>
    <w:p>
      <w:pPr>
        <w:pStyle w:val="BodyText"/>
        <w:spacing w:line="241" w:lineRule="exact"/>
        <w:ind w:left="158" w:right="0"/>
        <w:jc w:val="left"/>
      </w:pPr>
      <w:r>
        <w:rPr/>
        <w:t>其他说明：</w:t>
      </w:r>
    </w:p>
    <w:p>
      <w:pPr>
        <w:pStyle w:val="BodyText"/>
        <w:spacing w:line="274" w:lineRule="exact" w:before="116"/>
        <w:ind w:left="158" w:right="0"/>
        <w:jc w:val="left"/>
      </w:pPr>
      <w:r>
        <w:rPr/>
        <w:t>根据公司</w:t>
      </w:r>
      <w:r>
        <w:rPr>
          <w:spacing w:val="-54"/>
        </w:rPr>
        <w:t> </w:t>
      </w:r>
      <w:r>
        <w:rPr>
          <w:rFonts w:ascii="宋体" w:hAnsi="宋体" w:cs="宋体" w:eastAsia="宋体" w:hint="default"/>
        </w:rPr>
        <w:t>2013</w:t>
      </w:r>
      <w:r>
        <w:rPr>
          <w:rFonts w:ascii="宋体" w:hAnsi="宋体" w:cs="宋体" w:eastAsia="宋体" w:hint="default"/>
          <w:spacing w:val="-56"/>
        </w:rPr>
        <w:t> </w:t>
      </w:r>
      <w:r>
        <w:rPr/>
        <w:t>年年度股东大会决议，</w:t>
      </w:r>
      <w:r>
        <w:rPr>
          <w:rFonts w:ascii="宋体" w:hAnsi="宋体" w:cs="宋体" w:eastAsia="宋体" w:hint="default"/>
        </w:rPr>
        <w:t>2014</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3"/>
        </w:rPr>
        <w:t> </w:t>
      </w:r>
      <w:r>
        <w:rPr>
          <w:rFonts w:ascii="宋体" w:hAnsi="宋体" w:cs="宋体" w:eastAsia="宋体" w:hint="default"/>
        </w:rPr>
        <w:t>13</w:t>
      </w:r>
      <w:r>
        <w:rPr>
          <w:rFonts w:ascii="宋体" w:hAnsi="宋体" w:cs="宋体" w:eastAsia="宋体" w:hint="default"/>
          <w:spacing w:val="-54"/>
        </w:rPr>
        <w:t> </w:t>
      </w:r>
      <w:r>
        <w:rPr/>
        <w:t>日，公司通过中国民生银行股份有限</w:t>
      </w:r>
    </w:p>
    <w:p>
      <w:pPr>
        <w:pStyle w:val="BodyText"/>
        <w:spacing w:line="272" w:lineRule="exact"/>
        <w:ind w:left="158" w:right="0"/>
        <w:jc w:val="left"/>
        <w:rPr>
          <w:rFonts w:ascii="宋体" w:hAnsi="宋体" w:cs="宋体" w:eastAsia="宋体" w:hint="default"/>
        </w:rPr>
      </w:pPr>
      <w:r>
        <w:rPr/>
        <w:t>公司总行营业部向北京盛通华诚投资有限责任公司提供了</w:t>
      </w:r>
      <w:r>
        <w:rPr>
          <w:spacing w:val="-55"/>
        </w:rPr>
        <w:t> </w:t>
      </w:r>
      <w:r>
        <w:rPr>
          <w:rFonts w:ascii="宋体" w:hAnsi="宋体" w:cs="宋体" w:eastAsia="宋体" w:hint="default"/>
        </w:rPr>
        <w:t>5</w:t>
      </w:r>
      <w:r>
        <w:rPr>
          <w:rFonts w:ascii="宋体" w:hAnsi="宋体" w:cs="宋体" w:eastAsia="宋体" w:hint="default"/>
          <w:spacing w:val="-55"/>
        </w:rPr>
        <w:t> </w:t>
      </w:r>
      <w:r>
        <w:rPr/>
        <w:t>亿元的委托贷款，期限自</w:t>
      </w:r>
      <w:r>
        <w:rPr>
          <w:spacing w:val="-54"/>
        </w:rPr>
        <w:t> </w:t>
      </w:r>
      <w:r>
        <w:rPr>
          <w:rFonts w:ascii="宋体" w:hAnsi="宋体" w:cs="宋体" w:eastAsia="宋体" w:hint="default"/>
        </w:rPr>
        <w:t>2014</w:t>
      </w:r>
    </w:p>
    <w:p>
      <w:pPr>
        <w:pStyle w:val="BodyText"/>
        <w:spacing w:line="240" w:lineRule="auto"/>
        <w:ind w:left="158" w:right="0"/>
        <w:jc w:val="left"/>
      </w:pPr>
      <w:r>
        <w:rPr/>
        <w:t>年</w:t>
      </w:r>
      <w:r>
        <w:rPr>
          <w:spacing w:val="-54"/>
        </w:rPr>
        <w:t> </w:t>
      </w:r>
      <w:r>
        <w:rPr>
          <w:rFonts w:ascii="宋体" w:hAnsi="宋体" w:cs="宋体" w:eastAsia="宋体" w:hint="default"/>
        </w:rPr>
        <w:t>5</w:t>
      </w:r>
      <w:r>
        <w:rPr>
          <w:rFonts w:ascii="宋体" w:hAnsi="宋体" w:cs="宋体" w:eastAsia="宋体" w:hint="default"/>
          <w:spacing w:val="-56"/>
        </w:rPr>
        <w:t> </w:t>
      </w:r>
      <w:r>
        <w:rPr/>
        <w:t>月</w:t>
      </w:r>
      <w:r>
        <w:rPr>
          <w:spacing w:val="-54"/>
        </w:rPr>
        <w:t> </w:t>
      </w:r>
      <w:r>
        <w:rPr>
          <w:rFonts w:ascii="宋体" w:hAnsi="宋体" w:cs="宋体" w:eastAsia="宋体" w:hint="default"/>
        </w:rPr>
        <w:t>13</w:t>
      </w:r>
      <w:r>
        <w:rPr>
          <w:rFonts w:ascii="宋体" w:hAnsi="宋体" w:cs="宋体" w:eastAsia="宋体" w:hint="default"/>
          <w:spacing w:val="-56"/>
        </w:rPr>
        <w:t> </w:t>
      </w:r>
      <w:r>
        <w:rPr/>
        <w:t>日起至</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13</w:t>
      </w:r>
      <w:r>
        <w:rPr>
          <w:rFonts w:ascii="宋体" w:hAnsi="宋体" w:cs="宋体" w:eastAsia="宋体" w:hint="default"/>
          <w:spacing w:val="-54"/>
        </w:rPr>
        <w:t> </w:t>
      </w:r>
      <w:r>
        <w:rPr/>
        <w:t>日止，年利率为</w:t>
      </w:r>
      <w:r>
        <w:rPr>
          <w:spacing w:val="-54"/>
        </w:rPr>
        <w:t> </w:t>
      </w:r>
      <w:r>
        <w:rPr>
          <w:rFonts w:ascii="宋体" w:hAnsi="宋体" w:cs="宋体" w:eastAsia="宋体" w:hint="default"/>
        </w:rPr>
        <w:t>10%</w:t>
      </w:r>
      <w:r>
        <w:rPr/>
        <w:t>，该委托贷款由东方集团实业股份有</w:t>
      </w:r>
      <w:r>
        <w:rPr>
          <w:w w:val="100"/>
        </w:rPr>
        <w:t> </w:t>
      </w:r>
      <w:r>
        <w:rPr/>
        <w:t>限公司提供担保。</w:t>
      </w:r>
    </w:p>
    <w:p>
      <w:pPr>
        <w:spacing w:line="240" w:lineRule="auto" w:before="3"/>
        <w:rPr>
          <w:rFonts w:ascii="宋体" w:hAnsi="宋体" w:cs="宋体" w:eastAsia="宋体" w:hint="default"/>
          <w:sz w:val="16"/>
          <w:szCs w:val="16"/>
        </w:rPr>
      </w:pPr>
    </w:p>
    <w:p>
      <w:pPr>
        <w:pStyle w:val="BodyText"/>
        <w:spacing w:line="273" w:lineRule="exact"/>
        <w:ind w:left="158" w:right="0"/>
        <w:jc w:val="left"/>
      </w:pPr>
      <w:r>
        <w:rPr>
          <w:w w:val="100"/>
        </w:rPr>
        <w:t>经</w:t>
      </w:r>
      <w:r>
        <w:rPr>
          <w:spacing w:val="-3"/>
          <w:w w:val="100"/>
        </w:rPr>
        <w:t>公</w:t>
      </w:r>
      <w:r>
        <w:rPr>
          <w:w w:val="100"/>
        </w:rPr>
        <w:t>司</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4</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10</w:t>
      </w:r>
      <w:r>
        <w:rPr>
          <w:rFonts w:ascii="宋体" w:hAnsi="宋体" w:cs="宋体" w:eastAsia="宋体" w:hint="default"/>
          <w:spacing w:val="-54"/>
        </w:rPr>
        <w:t> </w:t>
      </w:r>
      <w:r>
        <w:rPr>
          <w:spacing w:val="-3"/>
          <w:w w:val="100"/>
        </w:rPr>
        <w:t>日</w:t>
      </w:r>
      <w:r>
        <w:rPr>
          <w:w w:val="100"/>
        </w:rPr>
        <w:t>召开</w:t>
      </w:r>
      <w:r>
        <w:rPr>
          <w:spacing w:val="-3"/>
          <w:w w:val="100"/>
        </w:rPr>
        <w:t>的</w:t>
      </w:r>
      <w:r>
        <w:rPr>
          <w:w w:val="100"/>
        </w:rPr>
        <w:t>第</w:t>
      </w:r>
      <w:r>
        <w:rPr>
          <w:spacing w:val="-3"/>
          <w:w w:val="100"/>
        </w:rPr>
        <w:t>八</w:t>
      </w:r>
      <w:r>
        <w:rPr>
          <w:w w:val="100"/>
        </w:rPr>
        <w:t>届</w:t>
      </w:r>
      <w:r>
        <w:rPr>
          <w:spacing w:val="-3"/>
          <w:w w:val="100"/>
        </w:rPr>
        <w:t>董</w:t>
      </w:r>
      <w:r>
        <w:rPr>
          <w:w w:val="100"/>
        </w:rPr>
        <w:t>事</w:t>
      </w:r>
      <w:r>
        <w:rPr>
          <w:spacing w:val="-3"/>
          <w:w w:val="100"/>
        </w:rPr>
        <w:t>会</w:t>
      </w:r>
      <w:r>
        <w:rPr>
          <w:w w:val="100"/>
        </w:rPr>
        <w:t>第</w:t>
      </w:r>
      <w:r>
        <w:rPr>
          <w:spacing w:val="-3"/>
          <w:w w:val="100"/>
        </w:rPr>
        <w:t>十</w:t>
      </w:r>
      <w:r>
        <w:rPr>
          <w:w w:val="100"/>
        </w:rPr>
        <w:t>次会</w:t>
      </w:r>
      <w:r>
        <w:rPr>
          <w:spacing w:val="-3"/>
          <w:w w:val="100"/>
        </w:rPr>
        <w:t>议</w:t>
      </w:r>
      <w:r>
        <w:rPr>
          <w:w w:val="100"/>
        </w:rPr>
        <w:t>审</w:t>
      </w:r>
      <w:r>
        <w:rPr>
          <w:spacing w:val="-3"/>
          <w:w w:val="100"/>
        </w:rPr>
        <w:t>议</w:t>
      </w:r>
      <w:r>
        <w:rPr>
          <w:w w:val="100"/>
        </w:rPr>
        <w:t>批</w:t>
      </w:r>
      <w:r>
        <w:rPr>
          <w:spacing w:val="-3"/>
          <w:w w:val="100"/>
        </w:rPr>
        <w:t>准</w:t>
      </w:r>
      <w:r>
        <w:rPr>
          <w:spacing w:val="-94"/>
          <w:w w:val="100"/>
        </w:rPr>
        <w:t>，</w:t>
      </w:r>
      <w:r>
        <w:rPr>
          <w:w w:val="100"/>
        </w:rPr>
        <w:t>公</w:t>
      </w:r>
      <w:r>
        <w:rPr>
          <w:spacing w:val="-3"/>
          <w:w w:val="100"/>
        </w:rPr>
        <w:t>司</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015</w:t>
      </w:r>
      <w:r>
        <w:rPr>
          <w:rFonts w:ascii="宋体" w:hAnsi="宋体" w:cs="宋体" w:eastAsia="宋体" w:hint="default"/>
          <w:spacing w:val="-52"/>
        </w:rPr>
        <w:t> </w:t>
      </w:r>
      <w:r>
        <w:rPr>
          <w:w w:val="100"/>
        </w:rPr>
        <w:t>年</w:t>
      </w:r>
      <w:r>
        <w:rPr>
          <w:spacing w:val="-55"/>
        </w:rPr>
        <w:t> </w:t>
      </w:r>
      <w:r>
        <w:rPr>
          <w:rFonts w:ascii="宋体" w:hAnsi="宋体" w:cs="宋体" w:eastAsia="宋体" w:hint="default"/>
          <w:w w:val="100"/>
        </w:rPr>
        <w:t>1</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27</w:t>
      </w:r>
      <w:r>
        <w:rPr>
          <w:rFonts w:ascii="宋体" w:hAnsi="宋体" w:cs="宋体" w:eastAsia="宋体" w:hint="default"/>
          <w:spacing w:val="-55"/>
        </w:rPr>
        <w:t> </w:t>
      </w:r>
      <w:r>
        <w:rPr>
          <w:w w:val="100"/>
        </w:rPr>
        <w:t>日通</w:t>
      </w:r>
    </w:p>
    <w:p>
      <w:pPr>
        <w:pStyle w:val="BodyText"/>
        <w:spacing w:line="272" w:lineRule="exact"/>
        <w:ind w:left="158" w:right="0"/>
        <w:jc w:val="left"/>
      </w:pPr>
      <w:r>
        <w:rPr/>
        <w:t>过锦州银行股份有限公司天桥支行向辽宁锦港宝地置业有限公司提供委托贷款</w:t>
      </w:r>
      <w:r>
        <w:rPr>
          <w:spacing w:val="-54"/>
        </w:rPr>
        <w:t> </w:t>
      </w:r>
      <w:r>
        <w:rPr>
          <w:rFonts w:ascii="宋体" w:hAnsi="宋体" w:cs="宋体" w:eastAsia="宋体" w:hint="default"/>
        </w:rPr>
        <w:t>8,100</w:t>
      </w:r>
      <w:r>
        <w:rPr>
          <w:rFonts w:ascii="宋体" w:hAnsi="宋体" w:cs="宋体" w:eastAsia="宋体" w:hint="default"/>
          <w:spacing w:val="-55"/>
        </w:rPr>
        <w:t> </w:t>
      </w:r>
      <w:r>
        <w:rPr/>
        <w:t>万元，年利</w:t>
      </w:r>
    </w:p>
    <w:p>
      <w:pPr>
        <w:pStyle w:val="BodyText"/>
        <w:spacing w:line="274" w:lineRule="exact"/>
        <w:ind w:left="158" w:right="0"/>
        <w:jc w:val="left"/>
      </w:pPr>
      <w:r>
        <w:rPr/>
        <w:t>率为</w:t>
      </w:r>
      <w:r>
        <w:rPr>
          <w:spacing w:val="-53"/>
        </w:rPr>
        <w:t> </w:t>
      </w:r>
      <w:r>
        <w:rPr>
          <w:rFonts w:ascii="宋体" w:hAnsi="宋体" w:cs="宋体" w:eastAsia="宋体" w:hint="default"/>
        </w:rPr>
        <w:t>12%</w:t>
      </w:r>
      <w:r>
        <w:rPr/>
        <w:t>，期限自</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27</w:t>
      </w:r>
      <w:r>
        <w:rPr>
          <w:rFonts w:ascii="宋体" w:hAnsi="宋体" w:cs="宋体" w:eastAsia="宋体" w:hint="default"/>
          <w:spacing w:val="-53"/>
        </w:rPr>
        <w:t> </w:t>
      </w:r>
      <w:r>
        <w:rPr/>
        <w:t>日起至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8</w:t>
      </w:r>
      <w:r>
        <w:rPr>
          <w:rFonts w:ascii="宋体" w:hAnsi="宋体" w:cs="宋体" w:eastAsia="宋体" w:hint="default"/>
          <w:spacing w:val="-53"/>
        </w:rPr>
        <w:t> </w:t>
      </w:r>
      <w:r>
        <w:rPr/>
        <w:t>日止。</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35"/>
          <w:pgSz w:w="11910" w:h="16840"/>
          <w:pgMar w:footer="1195" w:header="882" w:top="1120" w:bottom="1380" w:left="1640" w:right="1120"/>
          <w:pgNumType w:start="81"/>
        </w:sectPr>
      </w:pPr>
    </w:p>
    <w:p>
      <w:pPr>
        <w:pStyle w:val="Heading2"/>
        <w:spacing w:line="240" w:lineRule="auto"/>
        <w:ind w:left="158" w:right="0"/>
        <w:jc w:val="left"/>
        <w:rPr>
          <w:b w:val="0"/>
          <w:bCs w:val="0"/>
        </w:rPr>
      </w:pPr>
      <w:r>
        <w:rPr>
          <w:rFonts w:ascii="宋体" w:hAnsi="宋体" w:cs="宋体" w:eastAsia="宋体" w:hint="default"/>
        </w:rPr>
        <w:t>30</w:t>
      </w:r>
      <w:r>
        <w:rPr/>
        <w:t>、</w:t>
      </w:r>
      <w:r>
        <w:rPr>
          <w:spacing w:val="-25"/>
        </w:rPr>
        <w:t> </w:t>
      </w:r>
      <w:r>
        <w:rPr/>
        <w:t>短期借款</w:t>
      </w:r>
      <w:r>
        <w:rPr>
          <w:b w:val="0"/>
          <w:bCs w:val="0"/>
        </w:rPr>
      </w:r>
    </w:p>
    <w:p>
      <w:pPr>
        <w:tabs>
          <w:tab w:pos="789" w:val="left" w:leader="none"/>
        </w:tabs>
        <w:spacing w:line="290" w:lineRule="auto" w:before="58"/>
        <w:ind w:left="15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2057" w:space="4465"/>
            <w:col w:w="262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873"/>
        <w:gridCol w:w="3003"/>
        <w:gridCol w:w="3020"/>
      </w:tblGrid>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15"/>
              <w:jc w:val="right"/>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7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79"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3" w:right="0"/>
              <w:jc w:val="left"/>
              <w:rPr>
                <w:rFonts w:ascii="宋体" w:hAnsi="宋体" w:cs="宋体" w:eastAsia="宋体" w:hint="default"/>
                <w:sz w:val="21"/>
                <w:szCs w:val="21"/>
              </w:rPr>
            </w:pPr>
            <w:r>
              <w:rPr>
                <w:rFonts w:ascii="宋体"/>
                <w:sz w:val="21"/>
              </w:rPr>
              <w:t>1,300,470,000.00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20" w:right="0"/>
              <w:jc w:val="left"/>
              <w:rPr>
                <w:rFonts w:ascii="宋体" w:hAnsi="宋体" w:cs="宋体" w:eastAsia="宋体" w:hint="default"/>
                <w:sz w:val="21"/>
                <w:szCs w:val="21"/>
              </w:rPr>
            </w:pPr>
            <w:r>
              <w:rPr>
                <w:rFonts w:ascii="宋体"/>
                <w:sz w:val="21"/>
              </w:rPr>
              <w:t>1,442,307,351.78</w:t>
            </w:r>
          </w:p>
        </w:tc>
      </w:tr>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15"/>
              <w:jc w:val="right"/>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3" w:right="0"/>
              <w:jc w:val="left"/>
              <w:rPr>
                <w:rFonts w:ascii="宋体" w:hAnsi="宋体" w:cs="宋体" w:eastAsia="宋体" w:hint="default"/>
                <w:sz w:val="21"/>
                <w:szCs w:val="21"/>
              </w:rPr>
            </w:pPr>
            <w:r>
              <w:rPr>
                <w:rFonts w:ascii="宋体"/>
                <w:sz w:val="21"/>
              </w:rPr>
              <w:t>1,300,470,000.00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20" w:right="0"/>
              <w:jc w:val="left"/>
              <w:rPr>
                <w:rFonts w:ascii="宋体" w:hAnsi="宋体" w:cs="宋体" w:eastAsia="宋体" w:hint="default"/>
                <w:sz w:val="21"/>
                <w:szCs w:val="21"/>
              </w:rPr>
            </w:pPr>
            <w:r>
              <w:rPr>
                <w:rFonts w:ascii="宋体"/>
                <w:sz w:val="21"/>
              </w:rPr>
              <w:t>1,442,307,351.78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tabs>
          <w:tab w:pos="789" w:val="left" w:leader="none"/>
        </w:tabs>
        <w:spacing w:line="240" w:lineRule="auto"/>
        <w:ind w:left="158" w:right="0"/>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spacing w:line="240" w:lineRule="auto" w:before="56"/>
        <w:ind w:left="1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58" w:right="0"/>
        <w:jc w:val="left"/>
        <w:rPr>
          <w:b w:val="0"/>
          <w:bCs w:val="0"/>
        </w:rPr>
      </w:pPr>
      <w:r>
        <w:rPr>
          <w:rFonts w:ascii="宋体" w:hAnsi="宋体" w:cs="宋体" w:eastAsia="宋体" w:hint="default"/>
        </w:rPr>
        <w:t>31</w:t>
      </w:r>
      <w:r>
        <w:rPr/>
        <w:t>、</w:t>
      </w:r>
      <w:r>
        <w:rPr>
          <w:spacing w:val="-27"/>
        </w:rPr>
        <w:t> </w:t>
      </w:r>
      <w:r>
        <w:rPr/>
        <w:t>以公允价值计量且其变动计入当期损益的金融负债</w:t>
      </w:r>
      <w:r>
        <w:rPr>
          <w:b w:val="0"/>
          <w:bCs w:val="0"/>
        </w:rPr>
      </w:r>
    </w:p>
    <w:p>
      <w:pPr>
        <w:pStyle w:val="BodyText"/>
        <w:spacing w:line="240" w:lineRule="auto" w:before="58"/>
        <w:ind w:left="1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before="0"/>
        <w:ind w:left="158" w:right="0"/>
        <w:jc w:val="left"/>
        <w:rPr>
          <w:b w:val="0"/>
          <w:bCs w:val="0"/>
        </w:rPr>
      </w:pPr>
      <w:r>
        <w:rPr>
          <w:rFonts w:ascii="宋体" w:hAnsi="宋体" w:cs="宋体" w:eastAsia="宋体" w:hint="default"/>
        </w:rPr>
        <w:t>32</w:t>
      </w:r>
      <w:r>
        <w:rPr/>
        <w:t>、</w:t>
      </w:r>
      <w:r>
        <w:rPr>
          <w:spacing w:val="-24"/>
        </w:rPr>
        <w:t> </w:t>
      </w:r>
      <w:r>
        <w:rPr/>
        <w:t>衍生金融负债</w:t>
      </w:r>
      <w:r>
        <w:rPr>
          <w:b w:val="0"/>
          <w:bCs w:val="0"/>
        </w:rPr>
      </w:r>
    </w:p>
    <w:p>
      <w:pPr>
        <w:pStyle w:val="BodyText"/>
        <w:spacing w:line="240" w:lineRule="auto" w:before="56"/>
        <w:ind w:left="1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before="0"/>
        <w:ind w:left="158" w:right="0"/>
        <w:jc w:val="left"/>
        <w:rPr>
          <w:b w:val="0"/>
          <w:bCs w:val="0"/>
        </w:rPr>
      </w:pPr>
      <w:r>
        <w:rPr>
          <w:rFonts w:ascii="宋体" w:hAnsi="宋体" w:cs="宋体" w:eastAsia="宋体" w:hint="default"/>
        </w:rPr>
        <w:t>33</w:t>
      </w:r>
      <w:r>
        <w:rPr/>
        <w:t>、</w:t>
      </w:r>
      <w:r>
        <w:rPr>
          <w:spacing w:val="-25"/>
        </w:rPr>
        <w:t> </w:t>
      </w:r>
      <w:r>
        <w:rPr/>
        <w:t>应付票据</w:t>
      </w:r>
      <w:r>
        <w:rPr>
          <w:b w:val="0"/>
          <w:bCs w:val="0"/>
        </w:rPr>
      </w:r>
    </w:p>
    <w:p>
      <w:pPr>
        <w:pStyle w:val="BodyText"/>
        <w:spacing w:line="240" w:lineRule="auto" w:before="56"/>
        <w:ind w:left="158" w:right="0"/>
        <w:jc w:val="left"/>
      </w:pPr>
      <w:r>
        <w:rPr/>
        <w:t>√适用</w:t>
      </w:r>
      <w:r>
        <w:rPr>
          <w:spacing w:val="-1"/>
        </w:rPr>
        <w:t> </w:t>
      </w:r>
      <w:r>
        <w:rPr/>
        <w:t>□不适用</w:t>
      </w:r>
    </w:p>
    <w:p>
      <w:pPr>
        <w:spacing w:after="0" w:line="240" w:lineRule="auto"/>
        <w:jc w:val="left"/>
        <w:sectPr>
          <w:type w:val="continuous"/>
          <w:pgSz w:w="11910" w:h="16840"/>
          <w:pgMar w:top="1120" w:bottom="1380" w:left="1640" w:right="112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312"/>
        <w:gridCol w:w="3339"/>
        <w:gridCol w:w="3245"/>
      </w:tblGrid>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4"/>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1"/>
              <w:jc w:val="right"/>
              <w:rPr>
                <w:rFonts w:ascii="宋体" w:hAnsi="宋体" w:cs="宋体" w:eastAsia="宋体" w:hint="default"/>
                <w:sz w:val="21"/>
                <w:szCs w:val="21"/>
              </w:rPr>
            </w:pPr>
            <w:r>
              <w:rPr>
                <w:rFonts w:ascii="宋体"/>
                <w:spacing w:val="-1"/>
                <w:sz w:val="21"/>
              </w:rPr>
              <w:t>323,943,446.67</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312,264,298.92</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4"/>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323,943,446.67</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312,264,298.92</w:t>
            </w:r>
          </w:p>
        </w:tc>
      </w:tr>
    </w:tbl>
    <w:p>
      <w:pPr>
        <w:pStyle w:val="BodyText"/>
        <w:spacing w:line="241" w:lineRule="exact"/>
        <w:ind w:left="218" w:right="0"/>
        <w:jc w:val="left"/>
      </w:pPr>
      <w:r>
        <w:rPr/>
        <w:t>本期末已到期未支付的应付票据总额为 </w:t>
      </w:r>
      <w:r>
        <w:rPr>
          <w:rFonts w:ascii="宋体" w:hAnsi="宋体" w:cs="宋体" w:eastAsia="宋体" w:hint="default"/>
        </w:rPr>
        <w:t>14,770,000.00</w:t>
      </w:r>
      <w:r>
        <w:rPr>
          <w:rFonts w:ascii="宋体" w:hAnsi="宋体" w:cs="宋体" w:eastAsia="宋体" w:hint="default"/>
          <w:spacing w:val="-56"/>
        </w:rPr>
        <w:t> </w:t>
      </w:r>
      <w:r>
        <w:rPr>
          <w:spacing w:val="-3"/>
        </w:rPr>
        <w:t>元。</w:t>
      </w:r>
      <w:r>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34</w:t>
      </w:r>
      <w:r>
        <w:rPr/>
        <w:t>、</w:t>
      </w:r>
      <w:r>
        <w:rPr>
          <w:spacing w:val="-25"/>
        </w:rPr>
        <w:t> </w:t>
      </w:r>
      <w:r>
        <w:rPr/>
        <w:t>应付账款</w:t>
      </w:r>
      <w:r>
        <w:rPr>
          <w:b w:val="0"/>
          <w:bCs w:val="0"/>
        </w:rPr>
      </w:r>
    </w:p>
    <w:p>
      <w:pPr>
        <w:pStyle w:val="Heading2"/>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10,483,937.55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38,371,526.45</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281,369,290.28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859,941,420.09</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8,678,351.38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14,915,456.98</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47,543,329.38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18,930,382.13</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4,046,704.48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2,849,911.70</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352,121,613.07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935,008,697.35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2"/>
        <w:spacing w:line="240" w:lineRule="auto"/>
        <w:ind w:right="-17"/>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40" w:lineRule="auto" w:before="39"/>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67" w:space="295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4"/>
        <w:gridCol w:w="2828"/>
        <w:gridCol w:w="2938"/>
      </w:tblGrid>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18"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中交一航局第五工程有限公司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128,964,909.13</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尚未到结算期</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中交广州航道局有限公司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69,279,609.30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尚未到结算期</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中油吉林化建工程有限公司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14,964,416.97</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尚未到结算期</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中石化第十建设有限公司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12,081,724.28</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尚未到结算期</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225,290,659.68</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35</w:t>
      </w:r>
      <w:r>
        <w:rPr/>
        <w:t>、</w:t>
      </w:r>
      <w:r>
        <w:rPr>
          <w:spacing w:val="-25"/>
        </w:rPr>
        <w:t> </w:t>
      </w:r>
      <w:r>
        <w:rPr/>
        <w:t>预收款项</w:t>
      </w:r>
      <w:r>
        <w:rPr>
          <w:b w:val="0"/>
          <w:bCs w:val="0"/>
        </w:rPr>
      </w:r>
    </w:p>
    <w:p>
      <w:pPr>
        <w:pStyle w:val="Heading2"/>
        <w:spacing w:line="240" w:lineRule="auto" w:before="57"/>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25" w:space="4297"/>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67,096,284.36</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58,875,986.26</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港口费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91,046,616.35</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103,452,975.47</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47,359,460.61</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38,814,822.62</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205,502,361.32</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201,143,784.35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42"/>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07" w:space="3015"/>
            <w:col w:w="276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89"/>
        <w:gridCol w:w="3012"/>
        <w:gridCol w:w="3049"/>
      </w:tblGrid>
      <w:tr>
        <w:trPr>
          <w:trHeight w:val="284"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7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554"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朝阳塞外矿业（集团）有限公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22,813,642.83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履约保证金</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朝阳北方兄弟资源有限公司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17,283,715.67</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履约保证金</w:t>
            </w:r>
          </w:p>
        </w:tc>
      </w:tr>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兴城市盛越金属制品厂</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8,080,422.34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履约保证金</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48,177,780.84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36"/>
          <w:pgSz w:w="11910" w:h="16840"/>
          <w:pgMar w:footer="1195" w:header="882" w:top="1120" w:bottom="1380" w:left="1580" w:right="720"/>
          <w:pgNumType w:start="83"/>
        </w:sectPr>
      </w:pPr>
    </w:p>
    <w:p>
      <w:pPr>
        <w:pStyle w:val="Heading2"/>
        <w:spacing w:line="290" w:lineRule="auto"/>
        <w:ind w:right="-16"/>
        <w:jc w:val="left"/>
        <w:rPr>
          <w:b w:val="0"/>
          <w:bCs w:val="0"/>
        </w:rPr>
      </w:pPr>
      <w:r>
        <w:rPr>
          <w:rFonts w:ascii="宋体" w:hAnsi="宋体" w:cs="宋体" w:eastAsia="宋体" w:hint="default"/>
        </w:rPr>
        <w:t>36</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2"/>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720"/>
          <w:cols w:num="2" w:equalWidth="0">
            <w:col w:w="2544" w:space="3978"/>
            <w:col w:w="308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600"/>
        <w:gridCol w:w="1613"/>
        <w:gridCol w:w="1606"/>
        <w:gridCol w:w="1611"/>
        <w:gridCol w:w="1620"/>
      </w:tblGrid>
      <w:tr>
        <w:trPr>
          <w:trHeight w:val="28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78"/>
              <w:jc w:val="right"/>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9"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82,570,541.41</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142,922,143.6</w:t>
            </w:r>
          </w:p>
          <w:p>
            <w:pPr>
              <w:pStyle w:val="TableParagraph"/>
              <w:spacing w:line="273" w:lineRule="exact"/>
              <w:ind w:right="98"/>
              <w:jc w:val="right"/>
              <w:rPr>
                <w:rFonts w:ascii="宋体" w:hAnsi="宋体" w:cs="宋体" w:eastAsia="宋体" w:hint="default"/>
                <w:sz w:val="21"/>
                <w:szCs w:val="21"/>
              </w:rPr>
            </w:pPr>
            <w:r>
              <w:rPr>
                <w:rFonts w:ascii="宋体"/>
                <w:w w:val="100"/>
                <w:sz w:val="21"/>
              </w:rPr>
              <w:t>8</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153,015,515.6</w:t>
            </w:r>
          </w:p>
          <w:p>
            <w:pPr>
              <w:pStyle w:val="TableParagraph"/>
              <w:spacing w:line="273" w:lineRule="exact"/>
              <w:ind w:right="98"/>
              <w:jc w:val="right"/>
              <w:rPr>
                <w:rFonts w:ascii="宋体" w:hAnsi="宋体" w:cs="宋体" w:eastAsia="宋体" w:hint="default"/>
                <w:sz w:val="21"/>
                <w:szCs w:val="21"/>
              </w:rPr>
            </w:pPr>
            <w:r>
              <w:rPr>
                <w:rFonts w:ascii="宋体"/>
                <w:w w:val="100"/>
                <w:sz w:val="21"/>
              </w:rPr>
              <w:t>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72,477,169.49</w:t>
            </w:r>
          </w:p>
        </w:tc>
      </w:tr>
      <w:tr>
        <w:trPr>
          <w:trHeight w:val="559"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二、离职后福利</w:t>
            </w:r>
            <w:r>
              <w:rPr>
                <w:rFonts w:ascii="宋体" w:hAnsi="宋体" w:cs="宋体" w:eastAsia="宋体" w:hint="default"/>
                <w:spacing w:val="-4"/>
                <w:sz w:val="21"/>
                <w:szCs w:val="21"/>
              </w:rPr>
              <w:t>-</w:t>
            </w:r>
            <w:r>
              <w:rPr>
                <w:rFonts w:ascii="宋体" w:hAnsi="宋体" w:cs="宋体" w:eastAsia="宋体" w:hint="default"/>
                <w:spacing w:val="-4"/>
                <w:sz w:val="21"/>
                <w:szCs w:val="21"/>
              </w:rPr>
              <w:t>设定提存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613"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1,323,442.77</w:t>
            </w:r>
          </w:p>
        </w:tc>
        <w:tc>
          <w:tcPr>
            <w:tcW w:w="1606"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sz w:val="21"/>
              </w:rPr>
              <w:t>24,156,628.25</w:t>
            </w:r>
          </w:p>
        </w:tc>
        <w:tc>
          <w:tcPr>
            <w:tcW w:w="161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30" w:right="0"/>
              <w:jc w:val="center"/>
              <w:rPr>
                <w:rFonts w:ascii="宋体" w:hAnsi="宋体" w:cs="宋体" w:eastAsia="宋体" w:hint="default"/>
                <w:sz w:val="21"/>
                <w:szCs w:val="21"/>
              </w:rPr>
            </w:pPr>
            <w:r>
              <w:rPr>
                <w:rFonts w:ascii="宋体"/>
                <w:sz w:val="21"/>
              </w:rPr>
              <w:t>23,609,317.13</w:t>
            </w:r>
          </w:p>
        </w:tc>
        <w:tc>
          <w:tcPr>
            <w:tcW w:w="1620"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1,870,753.89</w:t>
            </w:r>
          </w:p>
        </w:tc>
      </w:tr>
      <w:tr>
        <w:trPr>
          <w:trHeight w:val="562"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78"/>
              <w:jc w:val="right"/>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83,893,984.18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167,078,771.9</w:t>
            </w:r>
          </w:p>
          <w:p>
            <w:pPr>
              <w:pStyle w:val="TableParagraph"/>
              <w:spacing w:line="274" w:lineRule="exact"/>
              <w:ind w:right="101"/>
              <w:jc w:val="right"/>
              <w:rPr>
                <w:rFonts w:ascii="宋体" w:hAnsi="宋体" w:cs="宋体" w:eastAsia="宋体" w:hint="default"/>
                <w:sz w:val="21"/>
                <w:szCs w:val="21"/>
              </w:rPr>
            </w:pPr>
            <w:r>
              <w:rPr>
                <w:rFonts w:ascii="宋体"/>
                <w:w w:val="100"/>
                <w:sz w:val="21"/>
              </w:rPr>
              <w:t>3</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176,624,832.7</w:t>
            </w:r>
          </w:p>
          <w:p>
            <w:pPr>
              <w:pStyle w:val="TableParagraph"/>
              <w:spacing w:line="274" w:lineRule="exact"/>
              <w:ind w:right="101"/>
              <w:jc w:val="right"/>
              <w:rPr>
                <w:rFonts w:ascii="宋体" w:hAnsi="宋体" w:cs="宋体" w:eastAsia="宋体" w:hint="default"/>
                <w:sz w:val="21"/>
                <w:szCs w:val="21"/>
              </w:rPr>
            </w:pPr>
            <w:r>
              <w:rPr>
                <w:rFonts w:ascii="宋体"/>
                <w:w w:val="100"/>
                <w:sz w:val="21"/>
              </w:rPr>
              <w:t>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74,347,923.38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720"/>
        </w:sectPr>
      </w:pPr>
    </w:p>
    <w:p>
      <w:pPr>
        <w:pStyle w:val="Heading2"/>
        <w:spacing w:line="240" w:lineRule="auto"/>
        <w:ind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6"/>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720"/>
          <w:cols w:num="2" w:equalWidth="0">
            <w:col w:w="2122" w:space="4506"/>
            <w:col w:w="2982"/>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836"/>
        <w:gridCol w:w="1700"/>
        <w:gridCol w:w="1622"/>
      </w:tblGrid>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82,585,715.76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98,275,143.12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108,706,593.47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72,154,265.41</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17,067,425.01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17,067,425.01</w:t>
            </w: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27,131.48</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15,357,429.34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15,244,121.00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140,439.82</w:t>
            </w:r>
          </w:p>
        </w:tc>
      </w:tr>
      <w:tr>
        <w:trPr>
          <w:trHeight w:val="28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20,909.28</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12,823,641.93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12,733,058.15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111,493.06</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4,877.87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1,588,805.18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1,587,419.72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6,263.33</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1,344.33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944,982.23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923,643.13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22,683.43</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-64,760.18</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8,700,840.00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8,700,372.00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-64,292.18</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22,454.35</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3,521,306.21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3,297,004.12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246,756.44</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82,570,541.41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142,922,143.68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153,015,515.60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72,477,169.49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720"/>
        </w:sectPr>
      </w:pPr>
    </w:p>
    <w:p>
      <w:pPr>
        <w:pStyle w:val="Heading2"/>
        <w:spacing w:line="240" w:lineRule="auto"/>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6"/>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720"/>
          <w:cols w:num="2" w:equalWidth="0">
            <w:col w:w="2333" w:space="4189"/>
            <w:col w:w="308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1,204,604.09</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23,005,135.95</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22,480,354.63</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1,729,385.41</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118,838.68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1,151,492.30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1,128,962.50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141,368.48</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1,323,442.77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24,156,628.25</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23,609,317.13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1,870,753.89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2"/>
        <w:spacing w:line="240" w:lineRule="auto"/>
        <w:ind w:right="0"/>
        <w:jc w:val="left"/>
        <w:rPr>
          <w:b w:val="0"/>
          <w:bCs w:val="0"/>
        </w:rPr>
      </w:pPr>
      <w:r>
        <w:rPr>
          <w:rFonts w:ascii="宋体" w:hAnsi="宋体" w:cs="宋体" w:eastAsia="宋体" w:hint="default"/>
        </w:rPr>
        <w:t>37</w:t>
      </w:r>
      <w:r>
        <w:rPr/>
        <w:t>、</w:t>
      </w:r>
      <w:r>
        <w:rPr>
          <w:spacing w:val="-25"/>
        </w:rPr>
        <w:t> </w:t>
      </w:r>
      <w:r>
        <w:rPr/>
        <w:t>应交税费</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0"/>
      </w:tblGrid>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3"/>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2,051,289.97</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2,524,816.78</w:t>
            </w:r>
          </w:p>
        </w:tc>
      </w:tr>
      <w:tr>
        <w:trPr>
          <w:trHeight w:val="289"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483,615.55</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668,708.86</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1,796,508.64</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1,614,501.00</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238,412.96</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159,677.20</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38,925.96</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220,540.39</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442,271.53</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289,894.49</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8,740.73</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344,426.51</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187,507.15</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1,016,437.48</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323"/>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5,247,272.49</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6,839,002.71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38</w:t>
      </w:r>
      <w:r>
        <w:rPr/>
        <w:t>、</w:t>
      </w:r>
      <w:r>
        <w:rPr>
          <w:spacing w:val="-25"/>
        </w:rPr>
        <w:t> </w:t>
      </w:r>
      <w:r>
        <w:rPr/>
        <w:t>应付利息</w:t>
      </w:r>
      <w:r>
        <w:rPr>
          <w:b w:val="0"/>
          <w:bCs w:val="0"/>
        </w:rPr>
      </w:r>
    </w:p>
    <w:p>
      <w:pPr>
        <w:pStyle w:val="BodyText"/>
        <w:spacing w:line="240" w:lineRule="auto" w:before="59"/>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5"/>
        <w:gridCol w:w="3049"/>
      </w:tblGrid>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1"/>
              <w:jc w:val="right"/>
              <w:rPr>
                <w:rFonts w:ascii="宋体" w:hAnsi="宋体" w:cs="宋体" w:eastAsia="宋体" w:hint="default"/>
                <w:sz w:val="21"/>
                <w:szCs w:val="21"/>
              </w:rPr>
            </w:pPr>
            <w:r>
              <w:rPr>
                <w:rFonts w:ascii="宋体"/>
                <w:spacing w:val="-1"/>
                <w:sz w:val="21"/>
              </w:rPr>
              <w:t>3,132,689.41</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4,902,390.13</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1"/>
              <w:jc w:val="right"/>
              <w:rPr>
                <w:rFonts w:ascii="宋体" w:hAnsi="宋体" w:cs="宋体" w:eastAsia="宋体" w:hint="default"/>
                <w:sz w:val="21"/>
                <w:szCs w:val="21"/>
              </w:rPr>
            </w:pPr>
            <w:r>
              <w:rPr>
                <w:rFonts w:ascii="宋体"/>
                <w:spacing w:val="-1"/>
                <w:sz w:val="21"/>
              </w:rPr>
              <w:t>25,034,722.00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7,401,515.00</w:t>
            </w: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1"/>
              <w:jc w:val="right"/>
              <w:rPr>
                <w:rFonts w:ascii="宋体" w:hAnsi="宋体" w:cs="宋体" w:eastAsia="宋体" w:hint="default"/>
                <w:sz w:val="21"/>
                <w:szCs w:val="21"/>
              </w:rPr>
            </w:pPr>
            <w:r>
              <w:rPr>
                <w:rFonts w:ascii="宋体"/>
                <w:spacing w:val="-1"/>
                <w:sz w:val="21"/>
              </w:rPr>
              <w:t>2,062,924.63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2,557,540.19</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30,230,336.04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14,861,445.32</w:t>
            </w:r>
          </w:p>
        </w:tc>
      </w:tr>
    </w:tbl>
    <w:p>
      <w:pPr>
        <w:spacing w:line="240" w:lineRule="auto" w:before="7"/>
        <w:rPr>
          <w:rFonts w:ascii="宋体" w:hAnsi="宋体" w:cs="宋体" w:eastAsia="宋体" w:hint="default"/>
          <w:sz w:val="15"/>
          <w:szCs w:val="15"/>
        </w:rPr>
      </w:pPr>
    </w:p>
    <w:p>
      <w:pPr>
        <w:pStyle w:val="BodyText"/>
        <w:spacing w:line="273" w:lineRule="exact" w:before="36"/>
        <w:ind w:left="218" w:right="0"/>
        <w:jc w:val="left"/>
      </w:pPr>
      <w:r>
        <w:rPr/>
        <w:t>重要的已逾期未支付的利息情况：</w:t>
      </w:r>
    </w:p>
    <w:p>
      <w:pPr>
        <w:pStyle w:val="BodyText"/>
        <w:spacing w:line="273" w:lineRule="exact"/>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line="240" w:lineRule="auto" w:before="4"/>
        <w:rPr>
          <w:rFonts w:ascii="宋体" w:hAnsi="宋体" w:cs="宋体" w:eastAsia="宋体" w:hint="default"/>
          <w:sz w:val="15"/>
          <w:szCs w:val="15"/>
        </w:rPr>
      </w:pPr>
    </w:p>
    <w:p>
      <w:pPr>
        <w:pStyle w:val="Heading2"/>
        <w:spacing w:line="240" w:lineRule="auto" w:before="0"/>
        <w:ind w:right="-18"/>
        <w:jc w:val="left"/>
        <w:rPr>
          <w:b w:val="0"/>
          <w:bCs w:val="0"/>
        </w:rPr>
      </w:pPr>
      <w:r>
        <w:rPr>
          <w:rFonts w:ascii="宋体" w:hAnsi="宋体" w:cs="宋体" w:eastAsia="宋体" w:hint="default"/>
        </w:rPr>
        <w:t>39</w:t>
      </w:r>
      <w:r>
        <w:rPr/>
        <w:t>、</w:t>
      </w:r>
      <w:r>
        <w:rPr>
          <w:spacing w:val="-25"/>
        </w:rPr>
        <w:t> </w:t>
      </w:r>
      <w:r>
        <w:rPr/>
        <w:t>应付股利</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2"/>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3,905,361.57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4,082,432.85</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2"/>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3,905,361.57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4,082,432.85</w:t>
            </w:r>
          </w:p>
        </w:tc>
      </w:tr>
    </w:tbl>
    <w:p>
      <w:pPr>
        <w:pStyle w:val="BodyText"/>
        <w:spacing w:line="240" w:lineRule="exact"/>
        <w:ind w:left="218" w:right="0"/>
        <w:jc w:val="left"/>
      </w:pPr>
      <w:r>
        <w:rPr/>
        <w:t>其他说明，包括重要的超过</w:t>
      </w:r>
      <w:r>
        <w:rPr>
          <w:spacing w:val="-55"/>
        </w:rPr>
        <w:t> </w:t>
      </w:r>
      <w:r>
        <w:rPr>
          <w:rFonts w:ascii="宋体" w:hAnsi="宋体" w:cs="宋体" w:eastAsia="宋体" w:hint="default"/>
        </w:rPr>
        <w:t>1</w:t>
      </w:r>
      <w:r>
        <w:rPr>
          <w:rFonts w:ascii="宋体" w:hAnsi="宋体" w:cs="宋体" w:eastAsia="宋体" w:hint="default"/>
          <w:spacing w:val="-55"/>
        </w:rPr>
        <w:t> </w:t>
      </w:r>
      <w:r>
        <w:rPr/>
        <w:t>年未支付的应付股利，应披露未支付原因：</w:t>
      </w:r>
    </w:p>
    <w:p>
      <w:pPr>
        <w:pStyle w:val="BodyText"/>
        <w:spacing w:line="274" w:lineRule="exact"/>
        <w:ind w:left="218" w:right="0"/>
        <w:jc w:val="left"/>
      </w:pPr>
      <w:r>
        <w:rPr/>
        <w:t>应付个人股股东股利</w:t>
      </w:r>
      <w:r>
        <w:rPr>
          <w:spacing w:val="-56"/>
        </w:rPr>
        <w:t> </w:t>
      </w:r>
      <w:r>
        <w:rPr>
          <w:rFonts w:ascii="宋体" w:hAnsi="宋体" w:cs="宋体" w:eastAsia="宋体" w:hint="default"/>
        </w:rPr>
        <w:t>3,816,349.18</w:t>
      </w:r>
      <w:r>
        <w:rPr>
          <w:rFonts w:ascii="宋体" w:hAnsi="宋体" w:cs="宋体" w:eastAsia="宋体" w:hint="default"/>
          <w:spacing w:val="-58"/>
        </w:rPr>
        <w:t> </w:t>
      </w:r>
      <w:r>
        <w:rPr/>
        <w:t>元，未支付原因为个人股股东尚未领取。</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ind w:right="-18"/>
        <w:jc w:val="left"/>
        <w:rPr>
          <w:b w:val="0"/>
          <w:bCs w:val="0"/>
        </w:rPr>
      </w:pPr>
      <w:r>
        <w:rPr>
          <w:rFonts w:ascii="宋体" w:hAnsi="宋体" w:cs="宋体" w:eastAsia="宋体" w:hint="default"/>
        </w:rPr>
        <w:t>40</w:t>
      </w:r>
      <w:r>
        <w:rPr/>
        <w:t>、</w:t>
      </w:r>
      <w:r>
        <w:rPr>
          <w:spacing w:val="-25"/>
        </w:rPr>
        <w:t> </w:t>
      </w:r>
      <w:r>
        <w:rPr/>
        <w:t>其他应付款</w:t>
      </w:r>
      <w:r>
        <w:rPr>
          <w:b w:val="0"/>
          <w:bCs w:val="0"/>
        </w:rPr>
      </w:r>
    </w:p>
    <w:p>
      <w:pPr>
        <w:pStyle w:val="Heading2"/>
        <w:spacing w:line="240" w:lineRule="auto" w:before="56"/>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276" w:space="3245"/>
            <w:col w:w="2769"/>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12,296,790.48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10,297,457.02</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代收代付款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7,129,144.98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8,686,471.67</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6,796,179.62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27,180,011.85</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21,497,702.85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21,588,363.35</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47,719,817.93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67,752,303.89</w:t>
            </w:r>
          </w:p>
        </w:tc>
      </w:tr>
    </w:tbl>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40" w:lineRule="auto" w:before="39"/>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before="0"/>
        <w:ind w:right="0"/>
        <w:jc w:val="left"/>
        <w:rPr>
          <w:b w:val="0"/>
          <w:bCs w:val="0"/>
        </w:rPr>
      </w:pPr>
      <w:r>
        <w:rPr>
          <w:rFonts w:ascii="宋体" w:hAnsi="宋体" w:cs="宋体" w:eastAsia="宋体" w:hint="default"/>
        </w:rPr>
        <w:t>41</w:t>
      </w:r>
      <w:r>
        <w:rPr/>
        <w:t>、</w:t>
      </w:r>
      <w:r>
        <w:rPr>
          <w:spacing w:val="-26"/>
        </w:rPr>
        <w:t> </w:t>
      </w:r>
      <w:r>
        <w:rPr/>
        <w:t>划分为持有待售的负债</w:t>
      </w:r>
      <w:r>
        <w:rPr>
          <w:b w:val="0"/>
          <w:bCs w:val="0"/>
        </w:rPr>
      </w:r>
    </w:p>
    <w:p>
      <w:pPr>
        <w:pStyle w:val="BodyText"/>
        <w:spacing w:line="240" w:lineRule="auto" w:before="56"/>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2"/>
        <w:spacing w:line="240" w:lineRule="auto"/>
        <w:ind w:right="-17"/>
        <w:jc w:val="left"/>
        <w:rPr>
          <w:b w:val="0"/>
          <w:bCs w:val="0"/>
        </w:rPr>
      </w:pPr>
      <w:r>
        <w:rPr>
          <w:rFonts w:ascii="宋体" w:hAnsi="宋体" w:cs="宋体" w:eastAsia="宋体" w:hint="default"/>
        </w:rPr>
        <w:t>42</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6"/>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93" w:space="352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303,060,000.00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294,210,000.00</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100,000,000.00</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303,060,000.00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394,210,000.00</w:t>
            </w:r>
          </w:p>
        </w:tc>
      </w:tr>
    </w:tbl>
    <w:p>
      <w:pPr>
        <w:spacing w:line="240" w:lineRule="auto" w:before="7"/>
        <w:rPr>
          <w:rFonts w:ascii="宋体" w:hAnsi="宋体" w:cs="宋体" w:eastAsia="宋体" w:hint="default"/>
          <w:sz w:val="24"/>
          <w:szCs w:val="24"/>
        </w:rPr>
      </w:pPr>
    </w:p>
    <w:p>
      <w:pPr>
        <w:pStyle w:val="Heading2"/>
        <w:spacing w:line="240" w:lineRule="auto"/>
        <w:ind w:right="0"/>
        <w:jc w:val="left"/>
        <w:rPr>
          <w:b w:val="0"/>
          <w:bCs w:val="0"/>
        </w:rPr>
      </w:pPr>
      <w:r>
        <w:rPr>
          <w:rFonts w:ascii="宋体" w:hAnsi="宋体" w:cs="宋体" w:eastAsia="宋体" w:hint="default"/>
        </w:rPr>
        <w:t>43</w:t>
      </w:r>
      <w:r>
        <w:rPr/>
        <w:t>、</w:t>
      </w:r>
      <w:r>
        <w:rPr>
          <w:spacing w:val="-24"/>
        </w:rPr>
        <w:t> </w:t>
      </w:r>
      <w:r>
        <w:rPr/>
        <w:t>其他流动负债</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3118"/>
        <w:gridCol w:w="3128"/>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211,854.00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211,854.00</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211,854.00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211,854.00</w:t>
            </w:r>
          </w:p>
        </w:tc>
      </w:tr>
    </w:tbl>
    <w:p>
      <w:pPr>
        <w:spacing w:line="240" w:lineRule="auto" w:before="7"/>
        <w:rPr>
          <w:rFonts w:ascii="宋体" w:hAnsi="宋体" w:cs="宋体" w:eastAsia="宋体" w:hint="default"/>
          <w:sz w:val="15"/>
          <w:szCs w:val="15"/>
        </w:rPr>
      </w:pPr>
    </w:p>
    <w:p>
      <w:pPr>
        <w:pStyle w:val="BodyText"/>
        <w:spacing w:line="273" w:lineRule="exact" w:before="36"/>
        <w:ind w:left="218" w:right="0"/>
        <w:jc w:val="left"/>
      </w:pPr>
      <w:r>
        <w:rPr/>
        <w:t>短期应付债券的增减变动：</w:t>
      </w:r>
    </w:p>
    <w:p>
      <w:pPr>
        <w:pStyle w:val="BodyText"/>
        <w:spacing w:line="273" w:lineRule="exact"/>
        <w:ind w:left="2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ind w:right="0"/>
        <w:jc w:val="left"/>
        <w:rPr>
          <w:b w:val="0"/>
          <w:bCs w:val="0"/>
        </w:rPr>
      </w:pPr>
      <w:r>
        <w:rPr>
          <w:rFonts w:ascii="宋体" w:hAnsi="宋体" w:cs="宋体" w:eastAsia="宋体" w:hint="default"/>
        </w:rPr>
        <w:t>44</w:t>
      </w:r>
      <w:r>
        <w:rPr/>
        <w:t>、</w:t>
      </w:r>
      <w:r>
        <w:rPr>
          <w:spacing w:val="-25"/>
        </w:rPr>
        <w:t> </w:t>
      </w:r>
      <w:r>
        <w:rPr/>
        <w:t>长期借款</w:t>
      </w:r>
      <w:r>
        <w:rPr>
          <w:b w:val="0"/>
          <w:bCs w:val="0"/>
        </w:rPr>
      </w:r>
    </w:p>
    <w:p>
      <w:pPr>
        <w:tabs>
          <w:tab w:pos="849" w:val="left" w:leader="none"/>
        </w:tabs>
        <w:spacing w:line="290" w:lineRule="auto" w:before="59"/>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117" w:space="4405"/>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001"/>
        <w:gridCol w:w="2998"/>
        <w:gridCol w:w="2897"/>
      </w:tblGrid>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7"/>
              <w:jc w:val="right"/>
              <w:rPr>
                <w:rFonts w:ascii="宋体" w:hAnsi="宋体" w:cs="宋体" w:eastAsia="宋体" w:hint="default"/>
                <w:sz w:val="21"/>
                <w:szCs w:val="21"/>
              </w:rPr>
            </w:pPr>
            <w:r>
              <w:rPr>
                <w:rFonts w:ascii="宋体"/>
                <w:spacing w:val="-1"/>
                <w:sz w:val="21"/>
              </w:rPr>
              <w:t>34,350,000.00</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34,350,000.00</w:t>
            </w:r>
          </w:p>
        </w:tc>
      </w:tr>
      <w:tr>
        <w:trPr>
          <w:trHeight w:val="286"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7"/>
              <w:jc w:val="right"/>
              <w:rPr>
                <w:rFonts w:ascii="宋体" w:hAnsi="宋体" w:cs="宋体" w:eastAsia="宋体" w:hint="default"/>
                <w:sz w:val="21"/>
                <w:szCs w:val="21"/>
              </w:rPr>
            </w:pPr>
            <w:r>
              <w:rPr>
                <w:rFonts w:ascii="宋体"/>
                <w:spacing w:val="-1"/>
                <w:sz w:val="21"/>
              </w:rPr>
              <w:t>1,894,310,000.00</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
              <w:jc w:val="right"/>
              <w:rPr>
                <w:rFonts w:ascii="宋体" w:hAnsi="宋体" w:cs="宋体" w:eastAsia="宋体" w:hint="default"/>
                <w:sz w:val="21"/>
                <w:szCs w:val="21"/>
              </w:rPr>
            </w:pPr>
            <w:r>
              <w:rPr>
                <w:rFonts w:ascii="宋体"/>
                <w:spacing w:val="-1"/>
                <w:sz w:val="21"/>
              </w:rPr>
              <w:t>2,451,527,500.00</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7"/>
              <w:jc w:val="right"/>
              <w:rPr>
                <w:rFonts w:ascii="宋体" w:hAnsi="宋体" w:cs="宋体" w:eastAsia="宋体" w:hint="default"/>
                <w:sz w:val="21"/>
                <w:szCs w:val="21"/>
              </w:rPr>
            </w:pPr>
            <w:r>
              <w:rPr>
                <w:rFonts w:ascii="宋体"/>
                <w:spacing w:val="-1"/>
                <w:sz w:val="21"/>
              </w:rPr>
              <w:t>-303,060,000.00</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
              <w:jc w:val="right"/>
              <w:rPr>
                <w:rFonts w:ascii="宋体" w:hAnsi="宋体" w:cs="宋体" w:eastAsia="宋体" w:hint="default"/>
                <w:sz w:val="21"/>
                <w:szCs w:val="21"/>
              </w:rPr>
            </w:pPr>
            <w:r>
              <w:rPr>
                <w:rFonts w:ascii="宋体"/>
                <w:spacing w:val="-1"/>
                <w:sz w:val="21"/>
              </w:rPr>
              <w:t>-294,210,000.00</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7"/>
              <w:jc w:val="right"/>
              <w:rPr>
                <w:rFonts w:ascii="宋体" w:hAnsi="宋体" w:cs="宋体" w:eastAsia="宋体" w:hint="default"/>
                <w:sz w:val="21"/>
                <w:szCs w:val="21"/>
              </w:rPr>
            </w:pPr>
            <w:r>
              <w:rPr>
                <w:rFonts w:ascii="宋体"/>
                <w:spacing w:val="-1"/>
                <w:sz w:val="21"/>
              </w:rPr>
              <w:t>1,625,600,000.00</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
              <w:jc w:val="right"/>
              <w:rPr>
                <w:rFonts w:ascii="宋体" w:hAnsi="宋体" w:cs="宋体" w:eastAsia="宋体" w:hint="default"/>
                <w:sz w:val="21"/>
                <w:szCs w:val="21"/>
              </w:rPr>
            </w:pPr>
            <w:r>
              <w:rPr>
                <w:rFonts w:ascii="宋体"/>
                <w:spacing w:val="-1"/>
                <w:sz w:val="21"/>
              </w:rPr>
              <w:t>2,191,667,500.00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7"/>
        <w:ind w:right="0"/>
        <w:jc w:val="left"/>
        <w:rPr>
          <w:b w:val="0"/>
          <w:bCs w:val="0"/>
        </w:rPr>
      </w:pPr>
      <w:r>
        <w:rPr>
          <w:rFonts w:ascii="宋体" w:hAnsi="宋体" w:cs="宋体" w:eastAsia="宋体" w:hint="default"/>
        </w:rPr>
        <w:t>45</w:t>
      </w:r>
      <w:r>
        <w:rPr/>
        <w:t>、</w:t>
      </w:r>
      <w:r>
        <w:rPr>
          <w:spacing w:val="-25"/>
        </w:rPr>
        <w:t> </w:t>
      </w:r>
      <w:r>
        <w:rPr/>
        <w:t>应付债券</w:t>
      </w:r>
      <w:r>
        <w:rPr>
          <w:b w:val="0"/>
          <w:bCs w:val="0"/>
        </w:rPr>
      </w:r>
    </w:p>
    <w:p>
      <w:pPr>
        <w:pStyle w:val="BodyText"/>
        <w:spacing w:line="240" w:lineRule="auto" w:before="58"/>
        <w:ind w:left="218" w:right="0"/>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tabs>
          <w:tab w:pos="1649" w:val="left" w:leader="none"/>
        </w:tabs>
        <w:spacing w:line="240" w:lineRule="auto"/>
        <w:ind w:left="978" w:right="0"/>
        <w:jc w:val="left"/>
        <w:rPr>
          <w:b w:val="0"/>
          <w:bCs w:val="0"/>
        </w:rPr>
      </w:pPr>
      <w:r>
        <w:rPr>
          <w:rFonts w:ascii="宋体" w:hAnsi="宋体" w:cs="宋体" w:eastAsia="宋体" w:hint="default"/>
          <w:w w:val="95"/>
        </w:rPr>
        <w:t>(1).</w:t>
        <w:tab/>
      </w:r>
      <w:r>
        <w:rPr/>
        <w:t>应付债券</w:t>
      </w:r>
      <w:r>
        <w:rPr>
          <w:b w:val="0"/>
          <w:bCs w:val="0"/>
        </w:rPr>
      </w:r>
    </w:p>
    <w:p>
      <w:pPr>
        <w:pStyle w:val="BodyText"/>
        <w:tabs>
          <w:tab w:pos="1051" w:val="left" w:leader="none"/>
        </w:tabs>
        <w:spacing w:line="240" w:lineRule="auto" w:before="58"/>
        <w:ind w:left="0" w:right="21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939" w:type="dxa"/>
        <w:tblLayout w:type="fixed"/>
        <w:tblCellMar>
          <w:top w:w="0" w:type="dxa"/>
          <w:left w:w="0" w:type="dxa"/>
          <w:bottom w:w="0" w:type="dxa"/>
          <w:right w:w="0" w:type="dxa"/>
        </w:tblCellMar>
        <w:tblLook w:val="01E0"/>
      </w:tblPr>
      <w:tblGrid>
        <w:gridCol w:w="3001"/>
        <w:gridCol w:w="3022"/>
        <w:gridCol w:w="2873"/>
      </w:tblGrid>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中期票据</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1,000,000,000.00</w:t>
            </w:r>
          </w:p>
        </w:tc>
        <w:tc>
          <w:tcPr>
            <w:tcW w:w="28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1,000,000,000.00</w:t>
            </w:r>
          </w:p>
        </w:tc>
        <w:tc>
          <w:tcPr>
            <w:tcW w:w="287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sz w:val="19"/>
          <w:szCs w:val="19"/>
        </w:rPr>
      </w:pPr>
    </w:p>
    <w:p>
      <w:pPr>
        <w:pStyle w:val="Heading2"/>
        <w:tabs>
          <w:tab w:pos="1649" w:val="left" w:leader="none"/>
        </w:tabs>
        <w:spacing w:line="240" w:lineRule="auto"/>
        <w:ind w:left="978" w:right="0"/>
        <w:jc w:val="left"/>
        <w:rPr>
          <w:b w:val="0"/>
          <w:bCs w:val="0"/>
        </w:rPr>
      </w:pPr>
      <w:r>
        <w:rPr>
          <w:rFonts w:ascii="宋体" w:hAnsi="宋体" w:cs="宋体" w:eastAsia="宋体" w:hint="default"/>
          <w:w w:val="99"/>
        </w:rPr>
        <w:t>(2).</w:t>
      </w:r>
      <w:r>
        <w:rPr>
          <w:rFonts w:ascii="宋体" w:hAnsi="宋体" w:cs="宋体" w:eastAsia="宋体" w:hint="default"/>
        </w:rPr>
        <w:tab/>
      </w:r>
      <w:r>
        <w:rPr>
          <w:w w:val="100"/>
        </w:rPr>
        <w:t>应付债券的增减变动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spacing w:line="240" w:lineRule="auto" w:before="58"/>
        <w:ind w:left="978" w:right="0"/>
        <w:jc w:val="left"/>
      </w:pPr>
      <w:r>
        <w:rPr/>
        <w:t>√适用</w:t>
      </w:r>
      <w:r>
        <w:rPr>
          <w:spacing w:val="-1"/>
        </w:rPr>
        <w:t> </w:t>
      </w:r>
      <w:r>
        <w:rPr/>
        <w:t>□不适用</w:t>
      </w:r>
    </w:p>
    <w:p>
      <w:pPr>
        <w:pStyle w:val="BodyText"/>
        <w:tabs>
          <w:tab w:pos="1051" w:val="left" w:leader="none"/>
        </w:tabs>
        <w:spacing w:line="271" w:lineRule="exact"/>
        <w:ind w:left="0" w:right="21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852"/>
        <w:gridCol w:w="1260"/>
        <w:gridCol w:w="867"/>
        <w:gridCol w:w="478"/>
        <w:gridCol w:w="1260"/>
        <w:gridCol w:w="530"/>
        <w:gridCol w:w="1260"/>
        <w:gridCol w:w="650"/>
        <w:gridCol w:w="569"/>
        <w:gridCol w:w="639"/>
        <w:gridCol w:w="1260"/>
      </w:tblGrid>
      <w:tr>
        <w:trPr>
          <w:trHeight w:val="605"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68" w:right="264"/>
              <w:jc w:val="left"/>
              <w:rPr>
                <w:rFonts w:ascii="宋体" w:hAnsi="宋体" w:cs="宋体" w:eastAsia="宋体" w:hint="default"/>
                <w:sz w:val="15"/>
                <w:szCs w:val="15"/>
              </w:rPr>
            </w:pPr>
            <w:r>
              <w:rPr>
                <w:rFonts w:ascii="宋体" w:hAnsi="宋体" w:cs="宋体" w:eastAsia="宋体" w:hint="default"/>
                <w:sz w:val="15"/>
                <w:szCs w:val="15"/>
              </w:rPr>
              <w:t>债券</w:t>
            </w:r>
            <w:r>
              <w:rPr>
                <w:rFonts w:ascii="宋体" w:hAnsi="宋体" w:cs="宋体" w:eastAsia="宋体" w:hint="default"/>
                <w:spacing w:val="-73"/>
                <w:sz w:val="15"/>
                <w:szCs w:val="15"/>
              </w:rPr>
              <w:t> </w:t>
            </w:r>
            <w:r>
              <w:rPr>
                <w:rFonts w:ascii="宋体" w:hAnsi="宋体" w:cs="宋体" w:eastAsia="宋体" w:hint="default"/>
                <w:sz w:val="15"/>
                <w:szCs w:val="15"/>
              </w:rPr>
              <w:t>名称</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面值</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76" w:right="272"/>
              <w:jc w:val="left"/>
              <w:rPr>
                <w:rFonts w:ascii="宋体" w:hAnsi="宋体" w:cs="宋体" w:eastAsia="宋体" w:hint="default"/>
                <w:sz w:val="15"/>
                <w:szCs w:val="15"/>
              </w:rPr>
            </w:pPr>
            <w:r>
              <w:rPr>
                <w:rFonts w:ascii="宋体" w:hAnsi="宋体" w:cs="宋体" w:eastAsia="宋体" w:hint="default"/>
                <w:sz w:val="15"/>
                <w:szCs w:val="15"/>
              </w:rPr>
              <w:t>发行</w:t>
            </w:r>
            <w:r>
              <w:rPr>
                <w:rFonts w:ascii="宋体" w:hAnsi="宋体" w:cs="宋体" w:eastAsia="宋体" w:hint="default"/>
                <w:spacing w:val="-73"/>
                <w:sz w:val="15"/>
                <w:szCs w:val="15"/>
              </w:rPr>
              <w:t> </w:t>
            </w:r>
            <w:r>
              <w:rPr>
                <w:rFonts w:ascii="宋体" w:hAnsi="宋体" w:cs="宋体" w:eastAsia="宋体" w:hint="default"/>
                <w:sz w:val="15"/>
                <w:szCs w:val="15"/>
              </w:rPr>
              <w:t>日期</w:t>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81" w:right="77"/>
              <w:jc w:val="left"/>
              <w:rPr>
                <w:rFonts w:ascii="宋体" w:hAnsi="宋体" w:cs="宋体" w:eastAsia="宋体" w:hint="default"/>
                <w:sz w:val="15"/>
                <w:szCs w:val="15"/>
              </w:rPr>
            </w:pPr>
            <w:r>
              <w:rPr>
                <w:rFonts w:ascii="宋体" w:hAnsi="宋体" w:cs="宋体" w:eastAsia="宋体" w:hint="default"/>
                <w:sz w:val="15"/>
                <w:szCs w:val="15"/>
              </w:rPr>
              <w:t>债券</w:t>
            </w:r>
            <w:r>
              <w:rPr>
                <w:rFonts w:ascii="宋体" w:hAnsi="宋体" w:cs="宋体" w:eastAsia="宋体" w:hint="default"/>
                <w:spacing w:val="-73"/>
                <w:sz w:val="15"/>
                <w:szCs w:val="15"/>
              </w:rPr>
              <w:t> </w:t>
            </w:r>
            <w:r>
              <w:rPr>
                <w:rFonts w:ascii="宋体" w:hAnsi="宋体" w:cs="宋体" w:eastAsia="宋体" w:hint="default"/>
                <w:sz w:val="15"/>
                <w:szCs w:val="15"/>
              </w:rPr>
              <w:t>期限</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470" w:right="470"/>
              <w:jc w:val="center"/>
              <w:rPr>
                <w:rFonts w:ascii="宋体" w:hAnsi="宋体" w:cs="宋体" w:eastAsia="宋体" w:hint="default"/>
                <w:sz w:val="15"/>
                <w:szCs w:val="15"/>
              </w:rPr>
            </w:pPr>
            <w:r>
              <w:rPr>
                <w:rFonts w:ascii="宋体" w:hAnsi="宋体" w:cs="宋体" w:eastAsia="宋体" w:hint="default"/>
                <w:sz w:val="15"/>
                <w:szCs w:val="15"/>
              </w:rPr>
              <w:t>发行</w:t>
            </w:r>
            <w:r>
              <w:rPr>
                <w:rFonts w:ascii="宋体" w:hAnsi="宋体" w:cs="宋体" w:eastAsia="宋体" w:hint="default"/>
                <w:w w:val="100"/>
                <w:sz w:val="15"/>
                <w:szCs w:val="15"/>
              </w:rPr>
              <w:t> </w:t>
            </w:r>
            <w:r>
              <w:rPr>
                <w:rFonts w:ascii="宋体" w:hAnsi="宋体" w:cs="宋体" w:eastAsia="宋体" w:hint="default"/>
                <w:sz w:val="15"/>
                <w:szCs w:val="15"/>
              </w:rPr>
              <w:t>金额</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7" w:right="103"/>
              <w:jc w:val="left"/>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spacing w:val="-73"/>
                <w:sz w:val="15"/>
                <w:szCs w:val="15"/>
              </w:rPr>
              <w:t> </w:t>
            </w:r>
            <w:r>
              <w:rPr>
                <w:rFonts w:ascii="宋体" w:hAnsi="宋体" w:cs="宋体" w:eastAsia="宋体" w:hint="default"/>
                <w:sz w:val="15"/>
                <w:szCs w:val="15"/>
              </w:rPr>
              <w:t>余额</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470" w:right="470"/>
              <w:jc w:val="center"/>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发行</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left="91" w:right="0"/>
              <w:jc w:val="left"/>
              <w:rPr>
                <w:rFonts w:ascii="宋体" w:hAnsi="宋体" w:cs="宋体" w:eastAsia="宋体" w:hint="default"/>
                <w:sz w:val="15"/>
                <w:szCs w:val="15"/>
              </w:rPr>
            </w:pPr>
            <w:r>
              <w:rPr>
                <w:rFonts w:ascii="宋体" w:hAnsi="宋体" w:cs="宋体" w:eastAsia="宋体" w:hint="default"/>
                <w:sz w:val="15"/>
                <w:szCs w:val="15"/>
              </w:rPr>
              <w:t>按面值</w:t>
            </w:r>
          </w:p>
          <w:p>
            <w:pPr>
              <w:pStyle w:val="TableParagraph"/>
              <w:spacing w:line="240" w:lineRule="auto"/>
              <w:ind w:left="242" w:right="89" w:hanging="152"/>
              <w:jc w:val="left"/>
              <w:rPr>
                <w:rFonts w:ascii="宋体" w:hAnsi="宋体" w:cs="宋体" w:eastAsia="宋体" w:hint="default"/>
                <w:sz w:val="15"/>
                <w:szCs w:val="15"/>
              </w:rPr>
            </w:pPr>
            <w:r>
              <w:rPr>
                <w:rFonts w:ascii="宋体" w:hAnsi="宋体" w:cs="宋体" w:eastAsia="宋体" w:hint="default"/>
                <w:sz w:val="15"/>
                <w:szCs w:val="15"/>
              </w:rPr>
              <w:t>计提利</w:t>
            </w:r>
            <w:r>
              <w:rPr>
                <w:rFonts w:ascii="宋体" w:hAnsi="宋体" w:cs="宋体" w:eastAsia="宋体" w:hint="default"/>
                <w:spacing w:val="-72"/>
                <w:sz w:val="15"/>
                <w:szCs w:val="15"/>
              </w:rPr>
              <w:t> </w:t>
            </w:r>
            <w:r>
              <w:rPr>
                <w:rFonts w:ascii="宋体" w:hAnsi="宋体" w:cs="宋体" w:eastAsia="宋体" w:hint="default"/>
                <w:sz w:val="15"/>
                <w:szCs w:val="15"/>
              </w:rPr>
              <w:t>息</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27" w:right="48" w:hanging="77"/>
              <w:jc w:val="left"/>
              <w:rPr>
                <w:rFonts w:ascii="宋体" w:hAnsi="宋体" w:cs="宋体" w:eastAsia="宋体" w:hint="default"/>
                <w:sz w:val="15"/>
                <w:szCs w:val="15"/>
              </w:rPr>
            </w:pPr>
            <w:r>
              <w:rPr>
                <w:rFonts w:ascii="宋体" w:hAnsi="宋体" w:cs="宋体" w:eastAsia="宋体" w:hint="default"/>
                <w:sz w:val="15"/>
                <w:szCs w:val="15"/>
              </w:rPr>
              <w:t>溢折价</w:t>
            </w:r>
            <w:r>
              <w:rPr>
                <w:rFonts w:ascii="宋体" w:hAnsi="宋体" w:cs="宋体" w:eastAsia="宋体" w:hint="default"/>
                <w:spacing w:val="-72"/>
                <w:sz w:val="15"/>
                <w:szCs w:val="15"/>
              </w:rPr>
              <w:t> </w:t>
            </w:r>
            <w:r>
              <w:rPr>
                <w:rFonts w:ascii="宋体" w:hAnsi="宋体" w:cs="宋体" w:eastAsia="宋体" w:hint="default"/>
                <w:sz w:val="15"/>
                <w:szCs w:val="15"/>
              </w:rPr>
              <w:t>摊销</w:t>
            </w:r>
          </w:p>
        </w:tc>
        <w:tc>
          <w:tcPr>
            <w:tcW w:w="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60" w:right="159"/>
              <w:jc w:val="left"/>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spacing w:val="-73"/>
                <w:sz w:val="15"/>
                <w:szCs w:val="15"/>
              </w:rPr>
              <w:t> </w:t>
            </w:r>
            <w:r>
              <w:rPr>
                <w:rFonts w:ascii="宋体" w:hAnsi="宋体" w:cs="宋体" w:eastAsia="宋体" w:hint="default"/>
                <w:sz w:val="15"/>
                <w:szCs w:val="15"/>
              </w:rPr>
              <w:t>偿还</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472" w:right="468"/>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r>
      <w:tr>
        <w:trPr>
          <w:trHeight w:val="404"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4" w:right="0"/>
              <w:jc w:val="left"/>
              <w:rPr>
                <w:rFonts w:ascii="宋体" w:hAnsi="宋体" w:cs="宋体" w:eastAsia="宋体" w:hint="default"/>
                <w:sz w:val="15"/>
                <w:szCs w:val="15"/>
              </w:rPr>
            </w:pPr>
            <w:r>
              <w:rPr>
                <w:rFonts w:ascii="宋体" w:hAnsi="宋体" w:cs="宋体" w:eastAsia="宋体" w:hint="default"/>
                <w:sz w:val="15"/>
                <w:szCs w:val="15"/>
              </w:rPr>
              <w:t>15</w:t>
            </w:r>
            <w:r>
              <w:rPr>
                <w:rFonts w:ascii="宋体" w:hAnsi="宋体" w:cs="宋体" w:eastAsia="宋体" w:hint="default"/>
                <w:spacing w:val="-37"/>
                <w:sz w:val="15"/>
                <w:szCs w:val="15"/>
              </w:rPr>
              <w:t> </w:t>
            </w:r>
            <w:r>
              <w:rPr>
                <w:rFonts w:ascii="宋体" w:hAnsi="宋体" w:cs="宋体" w:eastAsia="宋体" w:hint="default"/>
                <w:sz w:val="15"/>
                <w:szCs w:val="15"/>
              </w:rPr>
              <w:t>锦州港</w:t>
            </w:r>
          </w:p>
          <w:p>
            <w:pPr>
              <w:pStyle w:val="TableParagraph"/>
              <w:spacing w:line="195" w:lineRule="exact"/>
              <w:ind w:left="24" w:right="0"/>
              <w:jc w:val="left"/>
              <w:rPr>
                <w:rFonts w:ascii="宋体" w:hAnsi="宋体" w:cs="宋体" w:eastAsia="宋体" w:hint="default"/>
                <w:sz w:val="15"/>
                <w:szCs w:val="15"/>
              </w:rPr>
            </w:pPr>
            <w:r>
              <w:rPr>
                <w:rFonts w:ascii="宋体"/>
                <w:sz w:val="15"/>
              </w:rPr>
              <w:t>MTN175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1"/>
              <w:jc w:val="center"/>
              <w:rPr>
                <w:rFonts w:ascii="宋体" w:hAnsi="宋体" w:cs="宋体" w:eastAsia="宋体" w:hint="default"/>
                <w:sz w:val="15"/>
                <w:szCs w:val="15"/>
              </w:rPr>
            </w:pPr>
            <w:r>
              <w:rPr>
                <w:rFonts w:ascii="宋体"/>
                <w:sz w:val="15"/>
              </w:rPr>
              <w:t>1,000,000,000.00</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3" w:right="0"/>
              <w:jc w:val="left"/>
              <w:rPr>
                <w:rFonts w:ascii="宋体" w:hAnsi="宋体" w:cs="宋体" w:eastAsia="宋体" w:hint="default"/>
                <w:sz w:val="15"/>
                <w:szCs w:val="15"/>
              </w:rPr>
            </w:pPr>
            <w:r>
              <w:rPr>
                <w:rFonts w:ascii="宋体" w:hAnsi="宋体" w:cs="宋体" w:eastAsia="宋体" w:hint="default"/>
                <w:sz w:val="15"/>
                <w:szCs w:val="15"/>
              </w:rPr>
              <w:t>2015</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7</w:t>
            </w:r>
            <w:r>
              <w:rPr>
                <w:rFonts w:ascii="宋体" w:hAnsi="宋体" w:cs="宋体" w:eastAsia="宋体" w:hint="default"/>
                <w:spacing w:val="-38"/>
                <w:sz w:val="15"/>
                <w:szCs w:val="15"/>
              </w:rPr>
              <w:t> </w:t>
            </w:r>
            <w:r>
              <w:rPr>
                <w:rFonts w:ascii="宋体" w:hAnsi="宋体" w:cs="宋体" w:eastAsia="宋体" w:hint="default"/>
                <w:sz w:val="15"/>
                <w:szCs w:val="15"/>
              </w:rPr>
              <w:t>月</w:t>
            </w:r>
          </w:p>
          <w:p>
            <w:pPr>
              <w:pStyle w:val="TableParagraph"/>
              <w:spacing w:line="195" w:lineRule="exact"/>
              <w:ind w:left="492" w:right="0"/>
              <w:jc w:val="left"/>
              <w:rPr>
                <w:rFonts w:ascii="宋体" w:hAnsi="宋体" w:cs="宋体" w:eastAsia="宋体" w:hint="default"/>
                <w:sz w:val="15"/>
                <w:szCs w:val="15"/>
              </w:rPr>
            </w:pPr>
            <w:r>
              <w:rPr>
                <w:rFonts w:ascii="宋体" w:hAnsi="宋体" w:cs="宋体" w:eastAsia="宋体" w:hint="default"/>
                <w:sz w:val="15"/>
                <w:szCs w:val="15"/>
              </w:rPr>
              <w:t>10</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173"/>
              <w:jc w:val="righ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年</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21" w:right="0"/>
              <w:jc w:val="left"/>
              <w:rPr>
                <w:rFonts w:ascii="宋体" w:hAnsi="宋体" w:cs="宋体" w:eastAsia="宋体" w:hint="default"/>
                <w:sz w:val="15"/>
                <w:szCs w:val="15"/>
              </w:rPr>
            </w:pPr>
            <w:r>
              <w:rPr>
                <w:rFonts w:ascii="宋体"/>
                <w:sz w:val="15"/>
              </w:rPr>
              <w:t>1,000,000,000.00</w:t>
            </w:r>
          </w:p>
        </w:tc>
        <w:tc>
          <w:tcPr>
            <w:tcW w:w="53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1"/>
              <w:jc w:val="right"/>
              <w:rPr>
                <w:rFonts w:ascii="宋体" w:hAnsi="宋体" w:cs="宋体" w:eastAsia="宋体" w:hint="default"/>
                <w:sz w:val="15"/>
                <w:szCs w:val="15"/>
              </w:rPr>
            </w:pPr>
            <w:r>
              <w:rPr>
                <w:rFonts w:ascii="宋体"/>
                <w:spacing w:val="-2"/>
                <w:sz w:val="15"/>
              </w:rPr>
              <w:t>1,000,000,000.00</w:t>
            </w:r>
          </w:p>
        </w:tc>
        <w:tc>
          <w:tcPr>
            <w:tcW w:w="650"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63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19"/>
              <w:jc w:val="right"/>
              <w:rPr>
                <w:rFonts w:ascii="宋体" w:hAnsi="宋体" w:cs="宋体" w:eastAsia="宋体" w:hint="default"/>
                <w:sz w:val="15"/>
                <w:szCs w:val="15"/>
              </w:rPr>
            </w:pPr>
            <w:r>
              <w:rPr>
                <w:rFonts w:ascii="宋体"/>
                <w:spacing w:val="-2"/>
                <w:sz w:val="15"/>
              </w:rPr>
              <w:t>1,000,000,000.00</w:t>
            </w:r>
          </w:p>
        </w:tc>
      </w:tr>
      <w:tr>
        <w:trPr>
          <w:trHeight w:val="281"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68"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86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w w:val="100"/>
                <w:sz w:val="15"/>
              </w:rPr>
              <w:t>/</w:t>
            </w:r>
          </w:p>
        </w:tc>
        <w:tc>
          <w:tcPr>
            <w:tcW w:w="47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91"/>
              <w:jc w:val="right"/>
              <w:rPr>
                <w:rFonts w:ascii="宋体" w:hAnsi="宋体" w:cs="宋体" w:eastAsia="宋体" w:hint="default"/>
                <w:sz w:val="15"/>
                <w:szCs w:val="15"/>
              </w:rPr>
            </w:pPr>
            <w:r>
              <w:rPr>
                <w:rFonts w:ascii="宋体"/>
                <w:w w:val="100"/>
                <w:sz w:val="15"/>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1" w:right="0"/>
              <w:jc w:val="left"/>
              <w:rPr>
                <w:rFonts w:ascii="宋体" w:hAnsi="宋体" w:cs="宋体" w:eastAsia="宋体" w:hint="default"/>
                <w:sz w:val="15"/>
                <w:szCs w:val="15"/>
              </w:rPr>
            </w:pPr>
            <w:r>
              <w:rPr>
                <w:rFonts w:ascii="宋体"/>
                <w:sz w:val="15"/>
              </w:rPr>
              <w:t>1,000,000,000.00</w:t>
            </w:r>
          </w:p>
        </w:tc>
        <w:tc>
          <w:tcPr>
            <w:tcW w:w="53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1,000,000,000.00</w:t>
            </w:r>
          </w:p>
        </w:tc>
        <w:tc>
          <w:tcPr>
            <w:tcW w:w="650"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63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9"/>
              <w:jc w:val="right"/>
              <w:rPr>
                <w:rFonts w:ascii="宋体" w:hAnsi="宋体" w:cs="宋体" w:eastAsia="宋体" w:hint="default"/>
                <w:sz w:val="15"/>
                <w:szCs w:val="15"/>
              </w:rPr>
            </w:pPr>
            <w:r>
              <w:rPr>
                <w:rFonts w:ascii="宋体"/>
                <w:spacing w:val="-2"/>
                <w:sz w:val="15"/>
              </w:rPr>
              <w:t>1,000,000,000.00</w:t>
            </w:r>
          </w:p>
        </w:tc>
      </w:tr>
    </w:tbl>
    <w:p>
      <w:pPr>
        <w:pStyle w:val="BodyText"/>
        <w:spacing w:line="240" w:lineRule="exact"/>
        <w:ind w:left="1398" w:right="0"/>
        <w:jc w:val="left"/>
      </w:pPr>
      <w:r>
        <w:rPr/>
        <w:t>说明：</w:t>
      </w:r>
      <w:r>
        <w:rPr>
          <w:rFonts w:ascii="宋体" w:hAnsi="宋体" w:cs="宋体" w:eastAsia="宋体" w:hint="default"/>
        </w:rPr>
        <w:t>2015</w:t>
      </w:r>
      <w:r>
        <w:rPr>
          <w:rFonts w:ascii="宋体" w:hAnsi="宋体" w:cs="宋体" w:eastAsia="宋体" w:hint="default"/>
          <w:spacing w:val="-48"/>
        </w:rPr>
        <w:t> </w:t>
      </w:r>
      <w:r>
        <w:rPr/>
        <w:t>年</w:t>
      </w:r>
      <w:r>
        <w:rPr>
          <w:spacing w:val="-50"/>
        </w:rPr>
        <w:t> </w:t>
      </w:r>
      <w:r>
        <w:rPr>
          <w:rFonts w:ascii="宋体" w:hAnsi="宋体" w:cs="宋体" w:eastAsia="宋体" w:hint="default"/>
        </w:rPr>
        <w:t>7</w:t>
      </w:r>
      <w:r>
        <w:rPr>
          <w:rFonts w:ascii="宋体" w:hAnsi="宋体" w:cs="宋体" w:eastAsia="宋体" w:hint="default"/>
          <w:spacing w:val="-48"/>
        </w:rPr>
        <w:t> </w:t>
      </w:r>
      <w:r>
        <w:rPr/>
        <w:t>月</w:t>
      </w:r>
      <w:r>
        <w:rPr>
          <w:spacing w:val="-49"/>
        </w:rPr>
        <w:t> </w:t>
      </w:r>
      <w:r>
        <w:rPr>
          <w:rFonts w:ascii="宋体" w:hAnsi="宋体" w:cs="宋体" w:eastAsia="宋体" w:hint="default"/>
        </w:rPr>
        <w:t>9</w:t>
      </w:r>
      <w:r>
        <w:rPr>
          <w:rFonts w:ascii="宋体" w:hAnsi="宋体" w:cs="宋体" w:eastAsia="宋体" w:hint="default"/>
          <w:spacing w:val="-48"/>
        </w:rPr>
        <w:t> </w:t>
      </w:r>
      <w:r>
        <w:rPr/>
        <w:t>日，公司在全国银行间市场发行了</w:t>
      </w:r>
      <w:r>
        <w:rPr>
          <w:spacing w:val="-43"/>
        </w:rPr>
        <w:t> </w:t>
      </w:r>
      <w:r>
        <w:rPr>
          <w:rFonts w:ascii="宋体" w:hAnsi="宋体" w:cs="宋体" w:eastAsia="宋体" w:hint="default"/>
        </w:rPr>
        <w:t>2015</w:t>
      </w:r>
      <w:r>
        <w:rPr>
          <w:rFonts w:ascii="宋体" w:hAnsi="宋体" w:cs="宋体" w:eastAsia="宋体" w:hint="default"/>
          <w:spacing w:val="-47"/>
        </w:rPr>
        <w:t> </w:t>
      </w:r>
      <w:r>
        <w:rPr/>
        <w:t>年度第一期中期票据</w:t>
      </w:r>
      <w:r>
        <w:rPr>
          <w:spacing w:val="-43"/>
        </w:rPr>
        <w:t> </w:t>
      </w:r>
      <w:r>
        <w:rPr>
          <w:rFonts w:ascii="宋体" w:hAnsi="宋体" w:cs="宋体" w:eastAsia="宋体" w:hint="default"/>
        </w:rPr>
        <w:t>10</w:t>
      </w:r>
      <w:r>
        <w:rPr>
          <w:rFonts w:ascii="宋体" w:hAnsi="宋体" w:cs="宋体" w:eastAsia="宋体" w:hint="default"/>
          <w:spacing w:val="-44"/>
        </w:rPr>
        <w:t> </w:t>
      </w:r>
      <w:r>
        <w:rPr/>
        <w:t>亿元，</w:t>
      </w:r>
    </w:p>
    <w:p>
      <w:pPr>
        <w:pStyle w:val="BodyText"/>
        <w:spacing w:line="237" w:lineRule="auto" w:before="2"/>
        <w:ind w:left="978" w:right="208"/>
        <w:jc w:val="both"/>
      </w:pPr>
      <w:r>
        <w:rPr/>
        <w:t>期限为</w:t>
      </w:r>
      <w:r>
        <w:rPr>
          <w:spacing w:val="-54"/>
        </w:rPr>
        <w:t> </w:t>
      </w:r>
      <w:r>
        <w:rPr>
          <w:rFonts w:ascii="宋体" w:hAnsi="宋体" w:cs="宋体" w:eastAsia="宋体" w:hint="default"/>
        </w:rPr>
        <w:t>3</w:t>
      </w:r>
      <w:r>
        <w:rPr>
          <w:rFonts w:ascii="宋体" w:hAnsi="宋体" w:cs="宋体" w:eastAsia="宋体" w:hint="default"/>
          <w:spacing w:val="-54"/>
        </w:rPr>
        <w:t> </w:t>
      </w:r>
      <w:r>
        <w:rPr/>
        <w:t>年，起息日为</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4"/>
        </w:rPr>
        <w:t> </w:t>
      </w:r>
      <w:r>
        <w:rPr>
          <w:rFonts w:ascii="宋体" w:hAnsi="宋体" w:cs="宋体" w:eastAsia="宋体" w:hint="default"/>
        </w:rPr>
        <w:t>10</w:t>
      </w:r>
      <w:r>
        <w:rPr>
          <w:rFonts w:ascii="宋体" w:hAnsi="宋体" w:cs="宋体" w:eastAsia="宋体" w:hint="default"/>
          <w:spacing w:val="-54"/>
        </w:rPr>
        <w:t> </w:t>
      </w:r>
      <w:r>
        <w:rPr/>
        <w:t>日，兑付日为</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6"/>
        </w:rPr>
        <w:t> </w:t>
      </w:r>
      <w:r>
        <w:rPr>
          <w:rFonts w:ascii="宋体" w:hAnsi="宋体" w:cs="宋体" w:eastAsia="宋体" w:hint="default"/>
        </w:rPr>
        <w:t>10</w:t>
      </w:r>
      <w:r>
        <w:rPr>
          <w:rFonts w:ascii="宋体" w:hAnsi="宋体" w:cs="宋体" w:eastAsia="宋体" w:hint="default"/>
          <w:spacing w:val="-54"/>
        </w:rPr>
        <w:t> </w:t>
      </w:r>
      <w:r>
        <w:rPr/>
        <w:t>日，发行价格为人民币</w:t>
      </w:r>
      <w:r>
        <w:rPr>
          <w:spacing w:val="-53"/>
        </w:rPr>
        <w:t> </w:t>
      </w:r>
      <w:r>
        <w:rPr>
          <w:rFonts w:ascii="宋体" w:hAnsi="宋体" w:cs="宋体" w:eastAsia="宋体" w:hint="default"/>
        </w:rPr>
        <w:t>100</w:t>
      </w:r>
      <w:r>
        <w:rPr>
          <w:rFonts w:ascii="宋体" w:hAnsi="宋体" w:cs="宋体" w:eastAsia="宋体" w:hint="default"/>
          <w:w w:val="100"/>
        </w:rPr>
        <w:t> </w:t>
      </w:r>
      <w:r>
        <w:rPr>
          <w:spacing w:val="-4"/>
        </w:rPr>
        <w:t>元</w:t>
      </w:r>
      <w:r>
        <w:rPr>
          <w:rFonts w:ascii="宋体" w:hAnsi="宋体" w:cs="宋体" w:eastAsia="宋体" w:hint="default"/>
          <w:spacing w:val="-4"/>
        </w:rPr>
        <w:t>/</w:t>
      </w:r>
      <w:r>
        <w:rPr>
          <w:spacing w:val="-4"/>
        </w:rPr>
        <w:t>百元面值，发行利率为</w:t>
      </w:r>
      <w:r>
        <w:rPr>
          <w:spacing w:val="-39"/>
        </w:rPr>
        <w:t> </w:t>
      </w:r>
      <w:r>
        <w:rPr>
          <w:rFonts w:ascii="宋体" w:hAnsi="宋体" w:cs="宋体" w:eastAsia="宋体" w:hint="default"/>
          <w:spacing w:val="-4"/>
        </w:rPr>
        <w:t>5.15%</w:t>
      </w:r>
      <w:r>
        <w:rPr>
          <w:spacing w:val="-4"/>
        </w:rPr>
        <w:t>（发行日</w:t>
      </w:r>
      <w:r>
        <w:rPr>
          <w:spacing w:val="-36"/>
        </w:rPr>
        <w:t> </w:t>
      </w:r>
      <w:r>
        <w:rPr>
          <w:rFonts w:ascii="宋体" w:hAnsi="宋体" w:cs="宋体" w:eastAsia="宋体" w:hint="default"/>
        </w:rPr>
        <w:t>1</w:t>
      </w:r>
      <w:r>
        <w:rPr>
          <w:rFonts w:ascii="宋体" w:hAnsi="宋体" w:cs="宋体" w:eastAsia="宋体" w:hint="default"/>
          <w:spacing w:val="-39"/>
        </w:rPr>
        <w:t> </w:t>
      </w:r>
      <w:r>
        <w:rPr/>
        <w:t>年</w:t>
      </w:r>
      <w:r>
        <w:rPr>
          <w:spacing w:val="-36"/>
        </w:rPr>
        <w:t> </w:t>
      </w:r>
      <w:r>
        <w:rPr>
          <w:rFonts w:ascii="宋体" w:hAnsi="宋体" w:cs="宋体" w:eastAsia="宋体" w:hint="default"/>
          <w:spacing w:val="-3"/>
        </w:rPr>
        <w:t>SHIBOR+1.7633%</w:t>
      </w:r>
      <w:r>
        <w:rPr>
          <w:spacing w:val="-3"/>
        </w:rPr>
        <w:t>），主承销商为中国民生银行股份</w:t>
      </w:r>
      <w:r>
        <w:rPr>
          <w:spacing w:val="-98"/>
        </w:rPr>
        <w:t> </w:t>
      </w:r>
      <w:r>
        <w:rPr>
          <w:spacing w:val="-98"/>
        </w:rPr>
      </w:r>
      <w:r>
        <w:rPr>
          <w:spacing w:val="-3"/>
        </w:rPr>
        <w:t>有限公司。</w:t>
      </w:r>
      <w:r>
        <w:rPr>
          <w:rFonts w:ascii="宋体" w:hAnsi="宋体" w:cs="宋体" w:eastAsia="宋体" w:hint="default"/>
          <w:spacing w:val="-3"/>
        </w:rPr>
        <w:t>2015</w:t>
      </w:r>
      <w:r>
        <w:rPr>
          <w:rFonts w:ascii="宋体" w:hAnsi="宋体" w:cs="宋体" w:eastAsia="宋体" w:hint="default"/>
          <w:spacing w:val="-50"/>
        </w:rPr>
        <w:t> </w:t>
      </w:r>
      <w:r>
        <w:rPr/>
        <w:t>年</w:t>
      </w:r>
      <w:r>
        <w:rPr>
          <w:spacing w:val="-48"/>
        </w:rPr>
        <w:t> </w:t>
      </w:r>
      <w:r>
        <w:rPr>
          <w:rFonts w:ascii="宋体" w:hAnsi="宋体" w:cs="宋体" w:eastAsia="宋体" w:hint="default"/>
        </w:rPr>
        <w:t>7</w:t>
      </w:r>
      <w:r>
        <w:rPr>
          <w:rFonts w:ascii="宋体" w:hAnsi="宋体" w:cs="宋体" w:eastAsia="宋体" w:hint="default"/>
          <w:spacing w:val="-50"/>
        </w:rPr>
        <w:t> </w:t>
      </w:r>
      <w:r>
        <w:rPr/>
        <w:t>月</w:t>
      </w:r>
      <w:r>
        <w:rPr>
          <w:spacing w:val="-47"/>
        </w:rPr>
        <w:t> </w:t>
      </w:r>
      <w:r>
        <w:rPr>
          <w:rFonts w:ascii="宋体" w:hAnsi="宋体" w:cs="宋体" w:eastAsia="宋体" w:hint="default"/>
        </w:rPr>
        <w:t>10</w:t>
      </w:r>
      <w:r>
        <w:rPr>
          <w:rFonts w:ascii="宋体" w:hAnsi="宋体" w:cs="宋体" w:eastAsia="宋体" w:hint="default"/>
          <w:spacing w:val="-50"/>
        </w:rPr>
        <w:t> </w:t>
      </w:r>
      <w:r>
        <w:rPr>
          <w:spacing w:val="-3"/>
        </w:rPr>
        <w:t>日，该募集资金已到账，扣除发行费用后</w:t>
      </w:r>
      <w:r>
        <w:rPr>
          <w:spacing w:val="-48"/>
        </w:rPr>
        <w:t> </w:t>
      </w:r>
      <w:r>
        <w:rPr>
          <w:rFonts w:ascii="宋体" w:hAnsi="宋体" w:cs="宋体" w:eastAsia="宋体" w:hint="default"/>
        </w:rPr>
        <w:t>9.97</w:t>
      </w:r>
      <w:r>
        <w:rPr>
          <w:rFonts w:ascii="宋体" w:hAnsi="宋体" w:cs="宋体" w:eastAsia="宋体" w:hint="default"/>
          <w:spacing w:val="-48"/>
        </w:rPr>
        <w:t> </w:t>
      </w:r>
      <w:r>
        <w:rPr/>
        <w:t>亿元全部用于偿还银行</w:t>
      </w:r>
      <w:r>
        <w:rPr>
          <w:spacing w:val="-103"/>
        </w:rPr>
        <w:t> </w:t>
      </w:r>
      <w:r>
        <w:rPr>
          <w:spacing w:val="-103"/>
        </w:rPr>
      </w:r>
      <w:r>
        <w:rPr/>
        <w:t>借款。</w:t>
      </w:r>
    </w:p>
    <w:p>
      <w:pPr>
        <w:spacing w:line="240" w:lineRule="auto" w:before="3"/>
        <w:rPr>
          <w:rFonts w:ascii="宋体" w:hAnsi="宋体" w:cs="宋体" w:eastAsia="宋体" w:hint="default"/>
          <w:sz w:val="25"/>
          <w:szCs w:val="25"/>
        </w:rPr>
      </w:pPr>
    </w:p>
    <w:p>
      <w:pPr>
        <w:pStyle w:val="Heading2"/>
        <w:spacing w:line="240" w:lineRule="auto" w:before="0"/>
        <w:ind w:left="978" w:right="0"/>
        <w:jc w:val="both"/>
        <w:rPr>
          <w:b w:val="0"/>
          <w:bCs w:val="0"/>
        </w:rPr>
      </w:pPr>
      <w:r>
        <w:rPr>
          <w:rFonts w:ascii="宋体" w:hAnsi="宋体" w:cs="宋体" w:eastAsia="宋体" w:hint="default"/>
        </w:rPr>
        <w:t>(3). </w:t>
      </w:r>
      <w:r>
        <w:rPr>
          <w:rFonts w:ascii="宋体" w:hAnsi="宋体" w:cs="宋体" w:eastAsia="宋体" w:hint="default"/>
          <w:spacing w:val="36"/>
        </w:rPr>
        <w:t> </w:t>
      </w:r>
      <w:r>
        <w:rPr/>
        <w:t>划分为金融负债的其他金融工具说明：</w:t>
      </w:r>
      <w:r>
        <w:rPr>
          <w:b w:val="0"/>
          <w:bCs w:val="0"/>
        </w:rPr>
      </w:r>
    </w:p>
    <w:p>
      <w:pPr>
        <w:pStyle w:val="BodyText"/>
        <w:spacing w:line="240" w:lineRule="auto" w:before="58"/>
        <w:ind w:left="978"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2"/>
        <w:spacing w:line="240" w:lineRule="auto" w:before="0"/>
        <w:ind w:left="978" w:right="0"/>
        <w:jc w:val="both"/>
        <w:rPr>
          <w:b w:val="0"/>
          <w:bCs w:val="0"/>
        </w:rPr>
      </w:pPr>
      <w:r>
        <w:rPr>
          <w:rFonts w:ascii="宋体" w:hAnsi="宋体" w:cs="宋体" w:eastAsia="宋体" w:hint="default"/>
        </w:rPr>
        <w:t>46</w:t>
      </w:r>
      <w:r>
        <w:rPr/>
        <w:t>、</w:t>
      </w:r>
      <w:r>
        <w:rPr>
          <w:spacing w:val="-25"/>
        </w:rPr>
        <w:t> </w:t>
      </w:r>
      <w:r>
        <w:rPr/>
        <w:t>长期应付款</w:t>
      </w:r>
      <w:r>
        <w:rPr>
          <w:b w:val="0"/>
          <w:bCs w:val="0"/>
        </w:rPr>
      </w:r>
    </w:p>
    <w:p>
      <w:pPr>
        <w:pStyle w:val="BodyText"/>
        <w:spacing w:line="240" w:lineRule="auto" w:before="58"/>
        <w:ind w:left="978"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before="0"/>
        <w:ind w:left="978" w:right="0"/>
        <w:jc w:val="both"/>
        <w:rPr>
          <w:b w:val="0"/>
          <w:bCs w:val="0"/>
        </w:rPr>
      </w:pPr>
      <w:r>
        <w:rPr>
          <w:rFonts w:ascii="宋体" w:hAnsi="宋体" w:cs="宋体" w:eastAsia="宋体" w:hint="default"/>
        </w:rPr>
        <w:t>47</w:t>
      </w:r>
      <w:r>
        <w:rPr/>
        <w:t>、</w:t>
      </w:r>
      <w:r>
        <w:rPr>
          <w:spacing w:val="-24"/>
        </w:rPr>
        <w:t> </w:t>
      </w:r>
      <w:r>
        <w:rPr/>
        <w:t>长期应付职工薪酬</w:t>
      </w:r>
      <w:r>
        <w:rPr>
          <w:b w:val="0"/>
          <w:bCs w:val="0"/>
        </w:rPr>
      </w:r>
    </w:p>
    <w:p>
      <w:pPr>
        <w:pStyle w:val="BodyText"/>
        <w:spacing w:line="240" w:lineRule="auto" w:before="58"/>
        <w:ind w:left="978"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before="0"/>
        <w:ind w:left="978" w:right="0"/>
        <w:jc w:val="both"/>
        <w:rPr>
          <w:b w:val="0"/>
          <w:bCs w:val="0"/>
        </w:rPr>
      </w:pPr>
      <w:r>
        <w:rPr>
          <w:rFonts w:ascii="宋体" w:hAnsi="宋体" w:cs="宋体" w:eastAsia="宋体" w:hint="default"/>
        </w:rPr>
        <w:t>48</w:t>
      </w:r>
      <w:r>
        <w:rPr/>
        <w:t>、</w:t>
      </w:r>
      <w:r>
        <w:rPr>
          <w:spacing w:val="-25"/>
        </w:rPr>
        <w:t> </w:t>
      </w:r>
      <w:r>
        <w:rPr/>
        <w:t>专项应付款</w:t>
      </w:r>
      <w:r>
        <w:rPr>
          <w:b w:val="0"/>
          <w:bCs w:val="0"/>
        </w:rPr>
      </w:r>
    </w:p>
    <w:p>
      <w:pPr>
        <w:pStyle w:val="BodyText"/>
        <w:spacing w:line="240" w:lineRule="auto" w:before="58"/>
        <w:ind w:left="978"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2"/>
        <w:spacing w:line="240" w:lineRule="auto" w:before="0"/>
        <w:ind w:left="978" w:right="0"/>
        <w:jc w:val="both"/>
        <w:rPr>
          <w:b w:val="0"/>
          <w:bCs w:val="0"/>
        </w:rPr>
      </w:pPr>
      <w:r>
        <w:rPr>
          <w:rFonts w:ascii="宋体" w:hAnsi="宋体" w:cs="宋体" w:eastAsia="宋体" w:hint="default"/>
        </w:rPr>
        <w:t>49</w:t>
      </w:r>
      <w:r>
        <w:rPr/>
        <w:t>、</w:t>
      </w:r>
      <w:r>
        <w:rPr>
          <w:spacing w:val="-25"/>
        </w:rPr>
        <w:t> </w:t>
      </w:r>
      <w:r>
        <w:rPr/>
        <w:t>预计负债</w:t>
      </w:r>
      <w:r>
        <w:rPr>
          <w:b w:val="0"/>
          <w:bCs w:val="0"/>
        </w:rPr>
      </w:r>
    </w:p>
    <w:p>
      <w:pPr>
        <w:pStyle w:val="BodyText"/>
        <w:spacing w:line="240" w:lineRule="auto" w:before="56"/>
        <w:ind w:left="978"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820" w:right="1060"/>
        </w:sectPr>
      </w:pPr>
    </w:p>
    <w:p>
      <w:pPr>
        <w:pStyle w:val="Heading2"/>
        <w:spacing w:line="240" w:lineRule="auto"/>
        <w:ind w:left="978" w:right="-18"/>
        <w:jc w:val="left"/>
        <w:rPr>
          <w:b w:val="0"/>
          <w:bCs w:val="0"/>
        </w:rPr>
      </w:pPr>
      <w:r>
        <w:rPr>
          <w:rFonts w:ascii="宋体" w:hAnsi="宋体" w:cs="宋体" w:eastAsia="宋体" w:hint="default"/>
        </w:rPr>
        <w:t>50</w:t>
      </w:r>
      <w:r>
        <w:rPr/>
        <w:t>、</w:t>
      </w:r>
      <w:r>
        <w:rPr>
          <w:spacing w:val="-25"/>
        </w:rPr>
        <w:t> </w:t>
      </w:r>
      <w:r>
        <w:rPr/>
        <w:t>递延收益</w:t>
      </w:r>
      <w:r>
        <w:rPr>
          <w:b w:val="0"/>
          <w:bCs w:val="0"/>
        </w:rPr>
      </w:r>
    </w:p>
    <w:p>
      <w:pPr>
        <w:pStyle w:val="BodyText"/>
        <w:spacing w:line="240" w:lineRule="auto" w:before="56"/>
        <w:ind w:left="9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29" w:val="left" w:leader="none"/>
        </w:tabs>
        <w:spacing w:line="240" w:lineRule="auto"/>
        <w:ind w:left="978" w:right="0"/>
        <w:jc w:val="left"/>
      </w:pPr>
      <w:r>
        <w:rPr>
          <w:spacing w:val="-1"/>
        </w:rPr>
        <w:t>单位：元</w:t>
        <w:tab/>
      </w:r>
      <w:r>
        <w:rPr>
          <w:spacing w:val="-2"/>
        </w:rPr>
        <w:t>币种人民币</w:t>
      </w:r>
    </w:p>
    <w:p>
      <w:pPr>
        <w:spacing w:after="0" w:line="240" w:lineRule="auto"/>
        <w:jc w:val="left"/>
        <w:sectPr>
          <w:type w:val="continuous"/>
          <w:pgSz w:w="11910" w:h="16840"/>
          <w:pgMar w:top="1120" w:bottom="1380" w:left="820" w:right="1060"/>
          <w:cols w:num="2" w:equalWidth="0">
            <w:col w:w="2555" w:space="4178"/>
            <w:col w:w="3297"/>
          </w:cols>
        </w:sectPr>
      </w:pPr>
    </w:p>
    <w:p>
      <w:pPr>
        <w:spacing w:line="240" w:lineRule="auto" w:before="4"/>
        <w:rPr>
          <w:rFonts w:ascii="宋体" w:hAnsi="宋体" w:cs="宋体" w:eastAsia="宋体" w:hint="default"/>
          <w:sz w:val="2"/>
          <w:szCs w:val="2"/>
        </w:rPr>
      </w:pPr>
    </w:p>
    <w:tbl>
      <w:tblPr>
        <w:tblW w:w="0" w:type="auto"/>
        <w:jc w:val="left"/>
        <w:tblInd w:w="939" w:type="dxa"/>
        <w:tblLayout w:type="fixed"/>
        <w:tblCellMar>
          <w:top w:w="0" w:type="dxa"/>
          <w:left w:w="0" w:type="dxa"/>
          <w:bottom w:w="0" w:type="dxa"/>
          <w:right w:w="0" w:type="dxa"/>
        </w:tblCellMar>
        <w:tblLook w:val="01E0"/>
      </w:tblPr>
      <w:tblGrid>
        <w:gridCol w:w="1433"/>
        <w:gridCol w:w="1532"/>
        <w:gridCol w:w="1529"/>
        <w:gridCol w:w="1426"/>
        <w:gridCol w:w="1529"/>
        <w:gridCol w:w="1447"/>
      </w:tblGrid>
      <w:tr>
        <w:trPr>
          <w:trHeight w:val="350" w:hRule="exact"/>
        </w:trPr>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494"/>
              <w:jc w:val="right"/>
              <w:rPr>
                <w:rFonts w:ascii="宋体" w:hAnsi="宋体" w:cs="宋体" w:eastAsia="宋体" w:hint="default"/>
                <w:sz w:val="21"/>
                <w:szCs w:val="21"/>
              </w:rPr>
            </w:pPr>
            <w:r>
              <w:rPr>
                <w:rFonts w:ascii="宋体" w:hAnsi="宋体" w:cs="宋体" w:eastAsia="宋体" w:hint="default"/>
                <w:sz w:val="21"/>
                <w:szCs w:val="21"/>
              </w:rPr>
              <w:t>项目</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97"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8" w:hRule="exact"/>
        </w:trPr>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49"/>
              <w:jc w:val="right"/>
              <w:rPr>
                <w:rFonts w:ascii="宋体" w:hAnsi="宋体" w:cs="宋体" w:eastAsia="宋体" w:hint="default"/>
                <w:sz w:val="21"/>
                <w:szCs w:val="21"/>
              </w:rPr>
            </w:pPr>
            <w:r>
              <w:rPr>
                <w:rFonts w:ascii="宋体" w:hAnsi="宋体" w:cs="宋体" w:eastAsia="宋体" w:hint="default"/>
                <w:spacing w:val="-1"/>
                <w:sz w:val="21"/>
                <w:szCs w:val="21"/>
              </w:rPr>
              <w:t>政府补助</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589,125,848.02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140,545,922.00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13,069,549.06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716,602,220.96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建设项目补助</w:t>
            </w:r>
          </w:p>
        </w:tc>
      </w:tr>
      <w:tr>
        <w:trPr>
          <w:trHeight w:val="288" w:hRule="exact"/>
        </w:trPr>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94"/>
              <w:jc w:val="right"/>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589,125,848.02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140,545,922.00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13,069,549.06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716,602,220.96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type w:val="continuous"/>
          <w:pgSz w:w="11910" w:h="16840"/>
          <w:pgMar w:top="1120" w:bottom="1380" w:left="820" w:right="1060"/>
        </w:sectPr>
      </w:pPr>
    </w:p>
    <w:p>
      <w:pPr>
        <w:spacing w:line="240" w:lineRule="auto" w:before="1"/>
        <w:rPr>
          <w:rFonts w:ascii="宋体" w:hAnsi="宋体" w:cs="宋体" w:eastAsia="宋体" w:hint="default"/>
          <w:sz w:val="25"/>
          <w:szCs w:val="25"/>
        </w:rPr>
      </w:pPr>
    </w:p>
    <w:p>
      <w:pPr>
        <w:pStyle w:val="BodyText"/>
        <w:spacing w:line="240" w:lineRule="auto" w:before="36"/>
        <w:ind w:right="0"/>
        <w:jc w:val="left"/>
      </w:pPr>
      <w:r>
        <w:rPr/>
        <w:t>涉及政府补助的项目：</w:t>
      </w:r>
    </w:p>
    <w:p>
      <w:pPr>
        <w:pStyle w:val="BodyText"/>
        <w:tabs>
          <w:tab w:pos="1051" w:val="left" w:leader="none"/>
        </w:tabs>
        <w:spacing w:line="240" w:lineRule="auto" w:before="58"/>
        <w:ind w:left="0" w:right="150"/>
        <w:jc w:val="right"/>
      </w:pPr>
      <w:r>
        <w:rPr>
          <w:spacing w:val="-1"/>
        </w:rPr>
        <w:t>单位：元</w:t>
        <w:tab/>
      </w:r>
      <w:r>
        <w:rPr>
          <w:spacing w:val="-2"/>
        </w:rPr>
        <w:t>币种：人民币</w:t>
      </w:r>
    </w:p>
    <w:p>
      <w:pPr>
        <w:spacing w:line="240" w:lineRule="auto" w:before="12"/>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934"/>
        <w:gridCol w:w="1532"/>
        <w:gridCol w:w="1529"/>
        <w:gridCol w:w="1426"/>
        <w:gridCol w:w="720"/>
        <w:gridCol w:w="1532"/>
        <w:gridCol w:w="1224"/>
      </w:tblGrid>
      <w:tr>
        <w:trPr>
          <w:trHeight w:val="554"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本期新增补助金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外收入金额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其他变</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动</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hanging="51"/>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p>
          <w:p>
            <w:pPr>
              <w:pStyle w:val="TableParagraph"/>
              <w:spacing w:line="273" w:lineRule="exact"/>
              <w:ind w:left="79"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7"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粮食平房</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仓补助</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3,500,000.00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43,750.00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3,456,250.00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粮食现代</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物流项目</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385,714.50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64,285.68</w:t>
            </w:r>
          </w:p>
        </w:tc>
        <w:tc>
          <w:tcPr>
            <w:tcW w:w="72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321,428.82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26"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粮食散储</w:t>
            </w:r>
          </w:p>
          <w:p>
            <w:pPr>
              <w:pStyle w:val="TableParagraph"/>
              <w:spacing w:line="240" w:lineRule="auto"/>
              <w:ind w:left="26" w:right="53"/>
              <w:jc w:val="left"/>
              <w:rPr>
                <w:rFonts w:ascii="宋体" w:hAnsi="宋体" w:cs="宋体" w:eastAsia="宋体" w:hint="default"/>
                <w:sz w:val="21"/>
                <w:szCs w:val="21"/>
              </w:rPr>
            </w:pPr>
            <w:r>
              <w:rPr>
                <w:rFonts w:ascii="宋体" w:hAnsi="宋体" w:cs="宋体" w:eastAsia="宋体" w:hint="default"/>
                <w:sz w:val="21"/>
                <w:szCs w:val="21"/>
              </w:rPr>
              <w:t>钢罩棚建</w:t>
            </w:r>
            <w:r>
              <w:rPr>
                <w:rFonts w:ascii="宋体" w:hAnsi="宋体" w:cs="宋体" w:eastAsia="宋体" w:hint="default"/>
                <w:w w:val="100"/>
                <w:sz w:val="21"/>
                <w:szCs w:val="21"/>
              </w:rPr>
              <w:t> </w:t>
            </w:r>
            <w:r>
              <w:rPr>
                <w:rFonts w:ascii="宋体" w:hAnsi="宋体" w:cs="宋体" w:eastAsia="宋体" w:hint="default"/>
                <w:sz w:val="21"/>
                <w:szCs w:val="21"/>
              </w:rPr>
              <w:t>设</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912,334.24</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27,999.96</w:t>
            </w:r>
          </w:p>
        </w:tc>
        <w:tc>
          <w:tcPr>
            <w:tcW w:w="72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884,334.28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29"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丹东黄海</w:t>
            </w:r>
          </w:p>
          <w:p>
            <w:pPr>
              <w:pStyle w:val="TableParagraph"/>
              <w:spacing w:line="272" w:lineRule="exact" w:before="27"/>
              <w:ind w:left="26" w:right="53"/>
              <w:jc w:val="left"/>
              <w:rPr>
                <w:rFonts w:ascii="宋体" w:hAnsi="宋体" w:cs="宋体" w:eastAsia="宋体" w:hint="default"/>
                <w:sz w:val="21"/>
                <w:szCs w:val="21"/>
              </w:rPr>
            </w:pPr>
            <w:r>
              <w:rPr>
                <w:rFonts w:ascii="宋体" w:hAnsi="宋体" w:cs="宋体" w:eastAsia="宋体" w:hint="default"/>
                <w:sz w:val="21"/>
                <w:szCs w:val="21"/>
              </w:rPr>
              <w:t>客车财政</w:t>
            </w:r>
            <w:r>
              <w:rPr>
                <w:rFonts w:ascii="宋体" w:hAnsi="宋体" w:cs="宋体" w:eastAsia="宋体" w:hint="default"/>
                <w:w w:val="100"/>
                <w:sz w:val="21"/>
                <w:szCs w:val="21"/>
              </w:rPr>
              <w:t> </w:t>
            </w:r>
            <w:r>
              <w:rPr>
                <w:rFonts w:ascii="宋体" w:hAnsi="宋体" w:cs="宋体" w:eastAsia="宋体" w:hint="default"/>
                <w:sz w:val="21"/>
                <w:szCs w:val="21"/>
              </w:rPr>
              <w:t>补贴</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11,428.60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5,714.28</w:t>
            </w:r>
          </w:p>
        </w:tc>
        <w:tc>
          <w:tcPr>
            <w:tcW w:w="72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5,714.32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1099"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锦州港污</w:t>
            </w:r>
          </w:p>
          <w:p>
            <w:pPr>
              <w:pStyle w:val="TableParagraph"/>
              <w:spacing w:line="237" w:lineRule="auto" w:before="2"/>
              <w:ind w:left="26" w:right="53"/>
              <w:jc w:val="both"/>
              <w:rPr>
                <w:rFonts w:ascii="宋体" w:hAnsi="宋体" w:cs="宋体" w:eastAsia="宋体" w:hint="default"/>
                <w:sz w:val="21"/>
                <w:szCs w:val="21"/>
              </w:rPr>
            </w:pPr>
            <w:r>
              <w:rPr>
                <w:rFonts w:ascii="宋体" w:hAnsi="宋体" w:cs="宋体" w:eastAsia="宋体" w:hint="default"/>
                <w:sz w:val="21"/>
                <w:szCs w:val="21"/>
              </w:rPr>
              <w:t>水处理厂</w:t>
            </w:r>
            <w:r>
              <w:rPr>
                <w:rFonts w:ascii="宋体" w:hAnsi="宋体" w:cs="宋体" w:eastAsia="宋体" w:hint="default"/>
                <w:w w:val="100"/>
                <w:sz w:val="21"/>
                <w:szCs w:val="21"/>
              </w:rPr>
              <w:t> </w:t>
            </w:r>
            <w:r>
              <w:rPr>
                <w:rFonts w:ascii="宋体" w:hAnsi="宋体" w:cs="宋体" w:eastAsia="宋体" w:hint="default"/>
                <w:sz w:val="21"/>
                <w:szCs w:val="21"/>
              </w:rPr>
              <w:t>改造工程</w:t>
            </w:r>
            <w:r>
              <w:rPr>
                <w:rFonts w:ascii="宋体" w:hAnsi="宋体" w:cs="宋体" w:eastAsia="宋体" w:hint="default"/>
                <w:w w:val="100"/>
                <w:sz w:val="21"/>
                <w:szCs w:val="21"/>
              </w:rPr>
              <w:t> </w:t>
            </w:r>
            <w:r>
              <w:rPr>
                <w:rFonts w:ascii="宋体" w:hAnsi="宋体" w:cs="宋体" w:eastAsia="宋体" w:hint="default"/>
                <w:sz w:val="21"/>
                <w:szCs w:val="21"/>
              </w:rPr>
              <w:t>拨款</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666,666.72</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71,428.56</w:t>
            </w:r>
          </w:p>
        </w:tc>
        <w:tc>
          <w:tcPr>
            <w:tcW w:w="72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595,238.16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锅炉节能</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改造项目</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256,944.42</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16,666.68</w:t>
            </w:r>
          </w:p>
        </w:tc>
        <w:tc>
          <w:tcPr>
            <w:tcW w:w="72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240,277.74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28"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6" w:right="0"/>
              <w:jc w:val="left"/>
              <w:rPr>
                <w:rFonts w:ascii="宋体" w:hAnsi="宋体" w:cs="宋体" w:eastAsia="宋体" w:hint="default"/>
                <w:sz w:val="21"/>
                <w:szCs w:val="21"/>
              </w:rPr>
            </w:pPr>
            <w:r>
              <w:rPr>
                <w:rFonts w:ascii="Calibri" w:hAnsi="Calibri" w:cs="Calibri" w:eastAsia="Calibri" w:hint="default"/>
                <w:sz w:val="21"/>
                <w:szCs w:val="21"/>
              </w:rPr>
              <w:t>LNG</w:t>
            </w:r>
            <w:r>
              <w:rPr>
                <w:rFonts w:ascii="Calibri" w:hAnsi="Calibri" w:cs="Calibri" w:eastAsia="Calibri" w:hint="default"/>
                <w:spacing w:val="7"/>
                <w:sz w:val="21"/>
                <w:szCs w:val="21"/>
              </w:rPr>
              <w:t> </w:t>
            </w:r>
            <w:r>
              <w:rPr>
                <w:rFonts w:ascii="宋体" w:hAnsi="宋体" w:cs="宋体" w:eastAsia="宋体" w:hint="default"/>
                <w:spacing w:val="-3"/>
                <w:sz w:val="21"/>
                <w:szCs w:val="21"/>
              </w:rPr>
              <w:t>清洁</w:t>
            </w:r>
            <w:r>
              <w:rPr>
                <w:rFonts w:ascii="宋体" w:hAnsi="宋体" w:cs="宋体" w:eastAsia="宋体" w:hint="default"/>
                <w:sz w:val="21"/>
                <w:szCs w:val="21"/>
              </w:rPr>
            </w:r>
          </w:p>
          <w:p>
            <w:pPr>
              <w:pStyle w:val="TableParagraph"/>
              <w:spacing w:line="272" w:lineRule="exact" w:before="13"/>
              <w:ind w:left="26" w:right="53"/>
              <w:jc w:val="left"/>
              <w:rPr>
                <w:rFonts w:ascii="宋体" w:hAnsi="宋体" w:cs="宋体" w:eastAsia="宋体" w:hint="default"/>
                <w:sz w:val="21"/>
                <w:szCs w:val="21"/>
              </w:rPr>
            </w:pPr>
            <w:r>
              <w:rPr>
                <w:rFonts w:ascii="宋体" w:hAnsi="宋体" w:cs="宋体" w:eastAsia="宋体" w:hint="default"/>
                <w:sz w:val="21"/>
                <w:szCs w:val="21"/>
              </w:rPr>
              <w:t>能源节能</w:t>
            </w:r>
            <w:r>
              <w:rPr>
                <w:rFonts w:ascii="宋体" w:hAnsi="宋体" w:cs="宋体" w:eastAsia="宋体" w:hint="default"/>
                <w:w w:val="100"/>
                <w:sz w:val="21"/>
                <w:szCs w:val="21"/>
              </w:rPr>
              <w:t> </w:t>
            </w:r>
            <w:r>
              <w:rPr>
                <w:rFonts w:ascii="宋体" w:hAnsi="宋体" w:cs="宋体" w:eastAsia="宋体" w:hint="default"/>
                <w:sz w:val="21"/>
                <w:szCs w:val="21"/>
              </w:rPr>
              <w:t>减排资金</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792,314.84</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47,777.76</w:t>
            </w:r>
          </w:p>
        </w:tc>
        <w:tc>
          <w:tcPr>
            <w:tcW w:w="72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744,537.08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26"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港口建设</w:t>
            </w:r>
          </w:p>
          <w:p>
            <w:pPr>
              <w:pStyle w:val="TableParagraph"/>
              <w:spacing w:line="240" w:lineRule="auto"/>
              <w:ind w:left="26" w:right="53"/>
              <w:jc w:val="left"/>
              <w:rPr>
                <w:rFonts w:ascii="宋体" w:hAnsi="宋体" w:cs="宋体" w:eastAsia="宋体" w:hint="default"/>
                <w:sz w:val="21"/>
                <w:szCs w:val="21"/>
              </w:rPr>
            </w:pPr>
            <w:r>
              <w:rPr>
                <w:rFonts w:ascii="宋体" w:hAnsi="宋体" w:cs="宋体" w:eastAsia="宋体" w:hint="default"/>
                <w:sz w:val="21"/>
                <w:szCs w:val="21"/>
              </w:rPr>
              <w:t>费分成资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24,092,518.26</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536,909.28</w:t>
            </w:r>
          </w:p>
        </w:tc>
        <w:tc>
          <w:tcPr>
            <w:tcW w:w="72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23,555,608.98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1099"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航道工程</w:t>
            </w:r>
          </w:p>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建设拨款</w:t>
            </w:r>
          </w:p>
          <w:p>
            <w:pPr>
              <w:pStyle w:val="TableParagraph"/>
              <w:spacing w:line="240" w:lineRule="auto"/>
              <w:ind w:left="26" w:right="104"/>
              <w:jc w:val="left"/>
              <w:rPr>
                <w:rFonts w:ascii="Calibri" w:hAnsi="Calibri" w:cs="Calibri" w:eastAsia="Calibri" w:hint="default"/>
                <w:sz w:val="21"/>
                <w:szCs w:val="21"/>
              </w:rPr>
            </w:pPr>
            <w:r>
              <w:rPr>
                <w:rFonts w:ascii="宋体" w:hAnsi="宋体" w:cs="宋体" w:eastAsia="宋体" w:hint="default"/>
                <w:sz w:val="21"/>
                <w:szCs w:val="21"/>
              </w:rPr>
              <w:t>（交通</w:t>
            </w:r>
            <w:r>
              <w:rPr>
                <w:rFonts w:ascii="宋体" w:hAnsi="宋体" w:cs="宋体" w:eastAsia="宋体" w:hint="default"/>
                <w:spacing w:val="-102"/>
                <w:sz w:val="21"/>
                <w:szCs w:val="21"/>
              </w:rPr>
              <w:t> </w:t>
            </w:r>
            <w:r>
              <w:rPr>
                <w:rFonts w:ascii="宋体" w:hAnsi="宋体" w:cs="宋体" w:eastAsia="宋体" w:hint="default"/>
                <w:sz w:val="21"/>
                <w:szCs w:val="21"/>
              </w:rPr>
              <w:t>部）注</w:t>
            </w:r>
            <w:r>
              <w:rPr>
                <w:rFonts w:ascii="宋体" w:hAnsi="宋体" w:cs="宋体" w:eastAsia="宋体" w:hint="default"/>
                <w:spacing w:val="-52"/>
                <w:sz w:val="21"/>
                <w:szCs w:val="21"/>
              </w:rPr>
              <w:t> </w:t>
            </w:r>
            <w:r>
              <w:rPr>
                <w:rFonts w:ascii="Calibri" w:hAnsi="Calibri" w:cs="Calibri" w:eastAsia="Calibri" w:hint="default"/>
                <w:sz w:val="21"/>
                <w:szCs w:val="21"/>
              </w:rPr>
              <w:t>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519,248,287.93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36,200,000.00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11,341,620.06</w:t>
            </w:r>
          </w:p>
        </w:tc>
        <w:tc>
          <w:tcPr>
            <w:tcW w:w="72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544,106,667.87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28"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航道工程</w:t>
            </w:r>
          </w:p>
          <w:p>
            <w:pPr>
              <w:pStyle w:val="TableParagraph"/>
              <w:spacing w:line="240" w:lineRule="auto"/>
              <w:ind w:left="26" w:right="53"/>
              <w:jc w:val="left"/>
              <w:rPr>
                <w:rFonts w:ascii="Calibri" w:hAnsi="Calibri" w:cs="Calibri" w:eastAsia="Calibri" w:hint="default"/>
                <w:sz w:val="21"/>
                <w:szCs w:val="21"/>
              </w:rPr>
            </w:pPr>
            <w:r>
              <w:rPr>
                <w:rFonts w:ascii="宋体" w:hAnsi="宋体" w:cs="宋体" w:eastAsia="宋体" w:hint="default"/>
                <w:sz w:val="21"/>
                <w:szCs w:val="21"/>
              </w:rPr>
              <w:t>建设拨款</w:t>
            </w:r>
            <w:r>
              <w:rPr>
                <w:rFonts w:ascii="宋体" w:hAnsi="宋体" w:cs="宋体" w:eastAsia="宋体" w:hint="default"/>
                <w:w w:val="100"/>
                <w:sz w:val="21"/>
                <w:szCs w:val="21"/>
              </w:rPr>
              <w:t> </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Calibri" w:hAnsi="Calibri" w:cs="Calibri" w:eastAsia="Calibri" w:hint="default"/>
                <w:sz w:val="21"/>
                <w:szCs w:val="21"/>
              </w:rPr>
              <w:t>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35,819,028.18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100,000,000.00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746,612.76</w:t>
            </w:r>
          </w:p>
        </w:tc>
        <w:tc>
          <w:tcPr>
            <w:tcW w:w="72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135,072,415.42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29"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五点一线</w:t>
            </w:r>
          </w:p>
          <w:p>
            <w:pPr>
              <w:pStyle w:val="TableParagraph"/>
              <w:spacing w:line="272" w:lineRule="exact" w:before="27"/>
              <w:ind w:left="26" w:right="53"/>
              <w:jc w:val="left"/>
              <w:rPr>
                <w:rFonts w:ascii="宋体" w:hAnsi="宋体" w:cs="宋体" w:eastAsia="宋体" w:hint="default"/>
                <w:sz w:val="21"/>
                <w:szCs w:val="21"/>
              </w:rPr>
            </w:pPr>
            <w:r>
              <w:rPr>
                <w:rFonts w:ascii="宋体" w:hAnsi="宋体" w:cs="宋体" w:eastAsia="宋体" w:hint="default"/>
                <w:sz w:val="21"/>
                <w:szCs w:val="21"/>
              </w:rPr>
              <w:t>园区产业</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6,940,610.33</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166,784.04</w:t>
            </w:r>
          </w:p>
        </w:tc>
        <w:tc>
          <w:tcPr>
            <w:tcW w:w="72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6,773,826.29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稳岗补贴</w:t>
            </w:r>
          </w:p>
          <w:p>
            <w:pPr>
              <w:pStyle w:val="TableParagraph"/>
              <w:spacing w:line="300" w:lineRule="exact"/>
              <w:ind w:left="26" w:right="0"/>
              <w:jc w:val="left"/>
              <w:rPr>
                <w:rFonts w:ascii="Calibri" w:hAnsi="Calibri" w:cs="Calibri" w:eastAsia="Calibri"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Calibri" w:hAnsi="Calibri" w:cs="Calibri" w:eastAsia="Calibri" w:hint="default"/>
                <w:sz w:val="21"/>
                <w:szCs w:val="21"/>
              </w:rPr>
              <w:t>3</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845,922.00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845,922.00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90"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589,125,848.02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140,545,922.00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13,069,549.06</w:t>
            </w:r>
          </w:p>
        </w:tc>
        <w:tc>
          <w:tcPr>
            <w:tcW w:w="72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716,602,220.96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pStyle w:val="BodyText"/>
        <w:spacing w:line="239" w:lineRule="exact"/>
        <w:ind w:right="0"/>
        <w:jc w:val="both"/>
      </w:pPr>
      <w:r>
        <w:rPr/>
        <w:t>注 </w:t>
      </w:r>
      <w:r>
        <w:rPr>
          <w:rFonts w:ascii="宋体" w:hAnsi="宋体" w:cs="宋体" w:eastAsia="宋体" w:hint="default"/>
          <w:spacing w:val="-5"/>
        </w:rPr>
        <w:t>1</w:t>
      </w:r>
      <w:r>
        <w:rPr>
          <w:spacing w:val="-5"/>
        </w:rPr>
        <w:t>：公司收到中华人民共和国交通运输部颁发的交函规划（</w:t>
      </w:r>
      <w:r>
        <w:rPr>
          <w:rFonts w:ascii="宋体" w:hAnsi="宋体" w:cs="宋体" w:eastAsia="宋体" w:hint="default"/>
          <w:spacing w:val="-5"/>
        </w:rPr>
        <w:t>2013</w:t>
      </w:r>
      <w:r>
        <w:rPr>
          <w:spacing w:val="-5"/>
        </w:rPr>
        <w:t>）</w:t>
      </w:r>
      <w:r>
        <w:rPr>
          <w:rFonts w:ascii="宋体" w:hAnsi="宋体" w:cs="宋体" w:eastAsia="宋体" w:hint="default"/>
          <w:spacing w:val="-5"/>
        </w:rPr>
        <w:t>268</w:t>
      </w:r>
      <w:r>
        <w:rPr>
          <w:rFonts w:ascii="宋体" w:hAnsi="宋体" w:cs="宋体" w:eastAsia="宋体" w:hint="default"/>
          <w:spacing w:val="-38"/>
        </w:rPr>
        <w:t> </w:t>
      </w:r>
      <w:r>
        <w:rPr/>
        <w:t>号有关航道扩建工程的政</w:t>
      </w:r>
    </w:p>
    <w:p>
      <w:pPr>
        <w:pStyle w:val="BodyText"/>
        <w:spacing w:line="240" w:lineRule="auto"/>
        <w:ind w:right="157"/>
        <w:jc w:val="both"/>
      </w:pPr>
      <w:r>
        <w:rPr>
          <w:spacing w:val="-2"/>
        </w:rPr>
        <w:t>府补助，该航道扩建款在新建航道开始运营时按照航道的预计可使用寿命将递延收益平均分摊转</w:t>
      </w:r>
      <w:r>
        <w:rPr>
          <w:spacing w:val="-25"/>
        </w:rPr>
        <w:t> </w:t>
      </w:r>
      <w:r>
        <w:rPr>
          <w:spacing w:val="-25"/>
        </w:rPr>
      </w:r>
      <w:r>
        <w:rPr/>
        <w:t>入当期损益。</w:t>
      </w:r>
    </w:p>
    <w:p>
      <w:pPr>
        <w:pStyle w:val="BodyText"/>
        <w:spacing w:line="237" w:lineRule="auto"/>
        <w:ind w:right="147"/>
        <w:jc w:val="both"/>
      </w:pPr>
      <w:r>
        <w:rPr/>
        <w:t>注</w:t>
      </w:r>
      <w:r>
        <w:rPr>
          <w:spacing w:val="-53"/>
        </w:rPr>
        <w:t> </w:t>
      </w:r>
      <w:r>
        <w:rPr>
          <w:rFonts w:ascii="宋体" w:hAnsi="宋体" w:cs="宋体" w:eastAsia="宋体" w:hint="default"/>
        </w:rPr>
        <w:t>2</w:t>
      </w:r>
      <w:r>
        <w:rPr/>
        <w:t>：公司收到辽宁省财政厅颁发的辽财指经（</w:t>
      </w:r>
      <w:r>
        <w:rPr>
          <w:rFonts w:ascii="宋体" w:hAnsi="宋体" w:cs="宋体" w:eastAsia="宋体" w:hint="default"/>
        </w:rPr>
        <w:t>2015</w:t>
      </w:r>
      <w:r>
        <w:rPr/>
        <w:t>）</w:t>
      </w:r>
      <w:r>
        <w:rPr>
          <w:rFonts w:ascii="宋体" w:hAnsi="宋体" w:cs="宋体" w:eastAsia="宋体" w:hint="default"/>
        </w:rPr>
        <w:t>289</w:t>
      </w:r>
      <w:r>
        <w:rPr>
          <w:rFonts w:ascii="宋体" w:hAnsi="宋体" w:cs="宋体" w:eastAsia="宋体" w:hint="default"/>
          <w:spacing w:val="-55"/>
        </w:rPr>
        <w:t> </w:t>
      </w:r>
      <w:r>
        <w:rPr>
          <w:spacing w:val="-3"/>
        </w:rPr>
        <w:t>号、锦财指经（</w:t>
      </w:r>
      <w:r>
        <w:rPr>
          <w:rFonts w:ascii="宋体" w:hAnsi="宋体" w:cs="宋体" w:eastAsia="宋体" w:hint="default"/>
          <w:spacing w:val="-3"/>
        </w:rPr>
        <w:t>2015</w:t>
      </w:r>
      <w:r>
        <w:rPr>
          <w:spacing w:val="-3"/>
        </w:rPr>
        <w:t>）</w:t>
      </w:r>
      <w:r>
        <w:rPr>
          <w:rFonts w:ascii="宋体" w:hAnsi="宋体" w:cs="宋体" w:eastAsia="宋体" w:hint="default"/>
          <w:spacing w:val="-3"/>
        </w:rPr>
        <w:t>462</w:t>
      </w:r>
      <w:r>
        <w:rPr>
          <w:rFonts w:ascii="宋体" w:hAnsi="宋体" w:cs="宋体" w:eastAsia="宋体" w:hint="default"/>
          <w:spacing w:val="-55"/>
        </w:rPr>
        <w:t> </w:t>
      </w:r>
      <w:r>
        <w:rPr/>
        <w:t>号和锦财指</w:t>
      </w:r>
      <w:r>
        <w:rPr>
          <w:w w:val="100"/>
        </w:rPr>
        <w:t> </w:t>
      </w:r>
      <w:r>
        <w:rPr/>
        <w:t>经（</w:t>
      </w:r>
      <w:r>
        <w:rPr>
          <w:rFonts w:ascii="宋体" w:hAnsi="宋体" w:cs="宋体" w:eastAsia="宋体" w:hint="default"/>
        </w:rPr>
        <w:t>2015</w:t>
      </w:r>
      <w:r>
        <w:rPr/>
        <w:t>）</w:t>
      </w:r>
      <w:r>
        <w:rPr>
          <w:rFonts w:ascii="宋体" w:hAnsi="宋体" w:cs="宋体" w:eastAsia="宋体" w:hint="default"/>
        </w:rPr>
        <w:t>703</w:t>
      </w:r>
      <w:r>
        <w:rPr>
          <w:rFonts w:ascii="宋体" w:hAnsi="宋体" w:cs="宋体" w:eastAsia="宋体" w:hint="default"/>
          <w:spacing w:val="-57"/>
        </w:rPr>
        <w:t> </w:t>
      </w:r>
      <w:r>
        <w:rPr/>
        <w:t>号有关航道扩建工程的政府补助，该航道扩建款在新建航道开始运营时按照航道</w:t>
      </w:r>
      <w:r>
        <w:rPr>
          <w:w w:val="100"/>
        </w:rPr>
        <w:t> </w:t>
      </w:r>
      <w:r>
        <w:rPr/>
        <w:t>的预计可使用寿命将递延收益平均分摊转入当期损益。</w:t>
      </w:r>
    </w:p>
    <w:p>
      <w:pPr>
        <w:pStyle w:val="BodyText"/>
        <w:spacing w:line="237" w:lineRule="auto" w:before="1"/>
        <w:ind w:right="150"/>
        <w:jc w:val="both"/>
      </w:pPr>
      <w:r>
        <w:rPr/>
        <w:t>注</w:t>
      </w:r>
      <w:r>
        <w:rPr>
          <w:spacing w:val="-55"/>
        </w:rPr>
        <w:t> </w:t>
      </w:r>
      <w:r>
        <w:rPr>
          <w:rFonts w:ascii="宋体" w:hAnsi="宋体" w:cs="宋体" w:eastAsia="宋体" w:hint="default"/>
        </w:rPr>
        <w:t>3</w:t>
      </w:r>
      <w:r>
        <w:rPr/>
        <w:t>：公司收到锦州市人力资源和社会保障局颁发的《关于失业保险支持企业稳定岗位有关问题</w:t>
      </w:r>
      <w:r>
        <w:rPr>
          <w:w w:val="100"/>
        </w:rPr>
        <w:t> </w:t>
      </w:r>
      <w:r>
        <w:rPr>
          <w:spacing w:val="-3"/>
        </w:rPr>
        <w:t>的通知》锦人社（</w:t>
      </w:r>
      <w:r>
        <w:rPr>
          <w:rFonts w:ascii="宋体" w:hAnsi="宋体" w:cs="宋体" w:eastAsia="宋体" w:hint="default"/>
          <w:spacing w:val="-3"/>
        </w:rPr>
        <w:t>2015</w:t>
      </w:r>
      <w:r>
        <w:rPr>
          <w:spacing w:val="-3"/>
        </w:rPr>
        <w:t>）</w:t>
      </w:r>
      <w:r>
        <w:rPr>
          <w:rFonts w:ascii="宋体" w:hAnsi="宋体" w:cs="宋体" w:eastAsia="宋体" w:hint="default"/>
          <w:spacing w:val="-3"/>
        </w:rPr>
        <w:t>77</w:t>
      </w:r>
      <w:r>
        <w:rPr>
          <w:rFonts w:ascii="宋体" w:hAnsi="宋体" w:cs="宋体" w:eastAsia="宋体" w:hint="default"/>
          <w:spacing w:val="-17"/>
        </w:rPr>
        <w:t> </w:t>
      </w:r>
      <w:r>
        <w:rPr>
          <w:spacing w:val="-2"/>
        </w:rPr>
        <w:t>号有关稳岗补贴资金，该补贴款用于补偿以后期间的相关费用，并在</w:t>
      </w:r>
      <w:r>
        <w:rPr>
          <w:spacing w:val="-90"/>
        </w:rPr>
        <w:t> </w:t>
      </w:r>
      <w:r>
        <w:rPr>
          <w:spacing w:val="-90"/>
        </w:rPr>
      </w:r>
      <w:r>
        <w:rPr/>
        <w:t>确认相关费用的期间，计入当期损益。</w:t>
      </w:r>
    </w:p>
    <w:p>
      <w:pPr>
        <w:spacing w:after="0" w:line="237" w:lineRule="auto"/>
        <w:jc w:val="both"/>
        <w:sectPr>
          <w:pgSz w:w="11910" w:h="16840"/>
          <w:pgMar w:header="882"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right="0"/>
        <w:jc w:val="left"/>
        <w:rPr>
          <w:b w:val="0"/>
          <w:bCs w:val="0"/>
        </w:rPr>
      </w:pPr>
      <w:r>
        <w:rPr>
          <w:rFonts w:ascii="宋体" w:hAnsi="宋体" w:cs="宋体" w:eastAsia="宋体" w:hint="default"/>
        </w:rPr>
        <w:t>51</w:t>
      </w:r>
      <w:r>
        <w:rPr/>
        <w:t>、</w:t>
      </w:r>
      <w:r>
        <w:rPr>
          <w:spacing w:val="-26"/>
        </w:rPr>
        <w:t> </w:t>
      </w:r>
      <w:r>
        <w:rPr/>
        <w:t>股本</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72"/>
        <w:gridCol w:w="1897"/>
        <w:gridCol w:w="814"/>
        <w:gridCol w:w="814"/>
        <w:gridCol w:w="886"/>
        <w:gridCol w:w="900"/>
        <w:gridCol w:w="871"/>
        <w:gridCol w:w="1897"/>
      </w:tblGrid>
      <w:tr>
        <w:trPr>
          <w:trHeight w:val="281" w:hRule="exact"/>
        </w:trPr>
        <w:tc>
          <w:tcPr>
            <w:tcW w:w="972" w:type="dxa"/>
            <w:vMerge w:val="restart"/>
            <w:tcBorders>
              <w:top w:val="single" w:sz="4" w:space="0" w:color="000000"/>
              <w:left w:val="single" w:sz="4" w:space="0" w:color="000000"/>
              <w:right w:val="single" w:sz="4" w:space="0" w:color="000000"/>
            </w:tcBorders>
          </w:tcPr>
          <w:p>
            <w:pPr/>
          </w:p>
        </w:tc>
        <w:tc>
          <w:tcPr>
            <w:tcW w:w="18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2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1"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8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972" w:type="dxa"/>
            <w:vMerge/>
            <w:tcBorders>
              <w:left w:val="single" w:sz="4" w:space="0" w:color="000000"/>
              <w:bottom w:val="single" w:sz="4" w:space="0" w:color="000000"/>
              <w:right w:val="single" w:sz="4" w:space="0" w:color="000000"/>
            </w:tcBorders>
          </w:tcPr>
          <w:p>
            <w:pPr/>
          </w:p>
        </w:tc>
        <w:tc>
          <w:tcPr>
            <w:tcW w:w="1897"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189"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9"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97" w:type="dxa"/>
            <w:vMerge/>
            <w:tcBorders>
              <w:left w:val="single" w:sz="4" w:space="0" w:color="000000"/>
              <w:bottom w:val="single" w:sz="4" w:space="0" w:color="000000"/>
              <w:right w:val="single" w:sz="4" w:space="0" w:color="000000"/>
            </w:tcBorders>
          </w:tcPr>
          <w:p>
            <w:pPr/>
          </w:p>
        </w:tc>
      </w:tr>
      <w:tr>
        <w:trPr>
          <w:trHeight w:val="554"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股份总</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2,002,291,500.00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2,002,291,500.00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7"/>
        <w:ind w:right="0"/>
        <w:jc w:val="left"/>
        <w:rPr>
          <w:b w:val="0"/>
          <w:bCs w:val="0"/>
        </w:rPr>
      </w:pPr>
      <w:r>
        <w:rPr>
          <w:rFonts w:ascii="宋体" w:hAnsi="宋体" w:cs="宋体" w:eastAsia="宋体" w:hint="default"/>
        </w:rPr>
        <w:t>52</w:t>
      </w:r>
      <w:r>
        <w:rPr/>
        <w:t>、</w:t>
      </w:r>
      <w:r>
        <w:rPr>
          <w:spacing w:val="-24"/>
        </w:rPr>
        <w:t> </w:t>
      </w:r>
      <w:r>
        <w:rPr/>
        <w:t>其他权益工具</w:t>
      </w:r>
      <w:r>
        <w:rPr>
          <w:b w:val="0"/>
          <w:bCs w:val="0"/>
        </w:rPr>
      </w:r>
    </w:p>
    <w:p>
      <w:pPr>
        <w:pStyle w:val="BodyText"/>
        <w:spacing w:line="240" w:lineRule="auto" w:before="57"/>
        <w:ind w:left="2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ind w:right="0"/>
        <w:jc w:val="left"/>
        <w:rPr>
          <w:b w:val="0"/>
          <w:bCs w:val="0"/>
        </w:rPr>
      </w:pPr>
      <w:r>
        <w:rPr>
          <w:rFonts w:ascii="宋体" w:hAnsi="宋体" w:cs="宋体" w:eastAsia="宋体" w:hint="default"/>
        </w:rPr>
        <w:t>53</w:t>
      </w:r>
      <w:r>
        <w:rPr/>
        <w:t>、</w:t>
      </w:r>
      <w:r>
        <w:rPr>
          <w:spacing w:val="-25"/>
        </w:rPr>
        <w:t> </w:t>
      </w:r>
      <w:r>
        <w:rPr/>
        <w:t>资本公积</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9"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0"/>
                <w:sz w:val="21"/>
                <w:szCs w:val="21"/>
              </w:rPr>
              <w:t>资本溢价（股本溢</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2,638,086,696.20</w:t>
            </w:r>
          </w:p>
        </w:tc>
        <w:tc>
          <w:tcPr>
            <w:tcW w:w="1822"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
              <w:jc w:val="right"/>
              <w:rPr>
                <w:rFonts w:ascii="宋体" w:hAnsi="宋体" w:cs="宋体" w:eastAsia="宋体" w:hint="default"/>
                <w:sz w:val="21"/>
                <w:szCs w:val="21"/>
              </w:rPr>
            </w:pPr>
            <w:r>
              <w:rPr>
                <w:rFonts w:ascii="宋体"/>
                <w:spacing w:val="-1"/>
                <w:sz w:val="21"/>
              </w:rPr>
              <w:t>2,638,086,696.20</w:t>
            </w:r>
          </w:p>
        </w:tc>
      </w:tr>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25,425,929.44</w:t>
            </w:r>
          </w:p>
        </w:tc>
        <w:tc>
          <w:tcPr>
            <w:tcW w:w="1822"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25,425,929.44</w:t>
            </w:r>
          </w:p>
        </w:tc>
      </w:tr>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2,663,512,625.64</w:t>
            </w:r>
          </w:p>
        </w:tc>
        <w:tc>
          <w:tcPr>
            <w:tcW w:w="1822"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
              <w:jc w:val="right"/>
              <w:rPr>
                <w:rFonts w:ascii="宋体" w:hAnsi="宋体" w:cs="宋体" w:eastAsia="宋体" w:hint="default"/>
                <w:sz w:val="21"/>
                <w:szCs w:val="21"/>
              </w:rPr>
            </w:pPr>
            <w:r>
              <w:rPr>
                <w:rFonts w:ascii="宋体"/>
                <w:spacing w:val="-1"/>
                <w:sz w:val="21"/>
              </w:rPr>
              <w:t>2,663,512,625.64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rFonts w:ascii="宋体" w:hAnsi="宋体" w:cs="宋体" w:eastAsia="宋体" w:hint="default"/>
        </w:rPr>
        <w:t>54</w:t>
      </w:r>
      <w:r>
        <w:rPr/>
        <w:t>、</w:t>
      </w:r>
      <w:r>
        <w:rPr>
          <w:spacing w:val="-25"/>
        </w:rPr>
        <w:t> </w:t>
      </w:r>
      <w:r>
        <w:rPr/>
        <w:t>库存股</w:t>
      </w:r>
      <w:r>
        <w:rPr>
          <w:b w:val="0"/>
          <w:bCs w:val="0"/>
        </w:rPr>
      </w:r>
    </w:p>
    <w:p>
      <w:pPr>
        <w:pStyle w:val="BodyText"/>
        <w:spacing w:line="240" w:lineRule="auto" w:before="56"/>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before="0"/>
        <w:ind w:right="0"/>
        <w:jc w:val="left"/>
        <w:rPr>
          <w:b w:val="0"/>
          <w:bCs w:val="0"/>
        </w:rPr>
      </w:pPr>
      <w:r>
        <w:rPr>
          <w:rFonts w:ascii="宋体" w:hAnsi="宋体" w:cs="宋体" w:eastAsia="宋体" w:hint="default"/>
        </w:rPr>
        <w:t>55</w:t>
      </w:r>
      <w:r>
        <w:rPr/>
        <w:t>、</w:t>
      </w:r>
      <w:r>
        <w:rPr>
          <w:spacing w:val="-24"/>
        </w:rPr>
        <w:t> </w:t>
      </w:r>
      <w:r>
        <w:rPr/>
        <w:t>其他综合收益</w:t>
      </w:r>
      <w:r>
        <w:rPr>
          <w:b w:val="0"/>
          <w:bCs w:val="0"/>
        </w:rPr>
      </w:r>
    </w:p>
    <w:p>
      <w:pPr>
        <w:pStyle w:val="BodyText"/>
        <w:spacing w:line="240" w:lineRule="auto" w:before="56"/>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2"/>
        <w:spacing w:line="240" w:lineRule="auto"/>
        <w:ind w:right="-18"/>
        <w:jc w:val="left"/>
        <w:rPr>
          <w:b w:val="0"/>
          <w:bCs w:val="0"/>
        </w:rPr>
      </w:pPr>
      <w:r>
        <w:rPr>
          <w:rFonts w:ascii="宋体" w:hAnsi="宋体" w:cs="宋体" w:eastAsia="宋体" w:hint="default"/>
        </w:rPr>
        <w:t>56</w:t>
      </w:r>
      <w:r>
        <w:rPr/>
        <w:t>、</w:t>
      </w:r>
      <w:r>
        <w:rPr>
          <w:spacing w:val="-25"/>
        </w:rPr>
        <w:t> </w:t>
      </w:r>
      <w:r>
        <w:rPr/>
        <w:t>专项储备</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682"/>
        <w:gridCol w:w="1789"/>
        <w:gridCol w:w="1791"/>
        <w:gridCol w:w="1829"/>
        <w:gridCol w:w="1805"/>
      </w:tblGrid>
      <w:tr>
        <w:trPr>
          <w:trHeight w:val="288"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19"/>
              <w:jc w:val="right"/>
              <w:rPr>
                <w:rFonts w:ascii="宋体" w:hAnsi="宋体" w:cs="宋体" w:eastAsia="宋体" w:hint="default"/>
                <w:sz w:val="21"/>
                <w:szCs w:val="21"/>
              </w:rPr>
            </w:pPr>
            <w:r>
              <w:rPr>
                <w:rFonts w:ascii="宋体" w:hAnsi="宋体" w:cs="宋体" w:eastAsia="宋体" w:hint="default"/>
                <w:sz w:val="21"/>
                <w:szCs w:val="21"/>
              </w:rPr>
              <w:t>项目</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88"/>
              <w:jc w:val="right"/>
              <w:rPr>
                <w:rFonts w:ascii="宋体" w:hAnsi="宋体" w:cs="宋体" w:eastAsia="宋体" w:hint="default"/>
                <w:sz w:val="21"/>
                <w:szCs w:val="21"/>
              </w:rPr>
            </w:pPr>
            <w:r>
              <w:rPr>
                <w:rFonts w:ascii="宋体" w:hAnsi="宋体" w:cs="宋体" w:eastAsia="宋体" w:hint="default"/>
                <w:spacing w:val="-1"/>
                <w:sz w:val="21"/>
                <w:szCs w:val="21"/>
              </w:rPr>
              <w:t>安全生产费</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sz w:val="21"/>
              </w:rPr>
              <w:t>5,598,313.76</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16,149,046.80</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sz w:val="21"/>
              </w:rPr>
              <w:t>7,729,739.96</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14,017,620.60</w:t>
            </w:r>
          </w:p>
        </w:tc>
      </w:tr>
      <w:tr>
        <w:trPr>
          <w:trHeight w:val="286"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19"/>
              <w:jc w:val="right"/>
              <w:rPr>
                <w:rFonts w:ascii="宋体" w:hAnsi="宋体" w:cs="宋体" w:eastAsia="宋体" w:hint="default"/>
                <w:sz w:val="21"/>
                <w:szCs w:val="21"/>
              </w:rPr>
            </w:pPr>
            <w:r>
              <w:rPr>
                <w:rFonts w:ascii="宋体" w:hAnsi="宋体" w:cs="宋体" w:eastAsia="宋体" w:hint="default"/>
                <w:sz w:val="21"/>
                <w:szCs w:val="21"/>
              </w:rPr>
              <w:t>合计</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sz w:val="21"/>
              </w:rPr>
              <w:t>5,598,313.76</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16,149,046.80</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sz w:val="21"/>
              </w:rPr>
              <w:t>7,729,739.96</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14,017,620.60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rFonts w:ascii="宋体" w:hAnsi="宋体" w:cs="宋体" w:eastAsia="宋体" w:hint="default"/>
        </w:rPr>
        <w:t>57</w:t>
      </w:r>
      <w:r>
        <w:rPr/>
        <w:t>、</w:t>
      </w:r>
      <w:r>
        <w:rPr>
          <w:spacing w:val="-25"/>
        </w:rPr>
        <w:t> </w:t>
      </w:r>
      <w:r>
        <w:rPr/>
        <w:t>盈余公积</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2"/>
              <w:jc w:val="center"/>
              <w:rPr>
                <w:rFonts w:ascii="宋体" w:hAnsi="宋体" w:cs="宋体" w:eastAsia="宋体" w:hint="default"/>
                <w:sz w:val="21"/>
                <w:szCs w:val="21"/>
              </w:rPr>
            </w:pPr>
            <w:r>
              <w:rPr>
                <w:rFonts w:ascii="宋体"/>
                <w:sz w:val="21"/>
              </w:rPr>
              <w:t>170,851,682.22</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11,600,083.30</w:t>
            </w: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8" w:right="0"/>
              <w:jc w:val="left"/>
              <w:rPr>
                <w:rFonts w:ascii="宋体" w:hAnsi="宋体" w:cs="宋体" w:eastAsia="宋体" w:hint="default"/>
                <w:sz w:val="21"/>
                <w:szCs w:val="21"/>
              </w:rPr>
            </w:pPr>
            <w:r>
              <w:rPr>
                <w:rFonts w:ascii="宋体"/>
                <w:sz w:val="21"/>
              </w:rPr>
              <w:t>182,451,765.52</w:t>
            </w: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2"/>
              <w:jc w:val="center"/>
              <w:rPr>
                <w:rFonts w:ascii="宋体" w:hAnsi="宋体" w:cs="宋体" w:eastAsia="宋体" w:hint="default"/>
                <w:sz w:val="21"/>
                <w:szCs w:val="21"/>
              </w:rPr>
            </w:pPr>
            <w:r>
              <w:rPr>
                <w:rFonts w:ascii="宋体"/>
                <w:sz w:val="21"/>
              </w:rPr>
              <w:t>149,583,817.98</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11,600,083.30</w:t>
            </w: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8" w:right="0"/>
              <w:jc w:val="left"/>
              <w:rPr>
                <w:rFonts w:ascii="宋体" w:hAnsi="宋体" w:cs="宋体" w:eastAsia="宋体" w:hint="default"/>
                <w:sz w:val="21"/>
                <w:szCs w:val="21"/>
              </w:rPr>
            </w:pPr>
            <w:r>
              <w:rPr>
                <w:rFonts w:ascii="宋体"/>
                <w:sz w:val="21"/>
              </w:rPr>
              <w:t>161,183,901.28</w:t>
            </w: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2"/>
              <w:jc w:val="center"/>
              <w:rPr>
                <w:rFonts w:ascii="宋体" w:hAnsi="宋体" w:cs="宋体" w:eastAsia="宋体" w:hint="default"/>
                <w:sz w:val="21"/>
                <w:szCs w:val="21"/>
              </w:rPr>
            </w:pPr>
            <w:r>
              <w:rPr>
                <w:rFonts w:ascii="宋体"/>
                <w:sz w:val="21"/>
              </w:rPr>
              <w:t>320,435,500.20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23,200,166.60</w:t>
            </w: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8" w:right="0"/>
              <w:jc w:val="left"/>
              <w:rPr>
                <w:rFonts w:ascii="宋体" w:hAnsi="宋体" w:cs="宋体" w:eastAsia="宋体" w:hint="default"/>
                <w:sz w:val="21"/>
                <w:szCs w:val="21"/>
              </w:rPr>
            </w:pPr>
            <w:r>
              <w:rPr>
                <w:rFonts w:ascii="宋体"/>
                <w:sz w:val="21"/>
              </w:rPr>
              <w:t>343,635,666.80</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ind w:left="158" w:right="0"/>
        <w:jc w:val="left"/>
        <w:rPr>
          <w:b w:val="0"/>
          <w:bCs w:val="0"/>
        </w:rPr>
      </w:pPr>
      <w:r>
        <w:rPr>
          <w:rFonts w:ascii="宋体" w:hAnsi="宋体" w:cs="宋体" w:eastAsia="宋体" w:hint="default"/>
        </w:rPr>
        <w:t>58</w:t>
      </w:r>
      <w:r>
        <w:rPr/>
        <w:t>、</w:t>
      </w:r>
      <w:r>
        <w:rPr>
          <w:spacing w:val="-25"/>
        </w:rPr>
        <w:t> </w:t>
      </w:r>
      <w:r>
        <w:rPr/>
        <w:t>未分配利润</w:t>
      </w:r>
      <w:r>
        <w:rPr>
          <w:b w:val="0"/>
          <w:bCs w:val="0"/>
        </w:rPr>
      </w:r>
    </w:p>
    <w:p>
      <w:pPr>
        <w:pStyle w:val="BodyText"/>
        <w:tabs>
          <w:tab w:pos="1051" w:val="left" w:leader="none"/>
        </w:tabs>
        <w:spacing w:line="240" w:lineRule="auto" w:before="58"/>
        <w:ind w:left="0" w:right="4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30"/>
        <w:gridCol w:w="2777"/>
        <w:gridCol w:w="2689"/>
      </w:tblGrid>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822,092,162.18</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673,366,023.14</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tabs>
                <w:tab w:pos="1891" w:val="left" w:leader="none"/>
              </w:tabs>
              <w:spacing w:line="241" w:lineRule="exact"/>
              <w:ind w:left="-149" w:right="26"/>
              <w:jc w:val="right"/>
              <w:rPr>
                <w:rFonts w:ascii="宋体" w:hAnsi="宋体" w:cs="宋体" w:eastAsia="宋体" w:hint="default"/>
                <w:sz w:val="21"/>
                <w:szCs w:val="21"/>
              </w:rPr>
            </w:pPr>
            <w:r>
              <w:rPr>
                <w:rFonts w:ascii="宋体" w:hAnsi="宋体" w:cs="宋体" w:eastAsia="宋体" w:hint="default"/>
                <w:sz w:val="21"/>
                <w:szCs w:val="21"/>
              </w:rPr>
              <w:t>，</w:t>
              <w:tab/>
            </w:r>
            <w:r>
              <w:rPr>
                <w:rFonts w:ascii="宋体" w:hAnsi="宋体" w:cs="宋体" w:eastAsia="宋体" w:hint="default"/>
                <w:spacing w:val="-1"/>
                <w:sz w:val="21"/>
                <w:szCs w:val="21"/>
              </w:rPr>
              <w:t>2,290.86</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4,027,070.71</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822,094,453.04</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677,393,093.85</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129,065,845.77</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220,825,148.69</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11,600,083.30</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13,034,396.43</w:t>
            </w:r>
          </w:p>
        </w:tc>
      </w:tr>
      <w:tr>
        <w:trPr>
          <w:trHeight w:val="28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11,600,083.30</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13,034,396.43</w:t>
            </w:r>
          </w:p>
        </w:tc>
      </w:tr>
      <w:tr>
        <w:trPr>
          <w:trHeight w:val="28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4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68,077,911.00</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26"/>
              <w:jc w:val="right"/>
              <w:rPr>
                <w:rFonts w:ascii="宋体" w:hAnsi="宋体" w:cs="宋体" w:eastAsia="宋体" w:hint="default"/>
                <w:sz w:val="21"/>
                <w:szCs w:val="21"/>
              </w:rPr>
            </w:pPr>
            <w:r>
              <w:rPr>
                <w:rFonts w:ascii="宋体"/>
                <w:spacing w:val="-1"/>
                <w:sz w:val="21"/>
              </w:rPr>
              <w:t>50,057,287.50</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859,882,221.21</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822,092,162.18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158" w:right="0"/>
        <w:jc w:val="left"/>
        <w:rPr>
          <w:b w:val="0"/>
          <w:bCs w:val="0"/>
        </w:rPr>
      </w:pPr>
      <w:r>
        <w:rPr>
          <w:rFonts w:ascii="宋体" w:hAnsi="宋体" w:cs="宋体" w:eastAsia="宋体" w:hint="default"/>
        </w:rPr>
        <w:t>59</w:t>
      </w:r>
      <w:r>
        <w:rPr/>
        <w:t>、</w:t>
      </w:r>
      <w:r>
        <w:rPr>
          <w:spacing w:val="-23"/>
        </w:rPr>
        <w:t> </w:t>
      </w:r>
      <w:r>
        <w:rPr/>
        <w:t>营业收入和营业成本</w:t>
      </w:r>
      <w:r>
        <w:rPr>
          <w:b w:val="0"/>
          <w:bCs w:val="0"/>
        </w:rPr>
      </w:r>
    </w:p>
    <w:p>
      <w:pPr>
        <w:pStyle w:val="BodyText"/>
        <w:tabs>
          <w:tab w:pos="1051" w:val="left" w:leader="none"/>
        </w:tabs>
        <w:spacing w:line="240" w:lineRule="auto" w:before="58"/>
        <w:ind w:left="0" w:right="4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67" w:type="dxa"/>
        <w:tblLayout w:type="fixed"/>
        <w:tblCellMar>
          <w:top w:w="0" w:type="dxa"/>
          <w:left w:w="0" w:type="dxa"/>
          <w:bottom w:w="0" w:type="dxa"/>
          <w:right w:w="0" w:type="dxa"/>
        </w:tblCellMar>
        <w:tblLook w:val="01E0"/>
      </w:tblPr>
      <w:tblGrid>
        <w:gridCol w:w="1344"/>
        <w:gridCol w:w="1897"/>
        <w:gridCol w:w="1896"/>
        <w:gridCol w:w="1896"/>
        <w:gridCol w:w="1897"/>
      </w:tblGrid>
      <w:tr>
        <w:trPr>
          <w:trHeight w:val="283"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134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1,393,348,772.25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1,044,652,950.42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1,575,065,126.80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1,124,616,961.82</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412,200,613.74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322,785,276.56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551,929,524.97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483,534,708.69</w:t>
            </w:r>
          </w:p>
        </w:tc>
      </w:tr>
      <w:tr>
        <w:trPr>
          <w:trHeight w:val="281"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1,805,549,385.99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1,367,438,226.98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2,126,994,651.77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1,608,151,670.51</w:t>
            </w:r>
          </w:p>
        </w:tc>
      </w:tr>
    </w:tbl>
    <w:p>
      <w:pPr>
        <w:pStyle w:val="BodyText"/>
        <w:spacing w:line="240" w:lineRule="auto" w:before="86"/>
        <w:ind w:left="155" w:right="0"/>
        <w:jc w:val="left"/>
      </w:pPr>
      <w:r>
        <w:rPr/>
        <w:t>主营业务（分业务）</w:t>
      </w:r>
    </w:p>
    <w:p>
      <w:pPr>
        <w:spacing w:line="240" w:lineRule="auto" w:before="0"/>
        <w:rPr>
          <w:rFonts w:ascii="宋体" w:hAnsi="宋体" w:cs="宋体" w:eastAsia="宋体" w:hint="default"/>
          <w:sz w:val="19"/>
          <w:szCs w:val="19"/>
        </w:rPr>
      </w:pPr>
    </w:p>
    <w:tbl>
      <w:tblPr>
        <w:tblW w:w="0" w:type="auto"/>
        <w:jc w:val="left"/>
        <w:tblInd w:w="148" w:type="dxa"/>
        <w:tblLayout w:type="fixed"/>
        <w:tblCellMar>
          <w:top w:w="0" w:type="dxa"/>
          <w:left w:w="0" w:type="dxa"/>
          <w:bottom w:w="0" w:type="dxa"/>
          <w:right w:w="0" w:type="dxa"/>
        </w:tblCellMar>
        <w:tblLook w:val="01E0"/>
      </w:tblPr>
      <w:tblGrid>
        <w:gridCol w:w="1495"/>
        <w:gridCol w:w="1911"/>
        <w:gridCol w:w="1911"/>
        <w:gridCol w:w="1909"/>
        <w:gridCol w:w="1910"/>
      </w:tblGrid>
      <w:tr>
        <w:trPr>
          <w:trHeight w:val="396" w:hRule="exact"/>
        </w:trPr>
        <w:tc>
          <w:tcPr>
            <w:tcW w:w="1495" w:type="dxa"/>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b/>
                <w:bCs/>
                <w:sz w:val="21"/>
                <w:szCs w:val="21"/>
              </w:rPr>
              <w:t>业务名称</w:t>
            </w:r>
            <w:r>
              <w:rPr>
                <w:rFonts w:ascii="宋体" w:hAnsi="宋体" w:cs="宋体" w:eastAsia="宋体" w:hint="default"/>
                <w:sz w:val="21"/>
                <w:szCs w:val="21"/>
              </w:rPr>
            </w:r>
          </w:p>
        </w:tc>
        <w:tc>
          <w:tcPr>
            <w:tcW w:w="3822"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690"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819"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163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98" w:hRule="exact"/>
        </w:trPr>
        <w:tc>
          <w:tcPr>
            <w:tcW w:w="1495" w:type="dxa"/>
            <w:vMerge/>
            <w:tcBorders>
              <w:left w:val="single" w:sz="8" w:space="0" w:color="000000"/>
              <w:bottom w:val="single" w:sz="8" w:space="0" w:color="000000"/>
              <w:right w:val="single" w:sz="8" w:space="0" w:color="000000"/>
            </w:tcBorders>
          </w:tcPr>
          <w:p>
            <w:pPr/>
          </w:p>
        </w:tc>
        <w:tc>
          <w:tcPr>
            <w:tcW w:w="19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5"/>
              <w:jc w:val="righ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9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4"/>
              <w:jc w:val="righ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4"/>
              <w:jc w:val="righ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9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5"/>
              <w:jc w:val="righ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396" w:hRule="exact"/>
        </w:trPr>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98" w:right="0"/>
              <w:jc w:val="left"/>
              <w:rPr>
                <w:rFonts w:ascii="宋体" w:hAnsi="宋体" w:cs="宋体" w:eastAsia="宋体" w:hint="default"/>
                <w:sz w:val="21"/>
                <w:szCs w:val="21"/>
              </w:rPr>
            </w:pPr>
            <w:r>
              <w:rPr>
                <w:rFonts w:ascii="宋体" w:hAnsi="宋体" w:cs="宋体" w:eastAsia="宋体" w:hint="default"/>
                <w:sz w:val="21"/>
                <w:szCs w:val="21"/>
              </w:rPr>
              <w:t>装卸</w:t>
            </w:r>
          </w:p>
        </w:tc>
        <w:tc>
          <w:tcPr>
            <w:tcW w:w="19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1,174,457,930.04</w:t>
            </w:r>
          </w:p>
        </w:tc>
        <w:tc>
          <w:tcPr>
            <w:tcW w:w="19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4"/>
              <w:jc w:val="right"/>
              <w:rPr>
                <w:rFonts w:ascii="宋体" w:hAnsi="宋体" w:cs="宋体" w:eastAsia="宋体" w:hint="default"/>
                <w:sz w:val="21"/>
                <w:szCs w:val="21"/>
              </w:rPr>
            </w:pPr>
            <w:r>
              <w:rPr>
                <w:rFonts w:ascii="宋体"/>
                <w:spacing w:val="-1"/>
                <w:sz w:val="21"/>
              </w:rPr>
              <w:t>905,336,205.58</w:t>
            </w: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4"/>
              <w:jc w:val="right"/>
              <w:rPr>
                <w:rFonts w:ascii="宋体" w:hAnsi="宋体" w:cs="宋体" w:eastAsia="宋体" w:hint="default"/>
                <w:sz w:val="21"/>
                <w:szCs w:val="21"/>
              </w:rPr>
            </w:pPr>
            <w:r>
              <w:rPr>
                <w:rFonts w:ascii="宋体"/>
                <w:spacing w:val="-1"/>
                <w:sz w:val="21"/>
              </w:rPr>
              <w:t>1,402,072,769.09</w:t>
            </w:r>
          </w:p>
        </w:tc>
        <w:tc>
          <w:tcPr>
            <w:tcW w:w="19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3"/>
              <w:jc w:val="right"/>
              <w:rPr>
                <w:rFonts w:ascii="宋体" w:hAnsi="宋体" w:cs="宋体" w:eastAsia="宋体" w:hint="default"/>
                <w:sz w:val="21"/>
                <w:szCs w:val="21"/>
              </w:rPr>
            </w:pPr>
            <w:r>
              <w:rPr>
                <w:rFonts w:ascii="宋体"/>
                <w:spacing w:val="-1"/>
                <w:sz w:val="21"/>
              </w:rPr>
              <w:t>1,016,176,973.07</w:t>
            </w:r>
          </w:p>
        </w:tc>
      </w:tr>
      <w:tr>
        <w:trPr>
          <w:trHeight w:val="398" w:hRule="exact"/>
        </w:trPr>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98" w:right="0"/>
              <w:jc w:val="left"/>
              <w:rPr>
                <w:rFonts w:ascii="宋体" w:hAnsi="宋体" w:cs="宋体" w:eastAsia="宋体" w:hint="default"/>
                <w:sz w:val="21"/>
                <w:szCs w:val="21"/>
              </w:rPr>
            </w:pPr>
            <w:r>
              <w:rPr>
                <w:rFonts w:ascii="宋体" w:hAnsi="宋体" w:cs="宋体" w:eastAsia="宋体" w:hint="default"/>
                <w:sz w:val="21"/>
                <w:szCs w:val="21"/>
              </w:rPr>
              <w:t>堆存</w:t>
            </w:r>
          </w:p>
        </w:tc>
        <w:tc>
          <w:tcPr>
            <w:tcW w:w="19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70,581,135.05</w:t>
            </w:r>
          </w:p>
        </w:tc>
        <w:tc>
          <w:tcPr>
            <w:tcW w:w="19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60,635,058.99</w:t>
            </w: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4"/>
              <w:jc w:val="right"/>
              <w:rPr>
                <w:rFonts w:ascii="宋体" w:hAnsi="宋体" w:cs="宋体" w:eastAsia="宋体" w:hint="default"/>
                <w:sz w:val="21"/>
                <w:szCs w:val="21"/>
              </w:rPr>
            </w:pPr>
            <w:r>
              <w:rPr>
                <w:rFonts w:ascii="宋体"/>
                <w:spacing w:val="-1"/>
                <w:sz w:val="21"/>
              </w:rPr>
              <w:t>36,811,346.18</w:t>
            </w:r>
          </w:p>
        </w:tc>
        <w:tc>
          <w:tcPr>
            <w:tcW w:w="19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3"/>
              <w:jc w:val="right"/>
              <w:rPr>
                <w:rFonts w:ascii="宋体" w:hAnsi="宋体" w:cs="宋体" w:eastAsia="宋体" w:hint="default"/>
                <w:sz w:val="21"/>
                <w:szCs w:val="21"/>
              </w:rPr>
            </w:pPr>
            <w:r>
              <w:rPr>
                <w:rFonts w:ascii="宋体"/>
                <w:spacing w:val="-1"/>
                <w:sz w:val="21"/>
              </w:rPr>
              <w:t>25,726,591.35</w:t>
            </w:r>
          </w:p>
        </w:tc>
      </w:tr>
      <w:tr>
        <w:trPr>
          <w:trHeight w:val="396" w:hRule="exact"/>
        </w:trPr>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98" w:right="0"/>
              <w:jc w:val="left"/>
              <w:rPr>
                <w:rFonts w:ascii="宋体" w:hAnsi="宋体" w:cs="宋体" w:eastAsia="宋体" w:hint="default"/>
                <w:sz w:val="21"/>
                <w:szCs w:val="21"/>
              </w:rPr>
            </w:pPr>
            <w:r>
              <w:rPr>
                <w:rFonts w:ascii="宋体" w:hAnsi="宋体" w:cs="宋体" w:eastAsia="宋体" w:hint="default"/>
                <w:sz w:val="21"/>
                <w:szCs w:val="21"/>
              </w:rPr>
              <w:t>船方</w:t>
            </w:r>
          </w:p>
        </w:tc>
        <w:tc>
          <w:tcPr>
            <w:tcW w:w="19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55,264,306.42</w:t>
            </w:r>
          </w:p>
        </w:tc>
        <w:tc>
          <w:tcPr>
            <w:tcW w:w="19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34,676,293.63</w:t>
            </w: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4"/>
              <w:jc w:val="right"/>
              <w:rPr>
                <w:rFonts w:ascii="宋体" w:hAnsi="宋体" w:cs="宋体" w:eastAsia="宋体" w:hint="default"/>
                <w:sz w:val="21"/>
                <w:szCs w:val="21"/>
              </w:rPr>
            </w:pPr>
            <w:r>
              <w:rPr>
                <w:rFonts w:ascii="宋体"/>
                <w:spacing w:val="-1"/>
                <w:sz w:val="21"/>
              </w:rPr>
              <w:t>56,306,489.47</w:t>
            </w:r>
          </w:p>
        </w:tc>
        <w:tc>
          <w:tcPr>
            <w:tcW w:w="19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3"/>
              <w:jc w:val="right"/>
              <w:rPr>
                <w:rFonts w:ascii="宋体" w:hAnsi="宋体" w:cs="宋体" w:eastAsia="宋体" w:hint="default"/>
                <w:sz w:val="21"/>
                <w:szCs w:val="21"/>
              </w:rPr>
            </w:pPr>
            <w:r>
              <w:rPr>
                <w:rFonts w:ascii="宋体"/>
                <w:spacing w:val="-1"/>
                <w:sz w:val="21"/>
              </w:rPr>
              <w:t>38,790,786.98</w:t>
            </w:r>
          </w:p>
        </w:tc>
      </w:tr>
      <w:tr>
        <w:trPr>
          <w:trHeight w:val="396" w:hRule="exact"/>
        </w:trPr>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9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6"/>
              <w:jc w:val="right"/>
              <w:rPr>
                <w:rFonts w:ascii="宋体" w:hAnsi="宋体" w:cs="宋体" w:eastAsia="宋体" w:hint="default"/>
                <w:sz w:val="21"/>
                <w:szCs w:val="21"/>
              </w:rPr>
            </w:pPr>
            <w:r>
              <w:rPr>
                <w:rFonts w:ascii="宋体"/>
                <w:spacing w:val="-1"/>
                <w:sz w:val="21"/>
              </w:rPr>
              <w:t>93,045,400.74</w:t>
            </w:r>
          </w:p>
        </w:tc>
        <w:tc>
          <w:tcPr>
            <w:tcW w:w="19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4"/>
              <w:jc w:val="right"/>
              <w:rPr>
                <w:rFonts w:ascii="宋体" w:hAnsi="宋体" w:cs="宋体" w:eastAsia="宋体" w:hint="default"/>
                <w:sz w:val="21"/>
                <w:szCs w:val="21"/>
              </w:rPr>
            </w:pPr>
            <w:r>
              <w:rPr>
                <w:rFonts w:ascii="宋体"/>
                <w:spacing w:val="-1"/>
                <w:sz w:val="21"/>
              </w:rPr>
              <w:t>44,005,392.22</w:t>
            </w: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4"/>
              <w:jc w:val="right"/>
              <w:rPr>
                <w:rFonts w:ascii="宋体" w:hAnsi="宋体" w:cs="宋体" w:eastAsia="宋体" w:hint="default"/>
                <w:sz w:val="21"/>
                <w:szCs w:val="21"/>
              </w:rPr>
            </w:pPr>
            <w:r>
              <w:rPr>
                <w:rFonts w:ascii="宋体"/>
                <w:spacing w:val="-1"/>
                <w:sz w:val="21"/>
              </w:rPr>
              <w:t>79,874,522.06</w:t>
            </w:r>
          </w:p>
        </w:tc>
        <w:tc>
          <w:tcPr>
            <w:tcW w:w="19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93"/>
              <w:jc w:val="right"/>
              <w:rPr>
                <w:rFonts w:ascii="宋体" w:hAnsi="宋体" w:cs="宋体" w:eastAsia="宋体" w:hint="default"/>
                <w:sz w:val="21"/>
                <w:szCs w:val="21"/>
              </w:rPr>
            </w:pPr>
            <w:r>
              <w:rPr>
                <w:rFonts w:ascii="宋体"/>
                <w:spacing w:val="-1"/>
                <w:sz w:val="21"/>
              </w:rPr>
              <w:t>43,922,610.42</w:t>
            </w:r>
          </w:p>
        </w:tc>
      </w:tr>
      <w:tr>
        <w:trPr>
          <w:trHeight w:val="398" w:hRule="exact"/>
        </w:trPr>
        <w:tc>
          <w:tcPr>
            <w:tcW w:w="1495" w:type="dxa"/>
            <w:tcBorders>
              <w:top w:val="single" w:sz="8" w:space="0" w:color="000000"/>
              <w:left w:val="single" w:sz="8" w:space="0" w:color="000000"/>
              <w:bottom w:val="single" w:sz="8" w:space="0" w:color="000000"/>
              <w:right w:val="single" w:sz="8" w:space="0" w:color="000000"/>
            </w:tcBorders>
          </w:tcPr>
          <w:p>
            <w:pPr>
              <w:pStyle w:val="TableParagraph"/>
              <w:tabs>
                <w:tab w:pos="520" w:val="left" w:leader="none"/>
              </w:tabs>
              <w:spacing w:line="240" w:lineRule="auto" w:before="21"/>
              <w:ind w:left="98"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9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7"/>
              <w:jc w:val="right"/>
              <w:rPr>
                <w:rFonts w:ascii="宋体" w:hAnsi="宋体" w:cs="宋体" w:eastAsia="宋体" w:hint="default"/>
                <w:sz w:val="21"/>
                <w:szCs w:val="21"/>
              </w:rPr>
            </w:pPr>
            <w:r>
              <w:rPr>
                <w:rFonts w:ascii="宋体"/>
                <w:b/>
                <w:sz w:val="21"/>
              </w:rPr>
              <w:t>1,393,348,772.25</w:t>
            </w:r>
            <w:r>
              <w:rPr>
                <w:rFonts w:ascii="宋体"/>
                <w:sz w:val="21"/>
              </w:rPr>
            </w:r>
          </w:p>
        </w:tc>
        <w:tc>
          <w:tcPr>
            <w:tcW w:w="19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7"/>
              <w:jc w:val="right"/>
              <w:rPr>
                <w:rFonts w:ascii="宋体" w:hAnsi="宋体" w:cs="宋体" w:eastAsia="宋体" w:hint="default"/>
                <w:sz w:val="21"/>
                <w:szCs w:val="21"/>
              </w:rPr>
            </w:pPr>
            <w:r>
              <w:rPr>
                <w:rFonts w:ascii="宋体"/>
                <w:b/>
                <w:sz w:val="21"/>
              </w:rPr>
              <w:t>1,044,652,950.42</w:t>
            </w:r>
            <w:r>
              <w:rPr>
                <w:rFonts w:ascii="宋体"/>
                <w:sz w:val="21"/>
              </w:rPr>
            </w:r>
          </w:p>
        </w:tc>
        <w:tc>
          <w:tcPr>
            <w:tcW w:w="19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7"/>
              <w:jc w:val="right"/>
              <w:rPr>
                <w:rFonts w:ascii="宋体" w:hAnsi="宋体" w:cs="宋体" w:eastAsia="宋体" w:hint="default"/>
                <w:sz w:val="21"/>
                <w:szCs w:val="21"/>
              </w:rPr>
            </w:pPr>
            <w:r>
              <w:rPr>
                <w:rFonts w:ascii="宋体"/>
                <w:b/>
                <w:sz w:val="21"/>
              </w:rPr>
              <w:t>1,575,065,126.80</w:t>
            </w:r>
            <w:r>
              <w:rPr>
                <w:rFonts w:ascii="宋体"/>
                <w:sz w:val="21"/>
              </w:rPr>
            </w:r>
          </w:p>
        </w:tc>
        <w:tc>
          <w:tcPr>
            <w:tcW w:w="19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6"/>
              <w:jc w:val="right"/>
              <w:rPr>
                <w:rFonts w:ascii="宋体" w:hAnsi="宋体" w:cs="宋体" w:eastAsia="宋体" w:hint="default"/>
                <w:sz w:val="21"/>
                <w:szCs w:val="21"/>
              </w:rPr>
            </w:pPr>
            <w:r>
              <w:rPr>
                <w:rFonts w:ascii="宋体"/>
                <w:b/>
                <w:sz w:val="21"/>
              </w:rPr>
              <w:t>1,124,616,961.82</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8"/>
        <w:ind w:left="158" w:right="0"/>
        <w:jc w:val="left"/>
        <w:rPr>
          <w:b w:val="0"/>
          <w:bCs w:val="0"/>
        </w:rPr>
      </w:pPr>
      <w:r>
        <w:rPr>
          <w:rFonts w:ascii="宋体" w:hAnsi="宋体" w:cs="宋体" w:eastAsia="宋体" w:hint="default"/>
        </w:rPr>
        <w:t>60</w:t>
      </w:r>
      <w:r>
        <w:rPr/>
        <w:t>、</w:t>
      </w:r>
      <w:r>
        <w:rPr>
          <w:spacing w:val="-24"/>
        </w:rPr>
        <w:t> </w:t>
      </w:r>
      <w:r>
        <w:rPr/>
        <w:t>营业税金及附加</w:t>
      </w:r>
      <w:r>
        <w:rPr>
          <w:b w:val="0"/>
          <w:bCs w:val="0"/>
        </w:rPr>
      </w:r>
    </w:p>
    <w:p>
      <w:pPr>
        <w:pStyle w:val="BodyText"/>
        <w:tabs>
          <w:tab w:pos="1051" w:val="left" w:leader="none"/>
        </w:tabs>
        <w:spacing w:line="240" w:lineRule="auto" w:before="58"/>
        <w:ind w:left="0" w:right="4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859"/>
        <w:gridCol w:w="3017"/>
        <w:gridCol w:w="3020"/>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4,697,581.21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4,214,371.51</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970,172.91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1,623,655.79</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712,721.65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1,213,311.04</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6,380,475.77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7,051,338.34</w:t>
            </w:r>
          </w:p>
        </w:tc>
      </w:tr>
    </w:tbl>
    <w:p>
      <w:pPr>
        <w:spacing w:line="240" w:lineRule="auto" w:before="12"/>
        <w:rPr>
          <w:rFonts w:ascii="宋体" w:hAnsi="宋体" w:cs="宋体" w:eastAsia="宋体" w:hint="default"/>
          <w:sz w:val="19"/>
          <w:szCs w:val="19"/>
        </w:rPr>
      </w:pPr>
    </w:p>
    <w:p>
      <w:pPr>
        <w:pStyle w:val="BodyText"/>
        <w:spacing w:line="292" w:lineRule="auto" w:before="36"/>
        <w:ind w:left="158" w:right="3454"/>
        <w:jc w:val="left"/>
      </w:pPr>
      <w:r>
        <w:rPr/>
        <w:t>其他说明：</w:t>
      </w:r>
      <w:r>
        <w:rPr>
          <w:spacing w:val="-102"/>
        </w:rPr>
        <w:t> </w:t>
      </w:r>
      <w:r>
        <w:rPr>
          <w:spacing w:val="-102"/>
        </w:rPr>
      </w:r>
      <w:r>
        <w:rPr>
          <w:spacing w:val="-2"/>
        </w:rPr>
        <w:t>各项营业税金及附加的计缴标准详见附注“税项”。</w:t>
      </w:r>
    </w:p>
    <w:p>
      <w:pPr>
        <w:spacing w:after="0" w:line="292" w:lineRule="auto"/>
        <w:jc w:val="left"/>
        <w:sectPr>
          <w:pgSz w:w="11910" w:h="16840"/>
          <w:pgMar w:header="882" w:footer="1195" w:top="1120" w:bottom="1380" w:left="1640" w:right="840"/>
        </w:sectPr>
      </w:pP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61</w:t>
      </w:r>
      <w:r>
        <w:rPr/>
        <w:t>、</w:t>
      </w:r>
      <w:r>
        <w:rPr>
          <w:spacing w:val="-25"/>
        </w:rPr>
        <w:t> </w:t>
      </w:r>
      <w:r>
        <w:rPr/>
        <w:t>销售费用</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4,697,070.15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6,230,588.56</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差旅及交通费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1,260,661.85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1,212,105.61</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办公及会议费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1,070,221.07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1,070,130.35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337,304.69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272,885.62</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燃料及水电费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288,586.92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315,515.63</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财产保险</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5,549.08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15,882.16</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532,765.38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1,615,641.33</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8,192,159.14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10,732,749.26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9"/>
        <w:ind w:right="0"/>
        <w:jc w:val="left"/>
        <w:rPr>
          <w:b w:val="0"/>
          <w:bCs w:val="0"/>
        </w:rPr>
      </w:pPr>
      <w:r>
        <w:rPr>
          <w:rFonts w:ascii="宋体" w:hAnsi="宋体" w:cs="宋体" w:eastAsia="宋体" w:hint="default"/>
        </w:rPr>
        <w:t>62</w:t>
      </w:r>
      <w:r>
        <w:rPr/>
        <w:t>、</w:t>
      </w:r>
      <w:r>
        <w:rPr>
          <w:spacing w:val="-25"/>
        </w:rPr>
        <w:t> </w:t>
      </w:r>
      <w:r>
        <w:rPr/>
        <w:t>管理费用</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43,569,936.55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56,795,297.84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16,987,825.88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17,070,764.59</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10,521,635.63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11,367,662.69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办公及会议费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5,758,882.56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11,426,514.90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差旅及交通费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4,052,780.63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4,492,976.08</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3,307,075.00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2,408,841.77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燃料及水电费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2,418,748.77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2,586,466.82</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咨询评估费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2,353,980.46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8,887,327.86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2,321,109.69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3,083,900.50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1,139,695.95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1,224,118.56</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财产保险</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352,131.96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511,426.69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7,435,511.67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7,650,971.19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100,219,314.75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127,506,269.49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rFonts w:ascii="宋体" w:hAnsi="宋体" w:cs="宋体" w:eastAsia="宋体" w:hint="default"/>
        </w:rPr>
        <w:t>63</w:t>
      </w:r>
      <w:r>
        <w:rPr/>
        <w:t>、</w:t>
      </w:r>
      <w:r>
        <w:rPr>
          <w:spacing w:val="-25"/>
        </w:rPr>
        <w:t> </w:t>
      </w:r>
      <w:r>
        <w:rPr/>
        <w:t>财务费用</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235,310,164.31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231,247,079.83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利息资本化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-4,011,999.99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-5,678,558.74</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-12,241,507.32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-14,254,877.99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41,429.03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78,519.18</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手续费及其他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4,432,244.66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4,490,120.97</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223,530,330.69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215,882,283.25</w:t>
            </w:r>
          </w:p>
        </w:tc>
      </w:tr>
    </w:tbl>
    <w:p>
      <w:pPr>
        <w:spacing w:line="240" w:lineRule="auto" w:before="7"/>
        <w:rPr>
          <w:rFonts w:ascii="宋体" w:hAnsi="宋体" w:cs="宋体" w:eastAsia="宋体" w:hint="default"/>
          <w:sz w:val="15"/>
          <w:szCs w:val="15"/>
        </w:rPr>
      </w:pPr>
    </w:p>
    <w:p>
      <w:pPr>
        <w:pStyle w:val="BodyText"/>
        <w:spacing w:line="272" w:lineRule="exact" w:before="64"/>
        <w:ind w:left="218" w:right="285"/>
        <w:jc w:val="left"/>
      </w:pPr>
      <w:r>
        <w:rPr/>
        <w:t>其他说明：</w:t>
      </w:r>
      <w:r>
        <w:rPr>
          <w:spacing w:val="-102"/>
        </w:rPr>
        <w:t> </w:t>
      </w:r>
      <w:r>
        <w:rPr>
          <w:spacing w:val="-102"/>
        </w:rPr>
      </w:r>
      <w:r>
        <w:rPr>
          <w:spacing w:val="-2"/>
        </w:rPr>
        <w:t>利息资本化金额已计入在建工程。本期用于计算确定借款费用资本化金额的资本化率为</w:t>
      </w:r>
      <w:r>
        <w:rPr>
          <w:spacing w:val="25"/>
        </w:rPr>
        <w:t> </w:t>
      </w:r>
      <w:r>
        <w:rPr>
          <w:rFonts w:ascii="宋体" w:hAnsi="宋体" w:cs="宋体" w:eastAsia="宋体" w:hint="default"/>
          <w:spacing w:val="-1"/>
        </w:rPr>
        <w:t>5.90%</w:t>
      </w:r>
      <w:r>
        <w:rPr>
          <w:spacing w:val="-1"/>
        </w:rPr>
        <w:t>。</w:t>
      </w:r>
    </w:p>
    <w:p>
      <w:pPr>
        <w:spacing w:line="240" w:lineRule="auto" w:before="5"/>
        <w:rPr>
          <w:rFonts w:ascii="宋体" w:hAnsi="宋体" w:cs="宋体" w:eastAsia="宋体" w:hint="default"/>
          <w:sz w:val="23"/>
          <w:szCs w:val="23"/>
        </w:rPr>
      </w:pPr>
    </w:p>
    <w:p>
      <w:pPr>
        <w:pStyle w:val="Heading2"/>
        <w:spacing w:line="240" w:lineRule="auto" w:before="0"/>
        <w:ind w:right="0"/>
        <w:jc w:val="left"/>
        <w:rPr>
          <w:b w:val="0"/>
          <w:bCs w:val="0"/>
        </w:rPr>
      </w:pPr>
      <w:r>
        <w:rPr>
          <w:rFonts w:ascii="宋体" w:hAnsi="宋体" w:cs="宋体" w:eastAsia="宋体" w:hint="default"/>
        </w:rPr>
        <w:t>64</w:t>
      </w:r>
      <w:r>
        <w:rPr/>
        <w:t>、</w:t>
      </w:r>
      <w:r>
        <w:rPr>
          <w:spacing w:val="-24"/>
        </w:rPr>
        <w:t> </w:t>
      </w:r>
      <w:r>
        <w:rPr/>
        <w:t>资产减值损失</w:t>
      </w:r>
      <w:r>
        <w:rPr>
          <w:b w:val="0"/>
          <w:bCs w:val="0"/>
        </w:rPr>
      </w:r>
    </w:p>
    <w:p>
      <w:pPr>
        <w:spacing w:after="0" w:line="240" w:lineRule="auto"/>
        <w:jc w:val="left"/>
        <w:sectPr>
          <w:footerReference w:type="default" r:id="rId37"/>
          <w:pgSz w:w="11910" w:h="16840"/>
          <w:pgMar w:footer="1543" w:header="882" w:top="1120" w:bottom="1740" w:left="1580" w:right="1040"/>
          <w:pgNumType w:start="90"/>
        </w:sectPr>
      </w:pPr>
    </w:p>
    <w:p>
      <w:pPr>
        <w:spacing w:line="240" w:lineRule="auto" w:before="1"/>
        <w:rPr>
          <w:rFonts w:ascii="宋体" w:hAnsi="宋体" w:cs="宋体" w:eastAsia="宋体" w:hint="default"/>
          <w:b/>
          <w:bCs/>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1,827,599.31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398,166.15</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1,827,599.31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398,166.15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7"/>
        <w:ind w:right="0"/>
        <w:jc w:val="left"/>
        <w:rPr>
          <w:b w:val="0"/>
          <w:bCs w:val="0"/>
        </w:rPr>
      </w:pPr>
      <w:r>
        <w:rPr>
          <w:rFonts w:ascii="宋体" w:hAnsi="宋体" w:cs="宋体" w:eastAsia="宋体" w:hint="default"/>
        </w:rPr>
        <w:t>65</w:t>
      </w:r>
      <w:r>
        <w:rPr/>
        <w:t>、</w:t>
      </w:r>
      <w:r>
        <w:rPr>
          <w:spacing w:val="-24"/>
        </w:rPr>
        <w:t> </w:t>
      </w:r>
      <w:r>
        <w:rPr/>
        <w:t>公允价值变动收益</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543" w:top="1120" w:bottom="1740" w:left="1580" w:right="1040"/>
        </w:sectPr>
      </w:pPr>
    </w:p>
    <w:p>
      <w:pPr>
        <w:pStyle w:val="Heading2"/>
        <w:spacing w:line="240" w:lineRule="auto"/>
        <w:ind w:right="-18"/>
        <w:jc w:val="left"/>
        <w:rPr>
          <w:b w:val="0"/>
          <w:bCs w:val="0"/>
        </w:rPr>
      </w:pPr>
      <w:r>
        <w:rPr>
          <w:rFonts w:ascii="宋体" w:hAnsi="宋体" w:cs="宋体" w:eastAsia="宋体" w:hint="default"/>
        </w:rPr>
        <w:t>66</w:t>
      </w:r>
      <w:r>
        <w:rPr/>
        <w:t>、</w:t>
      </w:r>
      <w:r>
        <w:rPr>
          <w:spacing w:val="-25"/>
        </w:rPr>
        <w:t> </w:t>
      </w:r>
      <w:r>
        <w:rPr/>
        <w:t>投资收益</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32,776,602.73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38,235,532.48</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1,524,560.67</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34,301,163.40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38,235,532.48</w:t>
            </w:r>
          </w:p>
        </w:tc>
      </w:tr>
    </w:tbl>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r>
        <w:rPr>
          <w:rFonts w:ascii="宋体" w:hAnsi="宋体" w:cs="宋体" w:eastAsia="宋体" w:hint="default"/>
        </w:rPr>
        <w:t>67</w:t>
      </w:r>
      <w:r>
        <w:rPr/>
        <w:t>、</w:t>
      </w:r>
      <w:r>
        <w:rPr>
          <w:spacing w:val="-25"/>
        </w:rPr>
        <w:t> </w:t>
      </w:r>
      <w:r>
        <w:rPr/>
        <w:t>营业外收入</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555"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39"/>
              <w:jc w:val="right"/>
              <w:rPr>
                <w:rFonts w:ascii="宋体" w:hAnsi="宋体" w:cs="宋体" w:eastAsia="宋体" w:hint="default"/>
                <w:sz w:val="21"/>
                <w:szCs w:val="21"/>
              </w:rPr>
            </w:pPr>
            <w:r>
              <w:rPr>
                <w:rFonts w:ascii="宋体" w:hAnsi="宋体" w:cs="宋体" w:eastAsia="宋体" w:hint="default"/>
                <w:sz w:val="21"/>
                <w:szCs w:val="21"/>
              </w:rPr>
              <w:t>项目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14,273,093.33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92,213,731.88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14,273,093.33</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14,273,093.33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483,548.56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14,273,093.33</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91,730,183.32</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20,746,650.06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25,380,750.32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20,746,650.06</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1,376,688.75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1,414,033.47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1,376,688.75</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39"/>
              <w:jc w:val="right"/>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36,396,432.14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119,008,515.67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36,396,432.14</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before="36"/>
        <w:ind w:left="218" w:right="0"/>
        <w:jc w:val="left"/>
      </w:pPr>
      <w:r>
        <w:rPr/>
        <w:t>计入当期损益的政府补助</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60"/>
        <w:gridCol w:w="2278"/>
        <w:gridCol w:w="2278"/>
        <w:gridCol w:w="2281"/>
      </w:tblGrid>
      <w:tr>
        <w:trPr>
          <w:trHeight w:val="56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04"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2"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1"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2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粮食现代物流项目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64,285.68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64,285.68</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港口建设费分成资金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536,909.28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536,909.28</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航道</w:t>
            </w:r>
            <w:r>
              <w:rPr>
                <w:rFonts w:ascii="宋体" w:hAnsi="宋体" w:cs="宋体" w:eastAsia="宋体" w:hint="default"/>
                <w:spacing w:val="-3"/>
                <w:w w:val="100"/>
                <w:sz w:val="21"/>
                <w:szCs w:val="21"/>
              </w:rPr>
              <w:t>工</w:t>
            </w:r>
            <w:r>
              <w:rPr>
                <w:rFonts w:ascii="宋体" w:hAnsi="宋体" w:cs="宋体" w:eastAsia="宋体" w:hint="default"/>
                <w:w w:val="100"/>
                <w:sz w:val="21"/>
                <w:szCs w:val="21"/>
              </w:rPr>
              <w:t>程</w:t>
            </w:r>
            <w:r>
              <w:rPr>
                <w:rFonts w:ascii="宋体" w:hAnsi="宋体" w:cs="宋体" w:eastAsia="宋体" w:hint="default"/>
                <w:spacing w:val="-3"/>
                <w:w w:val="100"/>
                <w:sz w:val="21"/>
                <w:szCs w:val="21"/>
              </w:rPr>
              <w:t>建</w:t>
            </w:r>
            <w:r>
              <w:rPr>
                <w:rFonts w:ascii="宋体" w:hAnsi="宋体" w:cs="宋体" w:eastAsia="宋体" w:hint="default"/>
                <w:w w:val="100"/>
                <w:sz w:val="21"/>
                <w:szCs w:val="21"/>
              </w:rPr>
              <w:t>设</w:t>
            </w:r>
            <w:r>
              <w:rPr>
                <w:rFonts w:ascii="宋体" w:hAnsi="宋体" w:cs="宋体" w:eastAsia="宋体" w:hint="default"/>
                <w:spacing w:val="-3"/>
                <w:w w:val="100"/>
                <w:sz w:val="21"/>
                <w:szCs w:val="21"/>
              </w:rPr>
              <w:t>拨</w:t>
            </w:r>
            <w:r>
              <w:rPr>
                <w:rFonts w:ascii="宋体" w:hAnsi="宋体" w:cs="宋体" w:eastAsia="宋体" w:hint="default"/>
                <w:spacing w:val="-104"/>
                <w:w w:val="100"/>
                <w:sz w:val="21"/>
                <w:szCs w:val="21"/>
              </w:rPr>
              <w:t>款</w:t>
            </w:r>
            <w:r>
              <w:rPr>
                <w:rFonts w:ascii="宋体" w:hAnsi="宋体" w:cs="宋体" w:eastAsia="宋体" w:hint="default"/>
                <w:w w:val="100"/>
                <w:sz w:val="21"/>
                <w:szCs w:val="21"/>
              </w:rPr>
              <w:t>（交</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通部）</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11,341,620.06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8,847,212.10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航道</w:t>
            </w:r>
            <w:r>
              <w:rPr>
                <w:rFonts w:ascii="宋体" w:hAnsi="宋体" w:cs="宋体" w:eastAsia="宋体" w:hint="default"/>
                <w:spacing w:val="-3"/>
                <w:w w:val="100"/>
                <w:sz w:val="21"/>
                <w:szCs w:val="21"/>
              </w:rPr>
              <w:t>工</w:t>
            </w:r>
            <w:r>
              <w:rPr>
                <w:rFonts w:ascii="宋体" w:hAnsi="宋体" w:cs="宋体" w:eastAsia="宋体" w:hint="default"/>
                <w:w w:val="100"/>
                <w:sz w:val="21"/>
                <w:szCs w:val="21"/>
              </w:rPr>
              <w:t>程</w:t>
            </w:r>
            <w:r>
              <w:rPr>
                <w:rFonts w:ascii="宋体" w:hAnsi="宋体" w:cs="宋体" w:eastAsia="宋体" w:hint="default"/>
                <w:spacing w:val="-3"/>
                <w:w w:val="100"/>
                <w:sz w:val="21"/>
                <w:szCs w:val="21"/>
              </w:rPr>
              <w:t>建</w:t>
            </w:r>
            <w:r>
              <w:rPr>
                <w:rFonts w:ascii="宋体" w:hAnsi="宋体" w:cs="宋体" w:eastAsia="宋体" w:hint="default"/>
                <w:w w:val="100"/>
                <w:sz w:val="21"/>
                <w:szCs w:val="21"/>
              </w:rPr>
              <w:t>设</w:t>
            </w:r>
            <w:r>
              <w:rPr>
                <w:rFonts w:ascii="宋体" w:hAnsi="宋体" w:cs="宋体" w:eastAsia="宋体" w:hint="default"/>
                <w:spacing w:val="-3"/>
                <w:w w:val="100"/>
                <w:sz w:val="21"/>
                <w:szCs w:val="21"/>
              </w:rPr>
              <w:t>拨</w:t>
            </w:r>
            <w:r>
              <w:rPr>
                <w:rFonts w:ascii="宋体" w:hAnsi="宋体" w:cs="宋体" w:eastAsia="宋体" w:hint="default"/>
                <w:spacing w:val="-104"/>
                <w:w w:val="100"/>
                <w:sz w:val="21"/>
                <w:szCs w:val="21"/>
              </w:rPr>
              <w:t>款</w:t>
            </w:r>
            <w:r>
              <w:rPr>
                <w:rFonts w:ascii="宋体" w:hAnsi="宋体" w:cs="宋体" w:eastAsia="宋体" w:hint="default"/>
                <w:w w:val="100"/>
                <w:sz w:val="21"/>
                <w:szCs w:val="21"/>
              </w:rPr>
              <w:t>（锦</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州财政局）</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746,612.76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415,971.91</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粮食散储钢罩棚建设</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27,999.96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27,999.96</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26" w:right="164"/>
              <w:jc w:val="left"/>
              <w:rPr>
                <w:rFonts w:ascii="宋体" w:hAnsi="宋体" w:cs="宋体" w:eastAsia="宋体" w:hint="default"/>
                <w:sz w:val="21"/>
                <w:szCs w:val="21"/>
              </w:rPr>
            </w:pPr>
            <w:r>
              <w:rPr>
                <w:rFonts w:ascii="Calibri" w:hAnsi="Calibri" w:cs="Calibri" w:eastAsia="Calibri" w:hint="default"/>
                <w:spacing w:val="-2"/>
                <w:sz w:val="21"/>
                <w:szCs w:val="21"/>
              </w:rPr>
              <w:t>“</w:t>
            </w:r>
            <w:r>
              <w:rPr>
                <w:rFonts w:ascii="宋体" w:hAnsi="宋体" w:cs="宋体" w:eastAsia="宋体" w:hint="default"/>
                <w:spacing w:val="-2"/>
                <w:sz w:val="21"/>
                <w:szCs w:val="21"/>
              </w:rPr>
              <w:t>五点一线</w:t>
            </w:r>
            <w:r>
              <w:rPr>
                <w:rFonts w:ascii="Calibri" w:hAnsi="Calibri" w:cs="Calibri" w:eastAsia="Calibri" w:hint="default"/>
                <w:spacing w:val="-2"/>
                <w:sz w:val="21"/>
                <w:szCs w:val="21"/>
              </w:rPr>
              <w:t>”</w:t>
            </w:r>
            <w:r>
              <w:rPr>
                <w:rFonts w:ascii="宋体" w:hAnsi="宋体" w:cs="宋体" w:eastAsia="宋体" w:hint="default"/>
                <w:spacing w:val="-2"/>
                <w:sz w:val="21"/>
                <w:szCs w:val="21"/>
              </w:rPr>
              <w:t>园区产业</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166,784.04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166,784.04</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丹东黄海客车财政补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贴</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5,714.28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5,714.28</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锦州港污水处理厂改</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造工程拨款</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71,428.56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71,428.56</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港口贴息项目（集卡</w:t>
            </w:r>
          </w:p>
          <w:p>
            <w:pPr>
              <w:pStyle w:val="TableParagraph"/>
              <w:spacing w:line="301" w:lineRule="exact"/>
              <w:ind w:left="26"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580,000.07</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锅炉节能改造项目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16,666.68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16,666.68</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26" w:right="139"/>
              <w:jc w:val="left"/>
              <w:rPr>
                <w:rFonts w:ascii="宋体" w:hAnsi="宋体" w:cs="宋体" w:eastAsia="宋体" w:hint="default"/>
                <w:sz w:val="21"/>
                <w:szCs w:val="21"/>
              </w:rPr>
            </w:pPr>
            <w:r>
              <w:rPr>
                <w:rFonts w:ascii="Calibri" w:hAnsi="Calibri" w:cs="Calibri" w:eastAsia="Calibri" w:hint="default"/>
                <w:sz w:val="21"/>
                <w:szCs w:val="21"/>
              </w:rPr>
              <w:t>LNG</w:t>
            </w:r>
            <w:r>
              <w:rPr>
                <w:rFonts w:ascii="Calibri" w:hAnsi="Calibri" w:cs="Calibri" w:eastAsia="Calibri" w:hint="default"/>
                <w:spacing w:val="4"/>
                <w:sz w:val="21"/>
                <w:szCs w:val="21"/>
              </w:rPr>
              <w:t> </w:t>
            </w:r>
            <w:r>
              <w:rPr>
                <w:rFonts w:ascii="宋体" w:hAnsi="宋体" w:cs="宋体" w:eastAsia="宋体" w:hint="default"/>
                <w:sz w:val="21"/>
                <w:szCs w:val="21"/>
              </w:rPr>
              <w:t>清洁能源节能减</w:t>
            </w:r>
            <w:r>
              <w:rPr>
                <w:rFonts w:ascii="宋体" w:hAnsi="宋体" w:cs="宋体" w:eastAsia="宋体" w:hint="default"/>
                <w:w w:val="100"/>
                <w:sz w:val="21"/>
                <w:szCs w:val="21"/>
              </w:rPr>
              <w:t> </w:t>
            </w:r>
            <w:r>
              <w:rPr>
                <w:rFonts w:ascii="宋体" w:hAnsi="宋体" w:cs="宋体" w:eastAsia="宋体" w:hint="default"/>
                <w:sz w:val="21"/>
                <w:szCs w:val="21"/>
              </w:rPr>
              <w:t>排资金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47,777.76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47,777.76</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粮食平房仓项目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43,750.00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配套费补贴</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14,600,000.00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7"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锦州市财政局社会保</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险补贴</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178,046.00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财政局技能大师补助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企业扶持资金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7,399,055.00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20,746,650.06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25,380,750.32</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rFonts w:ascii="宋体" w:hAnsi="宋体" w:cs="宋体" w:eastAsia="宋体" w:hint="default"/>
        </w:rPr>
        <w:t>68</w:t>
      </w:r>
      <w:r>
        <w:rPr/>
        <w:t>、</w:t>
      </w:r>
      <w:r>
        <w:rPr>
          <w:spacing w:val="-25"/>
        </w:rPr>
        <w:t> </w:t>
      </w:r>
      <w:r>
        <w:rPr/>
        <w:t>营业外支出</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94"/>
              <w:jc w:val="right"/>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2,037,362.77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6,296,014.87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2,037,362.77</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2,037,362.77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6,296,014.87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2,037,362.77</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175,152.15</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254,383.65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175,152.15</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9"/>
              <w:jc w:val="right"/>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2,212,514.92</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6,550,398.52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2,212,514.92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38"/>
          <w:pgSz w:w="11910" w:h="16840"/>
          <w:pgMar w:footer="1195" w:header="882" w:top="1120" w:bottom="1380" w:left="1580" w:right="1040"/>
          <w:pgNumType w:start="92"/>
        </w:sectPr>
      </w:pPr>
    </w:p>
    <w:p>
      <w:pPr>
        <w:pStyle w:val="Heading2"/>
        <w:spacing w:line="290" w:lineRule="auto" w:before="167"/>
        <w:ind w:right="-20"/>
        <w:jc w:val="left"/>
        <w:rPr>
          <w:b w:val="0"/>
          <w:bCs w:val="0"/>
        </w:rPr>
      </w:pPr>
      <w:r>
        <w:rPr>
          <w:rFonts w:ascii="宋体" w:hAnsi="宋体" w:cs="宋体" w:eastAsia="宋体" w:hint="default"/>
        </w:rPr>
        <w:t>69</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9"/>
        <w:gridCol w:w="2876"/>
        <w:gridCol w:w="2861"/>
      </w:tblGrid>
      <w:tr>
        <w:trPr>
          <w:trHeight w:val="293"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33,620,090.53</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83,198,195.93</w:t>
            </w: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3,354,292.44</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-7,149,948.67</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3159"/>
        <w:gridCol w:w="2876"/>
        <w:gridCol w:w="2861"/>
      </w:tblGrid>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464" w:right="0"/>
              <w:jc w:val="left"/>
              <w:rPr>
                <w:rFonts w:ascii="宋体" w:hAnsi="宋体" w:cs="宋体" w:eastAsia="宋体" w:hint="default"/>
                <w:sz w:val="21"/>
                <w:szCs w:val="21"/>
              </w:rPr>
            </w:pPr>
            <w:r>
              <w:rPr>
                <w:rFonts w:ascii="宋体"/>
                <w:sz w:val="21"/>
              </w:rPr>
              <w:t>36,974,382.97</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452" w:right="0"/>
              <w:jc w:val="left"/>
              <w:rPr>
                <w:rFonts w:ascii="宋体" w:hAnsi="宋体" w:cs="宋体" w:eastAsia="宋体" w:hint="default"/>
                <w:sz w:val="21"/>
                <w:szCs w:val="21"/>
              </w:rPr>
            </w:pPr>
            <w:r>
              <w:rPr>
                <w:rFonts w:ascii="宋体"/>
                <w:sz w:val="21"/>
              </w:rPr>
              <w:t>76,048,247.26</w:t>
            </w:r>
          </w:p>
        </w:tc>
      </w:tr>
    </w:tbl>
    <w:p>
      <w:pPr>
        <w:spacing w:line="240" w:lineRule="auto" w:before="2"/>
        <w:rPr>
          <w:rFonts w:ascii="宋体" w:hAnsi="宋体" w:cs="宋体" w:eastAsia="宋体" w:hint="default"/>
          <w:sz w:val="20"/>
          <w:szCs w:val="20"/>
        </w:rPr>
      </w:pPr>
    </w:p>
    <w:p>
      <w:pPr>
        <w:pStyle w:val="Heading2"/>
        <w:spacing w:line="240" w:lineRule="auto"/>
        <w:ind w:left="158" w:right="0"/>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tabs>
          <w:tab w:pos="1051" w:val="left" w:leader="none"/>
        </w:tabs>
        <w:spacing w:line="240" w:lineRule="auto" w:before="56"/>
        <w:ind w:left="0" w:right="1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4301"/>
        <w:gridCol w:w="4592"/>
      </w:tblGrid>
      <w:tr>
        <w:trPr>
          <w:trHeight w:val="281"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2"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2"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166,446,359.97</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41,611,589.98</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-38,604.00</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-1,609,889.66</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-6,962,276.01</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3,969,511.41</w:t>
            </w:r>
          </w:p>
        </w:tc>
      </w:tr>
      <w:tr>
        <w:trPr>
          <w:trHeight w:val="560"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-2,438.10</w:t>
            </w:r>
          </w:p>
        </w:tc>
      </w:tr>
      <w:tr>
        <w:trPr>
          <w:trHeight w:val="55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6,489.35</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36,974,382.97</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640" w:right="1120"/>
        </w:sectPr>
      </w:pPr>
    </w:p>
    <w:p>
      <w:pPr>
        <w:pStyle w:val="Heading2"/>
        <w:spacing w:line="240" w:lineRule="auto"/>
        <w:ind w:left="158" w:right="-2"/>
        <w:jc w:val="left"/>
        <w:rPr>
          <w:b w:val="0"/>
          <w:bCs w:val="0"/>
        </w:rPr>
      </w:pPr>
      <w:r>
        <w:rPr>
          <w:rFonts w:ascii="宋体" w:hAnsi="宋体" w:cs="宋体" w:eastAsia="宋体" w:hint="default"/>
        </w:rPr>
        <w:t>70</w:t>
      </w:r>
      <w:r>
        <w:rPr/>
        <w:t>、</w:t>
      </w:r>
      <w:r>
        <w:rPr>
          <w:spacing w:val="-24"/>
        </w:rPr>
        <w:t> </w:t>
      </w:r>
      <w:r>
        <w:rPr/>
        <w:t>现金流量表项目</w:t>
      </w:r>
      <w:r>
        <w:rPr>
          <w:b w:val="0"/>
          <w:bCs w:val="0"/>
        </w:rPr>
      </w:r>
    </w:p>
    <w:p>
      <w:pPr>
        <w:pStyle w:val="Heading2"/>
        <w:tabs>
          <w:tab w:pos="858" w:val="left" w:leader="none"/>
        </w:tabs>
        <w:spacing w:line="240" w:lineRule="auto" w:before="56"/>
        <w:ind w:left="158"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09" w:val="left" w:leader="none"/>
        </w:tabs>
        <w:spacing w:line="240" w:lineRule="auto" w:before="177"/>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4234" w:space="2288"/>
            <w:col w:w="262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780"/>
        <w:gridCol w:w="2768"/>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71,679,928.75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51,244,211.34</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2" w:right="0"/>
              <w:jc w:val="left"/>
              <w:rPr>
                <w:rFonts w:ascii="宋体" w:hAnsi="宋体" w:cs="宋体" w:eastAsia="宋体" w:hint="default"/>
                <w:sz w:val="21"/>
                <w:szCs w:val="21"/>
              </w:rPr>
            </w:pPr>
            <w:r>
              <w:rPr>
                <w:rFonts w:ascii="宋体" w:hAnsi="宋体" w:cs="宋体" w:eastAsia="宋体" w:hint="default"/>
                <w:sz w:val="21"/>
                <w:szCs w:val="21"/>
              </w:rPr>
              <w:t>单位往来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58,225,137.51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34,671,145.88</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2" w:right="0"/>
              <w:jc w:val="left"/>
              <w:rPr>
                <w:rFonts w:ascii="宋体" w:hAnsi="宋体" w:cs="宋体" w:eastAsia="宋体" w:hint="default"/>
                <w:sz w:val="21"/>
                <w:szCs w:val="21"/>
              </w:rPr>
            </w:pPr>
            <w:r>
              <w:rPr>
                <w:rFonts w:ascii="宋体" w:hAnsi="宋体" w:cs="宋体" w:eastAsia="宋体" w:hint="default"/>
                <w:sz w:val="21"/>
                <w:szCs w:val="21"/>
              </w:rPr>
              <w:t>租金收入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15,904,422.67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19,320,792.29</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2" w:right="0"/>
              <w:jc w:val="left"/>
              <w:rPr>
                <w:rFonts w:ascii="宋体" w:hAnsi="宋体" w:cs="宋体" w:eastAsia="宋体" w:hint="default"/>
                <w:sz w:val="21"/>
                <w:szCs w:val="21"/>
              </w:rPr>
            </w:pPr>
            <w:r>
              <w:rPr>
                <w:rFonts w:ascii="宋体" w:hAnsi="宋体" w:cs="宋体" w:eastAsia="宋体" w:hint="default"/>
                <w:sz w:val="21"/>
                <w:szCs w:val="21"/>
              </w:rPr>
              <w:t>代收款项</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11,121,904.84</w:t>
            </w: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1,123,968.00</w:t>
            </w: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2" w:right="0"/>
              <w:jc w:val="left"/>
              <w:rPr>
                <w:rFonts w:ascii="宋体" w:hAnsi="宋体" w:cs="宋体" w:eastAsia="宋体" w:hint="default"/>
                <w:sz w:val="21"/>
                <w:szCs w:val="21"/>
              </w:rPr>
            </w:pPr>
            <w:r>
              <w:rPr>
                <w:rFonts w:ascii="宋体" w:hAnsi="宋体" w:cs="宋体" w:eastAsia="宋体" w:hint="default"/>
                <w:sz w:val="21"/>
                <w:szCs w:val="21"/>
              </w:rPr>
              <w:t>个人往来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970,061.62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6,937,244.31</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2" w:right="0"/>
              <w:jc w:val="left"/>
              <w:rPr>
                <w:rFonts w:ascii="宋体" w:hAnsi="宋体" w:cs="宋体" w:eastAsia="宋体" w:hint="default"/>
                <w:sz w:val="21"/>
                <w:szCs w:val="21"/>
              </w:rPr>
            </w:pPr>
            <w:r>
              <w:rPr>
                <w:rFonts w:ascii="宋体" w:hAnsi="宋体" w:cs="宋体" w:eastAsia="宋体" w:hint="default"/>
                <w:sz w:val="21"/>
                <w:szCs w:val="21"/>
              </w:rPr>
              <w:t>理赔款</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756,486.96</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689,095.70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2" w:right="0"/>
              <w:jc w:val="left"/>
              <w:rPr>
                <w:rFonts w:ascii="宋体" w:hAnsi="宋体" w:cs="宋体" w:eastAsia="宋体" w:hint="default"/>
                <w:sz w:val="21"/>
                <w:szCs w:val="21"/>
              </w:rPr>
            </w:pPr>
            <w:r>
              <w:rPr>
                <w:rFonts w:ascii="宋体" w:hAnsi="宋体" w:cs="宋体" w:eastAsia="宋体" w:hint="default"/>
                <w:sz w:val="21"/>
                <w:szCs w:val="21"/>
              </w:rPr>
              <w:t>收驻港单位电话费</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241,482.16</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377,602.13</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2" w:right="0"/>
              <w:jc w:val="left"/>
              <w:rPr>
                <w:rFonts w:ascii="宋体" w:hAnsi="宋体" w:cs="宋体" w:eastAsia="宋体" w:hint="default"/>
                <w:sz w:val="21"/>
                <w:szCs w:val="21"/>
              </w:rPr>
            </w:pPr>
            <w:r>
              <w:rPr>
                <w:rFonts w:ascii="宋体" w:hAnsi="宋体" w:cs="宋体" w:eastAsia="宋体" w:hint="default"/>
                <w:sz w:val="21"/>
                <w:szCs w:val="21"/>
              </w:rPr>
              <w:t>债权转让收入</w:t>
            </w:r>
          </w:p>
        </w:tc>
        <w:tc>
          <w:tcPr>
            <w:tcW w:w="2780" w:type="dxa"/>
            <w:tcBorders>
              <w:top w:val="single" w:sz="6" w:space="0" w:color="000000"/>
              <w:left w:val="single" w:sz="6"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3,500,000.00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350,809.48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5,047,935.01</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160,374,201.99</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121,788,026.66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858" w:val="left" w:leader="none"/>
        </w:tabs>
        <w:spacing w:line="240" w:lineRule="auto" w:before="168"/>
        <w:ind w:left="158" w:right="0"/>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51" w:val="left" w:leader="none"/>
        </w:tabs>
        <w:spacing w:line="240" w:lineRule="auto" w:before="56"/>
        <w:ind w:left="0" w:right="1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760"/>
        <w:gridCol w:w="2787"/>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付现费用</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55,693,870.71</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49,021,967.13</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单位往来</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52,494,763.78</w:t>
            </w:r>
          </w:p>
        </w:tc>
        <w:tc>
          <w:tcPr>
            <w:tcW w:w="278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个人往来</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926,900.00</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8,672,801.17</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2,160,658.84</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49,944,898.75</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111,276,193.33</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107,639,667.05</w:t>
            </w:r>
          </w:p>
        </w:tc>
      </w:tr>
    </w:tbl>
    <w:p>
      <w:pPr>
        <w:spacing w:after="0" w:line="241" w:lineRule="exact"/>
        <w:jc w:val="right"/>
        <w:rPr>
          <w:rFonts w:ascii="宋体" w:hAnsi="宋体" w:cs="宋体" w:eastAsia="宋体" w:hint="default"/>
          <w:sz w:val="21"/>
          <w:szCs w:val="21"/>
        </w:rPr>
        <w:sectPr>
          <w:type w:val="continuous"/>
          <w:pgSz w:w="11910" w:h="16840"/>
          <w:pgMar w:top="1120" w:bottom="1380" w:left="1640" w:right="1120"/>
        </w:sectPr>
      </w:pPr>
    </w:p>
    <w:p>
      <w:pPr>
        <w:spacing w:line="240" w:lineRule="auto" w:before="1"/>
        <w:rPr>
          <w:rFonts w:ascii="宋体" w:hAnsi="宋体" w:cs="宋体" w:eastAsia="宋体" w:hint="default"/>
          <w:sz w:val="25"/>
          <w:szCs w:val="25"/>
        </w:rPr>
      </w:pPr>
    </w:p>
    <w:p>
      <w:pPr>
        <w:pStyle w:val="Heading2"/>
        <w:tabs>
          <w:tab w:pos="945" w:val="left" w:leader="none"/>
        </w:tabs>
        <w:spacing w:line="240" w:lineRule="auto"/>
        <w:ind w:right="0"/>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tabs>
          <w:tab w:pos="1051" w:val="left" w:leader="none"/>
        </w:tabs>
        <w:spacing w:line="240" w:lineRule="auto" w:before="58"/>
        <w:ind w:left="0" w:right="230"/>
        <w:jc w:val="right"/>
      </w:pPr>
      <w:r>
        <w:rPr>
          <w:spacing w:val="-1"/>
        </w:rPr>
        <w:t>单位：元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454"/>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0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收回委托贷款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81,000,000.00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453,000.00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4,367,599.70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81,453,000.00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4,367,599.70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2"/>
        <w:tabs>
          <w:tab w:pos="945" w:val="left" w:leader="none"/>
        </w:tabs>
        <w:spacing w:line="240" w:lineRule="auto"/>
        <w:ind w:right="0"/>
        <w:jc w:val="left"/>
        <w:rPr>
          <w:b w:val="0"/>
          <w:bCs w:val="0"/>
        </w:rPr>
      </w:pPr>
      <w:r>
        <w:rPr>
          <w:rFonts w:ascii="宋体" w:hAnsi="宋体" w:cs="宋体" w:eastAsia="宋体" w:hint="default"/>
          <w:w w:val="95"/>
        </w:rPr>
        <w:t>(4).</w:t>
        <w:tab/>
      </w:r>
      <w:r>
        <w:rPr/>
        <w:t>支付的其他与投资活动有关的现金</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454"/>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支付委托贷款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81,000,000.00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581,000,000.00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7,061,405.05</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81,000,000.00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588,061,405.05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1057" w:val="left" w:leader="none"/>
        </w:tabs>
        <w:spacing w:line="240" w:lineRule="auto" w:before="167"/>
        <w:ind w:right="0"/>
        <w:jc w:val="left"/>
        <w:rPr>
          <w:b w:val="0"/>
          <w:bCs w:val="0"/>
        </w:rPr>
      </w:pPr>
      <w:r>
        <w:rPr>
          <w:rFonts w:ascii="宋体" w:hAnsi="宋体" w:cs="宋体" w:eastAsia="宋体" w:hint="default"/>
          <w:w w:val="95"/>
        </w:rPr>
        <w:t>(5).</w:t>
        <w:tab/>
      </w:r>
      <w:r>
        <w:rPr/>
        <w:t>收到的其他与筹资活动有关的现金</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454"/>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139,700,000.00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237,399,055.00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z w:val="21"/>
                <w:szCs w:val="21"/>
              </w:rPr>
              <w:t>股红利所得税</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979,456.08</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140,679,456.08</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237,399,055.00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1057" w:val="left" w:leader="none"/>
        </w:tabs>
        <w:spacing w:line="240" w:lineRule="auto" w:before="167"/>
        <w:ind w:right="0"/>
        <w:jc w:val="left"/>
        <w:rPr>
          <w:b w:val="0"/>
          <w:bCs w:val="0"/>
        </w:rPr>
      </w:pPr>
      <w:r>
        <w:rPr>
          <w:rFonts w:ascii="宋体" w:hAnsi="宋体" w:cs="宋体" w:eastAsia="宋体" w:hint="default"/>
          <w:w w:val="95"/>
        </w:rPr>
        <w:t>(6).</w:t>
        <w:tab/>
      </w:r>
      <w:r>
        <w:rPr/>
        <w:t>支付的其他与筹资活动有关的现金</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金融业务手续费</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798,848.87</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628,083.49</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子公司减资支付给少数股东的现金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502,651.71</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财务顾问费</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2,620,000.00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支付股利产生汇兑损益</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10,884.79</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1,301,500.58</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3,258,968.28</w:t>
            </w:r>
          </w:p>
        </w:tc>
      </w:tr>
    </w:tbl>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580" w:right="1040"/>
        </w:sectPr>
      </w:pPr>
    </w:p>
    <w:p>
      <w:pPr>
        <w:pStyle w:val="Heading2"/>
        <w:spacing w:line="290" w:lineRule="auto"/>
        <w:ind w:right="-18"/>
        <w:jc w:val="left"/>
        <w:rPr>
          <w:b w:val="0"/>
          <w:bCs w:val="0"/>
        </w:rPr>
      </w:pPr>
      <w:r>
        <w:rPr>
          <w:rFonts w:ascii="宋体" w:hAnsi="宋体" w:cs="宋体" w:eastAsia="宋体" w:hint="default"/>
        </w:rPr>
        <w:t>71</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23" w:space="3898"/>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129,471,977.00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231,917,577.14</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1,827,599.31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398,166.15</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302,843,441.60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264,062,651.15</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6,616,443.31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7,907,459.10</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7,759,315.77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6,860,196.65</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资产的损失（收益以“－”号填列）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-12,235,730.56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-88,107,943.46</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2,190,226.45</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231,298,164.32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228,890,252.87</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-34,301,163.40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-38,235,532.48</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3,354,642.44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-7,149,948.67</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存货的减少（增加以“－”号填列）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-75,357,428.88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-223,088,626.07</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6,505,139.36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-221,284,887.95</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-31,126,654.48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168,390,597.52</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8,761,513.85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-17,125,557.66</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545,417,259.64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315,624,630.74</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232,404,714.92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463,852,939.86</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463,852,939.86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1,094,737,333.80</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-231,448,224.94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-630,884,393.94</w:t>
            </w:r>
          </w:p>
        </w:tc>
      </w:tr>
    </w:tbl>
    <w:p>
      <w:pPr>
        <w:pStyle w:val="BodyText"/>
        <w:spacing w:line="241" w:lineRule="exact"/>
        <w:ind w:left="218" w:right="0"/>
        <w:jc w:val="left"/>
      </w:pPr>
      <w:r>
        <w:rPr/>
        <w:t>说明：公司销售商品收到的银行承兑汇票背书转让金额为</w:t>
      </w:r>
      <w:r>
        <w:rPr>
          <w:spacing w:val="-56"/>
        </w:rPr>
        <w:t> </w:t>
      </w:r>
      <w:r>
        <w:rPr>
          <w:rFonts w:ascii="宋体" w:hAnsi="宋体" w:cs="宋体" w:eastAsia="宋体" w:hint="default"/>
        </w:rPr>
        <w:t>22,630,000.00</w:t>
      </w:r>
      <w:r>
        <w:rPr>
          <w:rFonts w:ascii="宋体" w:hAnsi="宋体" w:cs="宋体" w:eastAsia="宋体" w:hint="default"/>
          <w:spacing w:val="-56"/>
        </w:rPr>
        <w:t> </w:t>
      </w:r>
      <w:r>
        <w:rPr/>
        <w:t>元。</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2"/>
        <w:spacing w:line="240" w:lineRule="auto"/>
        <w:ind w:right="-19"/>
        <w:jc w:val="left"/>
        <w:rPr>
          <w:b w:val="0"/>
          <w:bCs w:val="0"/>
        </w:rPr>
      </w:pPr>
      <w:r>
        <w:rPr>
          <w:rFonts w:ascii="宋体" w:hAnsi="宋体" w:cs="宋体" w:eastAsia="宋体" w:hint="default"/>
        </w:rPr>
        <w:t>(3)</w:t>
      </w:r>
      <w:r>
        <w:rPr>
          <w:rFonts w:ascii="宋体" w:hAnsi="宋体" w:cs="宋体" w:eastAsia="宋体" w:hint="default"/>
          <w:spacing w:val="1"/>
        </w:rPr>
        <w:t> </w:t>
      </w:r>
      <w:r>
        <w:rPr/>
        <w:t>本期收到的处置子公司的现金净额</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7" w:space="271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05"/>
        <w:gridCol w:w="3145"/>
      </w:tblGrid>
      <w:tr>
        <w:trPr>
          <w:trHeight w:val="286" w:hRule="exact"/>
        </w:trPr>
        <w:tc>
          <w:tcPr>
            <w:tcW w:w="5905" w:type="dxa"/>
            <w:tcBorders>
              <w:top w:val="single" w:sz="6" w:space="0" w:color="000000"/>
              <w:left w:val="single" w:sz="4" w:space="0" w:color="000000"/>
              <w:bottom w:val="single" w:sz="6" w:space="0" w:color="000000"/>
              <w:right w:val="single" w:sz="6" w:space="0" w:color="000000"/>
            </w:tcBorders>
          </w:tcPr>
          <w:p>
            <w:pP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4,210,380.00</w:t>
            </w: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辽宁沈哈红运物流锦州有限公司</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4,210,380.00</w:t>
            </w: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987,890.36</w:t>
            </w:r>
          </w:p>
        </w:tc>
      </w:tr>
      <w:tr>
        <w:trPr>
          <w:trHeight w:val="286"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辽宁沈哈红运物流锦州有限公司</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987,890.36</w:t>
            </w:r>
          </w:p>
        </w:tc>
      </w:tr>
      <w:tr>
        <w:trPr>
          <w:trHeight w:val="286" w:hRule="exact"/>
        </w:trPr>
        <w:tc>
          <w:tcPr>
            <w:tcW w:w="5905"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5"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3,222,489.64</w:t>
            </w:r>
          </w:p>
        </w:tc>
      </w:tr>
    </w:tbl>
    <w:p>
      <w:pPr>
        <w:pStyle w:val="BodyText"/>
        <w:spacing w:line="241" w:lineRule="exact"/>
        <w:ind w:left="218" w:right="0"/>
        <w:jc w:val="left"/>
        <w:rPr>
          <w:rFonts w:ascii="宋体" w:hAnsi="宋体" w:cs="宋体" w:eastAsia="宋体" w:hint="default"/>
        </w:rPr>
      </w:pPr>
      <w:r>
        <w:rPr/>
        <w:t>其他说明</w:t>
      </w:r>
      <w:r>
        <w:rPr>
          <w:rFonts w:ascii="宋体" w:hAnsi="宋体" w:cs="宋体" w:eastAsia="宋体" w:hint="default"/>
        </w:rPr>
        <w:t>:</w:t>
      </w:r>
    </w:p>
    <w:p>
      <w:pPr>
        <w:spacing w:after="0" w:line="241" w:lineRule="exact"/>
        <w:jc w:val="left"/>
        <w:rPr>
          <w:rFonts w:ascii="宋体" w:hAnsi="宋体" w:cs="宋体" w:eastAsia="宋体" w:hint="default"/>
        </w:rPr>
        <w:sectPr>
          <w:type w:val="continuous"/>
          <w:pgSz w:w="11910" w:h="16840"/>
          <w:pgMar w:top="1120" w:bottom="1380" w:left="1580" w:right="1040"/>
        </w:sectPr>
      </w:pPr>
    </w:p>
    <w:p>
      <w:pPr>
        <w:spacing w:line="240" w:lineRule="auto" w:before="3"/>
        <w:rPr>
          <w:rFonts w:ascii="宋体" w:hAnsi="宋体" w:cs="宋体" w:eastAsia="宋体" w:hint="default"/>
          <w:sz w:val="8"/>
          <w:szCs w:val="8"/>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4"/>
          <w:szCs w:val="24"/>
        </w:rPr>
      </w:pPr>
    </w:p>
    <w:p>
      <w:pPr>
        <w:pStyle w:val="BodyText"/>
        <w:spacing w:line="237" w:lineRule="auto" w:before="38"/>
        <w:ind w:left="218" w:right="227"/>
        <w:jc w:val="both"/>
      </w:pPr>
      <w:r>
        <w:rPr>
          <w:spacing w:val="-2"/>
        </w:rPr>
        <w:t>公司与辽宁沈铁红运物流有限公司签订《股权转让合同》，将持有辽宁沈哈红运物流锦州有限公</w:t>
      </w:r>
      <w:r>
        <w:rPr>
          <w:spacing w:val="-25"/>
        </w:rPr>
        <w:t> </w:t>
      </w:r>
      <w:r>
        <w:rPr>
          <w:spacing w:val="-25"/>
        </w:rPr>
      </w:r>
      <w:r>
        <w:rPr>
          <w:spacing w:val="-4"/>
        </w:rPr>
        <w:t>司（原名锦州港集铁物流有限公司）</w:t>
      </w:r>
      <w:r>
        <w:rPr>
          <w:rFonts w:ascii="宋体" w:hAnsi="宋体" w:cs="宋体" w:eastAsia="宋体" w:hint="default"/>
          <w:spacing w:val="-4"/>
        </w:rPr>
        <w:t>45%</w:t>
      </w:r>
      <w:r>
        <w:rPr>
          <w:spacing w:val="-4"/>
        </w:rPr>
        <w:t>的股权转让给辽宁沈铁红运物流有限公司，报告期收到股</w:t>
      </w:r>
      <w:r>
        <w:rPr>
          <w:spacing w:val="-31"/>
        </w:rPr>
        <w:t> </w:t>
      </w:r>
      <w:r>
        <w:rPr>
          <w:spacing w:val="-31"/>
        </w:rPr>
      </w:r>
      <w:r>
        <w:rPr/>
        <w:t>权转让款</w:t>
      </w:r>
      <w:r>
        <w:rPr>
          <w:spacing w:val="-52"/>
        </w:rPr>
        <w:t> </w:t>
      </w:r>
      <w:r>
        <w:rPr>
          <w:rFonts w:ascii="宋体" w:hAnsi="宋体" w:cs="宋体" w:eastAsia="宋体" w:hint="default"/>
        </w:rPr>
        <w:t>4,210,380.00</w:t>
      </w:r>
      <w:r>
        <w:rPr>
          <w:rFonts w:ascii="宋体" w:hAnsi="宋体" w:cs="宋体" w:eastAsia="宋体" w:hint="default"/>
          <w:spacing w:val="-54"/>
        </w:rPr>
        <w:t> </w:t>
      </w:r>
      <w:r>
        <w:rPr>
          <w:spacing w:val="-3"/>
        </w:rPr>
        <w:t>元。</w:t>
      </w:r>
      <w:r>
        <w:rPr/>
      </w:r>
    </w:p>
    <w:p>
      <w:pPr>
        <w:pStyle w:val="Heading2"/>
        <w:spacing w:line="240" w:lineRule="auto" w:before="59"/>
        <w:ind w:right="0"/>
        <w:jc w:val="both"/>
        <w:rPr>
          <w:b w:val="0"/>
          <w:bCs w:val="0"/>
        </w:rPr>
      </w:pPr>
      <w:r>
        <w:rPr>
          <w:rFonts w:ascii="宋体" w:hAnsi="宋体" w:cs="宋体" w:eastAsia="宋体" w:hint="default"/>
        </w:rPr>
        <w:t>(4)</w:t>
      </w:r>
      <w:r>
        <w:rPr>
          <w:rFonts w:ascii="宋体" w:hAnsi="宋体" w:cs="宋体" w:eastAsia="宋体" w:hint="default"/>
          <w:spacing w:val="2"/>
        </w:rPr>
        <w:t> </w:t>
      </w:r>
      <w:r>
        <w:rPr/>
        <w:t>现金和现金等价物的构成</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232,404,714.92</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463,852,939.86</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35,437.74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47,375.41</w:t>
            </w:r>
          </w:p>
        </w:tc>
      </w:tr>
      <w:tr>
        <w:trPr>
          <w:trHeight w:val="29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232,369,277.18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463,805,564.45</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232,404,714.92</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463,852,939.86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39"/>
          <w:pgSz w:w="11910" w:h="16840"/>
          <w:pgMar w:header="760" w:footer="1195" w:top="1000" w:bottom="1380" w:left="1580" w:right="1040"/>
        </w:sectPr>
      </w:pPr>
    </w:p>
    <w:p>
      <w:pPr>
        <w:pStyle w:val="Heading2"/>
        <w:spacing w:line="240" w:lineRule="auto" w:before="167"/>
        <w:ind w:right="-17"/>
        <w:jc w:val="left"/>
        <w:rPr>
          <w:b w:val="0"/>
          <w:bCs w:val="0"/>
        </w:rPr>
      </w:pPr>
      <w:r>
        <w:rPr>
          <w:rFonts w:ascii="宋体" w:hAnsi="宋体" w:cs="宋体" w:eastAsia="宋体" w:hint="default"/>
        </w:rPr>
        <w:t>72</w:t>
      </w:r>
      <w:r>
        <w:rPr/>
        <w:t>、</w:t>
      </w:r>
      <w:r>
        <w:rPr>
          <w:spacing w:val="-27"/>
        </w:rPr>
        <w:t> </w:t>
      </w:r>
      <w:r>
        <w:rPr/>
        <w:t>所有权或使用权受到限制的资产</w:t>
      </w:r>
      <w:r>
        <w:rPr>
          <w:b w:val="0"/>
          <w:bCs w:val="0"/>
        </w:rPr>
      </w:r>
    </w:p>
    <w:p>
      <w:pPr>
        <w:pStyle w:val="BodyText"/>
        <w:spacing w:line="240" w:lineRule="auto" w:before="58"/>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75" w:space="2847"/>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57"/>
        <w:gridCol w:w="3046"/>
        <w:gridCol w:w="2693"/>
      </w:tblGrid>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9"/>
              <w:jc w:val="right"/>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6"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6"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324,277,812.67</w:t>
            </w:r>
          </w:p>
        </w:tc>
        <w:tc>
          <w:tcPr>
            <w:tcW w:w="2693" w:type="dxa"/>
            <w:tcBorders>
              <w:top w:val="single" w:sz="4" w:space="0" w:color="000000"/>
              <w:left w:val="single" w:sz="4" w:space="0" w:color="000000"/>
              <w:bottom w:val="single" w:sz="6"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8"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59"/>
              <w:jc w:val="right"/>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324,277,812.67</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pStyle w:val="BodyText"/>
        <w:spacing w:line="274" w:lineRule="exact" w:before="26"/>
        <w:ind w:left="218" w:right="0"/>
        <w:jc w:val="left"/>
        <w:rPr>
          <w:rFonts w:ascii="宋体" w:hAnsi="宋体" w:cs="宋体" w:eastAsia="宋体" w:hint="default"/>
        </w:rPr>
      </w:pPr>
      <w:r>
        <w:rPr>
          <w:w w:val="100"/>
        </w:rPr>
        <w:t>说明</w:t>
      </w:r>
      <w:r>
        <w:rPr>
          <w:spacing w:val="-87"/>
          <w:w w:val="100"/>
        </w:rPr>
        <w:t>：</w:t>
      </w:r>
      <w:r>
        <w:rPr>
          <w:w w:val="100"/>
        </w:rPr>
        <w:t>报</w:t>
      </w:r>
      <w:r>
        <w:rPr>
          <w:spacing w:val="-3"/>
          <w:w w:val="100"/>
        </w:rPr>
        <w:t>告</w:t>
      </w:r>
      <w:r>
        <w:rPr>
          <w:w w:val="100"/>
        </w:rPr>
        <w:t>期末</w:t>
      </w:r>
      <w:r>
        <w:rPr>
          <w:spacing w:val="-87"/>
          <w:w w:val="100"/>
        </w:rPr>
        <w:t>，</w:t>
      </w:r>
      <w:r>
        <w:rPr>
          <w:w w:val="100"/>
        </w:rPr>
        <w:t>公</w:t>
      </w:r>
      <w:r>
        <w:rPr>
          <w:spacing w:val="-3"/>
          <w:w w:val="100"/>
        </w:rPr>
        <w:t>司</w:t>
      </w:r>
      <w:r>
        <w:rPr>
          <w:w w:val="100"/>
        </w:rPr>
        <w:t>受</w:t>
      </w:r>
      <w:r>
        <w:rPr>
          <w:spacing w:val="-3"/>
          <w:w w:val="100"/>
        </w:rPr>
        <w:t>限</w:t>
      </w:r>
      <w:r>
        <w:rPr>
          <w:w w:val="100"/>
        </w:rPr>
        <w:t>制货</w:t>
      </w:r>
      <w:r>
        <w:rPr>
          <w:spacing w:val="-3"/>
          <w:w w:val="100"/>
        </w:rPr>
        <w:t>币</w:t>
      </w:r>
      <w:r>
        <w:rPr>
          <w:w w:val="100"/>
        </w:rPr>
        <w:t>资</w:t>
      </w:r>
      <w:r>
        <w:rPr>
          <w:spacing w:val="-3"/>
          <w:w w:val="100"/>
        </w:rPr>
        <w:t>金</w:t>
      </w:r>
      <w:r>
        <w:rPr>
          <w:w w:val="100"/>
        </w:rPr>
        <w:t>主</w:t>
      </w:r>
      <w:r>
        <w:rPr>
          <w:spacing w:val="-3"/>
          <w:w w:val="100"/>
        </w:rPr>
        <w:t>要</w:t>
      </w:r>
      <w:r>
        <w:rPr>
          <w:w w:val="100"/>
        </w:rPr>
        <w:t>为</w:t>
      </w:r>
      <w:r>
        <w:rPr>
          <w:spacing w:val="-3"/>
          <w:w w:val="100"/>
        </w:rPr>
        <w:t>保</w:t>
      </w:r>
      <w:r>
        <w:rPr>
          <w:w w:val="100"/>
        </w:rPr>
        <w:t>证</w:t>
      </w:r>
      <w:r>
        <w:rPr>
          <w:spacing w:val="-3"/>
          <w:w w:val="100"/>
        </w:rPr>
        <w:t>金</w:t>
      </w:r>
      <w:r>
        <w:rPr>
          <w:spacing w:val="-87"/>
          <w:w w:val="100"/>
        </w:rPr>
        <w:t>，</w:t>
      </w:r>
      <w:r>
        <w:rPr>
          <w:w w:val="100"/>
        </w:rPr>
        <w:t>其中</w:t>
      </w:r>
      <w:r>
        <w:rPr>
          <w:spacing w:val="-3"/>
          <w:w w:val="100"/>
        </w:rPr>
        <w:t>银</w:t>
      </w:r>
      <w:r>
        <w:rPr>
          <w:w w:val="100"/>
        </w:rPr>
        <w:t>行</w:t>
      </w:r>
      <w:r>
        <w:rPr>
          <w:spacing w:val="-3"/>
          <w:w w:val="100"/>
        </w:rPr>
        <w:t>承</w:t>
      </w:r>
      <w:r>
        <w:rPr>
          <w:w w:val="100"/>
        </w:rPr>
        <w:t>兑</w:t>
      </w:r>
      <w:r>
        <w:rPr>
          <w:spacing w:val="-3"/>
          <w:w w:val="100"/>
        </w:rPr>
        <w:t>汇</w:t>
      </w:r>
      <w:r>
        <w:rPr>
          <w:w w:val="100"/>
        </w:rPr>
        <w:t>票</w:t>
      </w:r>
      <w:r>
        <w:rPr>
          <w:spacing w:val="-3"/>
          <w:w w:val="100"/>
        </w:rPr>
        <w:t>保</w:t>
      </w:r>
      <w:r>
        <w:rPr>
          <w:w w:val="100"/>
        </w:rPr>
        <w:t>证</w:t>
      </w:r>
      <w:r>
        <w:rPr>
          <w:spacing w:val="-3"/>
          <w:w w:val="100"/>
        </w:rPr>
        <w:t>金</w:t>
      </w:r>
      <w:r>
        <w:rPr>
          <w:w w:val="100"/>
        </w:rPr>
        <w:t>为</w:t>
      </w:r>
      <w:r>
        <w:rPr>
          <w:spacing w:val="-52"/>
        </w:rPr>
        <w:t> </w:t>
      </w:r>
      <w:r>
        <w:rPr>
          <w:rFonts w:ascii="宋体" w:hAnsi="宋体" w:cs="宋体" w:eastAsia="宋体" w:hint="default"/>
          <w:w w:val="100"/>
        </w:rPr>
        <w:t>32</w:t>
      </w:r>
      <w:r>
        <w:rPr>
          <w:rFonts w:ascii="宋体" w:hAnsi="宋体" w:cs="宋体" w:eastAsia="宋体" w:hint="default"/>
          <w:spacing w:val="-3"/>
          <w:w w:val="100"/>
        </w:rPr>
        <w:t>3</w:t>
      </w:r>
      <w:r>
        <w:rPr>
          <w:rFonts w:ascii="宋体" w:hAnsi="宋体" w:cs="宋体" w:eastAsia="宋体" w:hint="default"/>
          <w:w w:val="100"/>
        </w:rPr>
        <w:t>,94</w:t>
      </w:r>
      <w:r>
        <w:rPr>
          <w:rFonts w:ascii="宋体" w:hAnsi="宋体" w:cs="宋体" w:eastAsia="宋体" w:hint="default"/>
          <w:spacing w:val="-3"/>
          <w:w w:val="100"/>
        </w:rPr>
        <w:t>3</w:t>
      </w:r>
      <w:r>
        <w:rPr>
          <w:rFonts w:ascii="宋体" w:hAnsi="宋体" w:cs="宋体" w:eastAsia="宋体" w:hint="default"/>
          <w:w w:val="100"/>
        </w:rPr>
        <w:t>,44</w:t>
      </w:r>
      <w:r>
        <w:rPr>
          <w:rFonts w:ascii="宋体" w:hAnsi="宋体" w:cs="宋体" w:eastAsia="宋体" w:hint="default"/>
          <w:spacing w:val="-3"/>
          <w:w w:val="100"/>
        </w:rPr>
        <w:t>6</w:t>
      </w:r>
      <w:r>
        <w:rPr>
          <w:rFonts w:ascii="宋体" w:hAnsi="宋体" w:cs="宋体" w:eastAsia="宋体" w:hint="default"/>
          <w:w w:val="100"/>
        </w:rPr>
        <w:t>.67</w:t>
      </w:r>
    </w:p>
    <w:p>
      <w:pPr>
        <w:pStyle w:val="BodyText"/>
        <w:spacing w:line="274" w:lineRule="exact"/>
        <w:ind w:left="218" w:right="0"/>
        <w:jc w:val="left"/>
      </w:pPr>
      <w:r>
        <w:rPr/>
        <w:t>元，银行履约保函保证金为</w:t>
      </w:r>
      <w:r>
        <w:rPr>
          <w:spacing w:val="-53"/>
        </w:rPr>
        <w:t> </w:t>
      </w:r>
      <w:r>
        <w:rPr>
          <w:rFonts w:ascii="宋体" w:hAnsi="宋体" w:cs="宋体" w:eastAsia="宋体" w:hint="default"/>
        </w:rPr>
        <w:t>334,366.00</w:t>
      </w:r>
      <w:r>
        <w:rPr>
          <w:rFonts w:ascii="宋体" w:hAnsi="宋体" w:cs="宋体" w:eastAsia="宋体" w:hint="default"/>
          <w:spacing w:val="-55"/>
        </w:rPr>
        <w:t> </w:t>
      </w:r>
      <w:r>
        <w:rPr/>
        <w:t>元。</w:t>
      </w:r>
    </w:p>
    <w:p>
      <w:pPr>
        <w:spacing w:line="240" w:lineRule="auto" w:before="9"/>
        <w:rPr>
          <w:rFonts w:ascii="宋体" w:hAnsi="宋体" w:cs="宋体" w:eastAsia="宋体" w:hint="default"/>
          <w:sz w:val="29"/>
          <w:szCs w:val="29"/>
        </w:rPr>
      </w:pPr>
    </w:p>
    <w:p>
      <w:pPr>
        <w:pStyle w:val="Heading2"/>
        <w:spacing w:line="240" w:lineRule="auto" w:before="0"/>
        <w:ind w:right="0"/>
        <w:jc w:val="left"/>
        <w:rPr>
          <w:b w:val="0"/>
          <w:bCs w:val="0"/>
        </w:rPr>
      </w:pPr>
      <w:r>
        <w:rPr>
          <w:rFonts w:ascii="宋体" w:hAnsi="宋体" w:cs="宋体" w:eastAsia="宋体" w:hint="default"/>
        </w:rPr>
        <w:t>73</w:t>
      </w:r>
      <w:r>
        <w:rPr/>
        <w:t>、</w:t>
      </w:r>
      <w:r>
        <w:rPr>
          <w:spacing w:val="-24"/>
        </w:rPr>
        <w:t> </w:t>
      </w:r>
      <w:r>
        <w:rPr/>
        <w:t>外币货币性项目</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before="0"/>
        <w:ind w:right="0"/>
        <w:jc w:val="left"/>
        <w:rPr>
          <w:b w:val="0"/>
          <w:bCs w:val="0"/>
        </w:rPr>
      </w:pPr>
      <w:r>
        <w:rPr>
          <w:rFonts w:ascii="宋体" w:hAnsi="宋体" w:cs="宋体" w:eastAsia="宋体" w:hint="default"/>
        </w:rPr>
        <w:t>74</w:t>
      </w:r>
      <w:r>
        <w:rPr/>
        <w:t>、</w:t>
      </w:r>
      <w:r>
        <w:rPr>
          <w:spacing w:val="-26"/>
        </w:rPr>
        <w:t> </w:t>
      </w:r>
      <w:r>
        <w:rPr/>
        <w:t>套期</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before="0"/>
        <w:ind w:right="0"/>
        <w:jc w:val="left"/>
        <w:rPr>
          <w:b w:val="0"/>
          <w:bCs w:val="0"/>
        </w:rPr>
      </w:pPr>
      <w:r>
        <w:rPr/>
        <w:t>八、合并范围的变更</w:t>
      </w:r>
      <w:r>
        <w:rPr>
          <w:b w:val="0"/>
          <w:bCs w:val="0"/>
        </w:rPr>
      </w:r>
    </w:p>
    <w:p>
      <w:pPr>
        <w:pStyle w:val="Heading2"/>
        <w:spacing w:line="240" w:lineRule="auto" w:before="59"/>
        <w:ind w:right="0"/>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6"/>
        <w:ind w:left="2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6"/>
        <w:ind w:left="218" w:right="0"/>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before="27"/>
        <w:ind w:left="6891" w:right="7062"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496" w:right="0" w:firstLine="0"/>
        <w:rPr>
          <w:rFonts w:ascii="宋体" w:hAnsi="宋体" w:cs="宋体" w:eastAsia="宋体" w:hint="default"/>
          <w:sz w:val="2"/>
          <w:szCs w:val="2"/>
        </w:rPr>
      </w:pPr>
      <w:r>
        <w:rPr>
          <w:rFonts w:ascii="宋体" w:hAnsi="宋体" w:cs="宋体" w:eastAsia="宋体" w:hint="default"/>
          <w:sz w:val="2"/>
          <w:szCs w:val="2"/>
        </w:rPr>
        <w:pict>
          <v:group style="width:688.7pt;height:.75pt;mso-position-horizontal-relative:char;mso-position-vertical-relative:line" coordorigin="0,0" coordsize="13774,15">
            <v:group style="position:absolute;left:7;top:7;width:13760;height:2" coordorigin="7,7" coordsize="13760,2">
              <v:shape style="position:absolute;left:7;top:7;width:13760;height:2" coordorigin="7,7" coordsize="13760,0" path="m7,7l1376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40"/>
          <w:footerReference w:type="default" r:id="rId41"/>
          <w:pgSz w:w="16850" w:h="11900" w:orient="landscape"/>
          <w:pgMar w:header="0" w:footer="0" w:top="660" w:bottom="280" w:left="600" w:right="940"/>
        </w:sectPr>
      </w:pPr>
    </w:p>
    <w:p>
      <w:pPr>
        <w:spacing w:line="240" w:lineRule="auto" w:before="6"/>
        <w:rPr>
          <w:rFonts w:ascii="宋体" w:hAnsi="宋体" w:cs="宋体" w:eastAsia="宋体" w:hint="default"/>
          <w:sz w:val="15"/>
          <w:szCs w:val="15"/>
        </w:rPr>
      </w:pPr>
    </w:p>
    <w:p>
      <w:pPr>
        <w:spacing w:line="290" w:lineRule="auto" w:before="0"/>
        <w:ind w:left="532"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7" w:lineRule="exact"/>
        <w:ind w:left="532"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tabs>
          <w:tab w:pos="1478" w:val="left" w:leader="none"/>
        </w:tabs>
        <w:spacing w:line="240" w:lineRule="auto"/>
        <w:ind w:left="53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50" w:h="11900" w:orient="landscape"/>
          <w:pgMar w:top="1120" w:bottom="1380" w:left="600" w:right="940"/>
          <w:cols w:num="2" w:equalWidth="0">
            <w:col w:w="5368" w:space="6255"/>
            <w:col w:w="3687"/>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138"/>
        <w:gridCol w:w="1274"/>
        <w:gridCol w:w="907"/>
        <w:gridCol w:w="925"/>
        <w:gridCol w:w="1478"/>
        <w:gridCol w:w="989"/>
        <w:gridCol w:w="1376"/>
        <w:gridCol w:w="1058"/>
        <w:gridCol w:w="1119"/>
        <w:gridCol w:w="1109"/>
        <w:gridCol w:w="1217"/>
        <w:gridCol w:w="1251"/>
        <w:gridCol w:w="1231"/>
      </w:tblGrid>
      <w:tr>
        <w:trPr>
          <w:trHeight w:val="1179"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股权处置价款</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43" w:right="41" w:firstLine="45"/>
              <w:jc w:val="left"/>
              <w:rPr>
                <w:rFonts w:ascii="宋体" w:hAnsi="宋体" w:cs="宋体" w:eastAsia="宋体" w:hint="default"/>
                <w:sz w:val="18"/>
                <w:szCs w:val="18"/>
              </w:rPr>
            </w:pPr>
            <w:r>
              <w:rPr>
                <w:rFonts w:ascii="宋体" w:hAnsi="宋体" w:cs="宋体" w:eastAsia="宋体" w:hint="default"/>
                <w:sz w:val="18"/>
                <w:szCs w:val="18"/>
              </w:rPr>
              <w:t>股权处置 比例（</w:t>
            </w:r>
            <w:r>
              <w:rPr>
                <w:rFonts w:ascii="宋体" w:hAnsi="宋体" w:cs="宋体" w:eastAsia="宋体" w:hint="default"/>
                <w:sz w:val="18"/>
                <w:szCs w:val="18"/>
              </w:rPr>
              <w:t>%</w:t>
            </w:r>
            <w:r>
              <w:rPr>
                <w:rFonts w:ascii="宋体" w:hAnsi="宋体" w:cs="宋体" w:eastAsia="宋体" w:hint="default"/>
                <w:sz w:val="18"/>
                <w:szCs w:val="18"/>
              </w:rPr>
              <w:t>）</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369" w:right="3" w:hanging="360"/>
              <w:jc w:val="left"/>
              <w:rPr>
                <w:rFonts w:ascii="宋体" w:hAnsi="宋体" w:cs="宋体" w:eastAsia="宋体" w:hint="default"/>
                <w:sz w:val="18"/>
                <w:szCs w:val="18"/>
              </w:rPr>
            </w:pPr>
            <w:r>
              <w:rPr>
                <w:rFonts w:ascii="宋体" w:hAnsi="宋体" w:cs="宋体" w:eastAsia="宋体" w:hint="default"/>
                <w:sz w:val="18"/>
                <w:szCs w:val="18"/>
              </w:rPr>
              <w:t>股权处置方 式</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丧失控制权的时点</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38" w:right="38"/>
              <w:jc w:val="center"/>
              <w:rPr>
                <w:rFonts w:ascii="宋体" w:hAnsi="宋体" w:cs="宋体" w:eastAsia="宋体" w:hint="default"/>
                <w:sz w:val="18"/>
                <w:szCs w:val="18"/>
              </w:rPr>
            </w:pPr>
            <w:r>
              <w:rPr>
                <w:rFonts w:ascii="宋体" w:hAnsi="宋体" w:cs="宋体" w:eastAsia="宋体" w:hint="default"/>
                <w:sz w:val="18"/>
                <w:szCs w:val="18"/>
              </w:rPr>
              <w:t>丧失控制权 时点的确定 依据</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both"/>
              <w:rPr>
                <w:rFonts w:ascii="宋体" w:hAnsi="宋体" w:cs="宋体" w:eastAsia="宋体" w:hint="default"/>
                <w:sz w:val="18"/>
                <w:szCs w:val="18"/>
              </w:rPr>
            </w:pPr>
            <w:r>
              <w:rPr>
                <w:rFonts w:ascii="宋体" w:hAnsi="宋体" w:cs="宋体" w:eastAsia="宋体" w:hint="default"/>
                <w:sz w:val="18"/>
                <w:szCs w:val="18"/>
              </w:rPr>
              <w:t>处置价款与处置</w:t>
            </w:r>
          </w:p>
          <w:p>
            <w:pPr>
              <w:pStyle w:val="TableParagraph"/>
              <w:spacing w:line="232" w:lineRule="exact" w:before="25"/>
              <w:ind w:left="52" w:right="51"/>
              <w:jc w:val="both"/>
              <w:rPr>
                <w:rFonts w:ascii="宋体" w:hAnsi="宋体" w:cs="宋体" w:eastAsia="宋体" w:hint="default"/>
                <w:sz w:val="18"/>
                <w:szCs w:val="18"/>
              </w:rPr>
            </w:pPr>
            <w:r>
              <w:rPr>
                <w:rFonts w:ascii="宋体" w:hAnsi="宋体" w:cs="宋体" w:eastAsia="宋体" w:hint="default"/>
                <w:sz w:val="18"/>
                <w:szCs w:val="18"/>
              </w:rPr>
              <w:t>投资对应的合并 财务报表层面享 有该子公司净资 产份额的差额</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76" w:right="71"/>
              <w:jc w:val="both"/>
              <w:rPr>
                <w:rFonts w:ascii="宋体" w:hAnsi="宋体" w:cs="宋体" w:eastAsia="宋体" w:hint="default"/>
                <w:sz w:val="18"/>
                <w:szCs w:val="18"/>
              </w:rPr>
            </w:pPr>
            <w:r>
              <w:rPr>
                <w:rFonts w:ascii="宋体" w:hAnsi="宋体" w:cs="宋体" w:eastAsia="宋体" w:hint="default"/>
                <w:sz w:val="18"/>
                <w:szCs w:val="18"/>
              </w:rPr>
              <w:t>丧失控制权 之日剩余股 权的比例</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16" w:right="10"/>
              <w:jc w:val="center"/>
              <w:rPr>
                <w:rFonts w:ascii="宋体" w:hAnsi="宋体" w:cs="宋体" w:eastAsia="宋体" w:hint="default"/>
                <w:sz w:val="18"/>
                <w:szCs w:val="18"/>
              </w:rPr>
            </w:pPr>
            <w:r>
              <w:rPr>
                <w:rFonts w:ascii="宋体" w:hAnsi="宋体" w:cs="宋体" w:eastAsia="宋体" w:hint="default"/>
                <w:sz w:val="18"/>
                <w:szCs w:val="18"/>
              </w:rPr>
              <w:t>丧失控制权之 日剩余股权的 账面价值</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9" w:right="7"/>
              <w:jc w:val="center"/>
              <w:rPr>
                <w:rFonts w:ascii="宋体" w:hAnsi="宋体" w:cs="宋体" w:eastAsia="宋体" w:hint="default"/>
                <w:sz w:val="18"/>
                <w:szCs w:val="18"/>
              </w:rPr>
            </w:pPr>
            <w:r>
              <w:rPr>
                <w:rFonts w:ascii="宋体" w:hAnsi="宋体" w:cs="宋体" w:eastAsia="宋体" w:hint="default"/>
                <w:sz w:val="18"/>
                <w:szCs w:val="18"/>
              </w:rPr>
              <w:t>丧失控制权之 日剩余股权的 公允价值</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64" w:right="60"/>
              <w:jc w:val="center"/>
              <w:rPr>
                <w:rFonts w:ascii="宋体" w:hAnsi="宋体" w:cs="宋体" w:eastAsia="宋体" w:hint="default"/>
                <w:sz w:val="18"/>
                <w:szCs w:val="18"/>
              </w:rPr>
            </w:pPr>
            <w:r>
              <w:rPr>
                <w:rFonts w:ascii="宋体" w:hAnsi="宋体" w:cs="宋体" w:eastAsia="宋体" w:hint="default"/>
                <w:sz w:val="18"/>
                <w:szCs w:val="18"/>
              </w:rPr>
              <w:t>按照公允价值 重新计量剩余 股权产生的利 得或损失</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丧失控制权之</w:t>
            </w:r>
          </w:p>
          <w:p>
            <w:pPr>
              <w:pStyle w:val="TableParagraph"/>
              <w:spacing w:line="232" w:lineRule="exact" w:before="25"/>
              <w:ind w:left="81" w:right="77"/>
              <w:jc w:val="center"/>
              <w:rPr>
                <w:rFonts w:ascii="宋体" w:hAnsi="宋体" w:cs="宋体" w:eastAsia="宋体" w:hint="default"/>
                <w:sz w:val="18"/>
                <w:szCs w:val="18"/>
              </w:rPr>
            </w:pPr>
            <w:r>
              <w:rPr>
                <w:rFonts w:ascii="宋体" w:hAnsi="宋体" w:cs="宋体" w:eastAsia="宋体" w:hint="default"/>
                <w:sz w:val="18"/>
                <w:szCs w:val="18"/>
              </w:rPr>
              <w:t>日剩余股权公 允价值的确定 方法及主要假 设</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与原子公司股</w:t>
            </w:r>
          </w:p>
          <w:p>
            <w:pPr>
              <w:pStyle w:val="TableParagraph"/>
              <w:spacing w:line="232" w:lineRule="exact" w:before="25"/>
              <w:ind w:left="72" w:right="67"/>
              <w:jc w:val="center"/>
              <w:rPr>
                <w:rFonts w:ascii="宋体" w:hAnsi="宋体" w:cs="宋体" w:eastAsia="宋体" w:hint="default"/>
                <w:sz w:val="18"/>
                <w:szCs w:val="18"/>
              </w:rPr>
            </w:pPr>
            <w:r>
              <w:rPr>
                <w:rFonts w:ascii="宋体" w:hAnsi="宋体" w:cs="宋体" w:eastAsia="宋体" w:hint="default"/>
                <w:sz w:val="18"/>
                <w:szCs w:val="18"/>
              </w:rPr>
              <w:t>权投资相关的 其他综合收益 转入投资损益 的金额</w:t>
            </w:r>
          </w:p>
        </w:tc>
      </w:tr>
      <w:tr>
        <w:trPr>
          <w:trHeight w:val="710"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 w:right="-12"/>
              <w:jc w:val="left"/>
              <w:rPr>
                <w:rFonts w:ascii="宋体" w:hAnsi="宋体" w:cs="宋体" w:eastAsia="宋体" w:hint="default"/>
                <w:sz w:val="18"/>
                <w:szCs w:val="18"/>
              </w:rPr>
            </w:pPr>
            <w:r>
              <w:rPr>
                <w:rFonts w:ascii="宋体" w:hAnsi="宋体" w:cs="宋体" w:eastAsia="宋体" w:hint="default"/>
                <w:spacing w:val="9"/>
                <w:sz w:val="18"/>
                <w:szCs w:val="18"/>
              </w:rPr>
              <w:t>辽宁沈哈红运</w:t>
            </w:r>
            <w:r>
              <w:rPr>
                <w:rFonts w:ascii="宋体" w:hAnsi="宋体" w:cs="宋体" w:eastAsia="宋体" w:hint="default"/>
                <w:sz w:val="18"/>
                <w:szCs w:val="18"/>
              </w:rPr>
            </w:r>
          </w:p>
          <w:p>
            <w:pPr>
              <w:pStyle w:val="TableParagraph"/>
              <w:spacing w:line="232" w:lineRule="exact" w:before="23"/>
              <w:ind w:left="2" w:right="-12"/>
              <w:jc w:val="left"/>
              <w:rPr>
                <w:rFonts w:ascii="宋体" w:hAnsi="宋体" w:cs="宋体" w:eastAsia="宋体" w:hint="default"/>
                <w:sz w:val="18"/>
                <w:szCs w:val="18"/>
              </w:rPr>
            </w:pPr>
            <w:r>
              <w:rPr>
                <w:rFonts w:ascii="宋体" w:hAnsi="宋体" w:cs="宋体" w:eastAsia="宋体" w:hint="default"/>
                <w:spacing w:val="9"/>
                <w:sz w:val="18"/>
                <w:szCs w:val="18"/>
              </w:rPr>
              <w:t>物流锦州有限 </w:t>
            </w:r>
            <w:r>
              <w:rPr>
                <w:rFonts w:ascii="宋体" w:hAnsi="宋体" w:cs="宋体" w:eastAsia="宋体" w:hint="default"/>
                <w:sz w:val="18"/>
                <w:szCs w:val="18"/>
              </w:rPr>
              <w:t>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1"/>
              <w:jc w:val="left"/>
              <w:rPr>
                <w:rFonts w:ascii="宋体" w:hAnsi="宋体" w:cs="宋体" w:eastAsia="宋体" w:hint="default"/>
                <w:sz w:val="18"/>
                <w:szCs w:val="18"/>
              </w:rPr>
            </w:pPr>
            <w:r>
              <w:rPr>
                <w:rFonts w:ascii="宋体"/>
                <w:sz w:val="18"/>
              </w:rPr>
              <w:t>4,210,380.00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6" w:right="-1"/>
              <w:jc w:val="left"/>
              <w:rPr>
                <w:rFonts w:ascii="宋体" w:hAnsi="宋体" w:cs="宋体" w:eastAsia="宋体" w:hint="default"/>
                <w:sz w:val="18"/>
                <w:szCs w:val="18"/>
              </w:rPr>
            </w:pPr>
            <w:r>
              <w:rPr>
                <w:rFonts w:ascii="宋体"/>
                <w:sz w:val="18"/>
              </w:rPr>
              <w:t>45.00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5"/>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left"/>
              <w:rPr>
                <w:rFonts w:ascii="宋体" w:hAnsi="宋体" w:cs="宋体" w:eastAsia="宋体" w:hint="default"/>
                <w:sz w:val="18"/>
                <w:szCs w:val="18"/>
              </w:rPr>
            </w:pPr>
            <w:r>
              <w:rPr>
                <w:rFonts w:ascii="宋体" w:hAnsi="宋体" w:cs="宋体" w:eastAsia="宋体" w:hint="default"/>
                <w:sz w:val="18"/>
                <w:szCs w:val="18"/>
              </w:rPr>
              <w:t>股权交割</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3"/>
              <w:jc w:val="left"/>
              <w:rPr>
                <w:rFonts w:ascii="宋体" w:hAnsi="宋体" w:cs="宋体" w:eastAsia="宋体" w:hint="default"/>
                <w:sz w:val="18"/>
                <w:szCs w:val="18"/>
              </w:rPr>
            </w:pPr>
            <w:r>
              <w:rPr>
                <w:rFonts w:ascii="宋体"/>
                <w:sz w:val="18"/>
              </w:rPr>
              <w:t>381,218.63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9" w:right="-4"/>
              <w:jc w:val="left"/>
              <w:rPr>
                <w:rFonts w:ascii="宋体" w:hAnsi="宋体" w:cs="宋体" w:eastAsia="宋体" w:hint="default"/>
                <w:sz w:val="18"/>
                <w:szCs w:val="18"/>
              </w:rPr>
            </w:pPr>
            <w:r>
              <w:rPr>
                <w:rFonts w:ascii="宋体"/>
                <w:sz w:val="18"/>
              </w:rPr>
              <w:t>10.00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1" w:right="-3"/>
              <w:jc w:val="left"/>
              <w:rPr>
                <w:rFonts w:ascii="宋体" w:hAnsi="宋体" w:cs="宋体" w:eastAsia="宋体" w:hint="default"/>
                <w:sz w:val="18"/>
                <w:szCs w:val="18"/>
              </w:rPr>
            </w:pPr>
            <w:r>
              <w:rPr>
                <w:rFonts w:ascii="宋体"/>
                <w:sz w:val="18"/>
              </w:rPr>
              <w:t>850,924.75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9" w:right="-1"/>
              <w:jc w:val="left"/>
              <w:rPr>
                <w:rFonts w:ascii="宋体" w:hAnsi="宋体" w:cs="宋体" w:eastAsia="宋体" w:hint="default"/>
                <w:sz w:val="18"/>
                <w:szCs w:val="18"/>
              </w:rPr>
            </w:pPr>
            <w:r>
              <w:rPr>
                <w:rFonts w:ascii="宋体"/>
                <w:sz w:val="18"/>
              </w:rPr>
              <w:t>850,924.75</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2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left="532" w:right="4146"/>
        <w:jc w:val="left"/>
      </w:pPr>
      <w:r>
        <w:rPr/>
        <w:t>是否存在通过多次交易分步处置对子公司投资且在本期丧失控制权的情形</w:t>
      </w:r>
    </w:p>
    <w:p>
      <w:pPr>
        <w:pStyle w:val="BodyText"/>
        <w:spacing w:line="273" w:lineRule="exact"/>
        <w:ind w:left="532" w:right="4146"/>
        <w:jc w:val="left"/>
      </w:pPr>
      <w:r>
        <w:rPr/>
        <w:t>□适用√不适用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line="290" w:lineRule="auto" w:before="0"/>
        <w:ind w:left="532" w:right="4146"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8" w:lineRule="exact"/>
        <w:ind w:left="532" w:right="0"/>
        <w:jc w:val="left"/>
      </w:pPr>
      <w:r>
        <w:rPr>
          <w:rFonts w:ascii="宋体" w:hAnsi="宋体" w:cs="宋体" w:eastAsia="宋体" w:hint="default"/>
        </w:rPr>
        <w:t>2015 </w:t>
      </w:r>
      <w:r>
        <w:rPr/>
        <w:t>年 </w:t>
      </w:r>
      <w:r>
        <w:rPr>
          <w:rFonts w:ascii="宋体" w:hAnsi="宋体" w:cs="宋体" w:eastAsia="宋体" w:hint="default"/>
        </w:rPr>
        <w:t>4 </w:t>
      </w:r>
      <w:r>
        <w:rPr/>
        <w:t>月 </w:t>
      </w:r>
      <w:r>
        <w:rPr>
          <w:rFonts w:ascii="宋体" w:hAnsi="宋体" w:cs="宋体" w:eastAsia="宋体" w:hint="default"/>
        </w:rPr>
        <w:t>24</w:t>
      </w:r>
      <w:r>
        <w:rPr>
          <w:rFonts w:ascii="宋体" w:hAnsi="宋体" w:cs="宋体" w:eastAsia="宋体" w:hint="default"/>
          <w:spacing w:val="-11"/>
        </w:rPr>
        <w:t> </w:t>
      </w:r>
      <w:r>
        <w:rPr/>
        <w:t>日，公司第八届董事会第十五次会议，审议通过了《关于成立全资子公司锦港海洋石化贸易有限公司的议案》。报告期，公司出资</w:t>
      </w:r>
    </w:p>
    <w:p>
      <w:pPr>
        <w:pStyle w:val="BodyText"/>
        <w:spacing w:line="273" w:lineRule="exact"/>
        <w:ind w:left="532" w:right="4146"/>
        <w:jc w:val="left"/>
      </w:pPr>
      <w:r>
        <w:rPr>
          <w:rFonts w:ascii="宋体" w:hAnsi="宋体" w:cs="宋体" w:eastAsia="宋体" w:hint="default"/>
        </w:rPr>
        <w:t>500</w:t>
      </w:r>
      <w:r>
        <w:rPr>
          <w:rFonts w:ascii="宋体" w:hAnsi="宋体" w:cs="宋体" w:eastAsia="宋体" w:hint="default"/>
          <w:spacing w:val="23"/>
        </w:rPr>
        <w:t> </w:t>
      </w:r>
      <w:r>
        <w:rPr>
          <w:spacing w:val="-2"/>
        </w:rPr>
        <w:t>万元成立全资子公司锦港海洋石化贸易有限公司。该公司主营油品贸易，本期纳入合并范围。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before="0"/>
        <w:ind w:left="6891" w:right="7040" w:firstLine="0"/>
        <w:jc w:val="center"/>
        <w:rPr>
          <w:rFonts w:ascii="Calibri" w:hAnsi="Calibri" w:cs="Calibri" w:eastAsia="Calibri" w:hint="default"/>
          <w:sz w:val="18"/>
          <w:szCs w:val="18"/>
        </w:rPr>
      </w:pPr>
      <w:r>
        <w:rPr>
          <w:rFonts w:ascii="Calibri"/>
          <w:b/>
          <w:sz w:val="18"/>
        </w:rPr>
        <w:t>97 </w:t>
      </w:r>
      <w:r>
        <w:rPr>
          <w:rFonts w:ascii="Calibri"/>
          <w:sz w:val="18"/>
        </w:rPr>
        <w:t>/</w:t>
      </w:r>
      <w:r>
        <w:rPr>
          <w:rFonts w:ascii="Calibri"/>
          <w:spacing w:val="-4"/>
          <w:sz w:val="18"/>
        </w:rPr>
        <w:t> </w:t>
      </w:r>
      <w:r>
        <w:rPr>
          <w:rFonts w:ascii="Calibri"/>
          <w:b/>
          <w:sz w:val="18"/>
        </w:rPr>
        <w:t>114</w:t>
      </w:r>
      <w:r>
        <w:rPr>
          <w:rFonts w:ascii="Calibri"/>
          <w:sz w:val="18"/>
        </w:rPr>
      </w:r>
    </w:p>
    <w:p>
      <w:pPr>
        <w:spacing w:after="0"/>
        <w:jc w:val="center"/>
        <w:rPr>
          <w:rFonts w:ascii="Calibri" w:hAnsi="Calibri" w:cs="Calibri" w:eastAsia="Calibri" w:hint="default"/>
          <w:sz w:val="18"/>
          <w:szCs w:val="18"/>
        </w:rPr>
        <w:sectPr>
          <w:type w:val="continuous"/>
          <w:pgSz w:w="16850" w:h="11900" w:orient="landscape"/>
          <w:pgMar w:top="1120" w:bottom="1380" w:left="600" w:right="94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1"/>
        <w:rPr>
          <w:rFonts w:ascii="Calibri" w:hAnsi="Calibri" w:cs="Calibri" w:eastAsia="Calibri" w:hint="default"/>
          <w:b/>
          <w:bCs/>
          <w:sz w:val="28"/>
          <w:szCs w:val="28"/>
        </w:rPr>
      </w:pPr>
    </w:p>
    <w:p>
      <w:pPr>
        <w:pStyle w:val="Heading2"/>
        <w:spacing w:line="290" w:lineRule="auto"/>
        <w:ind w:left="222" w:right="6958"/>
        <w:jc w:val="left"/>
        <w:rPr>
          <w:b w:val="0"/>
          <w:bCs w:val="0"/>
        </w:rPr>
      </w:pPr>
      <w:r>
        <w:rPr/>
        <w:pict>
          <v:group style="position:absolute;margin-left:83.664001pt;margin-top:-45.836357pt;width:455.15pt;height:.1pt;mso-position-horizontal-relative:page;mso-position-vertical-relative:paragraph;z-index:1120" coordorigin="1673,-917" coordsize="9103,2">
            <v:shape style="position:absolute;left:1673;top:-917;width:9103;height:2" coordorigin="1673,-917" coordsize="9103,0" path="m1673,-917l10776,-917e" filled="false" stroked="true" strokeweight=".72pt" strokecolor="#000000">
              <v:path arrowok="t"/>
            </v:shape>
            <w10:wrap type="none"/>
          </v:group>
        </w:pict>
      </w:r>
      <w:r>
        <w:rPr/>
        <w:t>九、在其他主体中的权益</w:t>
      </w:r>
      <w:r>
        <w:rPr>
          <w:spacing w:val="-100"/>
        </w:rPr>
        <w:t> </w:t>
      </w:r>
      <w:r>
        <w:rPr>
          <w:spacing w:val="-100"/>
        </w:rPr>
      </w:r>
      <w:r>
        <w:rPr>
          <w:rFonts w:ascii="宋体" w:hAnsi="宋体" w:cs="宋体" w:eastAsia="宋体" w:hint="default"/>
        </w:rPr>
        <w:t>1</w:t>
      </w:r>
      <w:r>
        <w:rPr/>
        <w:t>、 在子公司中的权益</w:t>
      </w:r>
      <w:r>
        <w:rPr>
          <w:b w:val="0"/>
          <w:bCs w:val="0"/>
        </w:rPr>
      </w:r>
    </w:p>
    <w:p>
      <w:pPr>
        <w:pStyle w:val="BodyText"/>
        <w:spacing w:line="240" w:lineRule="auto" w:before="12"/>
        <w:ind w:left="222" w:right="6958"/>
        <w:jc w:val="left"/>
      </w:pPr>
      <w:r>
        <w:rPr/>
        <w:t>√适用 □不适用</w:t>
      </w:r>
    </w:p>
    <w:p>
      <w:pPr>
        <w:pStyle w:val="Heading2"/>
        <w:tabs>
          <w:tab w:pos="865" w:val="left" w:leader="none"/>
        </w:tabs>
        <w:spacing w:line="240" w:lineRule="auto" w:before="58"/>
        <w:ind w:left="222" w:right="6958"/>
        <w:jc w:val="left"/>
        <w:rPr>
          <w:b w:val="0"/>
          <w:bCs w:val="0"/>
        </w:rPr>
      </w:pPr>
      <w:r>
        <w:rPr>
          <w:rFonts w:ascii="宋体" w:hAnsi="宋体" w:cs="宋体" w:eastAsia="宋体" w:hint="default"/>
          <w:w w:val="95"/>
        </w:rPr>
        <w:t>(1).</w:t>
        <w:tab/>
      </w:r>
      <w:r>
        <w:rPr/>
        <w:t>企业集团的构成</w:t>
      </w:r>
      <w:r>
        <w:rPr>
          <w:b w:val="0"/>
          <w:bCs w:val="0"/>
        </w:rPr>
      </w:r>
    </w:p>
    <w:p>
      <w:pPr>
        <w:spacing w:line="240" w:lineRule="auto" w:before="12"/>
        <w:rPr>
          <w:rFonts w:ascii="宋体" w:hAnsi="宋体" w:cs="宋体" w:eastAsia="宋体" w:hint="default"/>
          <w:b/>
          <w:bCs/>
          <w:sz w:val="6"/>
          <w:szCs w:val="6"/>
        </w:rPr>
      </w:pPr>
    </w:p>
    <w:tbl>
      <w:tblPr>
        <w:tblW w:w="0" w:type="auto"/>
        <w:jc w:val="left"/>
        <w:tblInd w:w="109" w:type="dxa"/>
        <w:tblLayout w:type="fixed"/>
        <w:tblCellMar>
          <w:top w:w="0" w:type="dxa"/>
          <w:left w:w="0" w:type="dxa"/>
          <w:bottom w:w="0" w:type="dxa"/>
          <w:right w:w="0" w:type="dxa"/>
        </w:tblCellMar>
        <w:tblLook w:val="01E0"/>
      </w:tblPr>
      <w:tblGrid>
        <w:gridCol w:w="3085"/>
        <w:gridCol w:w="864"/>
        <w:gridCol w:w="992"/>
        <w:gridCol w:w="994"/>
        <w:gridCol w:w="994"/>
        <w:gridCol w:w="706"/>
        <w:gridCol w:w="1548"/>
      </w:tblGrid>
      <w:tr>
        <w:trPr>
          <w:trHeight w:val="353" w:hRule="exact"/>
        </w:trPr>
        <w:tc>
          <w:tcPr>
            <w:tcW w:w="3085" w:type="dxa"/>
            <w:vMerge w:val="restart"/>
            <w:tcBorders>
              <w:top w:val="single" w:sz="4" w:space="0" w:color="000000"/>
              <w:left w:val="single" w:sz="4" w:space="0" w:color="000000"/>
              <w:right w:val="single" w:sz="6" w:space="0" w:color="000000"/>
            </w:tcBorders>
          </w:tcPr>
          <w:p>
            <w:pPr>
              <w:pStyle w:val="TableParagraph"/>
              <w:spacing w:line="232" w:lineRule="exact" w:before="109"/>
              <w:ind w:left="1267" w:right="1263"/>
              <w:jc w:val="center"/>
              <w:rPr>
                <w:rFonts w:ascii="宋体" w:hAnsi="宋体" w:cs="宋体" w:eastAsia="宋体" w:hint="default"/>
                <w:sz w:val="18"/>
                <w:szCs w:val="18"/>
              </w:rPr>
            </w:pPr>
            <w:r>
              <w:rPr>
                <w:rFonts w:ascii="宋体" w:hAnsi="宋体" w:cs="宋体" w:eastAsia="宋体" w:hint="default"/>
                <w:sz w:val="18"/>
                <w:szCs w:val="18"/>
              </w:rPr>
              <w:t>子公司 名称</w:t>
            </w:r>
          </w:p>
        </w:tc>
        <w:tc>
          <w:tcPr>
            <w:tcW w:w="864" w:type="dxa"/>
            <w:vMerge w:val="restart"/>
            <w:tcBorders>
              <w:top w:val="single" w:sz="4" w:space="0" w:color="000000"/>
              <w:left w:val="single" w:sz="6" w:space="0" w:color="000000"/>
              <w:right w:val="single" w:sz="6" w:space="0" w:color="000000"/>
            </w:tcBorders>
          </w:tcPr>
          <w:p>
            <w:pPr>
              <w:pStyle w:val="TableParagraph"/>
              <w:spacing w:line="232" w:lineRule="exact" w:before="109"/>
              <w:ind w:left="242" w:right="156" w:hanging="92"/>
              <w:jc w:val="left"/>
              <w:rPr>
                <w:rFonts w:ascii="宋体" w:hAnsi="宋体" w:cs="宋体" w:eastAsia="宋体" w:hint="default"/>
                <w:sz w:val="18"/>
                <w:szCs w:val="18"/>
              </w:rPr>
            </w:pPr>
            <w:r>
              <w:rPr>
                <w:rFonts w:ascii="宋体" w:hAnsi="宋体" w:cs="宋体" w:eastAsia="宋体" w:hint="default"/>
                <w:sz w:val="18"/>
                <w:szCs w:val="18"/>
              </w:rPr>
              <w:t>主要经 营地</w:t>
            </w:r>
          </w:p>
        </w:tc>
        <w:tc>
          <w:tcPr>
            <w:tcW w:w="992" w:type="dxa"/>
            <w:vMerge w:val="restart"/>
            <w:tcBorders>
              <w:top w:val="single" w:sz="4"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94" w:type="dxa"/>
            <w:vMerge w:val="restart"/>
            <w:tcBorders>
              <w:top w:val="single" w:sz="4"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700"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22"/>
              <w:ind w:left="345"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1548" w:type="dxa"/>
            <w:vMerge w:val="restart"/>
            <w:tcBorders>
              <w:top w:val="single" w:sz="4" w:space="0" w:color="000000"/>
              <w:left w:val="single" w:sz="6" w:space="0" w:color="000000"/>
              <w:right w:val="single" w:sz="4" w:space="0" w:color="000000"/>
            </w:tcBorders>
          </w:tcPr>
          <w:p>
            <w:pPr>
              <w:pStyle w:val="TableParagraph"/>
              <w:spacing w:line="232" w:lineRule="exact" w:before="109"/>
              <w:ind w:left="585" w:right="588"/>
              <w:jc w:val="center"/>
              <w:rPr>
                <w:rFonts w:ascii="宋体" w:hAnsi="宋体" w:cs="宋体" w:eastAsia="宋体" w:hint="default"/>
                <w:sz w:val="18"/>
                <w:szCs w:val="18"/>
              </w:rPr>
            </w:pPr>
            <w:r>
              <w:rPr>
                <w:rFonts w:ascii="宋体" w:hAnsi="宋体" w:cs="宋体" w:eastAsia="宋体" w:hint="default"/>
                <w:sz w:val="18"/>
                <w:szCs w:val="18"/>
              </w:rPr>
              <w:t>取得 方式</w:t>
            </w:r>
          </w:p>
        </w:tc>
      </w:tr>
      <w:tr>
        <w:trPr>
          <w:trHeight w:val="355" w:hRule="exact"/>
        </w:trPr>
        <w:tc>
          <w:tcPr>
            <w:tcW w:w="3085" w:type="dxa"/>
            <w:vMerge/>
            <w:tcBorders>
              <w:left w:val="single" w:sz="4" w:space="0" w:color="000000"/>
              <w:bottom w:val="single" w:sz="6" w:space="0" w:color="000000"/>
              <w:right w:val="single" w:sz="6" w:space="0" w:color="000000"/>
            </w:tcBorders>
          </w:tcPr>
          <w:p>
            <w:pPr/>
          </w:p>
        </w:tc>
        <w:tc>
          <w:tcPr>
            <w:tcW w:w="864"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0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65"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548" w:type="dxa"/>
            <w:vMerge/>
            <w:tcBorders>
              <w:left w:val="single" w:sz="6" w:space="0" w:color="000000"/>
              <w:bottom w:val="single" w:sz="6" w:space="0" w:color="000000"/>
              <w:right w:val="single" w:sz="4" w:space="0" w:color="000000"/>
            </w:tcBorders>
          </w:tcPr>
          <w:p>
            <w:pPr/>
          </w:p>
        </w:tc>
      </w:tr>
      <w:tr>
        <w:trPr>
          <w:trHeight w:val="355" w:hRule="exact"/>
        </w:trPr>
        <w:tc>
          <w:tcPr>
            <w:tcW w:w="308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锦州兴港工程监理有限公司</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锦州</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锦州</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50.67</w:t>
            </w:r>
          </w:p>
        </w:tc>
        <w:tc>
          <w:tcPr>
            <w:tcW w:w="70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6" w:hRule="exact"/>
        </w:trPr>
        <w:tc>
          <w:tcPr>
            <w:tcW w:w="308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锦州港物流发展有限公司</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锦州</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锦州</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物流业</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70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3" w:hRule="exact"/>
        </w:trPr>
        <w:tc>
          <w:tcPr>
            <w:tcW w:w="308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锦州港现代粮食物流有限公司</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锦州</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锦州</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物流业</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75.9</w:t>
            </w:r>
          </w:p>
        </w:tc>
        <w:tc>
          <w:tcPr>
            <w:tcW w:w="70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5" w:hRule="exact"/>
        </w:trPr>
        <w:tc>
          <w:tcPr>
            <w:tcW w:w="3085"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哈尔滨锦州港物流代理有限公司</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物流业</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100</w:t>
            </w:r>
          </w:p>
        </w:tc>
        <w:tc>
          <w:tcPr>
            <w:tcW w:w="70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5" w:hRule="exact"/>
        </w:trPr>
        <w:tc>
          <w:tcPr>
            <w:tcW w:w="3085"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锦州港口船舶代理有限公司</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锦州</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锦州</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代理业</w:t>
            </w:r>
          </w:p>
        </w:tc>
        <w:tc>
          <w:tcPr>
            <w:tcW w:w="994"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5"/>
              <w:jc w:val="right"/>
              <w:rPr>
                <w:rFonts w:ascii="宋体" w:hAnsi="宋体" w:cs="宋体" w:eastAsia="宋体" w:hint="default"/>
                <w:sz w:val="18"/>
                <w:szCs w:val="18"/>
              </w:rPr>
            </w:pPr>
            <w:r>
              <w:rPr>
                <w:rFonts w:ascii="宋体"/>
                <w:sz w:val="18"/>
              </w:rPr>
              <w:t>100</w:t>
            </w:r>
          </w:p>
        </w:tc>
        <w:tc>
          <w:tcPr>
            <w:tcW w:w="154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5" w:hRule="exact"/>
        </w:trPr>
        <w:tc>
          <w:tcPr>
            <w:tcW w:w="3085"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锦州港货运船舶代理有限公司</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锦州</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锦州</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代理业</w:t>
            </w:r>
          </w:p>
        </w:tc>
        <w:tc>
          <w:tcPr>
            <w:tcW w:w="994"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5"/>
              <w:jc w:val="right"/>
              <w:rPr>
                <w:rFonts w:ascii="宋体" w:hAnsi="宋体" w:cs="宋体" w:eastAsia="宋体" w:hint="default"/>
                <w:sz w:val="18"/>
                <w:szCs w:val="18"/>
              </w:rPr>
            </w:pPr>
            <w:r>
              <w:rPr>
                <w:rFonts w:ascii="宋体"/>
                <w:sz w:val="18"/>
              </w:rPr>
              <w:t>50</w:t>
            </w:r>
          </w:p>
        </w:tc>
        <w:tc>
          <w:tcPr>
            <w:tcW w:w="154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5" w:hRule="exact"/>
        </w:trPr>
        <w:tc>
          <w:tcPr>
            <w:tcW w:w="308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锦州港口船舶服务有限公司</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锦州</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锦州</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100</w:t>
            </w:r>
          </w:p>
        </w:tc>
        <w:tc>
          <w:tcPr>
            <w:tcW w:w="154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3" w:hRule="exact"/>
        </w:trPr>
        <w:tc>
          <w:tcPr>
            <w:tcW w:w="3085"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锦港海洋石化贸易有限公司</w:t>
            </w:r>
          </w:p>
        </w:tc>
        <w:tc>
          <w:tcPr>
            <w:tcW w:w="864"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992"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994"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商贸企业</w:t>
            </w:r>
          </w:p>
        </w:tc>
        <w:tc>
          <w:tcPr>
            <w:tcW w:w="994"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w:t>
            </w:r>
          </w:p>
        </w:tc>
        <w:tc>
          <w:tcPr>
            <w:tcW w:w="706" w:type="dxa"/>
            <w:tcBorders>
              <w:top w:val="single" w:sz="6" w:space="0" w:color="000000"/>
              <w:left w:val="single" w:sz="6" w:space="0" w:color="000000"/>
              <w:bottom w:val="single" w:sz="4" w:space="0" w:color="000000"/>
              <w:right w:val="single" w:sz="6" w:space="0" w:color="000000"/>
            </w:tcBorders>
          </w:tcPr>
          <w:p>
            <w:pPr/>
          </w:p>
        </w:tc>
        <w:tc>
          <w:tcPr>
            <w:tcW w:w="1548"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241" w:lineRule="exact"/>
        <w:ind w:left="641" w:right="0"/>
        <w:jc w:val="left"/>
      </w:pPr>
      <w:r>
        <w:rPr>
          <w:rFonts w:ascii="宋体" w:hAnsi="宋体" w:cs="宋体" w:eastAsia="宋体" w:hint="default"/>
          <w:spacing w:val="-3"/>
        </w:rPr>
        <w:t>1</w:t>
      </w:r>
      <w:r>
        <w:rPr>
          <w:spacing w:val="-3"/>
        </w:rPr>
        <w:t>、锦州港口船舶代理有限公司为锦州港物流发展有限公司的子公司，锦州港物流发展有限公司</w:t>
      </w:r>
    </w:p>
    <w:p>
      <w:pPr>
        <w:pStyle w:val="BodyText"/>
        <w:spacing w:line="357" w:lineRule="auto" w:before="133"/>
        <w:ind w:left="641" w:right="1359" w:hanging="420"/>
        <w:jc w:val="left"/>
      </w:pPr>
      <w:r>
        <w:rPr/>
        <w:t>持有其</w:t>
      </w:r>
      <w:r>
        <w:rPr>
          <w:spacing w:val="-53"/>
        </w:rPr>
        <w:t> </w:t>
      </w:r>
      <w:r>
        <w:rPr>
          <w:rFonts w:ascii="宋体" w:hAnsi="宋体" w:cs="宋体" w:eastAsia="宋体" w:hint="default"/>
        </w:rPr>
        <w:t>100%</w:t>
      </w:r>
      <w:r>
        <w:rPr/>
        <w:t>股权。</w:t>
      </w:r>
      <w:r>
        <w:rPr>
          <w:w w:val="100"/>
        </w:rPr>
        <w:t> </w:t>
      </w:r>
      <w:r>
        <w:rPr>
          <w:rFonts w:ascii="宋体" w:hAnsi="宋体" w:cs="宋体" w:eastAsia="宋体" w:hint="default"/>
          <w:spacing w:val="-2"/>
        </w:rPr>
        <w:t>2</w:t>
      </w:r>
      <w:r>
        <w:rPr>
          <w:spacing w:val="-2"/>
        </w:rPr>
        <w:t>、锦州港口船舶服务有限公司为货代公司的子公司，货代公司持有其</w:t>
      </w:r>
      <w:r>
        <w:rPr>
          <w:spacing w:val="15"/>
        </w:rPr>
        <w:t> </w:t>
      </w:r>
      <w:r>
        <w:rPr>
          <w:rFonts w:ascii="宋体" w:hAnsi="宋体" w:cs="宋体" w:eastAsia="宋体" w:hint="default"/>
          <w:spacing w:val="-2"/>
        </w:rPr>
        <w:t>100%</w:t>
      </w:r>
      <w:r>
        <w:rPr>
          <w:spacing w:val="-2"/>
        </w:rPr>
        <w:t>股权。</w:t>
      </w:r>
    </w:p>
    <w:p>
      <w:pPr>
        <w:pStyle w:val="BodyText"/>
        <w:spacing w:line="355" w:lineRule="auto" w:before="30"/>
        <w:ind w:left="222" w:right="257" w:firstLine="419"/>
        <w:jc w:val="both"/>
      </w:pPr>
      <w:r>
        <w:rPr>
          <w:spacing w:val="-2"/>
        </w:rPr>
        <w:t>持有半数或以下表决权但仍控制被投资单位、以及持有半数以上表决权但不控制被投资单位的</w:t>
      </w:r>
      <w:r>
        <w:rPr>
          <w:w w:val="100"/>
        </w:rPr>
        <w:t> </w:t>
      </w:r>
      <w:r>
        <w:rPr/>
        <w:t>依据：</w:t>
      </w:r>
    </w:p>
    <w:p>
      <w:pPr>
        <w:pStyle w:val="BodyText"/>
        <w:spacing w:line="357" w:lineRule="auto" w:before="32"/>
        <w:ind w:left="222" w:right="223" w:firstLine="419"/>
        <w:jc w:val="both"/>
      </w:pPr>
      <w:r>
        <w:rPr>
          <w:spacing w:val="-3"/>
        </w:rPr>
        <w:t>锦州港物流发展有限公司持有锦州港货运船舶代理有限公司（以下简称货代公司）</w:t>
      </w:r>
      <w:r>
        <w:rPr>
          <w:rFonts w:ascii="宋体" w:hAnsi="宋体" w:cs="宋体" w:eastAsia="宋体" w:hint="default"/>
          <w:spacing w:val="-3"/>
        </w:rPr>
        <w:t>50%</w:t>
      </w:r>
      <w:r>
        <w:rPr>
          <w:spacing w:val="-3"/>
        </w:rPr>
        <w:t>股权，并</w:t>
      </w:r>
      <w:r>
        <w:rPr>
          <w:w w:val="100"/>
        </w:rPr>
        <w:t> </w:t>
      </w:r>
      <w:r>
        <w:rPr>
          <w:spacing w:val="-2"/>
        </w:rPr>
        <w:t>且为货代公司第一大股东，同时在货代公司董事会中拥有半数以上表决权，故锦州港物流发展有限</w:t>
      </w:r>
      <w:r>
        <w:rPr>
          <w:spacing w:val="-25"/>
        </w:rPr>
        <w:t> </w:t>
      </w:r>
      <w:r>
        <w:rPr>
          <w:spacing w:val="-25"/>
        </w:rPr>
      </w:r>
      <w:r>
        <w:rPr/>
        <w:t>公司将货代公司纳入合并财务报表范围。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2"/>
        <w:tabs>
          <w:tab w:pos="865" w:val="left" w:leader="none"/>
        </w:tabs>
        <w:spacing w:line="240" w:lineRule="auto"/>
        <w:ind w:left="222" w:right="0"/>
        <w:jc w:val="left"/>
        <w:rPr>
          <w:b w:val="0"/>
          <w:bCs w:val="0"/>
        </w:rPr>
      </w:pPr>
      <w:r>
        <w:rPr>
          <w:rFonts w:ascii="宋体" w:hAnsi="宋体" w:cs="宋体" w:eastAsia="宋体" w:hint="default"/>
          <w:w w:val="95"/>
        </w:rPr>
        <w:t>(2).</w:t>
        <w:tab/>
      </w:r>
      <w:r>
        <w:rPr/>
        <w:t>重要的非全资子公司</w:t>
      </w:r>
      <w:r>
        <w:rPr>
          <w:b w:val="0"/>
          <w:bCs w:val="0"/>
        </w:rPr>
      </w:r>
    </w:p>
    <w:p>
      <w:pPr>
        <w:pStyle w:val="BodyText"/>
        <w:tabs>
          <w:tab w:pos="945" w:val="left" w:leader="none"/>
        </w:tabs>
        <w:spacing w:line="240" w:lineRule="auto" w:before="56"/>
        <w:ind w:left="0" w:right="226"/>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654"/>
        <w:gridCol w:w="1861"/>
        <w:gridCol w:w="1988"/>
        <w:gridCol w:w="1993"/>
        <w:gridCol w:w="1788"/>
      </w:tblGrid>
      <w:tr>
        <w:trPr>
          <w:trHeight w:val="478" w:hRule="exact"/>
        </w:trPr>
        <w:tc>
          <w:tcPr>
            <w:tcW w:w="1654"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85"/>
              <w:ind w:left="37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861" w:type="dxa"/>
            <w:tcBorders>
              <w:top w:val="single" w:sz="4" w:space="0" w:color="000000"/>
              <w:left w:val="single" w:sz="6" w:space="0" w:color="000000"/>
              <w:bottom w:val="single" w:sz="6" w:space="0" w:color="000000"/>
              <w:right w:val="single" w:sz="6"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少数股东持股</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88" w:type="dxa"/>
            <w:tcBorders>
              <w:top w:val="single" w:sz="4"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本期归属于少数股东</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的损益</w:t>
            </w:r>
          </w:p>
        </w:tc>
        <w:tc>
          <w:tcPr>
            <w:tcW w:w="1993" w:type="dxa"/>
            <w:tcBorders>
              <w:top w:val="single" w:sz="4" w:space="0" w:color="000000"/>
              <w:left w:val="single" w:sz="6" w:space="0" w:color="000000"/>
              <w:bottom w:val="single" w:sz="6" w:space="0" w:color="000000"/>
              <w:right w:val="single" w:sz="6"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本期向少数股东宣告</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分派的股利</w:t>
            </w:r>
          </w:p>
        </w:tc>
        <w:tc>
          <w:tcPr>
            <w:tcW w:w="1788" w:type="dxa"/>
            <w:tcBorders>
              <w:top w:val="single" w:sz="4" w:space="0" w:color="000000"/>
              <w:left w:val="single" w:sz="6" w:space="0" w:color="000000"/>
              <w:bottom w:val="single" w:sz="6" w:space="0" w:color="000000"/>
              <w:right w:val="single" w:sz="4" w:space="0" w:color="000000"/>
            </w:tcBorders>
          </w:tcPr>
          <w:p>
            <w:pPr>
              <w:pStyle w:val="TableParagraph"/>
              <w:spacing w:line="204" w:lineRule="exact"/>
              <w:ind w:left="14" w:right="0"/>
              <w:jc w:val="center"/>
              <w:rPr>
                <w:rFonts w:ascii="宋体" w:hAnsi="宋体" w:cs="宋体" w:eastAsia="宋体" w:hint="default"/>
                <w:sz w:val="18"/>
                <w:szCs w:val="18"/>
              </w:rPr>
            </w:pPr>
            <w:r>
              <w:rPr>
                <w:rFonts w:ascii="宋体" w:hAnsi="宋体" w:cs="宋体" w:eastAsia="宋体" w:hint="default"/>
                <w:sz w:val="18"/>
                <w:szCs w:val="18"/>
              </w:rPr>
              <w:t>期末少数股东权益</w:t>
            </w:r>
          </w:p>
          <w:p>
            <w:pPr>
              <w:pStyle w:val="TableParagraph"/>
              <w:spacing w:line="234" w:lineRule="exact"/>
              <w:ind w:left="14" w:right="0"/>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480" w:hRule="exact"/>
        </w:trPr>
        <w:tc>
          <w:tcPr>
            <w:tcW w:w="1654" w:type="dxa"/>
            <w:tcBorders>
              <w:top w:val="single" w:sz="6" w:space="0" w:color="000000"/>
              <w:left w:val="single" w:sz="4" w:space="0" w:color="000000"/>
              <w:bottom w:val="single" w:sz="4"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锦州港现代粮食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物流有限公司</w:t>
            </w:r>
          </w:p>
        </w:tc>
        <w:tc>
          <w:tcPr>
            <w:tcW w:w="1861"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24.10</w:t>
            </w:r>
          </w:p>
        </w:tc>
        <w:tc>
          <w:tcPr>
            <w:tcW w:w="1988"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left="972" w:right="0"/>
              <w:jc w:val="left"/>
              <w:rPr>
                <w:rFonts w:ascii="宋体" w:hAnsi="宋体" w:cs="宋体" w:eastAsia="宋体" w:hint="default"/>
                <w:sz w:val="18"/>
                <w:szCs w:val="18"/>
              </w:rPr>
            </w:pPr>
            <w:r>
              <w:rPr>
                <w:rFonts w:ascii="宋体"/>
                <w:sz w:val="18"/>
              </w:rPr>
              <w:t>658,029.62</w:t>
            </w:r>
          </w:p>
        </w:tc>
        <w:tc>
          <w:tcPr>
            <w:tcW w:w="1993" w:type="dxa"/>
            <w:tcBorders>
              <w:top w:val="single" w:sz="6" w:space="0" w:color="000000"/>
              <w:left w:val="single" w:sz="6" w:space="0" w:color="000000"/>
              <w:bottom w:val="single" w:sz="4" w:space="0" w:color="000000"/>
              <w:right w:val="single" w:sz="6" w:space="0" w:color="000000"/>
            </w:tcBorders>
          </w:tcPr>
          <w:p>
            <w:pPr/>
          </w:p>
        </w:tc>
        <w:tc>
          <w:tcPr>
            <w:tcW w:w="1788" w:type="dxa"/>
            <w:tcBorders>
              <w:top w:val="single" w:sz="6" w:space="0" w:color="000000"/>
              <w:left w:val="single" w:sz="6" w:space="0" w:color="000000"/>
              <w:bottom w:val="single" w:sz="4" w:space="0" w:color="000000"/>
              <w:right w:val="single" w:sz="4" w:space="0" w:color="000000"/>
            </w:tcBorders>
          </w:tcPr>
          <w:p>
            <w:pPr>
              <w:pStyle w:val="TableParagraph"/>
              <w:spacing w:line="208" w:lineRule="exact"/>
              <w:ind w:left="412" w:right="0"/>
              <w:jc w:val="left"/>
              <w:rPr>
                <w:rFonts w:ascii="宋体" w:hAnsi="宋体" w:cs="宋体" w:eastAsia="宋体" w:hint="default"/>
                <w:sz w:val="18"/>
                <w:szCs w:val="18"/>
              </w:rPr>
            </w:pPr>
            <w:r>
              <w:rPr>
                <w:rFonts w:ascii="宋体"/>
                <w:sz w:val="18"/>
              </w:rPr>
              <w:t>121,390,362.77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32" w:lineRule="exact" w:before="36"/>
        <w:ind w:left="222" w:right="6958"/>
        <w:jc w:val="left"/>
        <w:rPr>
          <w:rFonts w:ascii="宋体" w:hAnsi="宋体" w:cs="宋体" w:eastAsia="宋体" w:hint="default"/>
        </w:rPr>
      </w:pPr>
      <w:r>
        <w:rPr>
          <w:rFonts w:ascii="宋体"/>
        </w:rPr>
        <w:t>(3).</w:t>
      </w:r>
    </w:p>
    <w:p>
      <w:pPr>
        <w:spacing w:line="177" w:lineRule="exact" w:before="0"/>
        <w:ind w:left="4613" w:right="4262" w:firstLine="0"/>
        <w:jc w:val="center"/>
        <w:rPr>
          <w:rFonts w:ascii="Calibri" w:hAnsi="Calibri" w:cs="Calibri" w:eastAsia="Calibri" w:hint="default"/>
          <w:sz w:val="18"/>
          <w:szCs w:val="18"/>
        </w:rPr>
      </w:pPr>
      <w:r>
        <w:rPr>
          <w:rFonts w:ascii="Calibri"/>
          <w:b/>
          <w:sz w:val="18"/>
        </w:rPr>
        <w:t>98 </w:t>
      </w:r>
      <w:r>
        <w:rPr>
          <w:rFonts w:ascii="Calibri"/>
          <w:sz w:val="18"/>
        </w:rPr>
        <w:t>/</w:t>
      </w:r>
      <w:r>
        <w:rPr>
          <w:rFonts w:ascii="Calibri"/>
          <w:spacing w:val="-4"/>
          <w:sz w:val="18"/>
        </w:rPr>
        <w:t> </w:t>
      </w:r>
      <w:r>
        <w:rPr>
          <w:rFonts w:ascii="Calibri"/>
          <w:b/>
          <w:sz w:val="18"/>
        </w:rPr>
        <w:t>114</w:t>
      </w:r>
      <w:r>
        <w:rPr>
          <w:rFonts w:ascii="Calibri"/>
          <w:sz w:val="18"/>
        </w:rPr>
      </w:r>
    </w:p>
    <w:p>
      <w:pPr>
        <w:spacing w:after="0" w:line="177" w:lineRule="exact"/>
        <w:jc w:val="center"/>
        <w:rPr>
          <w:rFonts w:ascii="Calibri" w:hAnsi="Calibri" w:cs="Calibri" w:eastAsia="Calibri" w:hint="default"/>
          <w:sz w:val="18"/>
          <w:szCs w:val="18"/>
        </w:rPr>
        <w:sectPr>
          <w:headerReference w:type="default" r:id="rId42"/>
          <w:footerReference w:type="default" r:id="rId43"/>
          <w:pgSz w:w="11900" w:h="16850"/>
          <w:pgMar w:header="762" w:footer="0" w:top="1080" w:bottom="280" w:left="1480" w:right="900"/>
        </w:sectPr>
      </w:pPr>
    </w:p>
    <w:p>
      <w:pPr>
        <w:spacing w:before="27"/>
        <w:ind w:left="6751" w:right="7222"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356" w:right="0" w:firstLine="0"/>
        <w:rPr>
          <w:rFonts w:ascii="宋体" w:hAnsi="宋体" w:cs="宋体" w:eastAsia="宋体" w:hint="default"/>
          <w:sz w:val="2"/>
          <w:szCs w:val="2"/>
        </w:rPr>
      </w:pPr>
      <w:r>
        <w:rPr>
          <w:rFonts w:ascii="宋体" w:hAnsi="宋体" w:cs="宋体" w:eastAsia="宋体" w:hint="default"/>
          <w:sz w:val="2"/>
          <w:szCs w:val="2"/>
        </w:rPr>
        <w:pict>
          <v:group style="width:688.7pt;height:.75pt;mso-position-horizontal-relative:char;mso-position-vertical-relative:line" coordorigin="0,0" coordsize="13774,15">
            <v:group style="position:absolute;left:7;top:7;width:13760;height:2" coordorigin="7,7" coordsize="13760,2">
              <v:shape style="position:absolute;left:7;top:7;width:13760;height:2" coordorigin="7,7" coordsize="13760,0" path="m7,7l1376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2"/>
        <w:tabs>
          <w:tab w:pos="1036" w:val="left" w:leader="none"/>
        </w:tabs>
        <w:spacing w:line="240" w:lineRule="auto"/>
        <w:ind w:left="392" w:right="0"/>
        <w:jc w:val="left"/>
        <w:rPr>
          <w:b w:val="0"/>
          <w:bCs w:val="0"/>
        </w:rPr>
      </w:pPr>
      <w:r>
        <w:rPr>
          <w:rFonts w:ascii="宋体" w:hAnsi="宋体" w:cs="宋体" w:eastAsia="宋体" w:hint="default"/>
          <w:w w:val="95"/>
        </w:rPr>
        <w:t>(4).</w:t>
        <w:tab/>
      </w:r>
      <w:r>
        <w:rPr/>
        <w:t>重要非全资子公司的主要财务信息</w:t>
      </w:r>
      <w:r>
        <w:rPr>
          <w:b w:val="0"/>
          <w:bCs w:val="0"/>
        </w:rPr>
      </w:r>
    </w:p>
    <w:p>
      <w:pPr>
        <w:pStyle w:val="BodyText"/>
        <w:tabs>
          <w:tab w:pos="945" w:val="left" w:leader="none"/>
        </w:tabs>
        <w:spacing w:line="240" w:lineRule="auto" w:before="56"/>
        <w:ind w:left="0" w:right="120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558"/>
        <w:gridCol w:w="1308"/>
        <w:gridCol w:w="1306"/>
        <w:gridCol w:w="1308"/>
        <w:gridCol w:w="1236"/>
        <w:gridCol w:w="380"/>
        <w:gridCol w:w="1241"/>
        <w:gridCol w:w="1234"/>
        <w:gridCol w:w="1306"/>
        <w:gridCol w:w="1303"/>
        <w:gridCol w:w="1234"/>
        <w:gridCol w:w="379"/>
        <w:gridCol w:w="1234"/>
      </w:tblGrid>
      <w:tr>
        <w:trPr>
          <w:trHeight w:val="252" w:hRule="exact"/>
        </w:trPr>
        <w:tc>
          <w:tcPr>
            <w:tcW w:w="1558" w:type="dxa"/>
            <w:vMerge w:val="restart"/>
            <w:tcBorders>
              <w:top w:val="single" w:sz="4" w:space="0" w:color="000000"/>
              <w:left w:val="single" w:sz="4"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left="405" w:right="0"/>
              <w:jc w:val="left"/>
              <w:rPr>
                <w:rFonts w:ascii="宋体" w:hAnsi="宋体" w:cs="宋体" w:eastAsia="宋体" w:hint="default"/>
                <w:sz w:val="15"/>
                <w:szCs w:val="15"/>
              </w:rPr>
            </w:pPr>
            <w:r>
              <w:rPr>
                <w:rFonts w:ascii="宋体" w:hAnsi="宋体" w:cs="宋体" w:eastAsia="宋体" w:hint="default"/>
                <w:sz w:val="15"/>
                <w:szCs w:val="15"/>
              </w:rPr>
              <w:t>子公司名称</w:t>
            </w:r>
          </w:p>
        </w:tc>
        <w:tc>
          <w:tcPr>
            <w:tcW w:w="6779" w:type="dxa"/>
            <w:gridSpan w:val="6"/>
            <w:tcBorders>
              <w:top w:val="single" w:sz="4" w:space="0" w:color="000000"/>
              <w:left w:val="single" w:sz="6" w:space="0" w:color="000000"/>
              <w:bottom w:val="single" w:sz="6" w:space="0" w:color="000000"/>
              <w:right w:val="single" w:sz="6" w:space="0" w:color="000000"/>
            </w:tcBorders>
          </w:tcPr>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6690" w:type="dxa"/>
            <w:gridSpan w:val="6"/>
            <w:tcBorders>
              <w:top w:val="single" w:sz="4" w:space="0" w:color="000000"/>
              <w:left w:val="single" w:sz="6" w:space="0" w:color="000000"/>
              <w:bottom w:val="single" w:sz="6" w:space="0" w:color="000000"/>
              <w:right w:val="single" w:sz="4" w:space="0" w:color="000000"/>
            </w:tcBorders>
          </w:tcPr>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600" w:hRule="exact"/>
        </w:trPr>
        <w:tc>
          <w:tcPr>
            <w:tcW w:w="1558" w:type="dxa"/>
            <w:vMerge/>
            <w:tcBorders>
              <w:left w:val="single" w:sz="4"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流动资产</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6" w:right="0"/>
              <w:jc w:val="center"/>
              <w:rPr>
                <w:rFonts w:ascii="宋体" w:hAnsi="宋体" w:cs="宋体" w:eastAsia="宋体" w:hint="default"/>
                <w:sz w:val="15"/>
                <w:szCs w:val="15"/>
              </w:rPr>
            </w:pPr>
            <w:r>
              <w:rPr>
                <w:rFonts w:ascii="宋体" w:hAnsi="宋体" w:cs="宋体" w:eastAsia="宋体" w:hint="default"/>
                <w:sz w:val="15"/>
                <w:szCs w:val="15"/>
              </w:rPr>
              <w:t>非流动资产</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资产合计</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流动负债</w:t>
            </w:r>
          </w:p>
        </w:tc>
        <w:tc>
          <w:tcPr>
            <w:tcW w:w="380"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left="59" w:right="0"/>
              <w:jc w:val="left"/>
              <w:rPr>
                <w:rFonts w:ascii="宋体" w:hAnsi="宋体" w:cs="宋体" w:eastAsia="宋体" w:hint="default"/>
                <w:sz w:val="15"/>
                <w:szCs w:val="15"/>
              </w:rPr>
            </w:pPr>
            <w:r>
              <w:rPr>
                <w:rFonts w:ascii="宋体" w:hAnsi="宋体" w:cs="宋体" w:eastAsia="宋体" w:hint="default"/>
                <w:sz w:val="15"/>
                <w:szCs w:val="15"/>
              </w:rPr>
              <w:t>非流</w:t>
            </w:r>
          </w:p>
          <w:p>
            <w:pPr>
              <w:pStyle w:val="TableParagraph"/>
              <w:spacing w:line="240" w:lineRule="auto"/>
              <w:ind w:left="134" w:right="0" w:hanging="75"/>
              <w:jc w:val="left"/>
              <w:rPr>
                <w:rFonts w:ascii="宋体" w:hAnsi="宋体" w:cs="宋体" w:eastAsia="宋体" w:hint="default"/>
                <w:sz w:val="15"/>
                <w:szCs w:val="15"/>
              </w:rPr>
            </w:pPr>
            <w:r>
              <w:rPr>
                <w:rFonts w:ascii="宋体" w:hAnsi="宋体" w:cs="宋体" w:eastAsia="宋体" w:hint="default"/>
                <w:sz w:val="15"/>
                <w:szCs w:val="15"/>
              </w:rPr>
              <w:t>动负</w:t>
            </w:r>
            <w:r>
              <w:rPr>
                <w:rFonts w:ascii="宋体" w:hAnsi="宋体" w:cs="宋体" w:eastAsia="宋体" w:hint="default"/>
                <w:spacing w:val="-73"/>
                <w:sz w:val="15"/>
                <w:szCs w:val="15"/>
              </w:rPr>
              <w:t> </w:t>
            </w:r>
            <w:r>
              <w:rPr>
                <w:rFonts w:ascii="宋体" w:hAnsi="宋体" w:cs="宋体" w:eastAsia="宋体" w:hint="default"/>
                <w:sz w:val="15"/>
                <w:szCs w:val="15"/>
              </w:rPr>
              <w:t>债</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负债合计</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流动资产</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1" w:right="0"/>
              <w:jc w:val="center"/>
              <w:rPr>
                <w:rFonts w:ascii="宋体" w:hAnsi="宋体" w:cs="宋体" w:eastAsia="宋体" w:hint="default"/>
                <w:sz w:val="15"/>
                <w:szCs w:val="15"/>
              </w:rPr>
            </w:pPr>
            <w:r>
              <w:rPr>
                <w:rFonts w:ascii="宋体" w:hAnsi="宋体" w:cs="宋体" w:eastAsia="宋体" w:hint="default"/>
                <w:sz w:val="15"/>
                <w:szCs w:val="15"/>
              </w:rPr>
              <w:t>非流动资产</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资产合计</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流动负债</w:t>
            </w:r>
          </w:p>
        </w:tc>
        <w:tc>
          <w:tcPr>
            <w:tcW w:w="379"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left="62" w:right="-1"/>
              <w:jc w:val="left"/>
              <w:rPr>
                <w:rFonts w:ascii="宋体" w:hAnsi="宋体" w:cs="宋体" w:eastAsia="宋体" w:hint="default"/>
                <w:sz w:val="15"/>
                <w:szCs w:val="15"/>
              </w:rPr>
            </w:pPr>
            <w:r>
              <w:rPr>
                <w:rFonts w:ascii="宋体" w:hAnsi="宋体" w:cs="宋体" w:eastAsia="宋体" w:hint="default"/>
                <w:sz w:val="15"/>
                <w:szCs w:val="15"/>
              </w:rPr>
              <w:t>非流</w:t>
            </w:r>
          </w:p>
          <w:p>
            <w:pPr>
              <w:pStyle w:val="TableParagraph"/>
              <w:spacing w:line="240" w:lineRule="auto"/>
              <w:ind w:left="136" w:right="-1" w:hanging="75"/>
              <w:jc w:val="left"/>
              <w:rPr>
                <w:rFonts w:ascii="宋体" w:hAnsi="宋体" w:cs="宋体" w:eastAsia="宋体" w:hint="default"/>
                <w:sz w:val="15"/>
                <w:szCs w:val="15"/>
              </w:rPr>
            </w:pPr>
            <w:r>
              <w:rPr>
                <w:rFonts w:ascii="宋体" w:hAnsi="宋体" w:cs="宋体" w:eastAsia="宋体" w:hint="default"/>
                <w:sz w:val="15"/>
                <w:szCs w:val="15"/>
              </w:rPr>
              <w:t>动负</w:t>
            </w:r>
            <w:r>
              <w:rPr>
                <w:rFonts w:ascii="宋体" w:hAnsi="宋体" w:cs="宋体" w:eastAsia="宋体" w:hint="default"/>
                <w:spacing w:val="-73"/>
                <w:sz w:val="15"/>
                <w:szCs w:val="15"/>
              </w:rPr>
              <w:t> </w:t>
            </w:r>
            <w:r>
              <w:rPr>
                <w:rFonts w:ascii="宋体" w:hAnsi="宋体" w:cs="宋体" w:eastAsia="宋体" w:hint="default"/>
                <w:sz w:val="15"/>
                <w:szCs w:val="15"/>
              </w:rPr>
              <w:t>债</w:t>
            </w:r>
          </w:p>
        </w:tc>
        <w:tc>
          <w:tcPr>
            <w:tcW w:w="12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负债合计</w:t>
            </w:r>
          </w:p>
        </w:tc>
      </w:tr>
      <w:tr>
        <w:trPr>
          <w:trHeight w:val="401" w:hRule="exact"/>
        </w:trPr>
        <w:tc>
          <w:tcPr>
            <w:tcW w:w="1558" w:type="dxa"/>
            <w:tcBorders>
              <w:top w:val="single" w:sz="6" w:space="0" w:color="000000"/>
              <w:left w:val="single" w:sz="4" w:space="0" w:color="000000"/>
              <w:bottom w:val="single" w:sz="4" w:space="0" w:color="000000"/>
              <w:right w:val="single" w:sz="6"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锦州港现代粮食物</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流有限公司</w:t>
            </w:r>
          </w:p>
        </w:tc>
        <w:tc>
          <w:tcPr>
            <w:tcW w:w="1308"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46" w:right="0"/>
              <w:jc w:val="center"/>
              <w:rPr>
                <w:rFonts w:ascii="宋体" w:hAnsi="宋体" w:cs="宋体" w:eastAsia="宋体" w:hint="default"/>
                <w:sz w:val="15"/>
                <w:szCs w:val="15"/>
              </w:rPr>
            </w:pPr>
            <w:r>
              <w:rPr>
                <w:rFonts w:ascii="宋体"/>
                <w:sz w:val="15"/>
              </w:rPr>
              <w:t>104,524,622.86</w:t>
            </w:r>
          </w:p>
        </w:tc>
        <w:tc>
          <w:tcPr>
            <w:tcW w:w="1306"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43" w:right="0"/>
              <w:jc w:val="center"/>
              <w:rPr>
                <w:rFonts w:ascii="宋体" w:hAnsi="宋体" w:cs="宋体" w:eastAsia="宋体" w:hint="default"/>
                <w:sz w:val="15"/>
                <w:szCs w:val="15"/>
              </w:rPr>
            </w:pPr>
            <w:r>
              <w:rPr>
                <w:rFonts w:ascii="宋体"/>
                <w:sz w:val="15"/>
              </w:rPr>
              <w:t>487,119,880.09</w:t>
            </w:r>
          </w:p>
        </w:tc>
        <w:tc>
          <w:tcPr>
            <w:tcW w:w="1308"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46" w:right="0"/>
              <w:jc w:val="center"/>
              <w:rPr>
                <w:rFonts w:ascii="宋体" w:hAnsi="宋体" w:cs="宋体" w:eastAsia="宋体" w:hint="default"/>
                <w:sz w:val="15"/>
                <w:szCs w:val="15"/>
              </w:rPr>
            </w:pPr>
            <w:r>
              <w:rPr>
                <w:rFonts w:ascii="宋体"/>
                <w:sz w:val="15"/>
              </w:rPr>
              <w:t>591,644,502.95</w:t>
            </w:r>
          </w:p>
        </w:tc>
        <w:tc>
          <w:tcPr>
            <w:tcW w:w="1236"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51" w:right="0"/>
              <w:jc w:val="center"/>
              <w:rPr>
                <w:rFonts w:ascii="宋体" w:hAnsi="宋体" w:cs="宋体" w:eastAsia="宋体" w:hint="default"/>
                <w:sz w:val="15"/>
                <w:szCs w:val="15"/>
              </w:rPr>
            </w:pPr>
            <w:r>
              <w:rPr>
                <w:rFonts w:ascii="宋体"/>
                <w:sz w:val="15"/>
              </w:rPr>
              <w:t>87,470,984.19</w:t>
            </w:r>
          </w:p>
        </w:tc>
        <w:tc>
          <w:tcPr>
            <w:tcW w:w="380" w:type="dxa"/>
            <w:tcBorders>
              <w:top w:val="single" w:sz="6" w:space="0" w:color="000000"/>
              <w:left w:val="single" w:sz="6" w:space="0" w:color="000000"/>
              <w:bottom w:val="single" w:sz="4" w:space="0" w:color="000000"/>
              <w:right w:val="single" w:sz="6" w:space="0" w:color="000000"/>
            </w:tcBorders>
          </w:tcPr>
          <w:p>
            <w:pPr/>
          </w:p>
        </w:tc>
        <w:tc>
          <w:tcPr>
            <w:tcW w:w="1241"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51" w:right="0"/>
              <w:jc w:val="center"/>
              <w:rPr>
                <w:rFonts w:ascii="宋体" w:hAnsi="宋体" w:cs="宋体" w:eastAsia="宋体" w:hint="default"/>
                <w:sz w:val="15"/>
                <w:szCs w:val="15"/>
              </w:rPr>
            </w:pPr>
            <w:r>
              <w:rPr>
                <w:rFonts w:ascii="宋体"/>
                <w:sz w:val="15"/>
              </w:rPr>
              <w:t>87,470,984.19</w:t>
            </w:r>
          </w:p>
        </w:tc>
        <w:tc>
          <w:tcPr>
            <w:tcW w:w="1234"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48" w:right="0"/>
              <w:jc w:val="center"/>
              <w:rPr>
                <w:rFonts w:ascii="宋体" w:hAnsi="宋体" w:cs="宋体" w:eastAsia="宋体" w:hint="default"/>
                <w:sz w:val="15"/>
                <w:szCs w:val="15"/>
              </w:rPr>
            </w:pPr>
            <w:r>
              <w:rPr>
                <w:rFonts w:ascii="宋体"/>
                <w:sz w:val="15"/>
              </w:rPr>
              <w:t>54,087,455.56</w:t>
            </w:r>
          </w:p>
        </w:tc>
        <w:tc>
          <w:tcPr>
            <w:tcW w:w="1306"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38" w:right="0"/>
              <w:jc w:val="center"/>
              <w:rPr>
                <w:rFonts w:ascii="宋体" w:hAnsi="宋体" w:cs="宋体" w:eastAsia="宋体" w:hint="default"/>
                <w:sz w:val="15"/>
                <w:szCs w:val="15"/>
              </w:rPr>
            </w:pPr>
            <w:r>
              <w:rPr>
                <w:rFonts w:ascii="宋体"/>
                <w:sz w:val="15"/>
              </w:rPr>
              <w:t>513,687,461.32</w:t>
            </w:r>
          </w:p>
        </w:tc>
        <w:tc>
          <w:tcPr>
            <w:tcW w:w="1303"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36" w:right="0"/>
              <w:jc w:val="center"/>
              <w:rPr>
                <w:rFonts w:ascii="宋体" w:hAnsi="宋体" w:cs="宋体" w:eastAsia="宋体" w:hint="default"/>
                <w:sz w:val="15"/>
                <w:szCs w:val="15"/>
              </w:rPr>
            </w:pPr>
            <w:r>
              <w:rPr>
                <w:rFonts w:ascii="宋体"/>
                <w:sz w:val="15"/>
              </w:rPr>
              <w:t>567,774,916.88</w:t>
            </w:r>
          </w:p>
        </w:tc>
        <w:tc>
          <w:tcPr>
            <w:tcW w:w="1234"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48" w:right="0"/>
              <w:jc w:val="center"/>
              <w:rPr>
                <w:rFonts w:ascii="宋体" w:hAnsi="宋体" w:cs="宋体" w:eastAsia="宋体" w:hint="default"/>
                <w:sz w:val="15"/>
                <w:szCs w:val="15"/>
              </w:rPr>
            </w:pPr>
            <w:r>
              <w:rPr>
                <w:rFonts w:ascii="宋体"/>
                <w:sz w:val="15"/>
              </w:rPr>
              <w:t>67,036,931.90</w:t>
            </w:r>
          </w:p>
        </w:tc>
        <w:tc>
          <w:tcPr>
            <w:tcW w:w="379" w:type="dxa"/>
            <w:tcBorders>
              <w:top w:val="single" w:sz="6" w:space="0" w:color="000000"/>
              <w:left w:val="single" w:sz="6" w:space="0" w:color="000000"/>
              <w:bottom w:val="single" w:sz="4" w:space="0" w:color="000000"/>
              <w:right w:val="single" w:sz="6" w:space="0" w:color="000000"/>
            </w:tcBorders>
          </w:tcPr>
          <w:p>
            <w:pPr/>
          </w:p>
        </w:tc>
        <w:tc>
          <w:tcPr>
            <w:tcW w:w="1234" w:type="dxa"/>
            <w:tcBorders>
              <w:top w:val="single" w:sz="6" w:space="0" w:color="000000"/>
              <w:left w:val="single" w:sz="6" w:space="0" w:color="000000"/>
              <w:bottom w:val="single" w:sz="4" w:space="0" w:color="000000"/>
              <w:right w:val="single" w:sz="4" w:space="0" w:color="000000"/>
            </w:tcBorders>
          </w:tcPr>
          <w:p>
            <w:pPr>
              <w:pStyle w:val="TableParagraph"/>
              <w:spacing w:line="172" w:lineRule="exact"/>
              <w:ind w:left="41" w:right="0"/>
              <w:jc w:val="center"/>
              <w:rPr>
                <w:rFonts w:ascii="宋体" w:hAnsi="宋体" w:cs="宋体" w:eastAsia="宋体" w:hint="default"/>
                <w:sz w:val="15"/>
                <w:szCs w:val="15"/>
              </w:rPr>
            </w:pPr>
            <w:r>
              <w:rPr>
                <w:rFonts w:ascii="宋体"/>
                <w:sz w:val="15"/>
              </w:rPr>
              <w:t>67,036,931.90</w:t>
            </w:r>
          </w:p>
        </w:tc>
      </w:tr>
    </w:tbl>
    <w:p>
      <w:pPr>
        <w:spacing w:line="240" w:lineRule="auto" w:before="12"/>
        <w:rPr>
          <w:rFonts w:ascii="宋体" w:hAnsi="宋体" w:cs="宋体" w:eastAsia="宋体"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2410"/>
        <w:gridCol w:w="1935"/>
        <w:gridCol w:w="1702"/>
        <w:gridCol w:w="1702"/>
        <w:gridCol w:w="1831"/>
        <w:gridCol w:w="1556"/>
        <w:gridCol w:w="1313"/>
        <w:gridCol w:w="1325"/>
        <w:gridCol w:w="1310"/>
      </w:tblGrid>
      <w:tr>
        <w:trPr>
          <w:trHeight w:val="252" w:hRule="exact"/>
        </w:trPr>
        <w:tc>
          <w:tcPr>
            <w:tcW w:w="2410" w:type="dxa"/>
            <w:vMerge w:val="restart"/>
            <w:tcBorders>
              <w:top w:val="single" w:sz="4" w:space="0" w:color="000000"/>
              <w:left w:val="single" w:sz="4"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center"/>
              <w:rPr>
                <w:rFonts w:ascii="宋体" w:hAnsi="宋体" w:cs="宋体" w:eastAsia="宋体" w:hint="default"/>
                <w:sz w:val="15"/>
                <w:szCs w:val="15"/>
              </w:rPr>
            </w:pPr>
            <w:r>
              <w:rPr>
                <w:rFonts w:ascii="宋体" w:hAnsi="宋体" w:cs="宋体" w:eastAsia="宋体" w:hint="default"/>
                <w:sz w:val="15"/>
                <w:szCs w:val="15"/>
              </w:rPr>
              <w:t>子公司名称</w:t>
            </w:r>
          </w:p>
        </w:tc>
        <w:tc>
          <w:tcPr>
            <w:tcW w:w="7170" w:type="dxa"/>
            <w:gridSpan w:val="4"/>
            <w:tcBorders>
              <w:top w:val="single" w:sz="4" w:space="0" w:color="000000"/>
              <w:left w:val="single" w:sz="6" w:space="0" w:color="000000"/>
              <w:bottom w:val="single" w:sz="6" w:space="0" w:color="000000"/>
              <w:right w:val="single" w:sz="6" w:space="0" w:color="000000"/>
            </w:tcBorders>
          </w:tcPr>
          <w:p>
            <w:pPr>
              <w:pStyle w:val="TableParagraph"/>
              <w:spacing w:line="179" w:lineRule="exact"/>
              <w:ind w:left="21" w:right="0"/>
              <w:jc w:val="center"/>
              <w:rPr>
                <w:rFonts w:ascii="宋体" w:hAnsi="宋体" w:cs="宋体" w:eastAsia="宋体" w:hint="default"/>
                <w:sz w:val="15"/>
                <w:szCs w:val="15"/>
              </w:rPr>
            </w:pPr>
            <w:r>
              <w:rPr>
                <w:rFonts w:ascii="宋体" w:hAnsi="宋体" w:cs="宋体" w:eastAsia="宋体" w:hint="default"/>
                <w:sz w:val="15"/>
                <w:szCs w:val="15"/>
              </w:rPr>
              <w:t>本期发生额</w:t>
            </w:r>
          </w:p>
        </w:tc>
        <w:tc>
          <w:tcPr>
            <w:tcW w:w="5504" w:type="dxa"/>
            <w:gridSpan w:val="4"/>
            <w:tcBorders>
              <w:top w:val="single" w:sz="4" w:space="0" w:color="000000"/>
              <w:left w:val="single" w:sz="6" w:space="0" w:color="000000"/>
              <w:bottom w:val="single" w:sz="6" w:space="0" w:color="000000"/>
              <w:right w:val="single" w:sz="4" w:space="0" w:color="000000"/>
            </w:tcBorders>
          </w:tcPr>
          <w:p>
            <w:pPr>
              <w:pStyle w:val="TableParagraph"/>
              <w:spacing w:line="179" w:lineRule="exact"/>
              <w:ind w:left="14" w:right="0"/>
              <w:jc w:val="center"/>
              <w:rPr>
                <w:rFonts w:ascii="宋体" w:hAnsi="宋体" w:cs="宋体" w:eastAsia="宋体" w:hint="default"/>
                <w:sz w:val="15"/>
                <w:szCs w:val="15"/>
              </w:rPr>
            </w:pPr>
            <w:r>
              <w:rPr>
                <w:rFonts w:ascii="宋体" w:hAnsi="宋体" w:cs="宋体" w:eastAsia="宋体" w:hint="default"/>
                <w:sz w:val="15"/>
                <w:szCs w:val="15"/>
              </w:rPr>
              <w:t>上期发生额</w:t>
            </w:r>
          </w:p>
        </w:tc>
      </w:tr>
      <w:tr>
        <w:trPr>
          <w:trHeight w:val="463" w:hRule="exact"/>
        </w:trPr>
        <w:tc>
          <w:tcPr>
            <w:tcW w:w="2410" w:type="dxa"/>
            <w:vMerge/>
            <w:tcBorders>
              <w:left w:val="single" w:sz="4" w:space="0" w:color="000000"/>
              <w:bottom w:val="single" w:sz="6" w:space="0" w:color="000000"/>
              <w:right w:val="single" w:sz="6" w:space="0" w:color="000000"/>
            </w:tcBorders>
          </w:tcPr>
          <w:p>
            <w:pP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6" w:right="0"/>
              <w:jc w:val="center"/>
              <w:rPr>
                <w:rFonts w:ascii="宋体" w:hAnsi="宋体" w:cs="宋体" w:eastAsia="宋体" w:hint="default"/>
                <w:sz w:val="15"/>
                <w:szCs w:val="15"/>
              </w:rPr>
            </w:pPr>
            <w:r>
              <w:rPr>
                <w:rFonts w:ascii="宋体" w:hAnsi="宋体" w:cs="宋体" w:eastAsia="宋体" w:hint="default"/>
                <w:sz w:val="15"/>
                <w:szCs w:val="15"/>
              </w:rPr>
              <w:t>营业收入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center"/>
              <w:rPr>
                <w:rFonts w:ascii="宋体" w:hAnsi="宋体" w:cs="宋体" w:eastAsia="宋体" w:hint="default"/>
                <w:sz w:val="15"/>
                <w:szCs w:val="15"/>
              </w:rPr>
            </w:pPr>
            <w:r>
              <w:rPr>
                <w:rFonts w:ascii="宋体" w:hAnsi="宋体" w:cs="宋体" w:eastAsia="宋体" w:hint="default"/>
                <w:sz w:val="15"/>
                <w:szCs w:val="15"/>
              </w:rPr>
              <w:t>净利润</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393" w:right="0"/>
              <w:jc w:val="left"/>
              <w:rPr>
                <w:rFonts w:ascii="宋体" w:hAnsi="宋体" w:cs="宋体" w:eastAsia="宋体" w:hint="default"/>
                <w:sz w:val="15"/>
                <w:szCs w:val="15"/>
              </w:rPr>
            </w:pPr>
            <w:r>
              <w:rPr>
                <w:rFonts w:ascii="宋体" w:hAnsi="宋体" w:cs="宋体" w:eastAsia="宋体" w:hint="default"/>
                <w:sz w:val="15"/>
                <w:szCs w:val="15"/>
              </w:rPr>
              <w:t>综合收益总额</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307" w:right="0"/>
              <w:jc w:val="left"/>
              <w:rPr>
                <w:rFonts w:ascii="宋体" w:hAnsi="宋体" w:cs="宋体" w:eastAsia="宋体" w:hint="default"/>
                <w:sz w:val="15"/>
                <w:szCs w:val="15"/>
              </w:rPr>
            </w:pPr>
            <w:r>
              <w:rPr>
                <w:rFonts w:ascii="宋体" w:hAnsi="宋体" w:cs="宋体" w:eastAsia="宋体" w:hint="default"/>
                <w:sz w:val="15"/>
                <w:szCs w:val="15"/>
              </w:rPr>
              <w:t>经营活动现金流量</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70"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center"/>
              <w:rPr>
                <w:rFonts w:ascii="宋体" w:hAnsi="宋体" w:cs="宋体" w:eastAsia="宋体" w:hint="default"/>
                <w:sz w:val="15"/>
                <w:szCs w:val="15"/>
              </w:rPr>
            </w:pPr>
            <w:r>
              <w:rPr>
                <w:rFonts w:ascii="宋体" w:hAnsi="宋体" w:cs="宋体" w:eastAsia="宋体" w:hint="default"/>
                <w:sz w:val="15"/>
                <w:szCs w:val="15"/>
              </w:rPr>
              <w:t>净利润</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04" w:right="0"/>
              <w:jc w:val="left"/>
              <w:rPr>
                <w:rFonts w:ascii="宋体" w:hAnsi="宋体" w:cs="宋体" w:eastAsia="宋体" w:hint="default"/>
                <w:sz w:val="15"/>
                <w:szCs w:val="15"/>
              </w:rPr>
            </w:pPr>
            <w:r>
              <w:rPr>
                <w:rFonts w:ascii="宋体" w:hAnsi="宋体" w:cs="宋体" w:eastAsia="宋体" w:hint="default"/>
                <w:sz w:val="15"/>
                <w:szCs w:val="15"/>
              </w:rPr>
              <w:t>综合收益总额</w:t>
            </w:r>
          </w:p>
        </w:tc>
        <w:tc>
          <w:tcPr>
            <w:tcW w:w="1310"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hAnsi="宋体" w:cs="宋体" w:eastAsia="宋体" w:hint="default"/>
                <w:sz w:val="15"/>
                <w:szCs w:val="15"/>
              </w:rPr>
              <w:t>经营活动现金流</w:t>
            </w:r>
          </w:p>
          <w:p>
            <w:pPr>
              <w:pStyle w:val="TableParagraph"/>
              <w:spacing w:line="240" w:lineRule="auto" w:before="27"/>
              <w:ind w:right="0"/>
              <w:jc w:val="center"/>
              <w:rPr>
                <w:rFonts w:ascii="宋体" w:hAnsi="宋体" w:cs="宋体" w:eastAsia="宋体" w:hint="default"/>
                <w:sz w:val="15"/>
                <w:szCs w:val="15"/>
              </w:rPr>
            </w:pPr>
            <w:r>
              <w:rPr>
                <w:rFonts w:ascii="宋体" w:hAnsi="宋体" w:cs="宋体" w:eastAsia="宋体" w:hint="default"/>
                <w:w w:val="100"/>
                <w:sz w:val="15"/>
                <w:szCs w:val="15"/>
              </w:rPr>
              <w:t>量</w:t>
            </w:r>
          </w:p>
        </w:tc>
      </w:tr>
      <w:tr>
        <w:trPr>
          <w:trHeight w:val="238" w:hRule="exact"/>
        </w:trPr>
        <w:tc>
          <w:tcPr>
            <w:tcW w:w="2410" w:type="dxa"/>
            <w:tcBorders>
              <w:top w:val="single" w:sz="6" w:space="0" w:color="000000"/>
              <w:left w:val="single" w:sz="4" w:space="0" w:color="000000"/>
              <w:bottom w:val="single" w:sz="4"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锦州港现代粮食物流有限公司</w:t>
            </w:r>
          </w:p>
        </w:tc>
        <w:tc>
          <w:tcPr>
            <w:tcW w:w="1935"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770" w:right="0"/>
              <w:jc w:val="left"/>
              <w:rPr>
                <w:rFonts w:ascii="宋体" w:hAnsi="宋体" w:cs="宋体" w:eastAsia="宋体" w:hint="default"/>
                <w:sz w:val="15"/>
                <w:szCs w:val="15"/>
              </w:rPr>
            </w:pPr>
            <w:r>
              <w:rPr>
                <w:rFonts w:ascii="宋体"/>
                <w:sz w:val="15"/>
              </w:rPr>
              <w:t>404,198,587.88</w:t>
            </w:r>
          </w:p>
        </w:tc>
        <w:tc>
          <w:tcPr>
            <w:tcW w:w="1702"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688" w:right="0"/>
              <w:jc w:val="left"/>
              <w:rPr>
                <w:rFonts w:ascii="宋体" w:hAnsi="宋体" w:cs="宋体" w:eastAsia="宋体" w:hint="default"/>
                <w:sz w:val="15"/>
                <w:szCs w:val="15"/>
              </w:rPr>
            </w:pPr>
            <w:r>
              <w:rPr>
                <w:rFonts w:ascii="宋体"/>
                <w:sz w:val="15"/>
              </w:rPr>
              <w:t>2,730,413.37</w:t>
            </w:r>
          </w:p>
        </w:tc>
        <w:tc>
          <w:tcPr>
            <w:tcW w:w="1702"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686" w:right="0"/>
              <w:jc w:val="left"/>
              <w:rPr>
                <w:rFonts w:ascii="宋体" w:hAnsi="宋体" w:cs="宋体" w:eastAsia="宋体" w:hint="default"/>
                <w:sz w:val="15"/>
                <w:szCs w:val="15"/>
              </w:rPr>
            </w:pPr>
            <w:r>
              <w:rPr>
                <w:rFonts w:ascii="宋体"/>
                <w:sz w:val="15"/>
              </w:rPr>
              <w:t>2,730,413.37</w:t>
            </w:r>
          </w:p>
        </w:tc>
        <w:tc>
          <w:tcPr>
            <w:tcW w:w="1831"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741" w:right="0"/>
              <w:jc w:val="left"/>
              <w:rPr>
                <w:rFonts w:ascii="宋体" w:hAnsi="宋体" w:cs="宋体" w:eastAsia="宋体" w:hint="default"/>
                <w:sz w:val="15"/>
                <w:szCs w:val="15"/>
              </w:rPr>
            </w:pPr>
            <w:r>
              <w:rPr>
                <w:rFonts w:ascii="宋体"/>
                <w:sz w:val="15"/>
              </w:rPr>
              <w:t>11,983,209.69</w:t>
            </w:r>
          </w:p>
        </w:tc>
        <w:tc>
          <w:tcPr>
            <w:tcW w:w="1556"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391" w:right="0"/>
              <w:jc w:val="left"/>
              <w:rPr>
                <w:rFonts w:ascii="宋体" w:hAnsi="宋体" w:cs="宋体" w:eastAsia="宋体" w:hint="default"/>
                <w:sz w:val="15"/>
                <w:szCs w:val="15"/>
              </w:rPr>
            </w:pPr>
            <w:r>
              <w:rPr>
                <w:rFonts w:ascii="宋体"/>
                <w:sz w:val="15"/>
              </w:rPr>
              <w:t>158,191,941.55</w:t>
            </w:r>
          </w:p>
        </w:tc>
        <w:tc>
          <w:tcPr>
            <w:tcW w:w="1313"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127" w:right="0"/>
              <w:jc w:val="center"/>
              <w:rPr>
                <w:rFonts w:ascii="宋体" w:hAnsi="宋体" w:cs="宋体" w:eastAsia="宋体" w:hint="default"/>
                <w:sz w:val="15"/>
                <w:szCs w:val="15"/>
              </w:rPr>
            </w:pPr>
            <w:r>
              <w:rPr>
                <w:rFonts w:ascii="宋体"/>
                <w:sz w:val="15"/>
              </w:rPr>
              <w:t>43,027,915.32</w:t>
            </w:r>
          </w:p>
        </w:tc>
        <w:tc>
          <w:tcPr>
            <w:tcW w:w="1325"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235" w:right="0"/>
              <w:jc w:val="left"/>
              <w:rPr>
                <w:rFonts w:ascii="宋体" w:hAnsi="宋体" w:cs="宋体" w:eastAsia="宋体" w:hint="default"/>
                <w:sz w:val="15"/>
                <w:szCs w:val="15"/>
              </w:rPr>
            </w:pPr>
            <w:r>
              <w:rPr>
                <w:rFonts w:ascii="宋体"/>
                <w:sz w:val="15"/>
              </w:rPr>
              <w:t>43,027,915.32</w:t>
            </w:r>
          </w:p>
        </w:tc>
        <w:tc>
          <w:tcPr>
            <w:tcW w:w="1310" w:type="dxa"/>
            <w:tcBorders>
              <w:top w:val="single" w:sz="6" w:space="0" w:color="000000"/>
              <w:left w:val="single" w:sz="6" w:space="0" w:color="000000"/>
              <w:bottom w:val="single" w:sz="4" w:space="0" w:color="000000"/>
              <w:right w:val="single" w:sz="4" w:space="0" w:color="000000"/>
            </w:tcBorders>
          </w:tcPr>
          <w:p>
            <w:pPr>
              <w:pStyle w:val="TableParagraph"/>
              <w:spacing w:line="172" w:lineRule="exact"/>
              <w:ind w:left="297" w:right="0"/>
              <w:jc w:val="left"/>
              <w:rPr>
                <w:rFonts w:ascii="宋体" w:hAnsi="宋体" w:cs="宋体" w:eastAsia="宋体" w:hint="default"/>
                <w:sz w:val="15"/>
                <w:szCs w:val="15"/>
              </w:rPr>
            </w:pPr>
            <w:r>
              <w:rPr>
                <w:rFonts w:ascii="宋体"/>
                <w:sz w:val="15"/>
              </w:rPr>
              <w:t>9,902,430.24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392" w:right="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6"/>
        <w:ind w:left="392"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44"/>
          <w:footerReference w:type="default" r:id="rId45"/>
          <w:pgSz w:w="16850" w:h="11900" w:orient="landscape"/>
          <w:pgMar w:header="0" w:footer="0" w:top="660" w:bottom="280" w:left="740" w:right="780"/>
        </w:sectPr>
      </w:pPr>
    </w:p>
    <w:p>
      <w:pPr>
        <w:pStyle w:val="Heading2"/>
        <w:spacing w:line="240" w:lineRule="auto"/>
        <w:ind w:left="392" w:right="-17"/>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6"/>
        <w:ind w:left="392" w:right="-17"/>
        <w:jc w:val="left"/>
      </w:pPr>
      <w:r>
        <w:rPr/>
        <w:t>√适用 □不适用</w:t>
      </w:r>
    </w:p>
    <w:p>
      <w:pPr>
        <w:pStyle w:val="Heading2"/>
        <w:tabs>
          <w:tab w:pos="1024" w:val="left" w:leader="none"/>
        </w:tabs>
        <w:spacing w:line="240" w:lineRule="auto" w:before="58"/>
        <w:ind w:left="392" w:right="-17"/>
        <w:jc w:val="left"/>
        <w:rPr>
          <w:b w:val="0"/>
          <w:bCs w:val="0"/>
        </w:rPr>
      </w:pPr>
      <w:r>
        <w:rPr>
          <w:rFonts w:ascii="宋体" w:hAnsi="宋体" w:cs="宋体" w:eastAsia="宋体" w:hint="default"/>
          <w:w w:val="95"/>
        </w:rPr>
        <w:t>(1).</w:t>
        <w:tab/>
      </w:r>
      <w:r>
        <w:rPr/>
        <w:t>重要的合营企业或联营企业</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338" w:val="left" w:leader="none"/>
        </w:tabs>
        <w:spacing w:line="240" w:lineRule="auto"/>
        <w:ind w:left="39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50" w:h="11900" w:orient="landscape"/>
          <w:pgMar w:top="1120" w:bottom="1380" w:left="740" w:right="780"/>
          <w:cols w:num="2" w:equalWidth="0">
            <w:col w:w="3766" w:space="7857"/>
            <w:col w:w="3707"/>
          </w:cols>
        </w:sectPr>
      </w:pPr>
    </w:p>
    <w:p>
      <w:pPr>
        <w:spacing w:line="240" w:lineRule="auto" w:before="7"/>
        <w:rPr>
          <w:rFonts w:ascii="宋体" w:hAnsi="宋体" w:cs="宋体" w:eastAsia="宋体" w:hint="default"/>
          <w:sz w:val="2"/>
          <w:szCs w:val="2"/>
        </w:rPr>
      </w:pPr>
    </w:p>
    <w:tbl>
      <w:tblPr>
        <w:tblW w:w="0" w:type="auto"/>
        <w:jc w:val="left"/>
        <w:tblInd w:w="280" w:type="dxa"/>
        <w:tblLayout w:type="fixed"/>
        <w:tblCellMar>
          <w:top w:w="0" w:type="dxa"/>
          <w:left w:w="0" w:type="dxa"/>
          <w:bottom w:w="0" w:type="dxa"/>
          <w:right w:w="0" w:type="dxa"/>
        </w:tblCellMar>
        <w:tblLook w:val="01E0"/>
      </w:tblPr>
      <w:tblGrid>
        <w:gridCol w:w="2660"/>
        <w:gridCol w:w="2069"/>
        <w:gridCol w:w="1951"/>
        <w:gridCol w:w="2016"/>
        <w:gridCol w:w="2038"/>
        <w:gridCol w:w="2054"/>
        <w:gridCol w:w="1928"/>
      </w:tblGrid>
      <w:tr>
        <w:trPr>
          <w:trHeight w:val="463" w:hRule="exact"/>
        </w:trPr>
        <w:tc>
          <w:tcPr>
            <w:tcW w:w="2660" w:type="dxa"/>
            <w:vMerge w:val="restart"/>
            <w:tcBorders>
              <w:top w:val="single" w:sz="4" w:space="0" w:color="000000"/>
              <w:left w:val="single" w:sz="4"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8" w:right="0"/>
              <w:jc w:val="left"/>
              <w:rPr>
                <w:rFonts w:ascii="宋体" w:hAnsi="宋体" w:cs="宋体" w:eastAsia="宋体" w:hint="default"/>
                <w:sz w:val="21"/>
                <w:szCs w:val="21"/>
              </w:rPr>
            </w:pPr>
            <w:r>
              <w:rPr>
                <w:rFonts w:ascii="宋体" w:hAnsi="宋体" w:cs="宋体" w:eastAsia="宋体" w:hint="default"/>
                <w:sz w:val="21"/>
                <w:szCs w:val="21"/>
              </w:rPr>
              <w:t>合营企业或联营企业名称</w:t>
            </w:r>
          </w:p>
        </w:tc>
        <w:tc>
          <w:tcPr>
            <w:tcW w:w="2069" w:type="dxa"/>
            <w:vMerge w:val="restart"/>
            <w:tcBorders>
              <w:top w:val="single" w:sz="4"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03"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951" w:type="dxa"/>
            <w:vMerge w:val="restart"/>
            <w:tcBorders>
              <w:top w:val="single" w:sz="4"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2016" w:type="dxa"/>
            <w:vMerge w:val="restart"/>
            <w:tcBorders>
              <w:top w:val="single" w:sz="4"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8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4093"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54"/>
              <w:ind w:left="7" w:right="0"/>
              <w:jc w:val="center"/>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928" w:type="dxa"/>
            <w:vMerge w:val="restart"/>
            <w:tcBorders>
              <w:top w:val="single" w:sz="4" w:space="0" w:color="000000"/>
              <w:left w:val="single" w:sz="6"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对合营企业或联营</w:t>
            </w:r>
          </w:p>
          <w:p>
            <w:pPr>
              <w:pStyle w:val="TableParagraph"/>
              <w:spacing w:line="272" w:lineRule="exact" w:before="27"/>
              <w:ind w:left="641" w:right="115" w:hanging="526"/>
              <w:jc w:val="left"/>
              <w:rPr>
                <w:rFonts w:ascii="宋体" w:hAnsi="宋体" w:cs="宋体" w:eastAsia="宋体" w:hint="default"/>
                <w:sz w:val="21"/>
                <w:szCs w:val="21"/>
              </w:rPr>
            </w:pPr>
            <w:r>
              <w:rPr>
                <w:rFonts w:ascii="宋体" w:hAnsi="宋体" w:cs="宋体" w:eastAsia="宋体" w:hint="default"/>
                <w:sz w:val="21"/>
                <w:szCs w:val="21"/>
              </w:rPr>
              <w:t>企业投资的会计处</w:t>
            </w:r>
            <w:r>
              <w:rPr>
                <w:rFonts w:ascii="宋体" w:hAnsi="宋体" w:cs="宋体" w:eastAsia="宋体" w:hint="default"/>
                <w:w w:val="100"/>
                <w:sz w:val="21"/>
                <w:szCs w:val="21"/>
              </w:rPr>
              <w:t> </w:t>
            </w:r>
            <w:r>
              <w:rPr>
                <w:rFonts w:ascii="宋体" w:hAnsi="宋体" w:cs="宋体" w:eastAsia="宋体" w:hint="default"/>
                <w:sz w:val="21"/>
                <w:szCs w:val="21"/>
              </w:rPr>
              <w:t>理方法</w:t>
            </w:r>
          </w:p>
        </w:tc>
      </w:tr>
      <w:tr>
        <w:trPr>
          <w:trHeight w:val="365" w:hRule="exact"/>
        </w:trPr>
        <w:tc>
          <w:tcPr>
            <w:tcW w:w="2660" w:type="dxa"/>
            <w:vMerge/>
            <w:tcBorders>
              <w:left w:val="single" w:sz="4" w:space="0" w:color="000000"/>
              <w:bottom w:val="single" w:sz="6" w:space="0" w:color="000000"/>
              <w:right w:val="single" w:sz="6" w:space="0" w:color="000000"/>
            </w:tcBorders>
          </w:tcPr>
          <w:p>
            <w:pPr/>
          </w:p>
        </w:tc>
        <w:tc>
          <w:tcPr>
            <w:tcW w:w="2069" w:type="dxa"/>
            <w:vMerge/>
            <w:tcBorders>
              <w:left w:val="single" w:sz="6" w:space="0" w:color="000000"/>
              <w:bottom w:val="single" w:sz="6" w:space="0" w:color="000000"/>
              <w:right w:val="single" w:sz="6" w:space="0" w:color="000000"/>
            </w:tcBorders>
          </w:tcPr>
          <w:p>
            <w:pPr/>
          </w:p>
        </w:tc>
        <w:tc>
          <w:tcPr>
            <w:tcW w:w="1951" w:type="dxa"/>
            <w:vMerge/>
            <w:tcBorders>
              <w:left w:val="single" w:sz="6" w:space="0" w:color="000000"/>
              <w:bottom w:val="single" w:sz="6" w:space="0" w:color="000000"/>
              <w:right w:val="single" w:sz="6" w:space="0" w:color="000000"/>
            </w:tcBorders>
          </w:tcPr>
          <w:p>
            <w:pPr/>
          </w:p>
        </w:tc>
        <w:tc>
          <w:tcPr>
            <w:tcW w:w="2016" w:type="dxa"/>
            <w:vMerge/>
            <w:tcBorders>
              <w:left w:val="single" w:sz="6" w:space="0" w:color="000000"/>
              <w:bottom w:val="single" w:sz="6" w:space="0" w:color="000000"/>
              <w:right w:val="single" w:sz="6" w:space="0" w:color="000000"/>
            </w:tcBorders>
          </w:tcPr>
          <w:p>
            <w:pP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6"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4"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928" w:type="dxa"/>
            <w:vMerge/>
            <w:tcBorders>
              <w:left w:val="single" w:sz="6" w:space="0" w:color="000000"/>
              <w:bottom w:val="single" w:sz="6" w:space="0" w:color="000000"/>
              <w:right w:val="single" w:sz="4" w:space="0" w:color="000000"/>
            </w:tcBorders>
          </w:tcPr>
          <w:p>
            <w:pPr/>
          </w:p>
        </w:tc>
      </w:tr>
      <w:tr>
        <w:trPr>
          <w:trHeight w:val="562" w:hRule="exact"/>
        </w:trPr>
        <w:tc>
          <w:tcPr>
            <w:tcW w:w="26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辽宁锦港宝地置业有限公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锦州市</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锦州市</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房地产开发、销售</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50</w:t>
            </w:r>
          </w:p>
        </w:tc>
        <w:tc>
          <w:tcPr>
            <w:tcW w:w="2054"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559" w:hRule="exact"/>
        </w:trPr>
        <w:tc>
          <w:tcPr>
            <w:tcW w:w="266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中电投锦州港口有限责任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锦州市</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锦州市</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码头、过驳锚地、港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口装卸、仓储等</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33</w:t>
            </w:r>
          </w:p>
        </w:tc>
        <w:tc>
          <w:tcPr>
            <w:tcW w:w="2054"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557" w:hRule="exact"/>
        </w:trPr>
        <w:tc>
          <w:tcPr>
            <w:tcW w:w="2660"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锦港国际贸易发展有限公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6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95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201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国际</w:t>
            </w:r>
            <w:r>
              <w:rPr>
                <w:rFonts w:ascii="宋体" w:hAnsi="宋体" w:cs="宋体" w:eastAsia="宋体" w:hint="default"/>
                <w:spacing w:val="-3"/>
                <w:w w:val="100"/>
                <w:sz w:val="21"/>
                <w:szCs w:val="21"/>
              </w:rPr>
              <w:t>贸</w:t>
            </w:r>
            <w:r>
              <w:rPr>
                <w:rFonts w:ascii="宋体" w:hAnsi="宋体" w:cs="宋体" w:eastAsia="宋体" w:hint="default"/>
                <w:w w:val="100"/>
                <w:sz w:val="21"/>
                <w:szCs w:val="21"/>
              </w:rPr>
              <w:t>易</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转</w:t>
            </w:r>
            <w:r>
              <w:rPr>
                <w:rFonts w:ascii="宋体" w:hAnsi="宋体" w:cs="宋体" w:eastAsia="宋体" w:hint="default"/>
                <w:w w:val="100"/>
                <w:sz w:val="21"/>
                <w:szCs w:val="21"/>
              </w:rPr>
              <w:t>口</w:t>
            </w:r>
            <w:r>
              <w:rPr>
                <w:rFonts w:ascii="宋体" w:hAnsi="宋体" w:cs="宋体" w:eastAsia="宋体" w:hint="default"/>
                <w:spacing w:val="-3"/>
                <w:w w:val="100"/>
                <w:sz w:val="21"/>
                <w:szCs w:val="21"/>
              </w:rPr>
              <w:t>贸</w:t>
            </w:r>
            <w:r>
              <w:rPr>
                <w:rFonts w:ascii="宋体" w:hAnsi="宋体" w:cs="宋体" w:eastAsia="宋体" w:hint="default"/>
                <w:w w:val="100"/>
                <w:sz w:val="21"/>
                <w:szCs w:val="21"/>
              </w:rPr>
              <w:t>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等</w:t>
            </w:r>
          </w:p>
        </w:tc>
        <w:tc>
          <w:tcPr>
            <w:tcW w:w="203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100</w:t>
            </w:r>
          </w:p>
        </w:tc>
        <w:tc>
          <w:tcPr>
            <w:tcW w:w="2054" w:type="dxa"/>
            <w:tcBorders>
              <w:top w:val="single" w:sz="6" w:space="0" w:color="000000"/>
              <w:left w:val="single" w:sz="6" w:space="0" w:color="000000"/>
              <w:bottom w:val="single" w:sz="4" w:space="0" w:color="000000"/>
              <w:right w:val="single" w:sz="6" w:space="0" w:color="000000"/>
            </w:tcBorders>
          </w:tcPr>
          <w:p>
            <w:pPr/>
          </w:p>
        </w:tc>
        <w:tc>
          <w:tcPr>
            <w:tcW w:w="1928"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pStyle w:val="BodyText"/>
        <w:spacing w:line="240" w:lineRule="exact"/>
        <w:ind w:left="392" w:right="0"/>
        <w:jc w:val="left"/>
      </w:pPr>
      <w:r>
        <w:rPr/>
        <w:t>说明：本公司将锦港国际贸易发展有限公司委托给本公司股东西藏海涵交通发展有限公司经营，本公司丧失控制权。本公司已委派一名董事参与被投</w:t>
      </w:r>
    </w:p>
    <w:p>
      <w:pPr>
        <w:pStyle w:val="BodyText"/>
        <w:spacing w:line="274" w:lineRule="exact"/>
        <w:ind w:left="392" w:right="0"/>
        <w:jc w:val="left"/>
      </w:pPr>
      <w:r>
        <w:rPr/>
        <w:t>资单位的经营决策，对被投资单位具有重大影响。详见附注“关联交易情况”。</w:t>
      </w:r>
    </w:p>
    <w:p>
      <w:pPr>
        <w:spacing w:before="78"/>
        <w:ind w:left="6751" w:right="7200" w:firstLine="0"/>
        <w:jc w:val="center"/>
        <w:rPr>
          <w:rFonts w:ascii="Calibri" w:hAnsi="Calibri" w:cs="Calibri" w:eastAsia="Calibri" w:hint="default"/>
          <w:sz w:val="18"/>
          <w:szCs w:val="18"/>
        </w:rPr>
      </w:pPr>
      <w:r>
        <w:rPr>
          <w:rFonts w:ascii="Calibri"/>
          <w:b/>
          <w:sz w:val="18"/>
        </w:rPr>
        <w:t>99 </w:t>
      </w:r>
      <w:r>
        <w:rPr>
          <w:rFonts w:ascii="Calibri"/>
          <w:sz w:val="18"/>
        </w:rPr>
        <w:t>/</w:t>
      </w:r>
      <w:r>
        <w:rPr>
          <w:rFonts w:ascii="Calibri"/>
          <w:spacing w:val="-4"/>
          <w:sz w:val="18"/>
        </w:rPr>
        <w:t> </w:t>
      </w:r>
      <w:r>
        <w:rPr>
          <w:rFonts w:ascii="Calibri"/>
          <w:b/>
          <w:sz w:val="18"/>
        </w:rPr>
        <w:t>114</w:t>
      </w:r>
      <w:r>
        <w:rPr>
          <w:rFonts w:ascii="Calibri"/>
          <w:sz w:val="18"/>
        </w:rPr>
      </w:r>
    </w:p>
    <w:p>
      <w:pPr>
        <w:spacing w:after="0"/>
        <w:jc w:val="center"/>
        <w:rPr>
          <w:rFonts w:ascii="Calibri" w:hAnsi="Calibri" w:cs="Calibri" w:eastAsia="Calibri" w:hint="default"/>
          <w:sz w:val="18"/>
          <w:szCs w:val="18"/>
        </w:rPr>
        <w:sectPr>
          <w:type w:val="continuous"/>
          <w:pgSz w:w="16850" w:h="11900" w:orient="landscape"/>
          <w:pgMar w:top="1120" w:bottom="1380" w:left="740" w:right="7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5"/>
        <w:rPr>
          <w:rFonts w:ascii="Calibri" w:hAnsi="Calibri" w:cs="Calibri" w:eastAsia="Calibri" w:hint="default"/>
          <w:b/>
          <w:bCs/>
          <w:sz w:val="19"/>
          <w:szCs w:val="19"/>
        </w:rPr>
      </w:pPr>
    </w:p>
    <w:p>
      <w:pPr>
        <w:pStyle w:val="Heading2"/>
        <w:tabs>
          <w:tab w:pos="853" w:val="left" w:leader="none"/>
        </w:tabs>
        <w:spacing w:line="240" w:lineRule="auto"/>
        <w:ind w:left="222" w:right="0"/>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tabs>
          <w:tab w:pos="945" w:val="left" w:leader="none"/>
        </w:tabs>
        <w:spacing w:line="240" w:lineRule="auto" w:before="58"/>
        <w:ind w:left="0" w:right="226"/>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512"/>
        <w:gridCol w:w="2832"/>
        <w:gridCol w:w="2939"/>
      </w:tblGrid>
      <w:tr>
        <w:trPr>
          <w:trHeight w:val="286" w:hRule="exact"/>
        </w:trPr>
        <w:tc>
          <w:tcPr>
            <w:tcW w:w="3512" w:type="dxa"/>
            <w:vMerge w:val="restart"/>
            <w:tcBorders>
              <w:top w:val="single" w:sz="4" w:space="0" w:color="000000"/>
              <w:left w:val="single" w:sz="4" w:space="0" w:color="000000"/>
              <w:right w:val="single" w:sz="6" w:space="0" w:color="000000"/>
            </w:tcBorders>
          </w:tcPr>
          <w:p>
            <w:pPr/>
          </w:p>
        </w:tc>
        <w:tc>
          <w:tcPr>
            <w:tcW w:w="2832"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2939"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1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上期发生额</w:t>
            </w:r>
          </w:p>
        </w:tc>
      </w:tr>
      <w:tr>
        <w:trPr>
          <w:trHeight w:val="286" w:hRule="exact"/>
        </w:trPr>
        <w:tc>
          <w:tcPr>
            <w:tcW w:w="3512" w:type="dxa"/>
            <w:vMerge/>
            <w:tcBorders>
              <w:left w:val="single" w:sz="4" w:space="0" w:color="000000"/>
              <w:bottom w:val="single" w:sz="6" w:space="0" w:color="000000"/>
              <w:right w:val="single" w:sz="6" w:space="0" w:color="000000"/>
            </w:tcBorders>
          </w:tcPr>
          <w:p>
            <w:pP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6"/>
              <w:jc w:val="right"/>
              <w:rPr>
                <w:rFonts w:ascii="宋体" w:hAnsi="宋体" w:cs="宋体" w:eastAsia="宋体" w:hint="default"/>
                <w:sz w:val="21"/>
                <w:szCs w:val="21"/>
              </w:rPr>
            </w:pPr>
            <w:r>
              <w:rPr>
                <w:rFonts w:ascii="宋体" w:hAnsi="宋体" w:cs="宋体" w:eastAsia="宋体" w:hint="default"/>
                <w:spacing w:val="-2"/>
                <w:sz w:val="21"/>
                <w:szCs w:val="21"/>
              </w:rPr>
              <w:t>辽宁锦港宝地置业有限公司</w:t>
            </w:r>
          </w:p>
        </w:tc>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辽宁锦港宝地置业有限公司</w:t>
            </w:r>
          </w:p>
        </w:tc>
      </w:tr>
      <w:tr>
        <w:trPr>
          <w:trHeight w:val="288" w:hRule="exact"/>
        </w:trPr>
        <w:tc>
          <w:tcPr>
            <w:tcW w:w="351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843,636,259.92</w:t>
            </w:r>
          </w:p>
        </w:tc>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994,774,550.52</w:t>
            </w:r>
          </w:p>
        </w:tc>
      </w:tr>
      <w:tr>
        <w:trPr>
          <w:trHeight w:val="288" w:hRule="exact"/>
        </w:trPr>
        <w:tc>
          <w:tcPr>
            <w:tcW w:w="351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8,892,143.39</w:t>
            </w:r>
          </w:p>
        </w:tc>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12,927,713.47</w:t>
            </w:r>
          </w:p>
        </w:tc>
      </w:tr>
      <w:tr>
        <w:trPr>
          <w:trHeight w:val="288" w:hRule="exact"/>
        </w:trPr>
        <w:tc>
          <w:tcPr>
            <w:tcW w:w="351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1,531,278.94</w:t>
            </w:r>
          </w:p>
        </w:tc>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3,328,857.98</w:t>
            </w:r>
          </w:p>
        </w:tc>
      </w:tr>
      <w:tr>
        <w:trPr>
          <w:trHeight w:val="286" w:hRule="exact"/>
        </w:trPr>
        <w:tc>
          <w:tcPr>
            <w:tcW w:w="351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845,167,538.86</w:t>
            </w:r>
          </w:p>
        </w:tc>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998,103,408.50</w:t>
            </w:r>
          </w:p>
        </w:tc>
      </w:tr>
      <w:tr>
        <w:trPr>
          <w:trHeight w:val="289" w:hRule="exact"/>
        </w:trPr>
        <w:tc>
          <w:tcPr>
            <w:tcW w:w="351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612,827,209.72</w:t>
            </w:r>
          </w:p>
        </w:tc>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662,419,864.72</w:t>
            </w:r>
          </w:p>
        </w:tc>
      </w:tr>
      <w:tr>
        <w:trPr>
          <w:trHeight w:val="288" w:hRule="exact"/>
        </w:trPr>
        <w:tc>
          <w:tcPr>
            <w:tcW w:w="351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107,200,000.00</w:t>
            </w:r>
          </w:p>
        </w:tc>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212,830,000.00</w:t>
            </w:r>
          </w:p>
        </w:tc>
      </w:tr>
      <w:tr>
        <w:trPr>
          <w:trHeight w:val="286" w:hRule="exact"/>
        </w:trPr>
        <w:tc>
          <w:tcPr>
            <w:tcW w:w="351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720,027,209.72</w:t>
            </w:r>
          </w:p>
        </w:tc>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875,249,864.72</w:t>
            </w:r>
          </w:p>
        </w:tc>
      </w:tr>
      <w:tr>
        <w:trPr>
          <w:trHeight w:val="288" w:hRule="exact"/>
        </w:trPr>
        <w:tc>
          <w:tcPr>
            <w:tcW w:w="351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62,570,164.57</w:t>
            </w:r>
          </w:p>
        </w:tc>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61,426,771.89</w:t>
            </w:r>
          </w:p>
        </w:tc>
      </w:tr>
      <w:tr>
        <w:trPr>
          <w:trHeight w:val="288" w:hRule="exact"/>
        </w:trPr>
        <w:tc>
          <w:tcPr>
            <w:tcW w:w="351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5,623,063.19</w:t>
            </w:r>
          </w:p>
        </w:tc>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3,114,341.47</w:t>
            </w:r>
          </w:p>
        </w:tc>
      </w:tr>
      <w:tr>
        <w:trPr>
          <w:trHeight w:val="288" w:hRule="exact"/>
        </w:trPr>
        <w:tc>
          <w:tcPr>
            <w:tcW w:w="351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5,623,063.19</w:t>
            </w:r>
          </w:p>
        </w:tc>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3,114,341.47</w:t>
            </w:r>
          </w:p>
        </w:tc>
      </w:tr>
      <w:tr>
        <w:trPr>
          <w:trHeight w:val="286" w:hRule="exact"/>
        </w:trPr>
        <w:tc>
          <w:tcPr>
            <w:tcW w:w="351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对合营企业权益投资的账面价值</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56,947,101.38</w:t>
            </w:r>
          </w:p>
        </w:tc>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58,312,430.42</w:t>
            </w:r>
          </w:p>
        </w:tc>
      </w:tr>
      <w:tr>
        <w:trPr>
          <w:trHeight w:val="288" w:hRule="exact"/>
        </w:trPr>
        <w:tc>
          <w:tcPr>
            <w:tcW w:w="351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119,985,984.20</w:t>
            </w:r>
          </w:p>
        </w:tc>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205,386,284.00</w:t>
            </w:r>
          </w:p>
        </w:tc>
      </w:tr>
      <w:tr>
        <w:trPr>
          <w:trHeight w:val="288" w:hRule="exact"/>
        </w:trPr>
        <w:tc>
          <w:tcPr>
            <w:tcW w:w="351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4,772.84</w:t>
            </w:r>
          </w:p>
        </w:tc>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-2,715.61</w:t>
            </w:r>
          </w:p>
        </w:tc>
      </w:tr>
      <w:tr>
        <w:trPr>
          <w:trHeight w:val="288" w:hRule="exact"/>
        </w:trPr>
        <w:tc>
          <w:tcPr>
            <w:tcW w:w="351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571,456.03</w:t>
            </w:r>
          </w:p>
        </w:tc>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3,652,985.09</w:t>
            </w:r>
          </w:p>
        </w:tc>
      </w:tr>
      <w:tr>
        <w:trPr>
          <w:trHeight w:val="286" w:hRule="exact"/>
        </w:trPr>
        <w:tc>
          <w:tcPr>
            <w:tcW w:w="351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22,286,785.36</w:t>
            </w:r>
          </w:p>
        </w:tc>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16,178,433.33</w:t>
            </w:r>
          </w:p>
        </w:tc>
      </w:tr>
      <w:tr>
        <w:trPr>
          <w:trHeight w:val="288" w:hRule="exact"/>
        </w:trPr>
        <w:tc>
          <w:tcPr>
            <w:tcW w:w="3512"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2832" w:type="dxa"/>
            <w:tcBorders>
              <w:top w:val="single" w:sz="6" w:space="0" w:color="000000"/>
              <w:left w:val="single" w:sz="6" w:space="0" w:color="000000"/>
              <w:bottom w:val="single" w:sz="6" w:space="0" w:color="000000"/>
              <w:right w:val="single" w:sz="6" w:space="0" w:color="000000"/>
            </w:tcBorders>
          </w:tcPr>
          <w:p>
            <w:pPr/>
          </w:p>
        </w:tc>
        <w:tc>
          <w:tcPr>
            <w:tcW w:w="293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832" w:type="dxa"/>
            <w:tcBorders>
              <w:top w:val="single" w:sz="6" w:space="0" w:color="000000"/>
              <w:left w:val="single" w:sz="6" w:space="0" w:color="000000"/>
              <w:bottom w:val="single" w:sz="6" w:space="0" w:color="000000"/>
              <w:right w:val="single" w:sz="6" w:space="0" w:color="000000"/>
            </w:tcBorders>
          </w:tcPr>
          <w:p>
            <w:pPr/>
          </w:p>
        </w:tc>
        <w:tc>
          <w:tcPr>
            <w:tcW w:w="293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1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22,286,785.36</w:t>
            </w:r>
          </w:p>
        </w:tc>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16,178,433.33</w:t>
            </w:r>
          </w:p>
        </w:tc>
      </w:tr>
      <w:tr>
        <w:trPr>
          <w:trHeight w:val="286" w:hRule="exact"/>
        </w:trPr>
        <w:tc>
          <w:tcPr>
            <w:tcW w:w="3512"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本年度收到的来自合营企业的股利</w:t>
            </w:r>
          </w:p>
        </w:tc>
        <w:tc>
          <w:tcPr>
            <w:tcW w:w="2832"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10,000,000.00</w:t>
            </w:r>
          </w:p>
        </w:tc>
        <w:tc>
          <w:tcPr>
            <w:tcW w:w="2939" w:type="dxa"/>
            <w:tcBorders>
              <w:top w:val="single" w:sz="6" w:space="0" w:color="000000"/>
              <w:left w:val="single" w:sz="6" w:space="0" w:color="000000"/>
              <w:bottom w:val="single" w:sz="4" w:space="0" w:color="000000"/>
              <w:right w:val="single" w:sz="6" w:space="0" w:color="000000"/>
            </w:tcBorders>
          </w:tcPr>
          <w:p>
            <w:pPr/>
          </w:p>
        </w:tc>
      </w:tr>
    </w:tbl>
    <w:p>
      <w:pPr>
        <w:pStyle w:val="Heading2"/>
        <w:tabs>
          <w:tab w:pos="853" w:val="left" w:leader="none"/>
        </w:tabs>
        <w:spacing w:line="240" w:lineRule="auto" w:before="26"/>
        <w:ind w:left="222" w:right="0"/>
        <w:jc w:val="left"/>
        <w:rPr>
          <w:b w:val="0"/>
          <w:bCs w:val="0"/>
        </w:rPr>
      </w:pPr>
      <w:r>
        <w:rPr>
          <w:rFonts w:ascii="宋体" w:hAnsi="宋体" w:cs="宋体" w:eastAsia="宋体" w:hint="default"/>
          <w:w w:val="95"/>
        </w:rPr>
        <w:t>(3).</w:t>
        <w:tab/>
      </w:r>
      <w:r>
        <w:rPr/>
        <w:t>重要联营企业的主要财务信息</w:t>
      </w:r>
      <w:r>
        <w:rPr>
          <w:b w:val="0"/>
          <w:bCs w:val="0"/>
        </w:rPr>
      </w:r>
    </w:p>
    <w:p>
      <w:pPr>
        <w:pStyle w:val="BodyText"/>
        <w:tabs>
          <w:tab w:pos="1051" w:val="left" w:leader="none"/>
        </w:tabs>
        <w:spacing w:line="240" w:lineRule="auto" w:before="58"/>
        <w:ind w:left="0" w:right="226"/>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500"/>
        <w:gridCol w:w="1947"/>
        <w:gridCol w:w="1944"/>
        <w:gridCol w:w="1947"/>
        <w:gridCol w:w="1944"/>
      </w:tblGrid>
      <w:tr>
        <w:trPr>
          <w:trHeight w:val="286" w:hRule="exact"/>
        </w:trPr>
        <w:tc>
          <w:tcPr>
            <w:tcW w:w="1500" w:type="dxa"/>
            <w:vMerge w:val="restart"/>
            <w:tcBorders>
              <w:top w:val="single" w:sz="4" w:space="0" w:color="000000"/>
              <w:left w:val="single" w:sz="4" w:space="0" w:color="000000"/>
              <w:right w:val="single" w:sz="6" w:space="0" w:color="000000"/>
            </w:tcBorders>
          </w:tcPr>
          <w:p>
            <w:pPr/>
          </w:p>
        </w:tc>
        <w:tc>
          <w:tcPr>
            <w:tcW w:w="3891"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88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891"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88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559" w:hRule="exact"/>
        </w:trPr>
        <w:tc>
          <w:tcPr>
            <w:tcW w:w="1500" w:type="dxa"/>
            <w:vMerge/>
            <w:tcBorders>
              <w:left w:val="single" w:sz="4" w:space="0" w:color="000000"/>
              <w:bottom w:val="single" w:sz="6" w:space="0" w:color="000000"/>
              <w:right w:val="single" w:sz="6" w:space="0" w:color="000000"/>
            </w:tcBorders>
          </w:tcPr>
          <w:p>
            <w:pP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中电投锦州港口有</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限责任公司</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锦港国际贸易发展</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中电投锦州港口有</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限责任公司</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3" w:right="0"/>
              <w:jc w:val="left"/>
              <w:rPr>
                <w:rFonts w:ascii="宋体" w:hAnsi="宋体" w:cs="宋体" w:eastAsia="宋体" w:hint="default"/>
                <w:sz w:val="21"/>
                <w:szCs w:val="21"/>
              </w:rPr>
            </w:pPr>
            <w:r>
              <w:rPr>
                <w:rFonts w:ascii="宋体" w:hAnsi="宋体" w:cs="宋体" w:eastAsia="宋体" w:hint="default"/>
                <w:sz w:val="21"/>
                <w:szCs w:val="21"/>
              </w:rPr>
              <w:t>锦港国际贸易发</w:t>
            </w:r>
          </w:p>
          <w:p>
            <w:pPr>
              <w:pStyle w:val="TableParagraph"/>
              <w:spacing w:line="274" w:lineRule="exact"/>
              <w:ind w:left="436" w:right="0"/>
              <w:jc w:val="left"/>
              <w:rPr>
                <w:rFonts w:ascii="宋体" w:hAnsi="宋体" w:cs="宋体" w:eastAsia="宋体" w:hint="default"/>
                <w:sz w:val="21"/>
                <w:szCs w:val="21"/>
              </w:rPr>
            </w:pPr>
            <w:r>
              <w:rPr>
                <w:rFonts w:ascii="宋体" w:hAnsi="宋体" w:cs="宋体" w:eastAsia="宋体" w:hint="default"/>
                <w:sz w:val="21"/>
                <w:szCs w:val="21"/>
              </w:rPr>
              <w:t>展有限公司</w:t>
            </w:r>
          </w:p>
        </w:tc>
      </w:tr>
      <w:tr>
        <w:trPr>
          <w:trHeight w:val="288" w:hRule="exact"/>
        </w:trPr>
        <w:tc>
          <w:tcPr>
            <w:tcW w:w="15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106,466,746.18</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1,642,306,613.38</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38,592,914.56</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935,892,034.77</w:t>
            </w:r>
          </w:p>
        </w:tc>
      </w:tr>
      <w:tr>
        <w:trPr>
          <w:trHeight w:val="288" w:hRule="exact"/>
        </w:trPr>
        <w:tc>
          <w:tcPr>
            <w:tcW w:w="15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1,885,379,464.49</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397,317.33</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1,267,305,615.52</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532,560.18</w:t>
            </w:r>
          </w:p>
        </w:tc>
      </w:tr>
      <w:tr>
        <w:trPr>
          <w:trHeight w:val="286" w:hRule="exact"/>
        </w:trPr>
        <w:tc>
          <w:tcPr>
            <w:tcW w:w="15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1,991,846,210.67</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1,642,703,930.71</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1,305,898,530.08</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936,424,594.95</w:t>
            </w:r>
          </w:p>
        </w:tc>
      </w:tr>
      <w:tr>
        <w:trPr>
          <w:trHeight w:val="288" w:hRule="exact"/>
        </w:trPr>
        <w:tc>
          <w:tcPr>
            <w:tcW w:w="150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565,326,347.48</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1,119,202,835.26</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118,978,666.89</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410,516,164.21</w:t>
            </w:r>
          </w:p>
        </w:tc>
      </w:tr>
      <w:tr>
        <w:trPr>
          <w:trHeight w:val="288" w:hRule="exact"/>
        </w:trPr>
        <w:tc>
          <w:tcPr>
            <w:tcW w:w="15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988,200,000.00</w:t>
            </w:r>
          </w:p>
        </w:tc>
        <w:tc>
          <w:tcPr>
            <w:tcW w:w="1944" w:type="dxa"/>
            <w:tcBorders>
              <w:top w:val="single" w:sz="6" w:space="0" w:color="000000"/>
              <w:left w:val="single" w:sz="6" w:space="0" w:color="000000"/>
              <w:bottom w:val="single" w:sz="6" w:space="0" w:color="000000"/>
              <w:right w:val="single" w:sz="6" w:space="0" w:color="000000"/>
            </w:tcBorders>
          </w:tcPr>
          <w:p>
            <w:pP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748,600,000.00</w:t>
            </w:r>
          </w:p>
        </w:tc>
        <w:tc>
          <w:tcPr>
            <w:tcW w:w="194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1,553,526,347.48</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1,119,202,835.26</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867,578,666.89</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410,516,164.21</w:t>
            </w:r>
          </w:p>
        </w:tc>
      </w:tr>
      <w:tr>
        <w:trPr>
          <w:trHeight w:val="830" w:hRule="exact"/>
        </w:trPr>
        <w:tc>
          <w:tcPr>
            <w:tcW w:w="150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w:t>
            </w:r>
          </w:p>
          <w:p>
            <w:pPr>
              <w:pStyle w:val="TableParagraph"/>
              <w:spacing w:line="240" w:lineRule="auto"/>
              <w:ind w:left="103" w:right="120"/>
              <w:jc w:val="left"/>
              <w:rPr>
                <w:rFonts w:ascii="宋体" w:hAnsi="宋体" w:cs="宋体" w:eastAsia="宋体" w:hint="default"/>
                <w:sz w:val="21"/>
                <w:szCs w:val="21"/>
              </w:rPr>
            </w:pPr>
            <w:r>
              <w:rPr>
                <w:rFonts w:ascii="宋体" w:hAnsi="宋体" w:cs="宋体" w:eastAsia="宋体" w:hint="default"/>
                <w:sz w:val="21"/>
                <w:szCs w:val="21"/>
              </w:rPr>
              <w:t>算的净资产份</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144,645,554.85</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523,501,095.45</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144,645,554.85</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525,908,430.74</w:t>
            </w:r>
          </w:p>
        </w:tc>
      </w:tr>
      <w:tr>
        <w:trPr>
          <w:trHeight w:val="288" w:hRule="exact"/>
        </w:trPr>
        <w:tc>
          <w:tcPr>
            <w:tcW w:w="15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2,321,896.71</w:t>
            </w:r>
          </w:p>
        </w:tc>
        <w:tc>
          <w:tcPr>
            <w:tcW w:w="1944" w:type="dxa"/>
            <w:tcBorders>
              <w:top w:val="single" w:sz="6" w:space="0" w:color="000000"/>
              <w:left w:val="single" w:sz="6" w:space="0" w:color="000000"/>
              <w:bottom w:val="single" w:sz="6" w:space="0" w:color="000000"/>
              <w:right w:val="single" w:sz="6" w:space="0" w:color="000000"/>
            </w:tcBorders>
          </w:tcPr>
          <w:p>
            <w:pP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1,781,861.57</w:t>
            </w:r>
          </w:p>
        </w:tc>
        <w:tc>
          <w:tcPr>
            <w:tcW w:w="1944"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5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w:t>
            </w:r>
          </w:p>
          <w:p>
            <w:pPr>
              <w:pStyle w:val="TableParagraph"/>
              <w:spacing w:line="272" w:lineRule="exact" w:before="27"/>
              <w:ind w:left="103" w:right="120"/>
              <w:jc w:val="left"/>
              <w:rPr>
                <w:rFonts w:ascii="宋体" w:hAnsi="宋体" w:cs="宋体" w:eastAsia="宋体" w:hint="default"/>
                <w:sz w:val="21"/>
                <w:szCs w:val="21"/>
              </w:rPr>
            </w:pPr>
            <w:r>
              <w:rPr>
                <w:rFonts w:ascii="宋体" w:hAnsi="宋体" w:cs="宋体" w:eastAsia="宋体" w:hint="default"/>
                <w:sz w:val="21"/>
                <w:szCs w:val="21"/>
              </w:rPr>
              <w:t>益投资的账面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142,323,658.14</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523,501,095.45</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142,863,693.28</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525,908,430.74</w:t>
            </w:r>
          </w:p>
        </w:tc>
      </w:tr>
      <w:tr>
        <w:trPr>
          <w:trHeight w:val="286" w:hRule="exact"/>
        </w:trPr>
        <w:tc>
          <w:tcPr>
            <w:tcW w:w="15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47"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3,284,696,483.53</w:t>
            </w:r>
          </w:p>
        </w:tc>
        <w:tc>
          <w:tcPr>
            <w:tcW w:w="1947"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2,083,350,185.43</w:t>
            </w:r>
          </w:p>
        </w:tc>
      </w:tr>
      <w:tr>
        <w:trPr>
          <w:trHeight w:val="288" w:hRule="exact"/>
        </w:trPr>
        <w:tc>
          <w:tcPr>
            <w:tcW w:w="150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47"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20,910,252.38</w:t>
            </w:r>
          </w:p>
        </w:tc>
        <w:tc>
          <w:tcPr>
            <w:tcW w:w="1947"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25,908,430.75</w:t>
            </w:r>
          </w:p>
        </w:tc>
      </w:tr>
      <w:tr>
        <w:trPr>
          <w:trHeight w:val="288" w:hRule="exact"/>
        </w:trPr>
        <w:tc>
          <w:tcPr>
            <w:tcW w:w="15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947"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20,910,252.38</w:t>
            </w:r>
          </w:p>
        </w:tc>
        <w:tc>
          <w:tcPr>
            <w:tcW w:w="1947"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25,908,430.75</w:t>
            </w:r>
          </w:p>
        </w:tc>
      </w:tr>
      <w:tr>
        <w:trPr>
          <w:trHeight w:val="830" w:hRule="exact"/>
        </w:trPr>
        <w:tc>
          <w:tcPr>
            <w:tcW w:w="1500"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w:t>
            </w:r>
          </w:p>
          <w:p>
            <w:pPr>
              <w:pStyle w:val="TableParagraph"/>
              <w:spacing w:line="272" w:lineRule="exact" w:before="27"/>
              <w:ind w:left="103" w:right="120"/>
              <w:jc w:val="left"/>
              <w:rPr>
                <w:rFonts w:ascii="宋体" w:hAnsi="宋体" w:cs="宋体" w:eastAsia="宋体" w:hint="default"/>
                <w:sz w:val="21"/>
                <w:szCs w:val="21"/>
              </w:rPr>
            </w:pPr>
            <w:r>
              <w:rPr>
                <w:rFonts w:ascii="宋体" w:hAnsi="宋体" w:cs="宋体" w:eastAsia="宋体" w:hint="default"/>
                <w:sz w:val="21"/>
                <w:szCs w:val="21"/>
              </w:rPr>
              <w:t>来自联营企业</w:t>
            </w:r>
            <w:r>
              <w:rPr>
                <w:rFonts w:ascii="宋体" w:hAnsi="宋体" w:cs="宋体" w:eastAsia="宋体" w:hint="default"/>
                <w:w w:val="100"/>
                <w:sz w:val="21"/>
                <w:szCs w:val="21"/>
              </w:rPr>
              <w:t> </w:t>
            </w:r>
            <w:r>
              <w:rPr>
                <w:rFonts w:ascii="宋体" w:hAnsi="宋体" w:cs="宋体" w:eastAsia="宋体" w:hint="default"/>
                <w:sz w:val="21"/>
                <w:szCs w:val="21"/>
              </w:rPr>
              <w:t>的股利</w:t>
            </w:r>
          </w:p>
        </w:tc>
        <w:tc>
          <w:tcPr>
            <w:tcW w:w="1947" w:type="dxa"/>
            <w:tcBorders>
              <w:top w:val="single" w:sz="6" w:space="0" w:color="000000"/>
              <w:left w:val="single" w:sz="6" w:space="0" w:color="000000"/>
              <w:bottom w:val="single" w:sz="4" w:space="0" w:color="000000"/>
              <w:right w:val="single" w:sz="6" w:space="0" w:color="000000"/>
            </w:tcBorders>
          </w:tcPr>
          <w:p>
            <w:pPr/>
          </w:p>
        </w:tc>
        <w:tc>
          <w:tcPr>
            <w:tcW w:w="194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23,317,587.67</w:t>
            </w:r>
          </w:p>
        </w:tc>
        <w:tc>
          <w:tcPr>
            <w:tcW w:w="1947" w:type="dxa"/>
            <w:tcBorders>
              <w:top w:val="single" w:sz="6" w:space="0" w:color="000000"/>
              <w:left w:val="single" w:sz="6" w:space="0" w:color="000000"/>
              <w:bottom w:val="single" w:sz="4" w:space="0" w:color="000000"/>
              <w:right w:val="single" w:sz="6" w:space="0" w:color="000000"/>
            </w:tcBorders>
          </w:tcPr>
          <w:p>
            <w:pPr/>
          </w:p>
        </w:tc>
        <w:tc>
          <w:tcPr>
            <w:tcW w:w="1944" w:type="dxa"/>
            <w:tcBorders>
              <w:top w:val="single" w:sz="6" w:space="0" w:color="000000"/>
              <w:left w:val="single" w:sz="6" w:space="0" w:color="000000"/>
              <w:bottom w:val="single" w:sz="4" w:space="0" w:color="000000"/>
              <w:right w:val="single" w:sz="6" w:space="0" w:color="000000"/>
            </w:tcBorders>
          </w:tcPr>
          <w:p>
            <w:pPr/>
          </w:p>
        </w:tc>
      </w:tr>
    </w:tbl>
    <w:p>
      <w:pPr>
        <w:spacing w:after="0"/>
        <w:sectPr>
          <w:footerReference w:type="default" r:id="rId46"/>
          <w:pgSz w:w="11900" w:h="16850"/>
          <w:pgMar w:footer="941" w:header="0" w:top="1000" w:bottom="1140" w:left="1480" w:right="900"/>
          <w:pgNumType w:start="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Heading2"/>
        <w:tabs>
          <w:tab w:pos="853" w:val="left" w:leader="none"/>
        </w:tabs>
        <w:spacing w:line="240" w:lineRule="auto"/>
        <w:ind w:left="222" w:right="0"/>
        <w:jc w:val="left"/>
        <w:rPr>
          <w:b w:val="0"/>
          <w:bCs w:val="0"/>
        </w:rPr>
      </w:pPr>
      <w:r>
        <w:rPr>
          <w:rFonts w:ascii="宋体" w:hAnsi="宋体" w:cs="宋体" w:eastAsia="宋体" w:hint="default"/>
          <w:w w:val="95"/>
        </w:rPr>
        <w:t>(4).</w:t>
        <w:tab/>
      </w:r>
      <w:r>
        <w:rPr/>
        <w:t>不重要的合营企业和联营企业的汇总财务信息</w:t>
      </w:r>
      <w:r>
        <w:rPr>
          <w:b w:val="0"/>
          <w:bCs w:val="0"/>
        </w:rPr>
      </w:r>
    </w:p>
    <w:p>
      <w:pPr>
        <w:pStyle w:val="BodyText"/>
        <w:tabs>
          <w:tab w:pos="1051" w:val="left" w:leader="none"/>
        </w:tabs>
        <w:spacing w:line="240" w:lineRule="auto" w:before="58"/>
        <w:ind w:left="0" w:right="226"/>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77"/>
        <w:gridCol w:w="3152"/>
        <w:gridCol w:w="3155"/>
      </w:tblGrid>
      <w:tr>
        <w:trPr>
          <w:trHeight w:val="286" w:hRule="exact"/>
        </w:trPr>
        <w:tc>
          <w:tcPr>
            <w:tcW w:w="2977" w:type="dxa"/>
            <w:tcBorders>
              <w:top w:val="single" w:sz="4" w:space="0" w:color="000000"/>
              <w:left w:val="single" w:sz="4" w:space="0" w:color="000000"/>
              <w:bottom w:val="single" w:sz="6" w:space="0" w:color="000000"/>
              <w:right w:val="single" w:sz="6" w:space="0" w:color="000000"/>
            </w:tcBorders>
          </w:tcPr>
          <w:p>
            <w:pPr/>
          </w:p>
        </w:tc>
        <w:tc>
          <w:tcPr>
            <w:tcW w:w="3152"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5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155"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6" w:hRule="exact"/>
        </w:trPr>
        <w:tc>
          <w:tcPr>
            <w:tcW w:w="29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152" w:type="dxa"/>
            <w:tcBorders>
              <w:top w:val="single" w:sz="6" w:space="0" w:color="000000"/>
              <w:left w:val="single" w:sz="6" w:space="0" w:color="000000"/>
              <w:bottom w:val="single" w:sz="6" w:space="0" w:color="000000"/>
              <w:right w:val="single" w:sz="6" w:space="0" w:color="000000"/>
            </w:tcBorders>
          </w:tcPr>
          <w:p>
            <w:pPr/>
          </w:p>
        </w:tc>
        <w:tc>
          <w:tcPr>
            <w:tcW w:w="315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7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134,172,972.18</w:t>
            </w:r>
          </w:p>
        </w:tc>
        <w:tc>
          <w:tcPr>
            <w:tcW w:w="3155"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134,477,832.90</w:t>
            </w:r>
          </w:p>
        </w:tc>
      </w:tr>
      <w:tr>
        <w:trPr>
          <w:trHeight w:val="559" w:hRule="exact"/>
        </w:trPr>
        <w:tc>
          <w:tcPr>
            <w:tcW w:w="297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计数</w:t>
            </w:r>
          </w:p>
        </w:tc>
        <w:tc>
          <w:tcPr>
            <w:tcW w:w="3152" w:type="dxa"/>
            <w:tcBorders>
              <w:top w:val="single" w:sz="6" w:space="0" w:color="000000"/>
              <w:left w:val="single" w:sz="6" w:space="0" w:color="000000"/>
              <w:bottom w:val="single" w:sz="6" w:space="0" w:color="000000"/>
              <w:right w:val="single" w:sz="6" w:space="0" w:color="000000"/>
            </w:tcBorders>
          </w:tcPr>
          <w:p>
            <w:pPr/>
          </w:p>
        </w:tc>
        <w:tc>
          <w:tcPr>
            <w:tcW w:w="315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7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-1,099,725.16</w:t>
            </w:r>
          </w:p>
        </w:tc>
        <w:tc>
          <w:tcPr>
            <w:tcW w:w="3155"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360,286.31</w:t>
            </w:r>
          </w:p>
        </w:tc>
      </w:tr>
      <w:tr>
        <w:trPr>
          <w:trHeight w:val="288" w:hRule="exact"/>
        </w:trPr>
        <w:tc>
          <w:tcPr>
            <w:tcW w:w="29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152" w:type="dxa"/>
            <w:tcBorders>
              <w:top w:val="single" w:sz="6" w:space="0" w:color="000000"/>
              <w:left w:val="single" w:sz="6" w:space="0" w:color="000000"/>
              <w:bottom w:val="single" w:sz="6" w:space="0" w:color="000000"/>
              <w:right w:val="single" w:sz="6" w:space="0" w:color="000000"/>
            </w:tcBorders>
          </w:tcPr>
          <w:p>
            <w:pPr/>
          </w:p>
        </w:tc>
        <w:tc>
          <w:tcPr>
            <w:tcW w:w="315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77"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15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-1,099,725.16</w:t>
            </w:r>
          </w:p>
        </w:tc>
        <w:tc>
          <w:tcPr>
            <w:tcW w:w="3155"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360,286.31</w:t>
            </w:r>
          </w:p>
        </w:tc>
      </w:tr>
    </w:tbl>
    <w:p>
      <w:pPr>
        <w:spacing w:line="240" w:lineRule="auto" w:before="12"/>
        <w:rPr>
          <w:rFonts w:ascii="宋体" w:hAnsi="宋体" w:cs="宋体" w:eastAsia="宋体" w:hint="default"/>
          <w:sz w:val="19"/>
          <w:szCs w:val="19"/>
        </w:rPr>
      </w:pPr>
    </w:p>
    <w:p>
      <w:pPr>
        <w:pStyle w:val="Heading2"/>
        <w:spacing w:line="240" w:lineRule="auto"/>
        <w:ind w:left="222" w:right="0"/>
        <w:jc w:val="both"/>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8"/>
        <w:ind w:left="222"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222" w:right="0"/>
        <w:jc w:val="both"/>
        <w:rPr>
          <w:b w:val="0"/>
          <w:bCs w:val="0"/>
        </w:rPr>
      </w:pPr>
      <w:r>
        <w:rPr/>
        <w:t>十、与金融工具相关的风险</w:t>
      </w:r>
      <w:r>
        <w:rPr>
          <w:b w:val="0"/>
          <w:bCs w:val="0"/>
        </w:rPr>
      </w:r>
    </w:p>
    <w:p>
      <w:pPr>
        <w:pStyle w:val="BodyText"/>
        <w:spacing w:line="240" w:lineRule="auto" w:before="56"/>
        <w:ind w:left="641" w:right="0" w:hanging="420"/>
        <w:jc w:val="left"/>
      </w:pPr>
      <w:r>
        <w:rPr/>
        <w:t>√适用</w:t>
      </w:r>
      <w:r>
        <w:rPr>
          <w:spacing w:val="-2"/>
        </w:rPr>
        <w:t> </w:t>
      </w:r>
      <w:r>
        <w:rPr/>
        <w:t>□不适用</w:t>
      </w:r>
      <w:r>
        <w:rPr>
          <w:spacing w:val="-103"/>
        </w:rPr>
        <w:t> </w:t>
      </w:r>
      <w:r>
        <w:rPr>
          <w:spacing w:val="-103"/>
        </w:rPr>
      </w:r>
      <w:r>
        <w:rPr>
          <w:spacing w:val="-2"/>
        </w:rPr>
        <w:t>本集团的主要金融工具包括货币资金、应收账款、应收票据、应收利息、应收股利、其他应收</w:t>
      </w:r>
    </w:p>
    <w:p>
      <w:pPr>
        <w:pStyle w:val="BodyText"/>
        <w:spacing w:line="237" w:lineRule="auto"/>
        <w:ind w:left="222" w:right="257"/>
        <w:jc w:val="both"/>
      </w:pPr>
      <w:r>
        <w:rPr>
          <w:spacing w:val="-2"/>
        </w:rPr>
        <w:t>款、一年内到期的非流动资产、其他流动资产、发放委托贷款及垫款、长期应收款、可供出售金融</w:t>
      </w:r>
      <w:r>
        <w:rPr>
          <w:spacing w:val="-25"/>
        </w:rPr>
        <w:t> </w:t>
      </w:r>
      <w:r>
        <w:rPr>
          <w:spacing w:val="-25"/>
        </w:rPr>
      </w:r>
      <w:r>
        <w:rPr>
          <w:spacing w:val="-2"/>
        </w:rPr>
        <w:t>资产、应付账款、应付利息、应付票据、应付股利、其他应付款、短期借款、一年内到期的非流动</w:t>
      </w:r>
      <w:r>
        <w:rPr>
          <w:spacing w:val="-25"/>
        </w:rPr>
        <w:t> </w:t>
      </w:r>
      <w:r>
        <w:rPr>
          <w:spacing w:val="-25"/>
        </w:rPr>
      </w:r>
      <w:r>
        <w:rPr>
          <w:spacing w:val="-2"/>
        </w:rPr>
        <w:t>负债、长期借款等。各项金融工具的详细情况已于相关附注内披露。与这些金融工具有关的风险，</w:t>
      </w:r>
      <w:r>
        <w:rPr>
          <w:spacing w:val="-25"/>
        </w:rPr>
        <w:t> </w:t>
      </w:r>
      <w:r>
        <w:rPr>
          <w:spacing w:val="-25"/>
        </w:rPr>
      </w:r>
      <w:r>
        <w:rPr>
          <w:spacing w:val="-2"/>
        </w:rPr>
        <w:t>以及本集团为降低这些风险所采取的风险管理政策如下所述。本集团管理层对这些风险敞口进行管</w:t>
      </w:r>
      <w:r>
        <w:rPr>
          <w:spacing w:val="-26"/>
        </w:rPr>
        <w:t> </w:t>
      </w:r>
      <w:r>
        <w:rPr>
          <w:spacing w:val="-26"/>
        </w:rPr>
      </w:r>
      <w:r>
        <w:rPr/>
        <w:t>理和监控以确保将上述风险控制在限定的范围之内。</w:t>
      </w:r>
    </w:p>
    <w:p>
      <w:pPr>
        <w:pStyle w:val="BodyText"/>
        <w:spacing w:line="394" w:lineRule="exact" w:before="46"/>
        <w:ind w:left="641" w:right="0"/>
        <w:jc w:val="left"/>
      </w:pPr>
      <w:r>
        <w:rPr>
          <w:rFonts w:ascii="宋体" w:hAnsi="宋体" w:cs="宋体" w:eastAsia="宋体" w:hint="default"/>
        </w:rPr>
        <w:t>1</w:t>
      </w:r>
      <w:r>
        <w:rPr/>
        <w:t>、 风险管理目标和政策</w:t>
      </w:r>
      <w:r>
        <w:rPr>
          <w:spacing w:val="-104"/>
        </w:rPr>
        <w:t> </w:t>
      </w:r>
      <w:r>
        <w:rPr>
          <w:spacing w:val="-104"/>
        </w:rPr>
      </w:r>
      <w:r>
        <w:rPr>
          <w:spacing w:val="-2"/>
        </w:rPr>
        <w:t>本集团风险管理的总体目标是在保障公司正常营运和盈利能力、市场竞争力和应变能力、实现</w:t>
      </w:r>
    </w:p>
    <w:p>
      <w:pPr>
        <w:pStyle w:val="BodyText"/>
        <w:spacing w:line="222" w:lineRule="exact"/>
        <w:ind w:left="222" w:right="0"/>
        <w:jc w:val="both"/>
      </w:pPr>
      <w:r>
        <w:rPr/>
        <w:t>可持续发展的前提下，最大限度地降低信用风险。</w:t>
      </w:r>
    </w:p>
    <w:p>
      <w:pPr>
        <w:pStyle w:val="BodyText"/>
        <w:spacing w:line="343" w:lineRule="auto" w:before="118"/>
        <w:ind w:left="641" w:right="0"/>
        <w:jc w:val="left"/>
      </w:pPr>
      <w:r>
        <w:rPr/>
        <w:t>（</w:t>
      </w:r>
      <w:r>
        <w:rPr>
          <w:rFonts w:ascii="宋体" w:hAnsi="宋体" w:cs="宋体" w:eastAsia="宋体" w:hint="default"/>
        </w:rPr>
        <w:t>1</w:t>
      </w:r>
      <w:r>
        <w:rPr/>
        <w:t>）信用风险</w:t>
      </w:r>
      <w:r>
        <w:rPr>
          <w:w w:val="100"/>
        </w:rPr>
        <w:t> </w:t>
      </w:r>
      <w:r>
        <w:rPr/>
        <w:t>信用风险，是指交易对手方未能履行合同义务而导致本集团产生财务损失的风险。</w:t>
      </w:r>
      <w:r>
        <w:rPr>
          <w:w w:val="100"/>
        </w:rPr>
        <w:t> </w:t>
      </w:r>
      <w:r>
        <w:rPr/>
        <w:t>本集团对信用风险按组合分类进行管理，信用风险主要产生于银行存款和应收款项。</w:t>
      </w:r>
    </w:p>
    <w:p>
      <w:pPr>
        <w:pStyle w:val="BodyText"/>
        <w:spacing w:line="240" w:lineRule="auto" w:before="26"/>
        <w:ind w:left="222" w:right="257" w:firstLine="419"/>
        <w:jc w:val="both"/>
      </w:pPr>
      <w:r>
        <w:rPr>
          <w:spacing w:val="-2"/>
        </w:rPr>
        <w:t>本集团银行存款主要存放于国有银行和其它大中型上市银行。本集团预期银行存款不存在重大</w:t>
      </w:r>
      <w:r>
        <w:rPr>
          <w:w w:val="100"/>
        </w:rPr>
        <w:t> </w:t>
      </w:r>
      <w:r>
        <w:rPr/>
        <w:t>的信用风险。</w:t>
      </w:r>
    </w:p>
    <w:p>
      <w:pPr>
        <w:pStyle w:val="BodyText"/>
        <w:spacing w:line="237" w:lineRule="auto" w:before="119"/>
        <w:ind w:left="222" w:right="257" w:firstLine="419"/>
        <w:jc w:val="both"/>
      </w:pPr>
      <w:r>
        <w:rPr>
          <w:spacing w:val="-2"/>
        </w:rPr>
        <w:t>本集团应收款项主要源于港口收入，金额占总资产比例小。本集团应收款项按组合和性质特点</w:t>
      </w:r>
      <w:r>
        <w:rPr>
          <w:w w:val="100"/>
        </w:rPr>
        <w:t> </w:t>
      </w:r>
      <w:r>
        <w:rPr>
          <w:spacing w:val="-2"/>
        </w:rPr>
        <w:t>进行分类管理，回款率纳入月度计划并进行考核，业务部门随时对客户的财务状况、资信情况进行</w:t>
      </w:r>
      <w:r>
        <w:rPr>
          <w:spacing w:val="-25"/>
        </w:rPr>
        <w:t> </w:t>
      </w:r>
      <w:r>
        <w:rPr>
          <w:spacing w:val="-25"/>
        </w:rPr>
      </w:r>
      <w:r>
        <w:rPr/>
        <w:t>调查、评估、跟踪管理，以确保公司整体信用风险可控。</w:t>
      </w:r>
    </w:p>
    <w:p>
      <w:pPr>
        <w:pStyle w:val="BodyText"/>
        <w:spacing w:line="390" w:lineRule="atLeast" w:before="4"/>
        <w:ind w:left="641" w:right="0"/>
        <w:jc w:val="left"/>
      </w:pPr>
      <w:r>
        <w:rPr/>
        <w:t>（</w:t>
      </w:r>
      <w:r>
        <w:rPr>
          <w:rFonts w:ascii="宋体" w:hAnsi="宋体" w:cs="宋体" w:eastAsia="宋体" w:hint="default"/>
        </w:rPr>
        <w:t>2</w:t>
      </w:r>
      <w:r>
        <w:rPr/>
        <w:t>）流动性风险</w:t>
      </w:r>
      <w:r>
        <w:rPr>
          <w:w w:val="100"/>
        </w:rPr>
        <w:t> </w:t>
      </w:r>
      <w:r>
        <w:rPr>
          <w:spacing w:val="-2"/>
        </w:rPr>
        <w:t>流动性风险，是指企业在履行以交付现金或其他金融资产的方式结算的义务时发生资金短缺的</w:t>
      </w:r>
    </w:p>
    <w:p>
      <w:pPr>
        <w:pStyle w:val="BodyText"/>
        <w:spacing w:line="274" w:lineRule="exact"/>
        <w:ind w:left="222" w:right="0"/>
        <w:jc w:val="both"/>
      </w:pPr>
      <w:r>
        <w:rPr/>
        <w:t>风险。</w:t>
      </w:r>
    </w:p>
    <w:p>
      <w:pPr>
        <w:pStyle w:val="BodyText"/>
        <w:spacing w:line="237" w:lineRule="auto" w:before="119"/>
        <w:ind w:left="222" w:right="257" w:firstLine="419"/>
        <w:jc w:val="both"/>
      </w:pPr>
      <w:r>
        <w:rPr>
          <w:spacing w:val="-2"/>
        </w:rPr>
        <w:t>本集团流动性风险由总部财务部统一管控，总部财务部根据各子公司的现金流量预测，在集团</w:t>
      </w:r>
      <w:r>
        <w:rPr>
          <w:w w:val="100"/>
        </w:rPr>
        <w:t> </w:t>
      </w:r>
      <w:r>
        <w:rPr>
          <w:spacing w:val="-2"/>
        </w:rPr>
        <w:t>层面持续监控短期和长期的资金需求，以确保维持充裕的现金储备。本集团管理层对银行借款的使</w:t>
      </w:r>
      <w:r>
        <w:rPr>
          <w:spacing w:val="-26"/>
        </w:rPr>
        <w:t> </w:t>
      </w:r>
      <w:r>
        <w:rPr>
          <w:spacing w:val="-26"/>
        </w:rPr>
      </w:r>
      <w:r>
        <w:rPr>
          <w:spacing w:val="-2"/>
        </w:rPr>
        <w:t>用情况进行监控并确保遵守借款协议。同时从主要金融机构获得提供足够备用资金的承诺，以满足</w:t>
      </w:r>
      <w:r>
        <w:rPr>
          <w:spacing w:val="-25"/>
        </w:rPr>
        <w:t> </w:t>
      </w:r>
      <w:r>
        <w:rPr>
          <w:spacing w:val="-25"/>
        </w:rPr>
      </w:r>
      <w:r>
        <w:rPr/>
        <w:t>短期和长期的资金需求。</w:t>
      </w:r>
    </w:p>
    <w:p>
      <w:pPr>
        <w:pStyle w:val="BodyText"/>
        <w:spacing w:line="240" w:lineRule="auto" w:before="116"/>
        <w:ind w:left="641" w:right="0"/>
        <w:jc w:val="left"/>
      </w:pPr>
      <w:r>
        <w:rPr/>
        <w:t>期末本集团持有的金融负债按未折现剩余合同现金流量的到期期限分析如下：</w:t>
      </w:r>
    </w:p>
    <w:p>
      <w:pPr>
        <w:spacing w:after="0" w:line="240" w:lineRule="auto"/>
        <w:jc w:val="left"/>
        <w:sectPr>
          <w:pgSz w:w="11900" w:h="16850"/>
          <w:pgMar w:header="0" w:footer="941" w:top="1000" w:bottom="1140" w:left="14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670"/>
        <w:gridCol w:w="1561"/>
        <w:gridCol w:w="1419"/>
        <w:gridCol w:w="1558"/>
        <w:gridCol w:w="1522"/>
        <w:gridCol w:w="1553"/>
      </w:tblGrid>
      <w:tr>
        <w:trPr>
          <w:trHeight w:val="305" w:hRule="exact"/>
        </w:trPr>
        <w:tc>
          <w:tcPr>
            <w:tcW w:w="1670" w:type="dxa"/>
            <w:tcBorders>
              <w:top w:val="single" w:sz="8" w:space="0" w:color="000000"/>
              <w:left w:val="single" w:sz="8" w:space="0" w:color="000000"/>
              <w:bottom w:val="single" w:sz="8" w:space="0" w:color="000000"/>
              <w:right w:val="single" w:sz="8" w:space="0" w:color="000000"/>
            </w:tcBorders>
          </w:tcPr>
          <w:p>
            <w:pPr/>
          </w:p>
        </w:tc>
        <w:tc>
          <w:tcPr>
            <w:tcW w:w="7612" w:type="dxa"/>
            <w:gridSpan w:val="5"/>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b/>
                <w:bCs/>
                <w:sz w:val="15"/>
                <w:szCs w:val="15"/>
              </w:rPr>
              <w:t>期末数</w:t>
            </w:r>
            <w:r>
              <w:rPr>
                <w:rFonts w:ascii="宋体" w:hAnsi="宋体" w:cs="宋体" w:eastAsia="宋体" w:hint="default"/>
                <w:sz w:val="15"/>
                <w:szCs w:val="15"/>
              </w:rPr>
            </w:r>
          </w:p>
        </w:tc>
      </w:tr>
      <w:tr>
        <w:trPr>
          <w:trHeight w:val="305" w:hRule="exact"/>
        </w:trPr>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98" w:right="0"/>
              <w:jc w:val="left"/>
              <w:rPr>
                <w:rFonts w:ascii="宋体" w:hAnsi="宋体" w:cs="宋体" w:eastAsia="宋体" w:hint="default"/>
                <w:sz w:val="15"/>
                <w:szCs w:val="15"/>
              </w:rPr>
            </w:pPr>
            <w:r>
              <w:rPr>
                <w:rFonts w:ascii="宋体" w:hAnsi="宋体" w:cs="宋体" w:eastAsia="宋体" w:hint="default"/>
                <w:b/>
                <w:bCs/>
                <w:sz w:val="15"/>
                <w:szCs w:val="15"/>
              </w:rPr>
              <w:t>项</w:t>
            </w:r>
            <w:r>
              <w:rPr>
                <w:rFonts w:ascii="宋体" w:hAnsi="宋体" w:cs="宋体" w:eastAsia="宋体" w:hint="default"/>
                <w:b/>
                <w:bCs/>
                <w:spacing w:val="2"/>
                <w:sz w:val="15"/>
                <w:szCs w:val="15"/>
              </w:rPr>
              <w:t> </w:t>
            </w:r>
            <w:r>
              <w:rPr>
                <w:rFonts w:ascii="宋体" w:hAnsi="宋体" w:cs="宋体" w:eastAsia="宋体" w:hint="default"/>
                <w:b/>
                <w:bCs/>
                <w:sz w:val="15"/>
                <w:szCs w:val="15"/>
              </w:rPr>
              <w:t>目</w:t>
            </w:r>
            <w:r>
              <w:rPr>
                <w:rFonts w:ascii="宋体" w:hAnsi="宋体" w:cs="宋体" w:eastAsia="宋体" w:hint="default"/>
                <w:sz w:val="15"/>
                <w:szCs w:val="15"/>
              </w:rPr>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5"/>
              <w:jc w:val="right"/>
              <w:rPr>
                <w:rFonts w:ascii="宋体" w:hAnsi="宋体" w:cs="宋体" w:eastAsia="宋体" w:hint="default"/>
                <w:sz w:val="15"/>
                <w:szCs w:val="15"/>
              </w:rPr>
            </w:pPr>
            <w:r>
              <w:rPr>
                <w:rFonts w:ascii="宋体" w:hAnsi="宋体" w:cs="宋体" w:eastAsia="宋体" w:hint="default"/>
                <w:b/>
                <w:bCs/>
                <w:sz w:val="15"/>
                <w:szCs w:val="15"/>
              </w:rPr>
              <w:t>一年以内</w:t>
            </w:r>
            <w:r>
              <w:rPr>
                <w:rFonts w:ascii="宋体" w:hAnsi="宋体" w:cs="宋体" w:eastAsia="宋体" w:hint="default"/>
                <w:sz w:val="15"/>
                <w:szCs w:val="15"/>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4"/>
              <w:jc w:val="right"/>
              <w:rPr>
                <w:rFonts w:ascii="宋体" w:hAnsi="宋体" w:cs="宋体" w:eastAsia="宋体" w:hint="default"/>
                <w:sz w:val="15"/>
                <w:szCs w:val="15"/>
              </w:rPr>
            </w:pPr>
            <w:r>
              <w:rPr>
                <w:rFonts w:ascii="宋体" w:hAnsi="宋体" w:cs="宋体" w:eastAsia="宋体" w:hint="default"/>
                <w:b/>
                <w:bCs/>
                <w:sz w:val="15"/>
                <w:szCs w:val="15"/>
              </w:rPr>
              <w:t>一至两年</w:t>
            </w:r>
            <w:r>
              <w:rPr>
                <w:rFonts w:ascii="宋体" w:hAnsi="宋体" w:cs="宋体" w:eastAsia="宋体" w:hint="default"/>
                <w:sz w:val="15"/>
                <w:szCs w:val="15"/>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5"/>
              <w:jc w:val="right"/>
              <w:rPr>
                <w:rFonts w:ascii="宋体" w:hAnsi="宋体" w:cs="宋体" w:eastAsia="宋体" w:hint="default"/>
                <w:sz w:val="15"/>
                <w:szCs w:val="15"/>
              </w:rPr>
            </w:pPr>
            <w:r>
              <w:rPr>
                <w:rFonts w:ascii="宋体" w:hAnsi="宋体" w:cs="宋体" w:eastAsia="宋体" w:hint="default"/>
                <w:b/>
                <w:bCs/>
                <w:sz w:val="15"/>
                <w:szCs w:val="15"/>
              </w:rPr>
              <w:t>两至三年</w:t>
            </w:r>
            <w:r>
              <w:rPr>
                <w:rFonts w:ascii="宋体" w:hAnsi="宋体" w:cs="宋体" w:eastAsia="宋体" w:hint="default"/>
                <w:sz w:val="15"/>
                <w:szCs w:val="15"/>
              </w:rPr>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6"/>
              <w:jc w:val="right"/>
              <w:rPr>
                <w:rFonts w:ascii="宋体" w:hAnsi="宋体" w:cs="宋体" w:eastAsia="宋体" w:hint="default"/>
                <w:sz w:val="15"/>
                <w:szCs w:val="15"/>
              </w:rPr>
            </w:pPr>
            <w:r>
              <w:rPr>
                <w:rFonts w:ascii="宋体" w:hAnsi="宋体" w:cs="宋体" w:eastAsia="宋体" w:hint="default"/>
                <w:b/>
                <w:bCs/>
                <w:sz w:val="15"/>
                <w:szCs w:val="15"/>
              </w:rPr>
              <w:t>三年以上</w:t>
            </w:r>
            <w:r>
              <w:rPr>
                <w:rFonts w:ascii="宋体" w:hAnsi="宋体" w:cs="宋体" w:eastAsia="宋体" w:hint="default"/>
                <w:sz w:val="15"/>
                <w:szCs w:val="15"/>
              </w:rPr>
            </w: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96"/>
              <w:jc w:val="right"/>
              <w:rPr>
                <w:rFonts w:ascii="宋体" w:hAnsi="宋体" w:cs="宋体" w:eastAsia="宋体" w:hint="default"/>
                <w:sz w:val="15"/>
                <w:szCs w:val="15"/>
              </w:rPr>
            </w:pPr>
            <w:r>
              <w:rPr>
                <w:rFonts w:ascii="宋体" w:hAnsi="宋体" w:cs="宋体" w:eastAsia="宋体" w:hint="default"/>
                <w:b/>
                <w:bCs/>
                <w:sz w:val="15"/>
                <w:szCs w:val="15"/>
              </w:rPr>
              <w:t>合 </w:t>
            </w:r>
            <w:r>
              <w:rPr>
                <w:rFonts w:ascii="宋体" w:hAnsi="宋体" w:cs="宋体" w:eastAsia="宋体" w:hint="default"/>
                <w:b/>
                <w:bCs/>
                <w:spacing w:val="1"/>
                <w:sz w:val="15"/>
                <w:szCs w:val="15"/>
              </w:rPr>
              <w:t> </w:t>
            </w:r>
            <w:r>
              <w:rPr>
                <w:rFonts w:ascii="宋体" w:hAnsi="宋体" w:cs="宋体" w:eastAsia="宋体" w:hint="default"/>
                <w:b/>
                <w:bCs/>
                <w:sz w:val="15"/>
                <w:szCs w:val="15"/>
              </w:rPr>
              <w:t>计</w:t>
            </w:r>
            <w:r>
              <w:rPr>
                <w:rFonts w:ascii="宋体" w:hAnsi="宋体" w:cs="宋体" w:eastAsia="宋体" w:hint="default"/>
                <w:sz w:val="15"/>
                <w:szCs w:val="15"/>
              </w:rPr>
            </w:r>
          </w:p>
        </w:tc>
      </w:tr>
      <w:tr>
        <w:trPr>
          <w:trHeight w:val="360" w:hRule="exact"/>
        </w:trPr>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宋体" w:hAnsi="宋体" w:cs="宋体" w:eastAsia="宋体" w:hint="default"/>
                <w:sz w:val="15"/>
                <w:szCs w:val="15"/>
              </w:rPr>
            </w:pPr>
            <w:r>
              <w:rPr>
                <w:rFonts w:ascii="宋体" w:hAnsi="宋体" w:cs="宋体" w:eastAsia="宋体" w:hint="default"/>
                <w:sz w:val="15"/>
                <w:szCs w:val="15"/>
              </w:rPr>
              <w:t>金融负债：</w:t>
            </w:r>
          </w:p>
        </w:tc>
        <w:tc>
          <w:tcPr>
            <w:tcW w:w="1561"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
        </w:tc>
        <w:tc>
          <w:tcPr>
            <w:tcW w:w="1522" w:type="dxa"/>
            <w:tcBorders>
              <w:top w:val="single" w:sz="8" w:space="0" w:color="000000"/>
              <w:left w:val="single" w:sz="8" w:space="0" w:color="000000"/>
              <w:bottom w:val="single" w:sz="8" w:space="0" w:color="000000"/>
              <w:right w:val="single" w:sz="8" w:space="0" w:color="000000"/>
            </w:tcBorders>
          </w:tcPr>
          <w:p>
            <w:pPr/>
          </w:p>
        </w:tc>
        <w:tc>
          <w:tcPr>
            <w:tcW w:w="1553" w:type="dxa"/>
            <w:tcBorders>
              <w:top w:val="single" w:sz="8" w:space="0" w:color="000000"/>
              <w:left w:val="single" w:sz="8" w:space="0" w:color="000000"/>
              <w:bottom w:val="single" w:sz="8" w:space="0" w:color="000000"/>
              <w:right w:val="single" w:sz="8" w:space="0" w:color="000000"/>
            </w:tcBorders>
          </w:tcPr>
          <w:p>
            <w:pPr/>
          </w:p>
        </w:tc>
      </w:tr>
      <w:tr>
        <w:trPr>
          <w:trHeight w:val="360" w:hRule="exact"/>
        </w:trPr>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宋体" w:hAnsi="宋体" w:cs="宋体" w:eastAsia="宋体" w:hint="default"/>
                <w:sz w:val="15"/>
                <w:szCs w:val="15"/>
              </w:rPr>
            </w:pPr>
            <w:r>
              <w:rPr>
                <w:rFonts w:ascii="宋体" w:hAnsi="宋体" w:cs="宋体" w:eastAsia="宋体" w:hint="default"/>
                <w:sz w:val="15"/>
                <w:szCs w:val="15"/>
              </w:rPr>
              <w:t>短期借款</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宋体" w:hAnsi="宋体" w:cs="宋体" w:eastAsia="宋体" w:hint="default"/>
                <w:sz w:val="15"/>
                <w:szCs w:val="15"/>
              </w:rPr>
            </w:pPr>
            <w:r>
              <w:rPr>
                <w:rFonts w:ascii="宋体"/>
                <w:spacing w:val="-2"/>
                <w:sz w:val="15"/>
              </w:rPr>
              <w:t>1,300,470,000.00</w:t>
            </w:r>
          </w:p>
        </w:tc>
        <w:tc>
          <w:tcPr>
            <w:tcW w:w="1419" w:type="dxa"/>
            <w:tcBorders>
              <w:top w:val="single" w:sz="8" w:space="0" w:color="000000"/>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
        </w:tc>
        <w:tc>
          <w:tcPr>
            <w:tcW w:w="1522" w:type="dxa"/>
            <w:tcBorders>
              <w:top w:val="single" w:sz="8" w:space="0" w:color="000000"/>
              <w:left w:val="single" w:sz="8" w:space="0" w:color="000000"/>
              <w:bottom w:val="single" w:sz="8" w:space="0" w:color="000000"/>
              <w:right w:val="single" w:sz="8" w:space="0" w:color="000000"/>
            </w:tcBorders>
          </w:tcPr>
          <w:p>
            <w:pP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8"/>
              <w:jc w:val="right"/>
              <w:rPr>
                <w:rFonts w:ascii="宋体" w:hAnsi="宋体" w:cs="宋体" w:eastAsia="宋体" w:hint="default"/>
                <w:sz w:val="15"/>
                <w:szCs w:val="15"/>
              </w:rPr>
            </w:pPr>
            <w:r>
              <w:rPr>
                <w:rFonts w:ascii="宋体"/>
                <w:spacing w:val="-2"/>
                <w:sz w:val="15"/>
              </w:rPr>
              <w:t>1,300,470,000.00</w:t>
            </w:r>
          </w:p>
        </w:tc>
      </w:tr>
      <w:tr>
        <w:trPr>
          <w:trHeight w:val="360" w:hRule="exact"/>
        </w:trPr>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宋体" w:hAnsi="宋体" w:cs="宋体" w:eastAsia="宋体" w:hint="default"/>
                <w:sz w:val="15"/>
                <w:szCs w:val="15"/>
              </w:rPr>
            </w:pPr>
            <w:r>
              <w:rPr>
                <w:rFonts w:ascii="宋体" w:hAnsi="宋体" w:cs="宋体" w:eastAsia="宋体" w:hint="default"/>
                <w:sz w:val="15"/>
                <w:szCs w:val="15"/>
              </w:rPr>
              <w:t>应付票据</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宋体" w:hAnsi="宋体" w:cs="宋体" w:eastAsia="宋体" w:hint="default"/>
                <w:sz w:val="15"/>
                <w:szCs w:val="15"/>
              </w:rPr>
            </w:pPr>
            <w:r>
              <w:rPr>
                <w:rFonts w:ascii="宋体"/>
                <w:spacing w:val="-1"/>
                <w:sz w:val="15"/>
              </w:rPr>
              <w:t>323,943,446.67</w:t>
            </w:r>
          </w:p>
        </w:tc>
        <w:tc>
          <w:tcPr>
            <w:tcW w:w="1419" w:type="dxa"/>
            <w:tcBorders>
              <w:top w:val="single" w:sz="8" w:space="0" w:color="000000"/>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
        </w:tc>
        <w:tc>
          <w:tcPr>
            <w:tcW w:w="1522" w:type="dxa"/>
            <w:tcBorders>
              <w:top w:val="single" w:sz="8" w:space="0" w:color="000000"/>
              <w:left w:val="single" w:sz="8" w:space="0" w:color="000000"/>
              <w:bottom w:val="single" w:sz="8" w:space="0" w:color="000000"/>
              <w:right w:val="single" w:sz="8" w:space="0" w:color="000000"/>
            </w:tcBorders>
          </w:tcPr>
          <w:p>
            <w:pP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8"/>
              <w:jc w:val="right"/>
              <w:rPr>
                <w:rFonts w:ascii="宋体" w:hAnsi="宋体" w:cs="宋体" w:eastAsia="宋体" w:hint="default"/>
                <w:sz w:val="15"/>
                <w:szCs w:val="15"/>
              </w:rPr>
            </w:pPr>
            <w:r>
              <w:rPr>
                <w:rFonts w:ascii="宋体"/>
                <w:spacing w:val="-1"/>
                <w:sz w:val="15"/>
              </w:rPr>
              <w:t>323,943,446.67</w:t>
            </w:r>
          </w:p>
        </w:tc>
      </w:tr>
      <w:tr>
        <w:trPr>
          <w:trHeight w:val="360" w:hRule="exact"/>
        </w:trPr>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宋体" w:hAnsi="宋体" w:cs="宋体" w:eastAsia="宋体" w:hint="default"/>
                <w:sz w:val="15"/>
                <w:szCs w:val="15"/>
              </w:rPr>
            </w:pPr>
            <w:r>
              <w:rPr>
                <w:rFonts w:ascii="宋体"/>
                <w:spacing w:val="-2"/>
                <w:sz w:val="15"/>
              </w:rPr>
              <w:t>352,121,613.07</w:t>
            </w:r>
          </w:p>
        </w:tc>
        <w:tc>
          <w:tcPr>
            <w:tcW w:w="1419" w:type="dxa"/>
            <w:tcBorders>
              <w:top w:val="single" w:sz="8" w:space="0" w:color="000000"/>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
        </w:tc>
        <w:tc>
          <w:tcPr>
            <w:tcW w:w="1522" w:type="dxa"/>
            <w:tcBorders>
              <w:top w:val="single" w:sz="8" w:space="0" w:color="000000"/>
              <w:left w:val="single" w:sz="8" w:space="0" w:color="000000"/>
              <w:bottom w:val="single" w:sz="8" w:space="0" w:color="000000"/>
              <w:right w:val="single" w:sz="8" w:space="0" w:color="000000"/>
            </w:tcBorders>
          </w:tcPr>
          <w:p>
            <w:pP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8"/>
              <w:jc w:val="right"/>
              <w:rPr>
                <w:rFonts w:ascii="宋体" w:hAnsi="宋体" w:cs="宋体" w:eastAsia="宋体" w:hint="default"/>
                <w:sz w:val="15"/>
                <w:szCs w:val="15"/>
              </w:rPr>
            </w:pPr>
            <w:r>
              <w:rPr>
                <w:rFonts w:ascii="宋体"/>
                <w:spacing w:val="-2"/>
                <w:sz w:val="15"/>
              </w:rPr>
              <w:t>352,121,613.07</w:t>
            </w:r>
          </w:p>
        </w:tc>
      </w:tr>
      <w:tr>
        <w:trPr>
          <w:trHeight w:val="360" w:hRule="exact"/>
        </w:trPr>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宋体" w:hAnsi="宋体" w:cs="宋体" w:eastAsia="宋体" w:hint="default"/>
                <w:sz w:val="15"/>
                <w:szCs w:val="15"/>
              </w:rPr>
            </w:pPr>
            <w:r>
              <w:rPr>
                <w:rFonts w:ascii="宋体" w:hAnsi="宋体" w:cs="宋体" w:eastAsia="宋体" w:hint="default"/>
                <w:sz w:val="15"/>
                <w:szCs w:val="15"/>
              </w:rPr>
              <w:t>应付利息</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宋体" w:hAnsi="宋体" w:cs="宋体" w:eastAsia="宋体" w:hint="default"/>
                <w:sz w:val="15"/>
                <w:szCs w:val="15"/>
              </w:rPr>
            </w:pPr>
            <w:r>
              <w:rPr>
                <w:rFonts w:ascii="宋体"/>
                <w:spacing w:val="-2"/>
                <w:sz w:val="15"/>
              </w:rPr>
              <w:t>30,230,336.04</w:t>
            </w:r>
          </w:p>
        </w:tc>
        <w:tc>
          <w:tcPr>
            <w:tcW w:w="1419" w:type="dxa"/>
            <w:tcBorders>
              <w:top w:val="single" w:sz="8" w:space="0" w:color="000000"/>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
        </w:tc>
        <w:tc>
          <w:tcPr>
            <w:tcW w:w="1522" w:type="dxa"/>
            <w:tcBorders>
              <w:top w:val="single" w:sz="8" w:space="0" w:color="000000"/>
              <w:left w:val="single" w:sz="8" w:space="0" w:color="000000"/>
              <w:bottom w:val="single" w:sz="8" w:space="0" w:color="000000"/>
              <w:right w:val="single" w:sz="8" w:space="0" w:color="000000"/>
            </w:tcBorders>
          </w:tcPr>
          <w:p>
            <w:pP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8"/>
              <w:jc w:val="right"/>
              <w:rPr>
                <w:rFonts w:ascii="宋体" w:hAnsi="宋体" w:cs="宋体" w:eastAsia="宋体" w:hint="default"/>
                <w:sz w:val="15"/>
                <w:szCs w:val="15"/>
              </w:rPr>
            </w:pPr>
            <w:r>
              <w:rPr>
                <w:rFonts w:ascii="宋体"/>
                <w:spacing w:val="-2"/>
                <w:sz w:val="15"/>
              </w:rPr>
              <w:t>30,230,336.04</w:t>
            </w:r>
          </w:p>
        </w:tc>
      </w:tr>
      <w:tr>
        <w:trPr>
          <w:trHeight w:val="361" w:hRule="exact"/>
        </w:trPr>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宋体" w:hAnsi="宋体" w:cs="宋体" w:eastAsia="宋体" w:hint="default"/>
                <w:sz w:val="15"/>
                <w:szCs w:val="15"/>
              </w:rPr>
            </w:pPr>
            <w:r>
              <w:rPr>
                <w:rFonts w:ascii="宋体"/>
                <w:spacing w:val="-2"/>
                <w:sz w:val="15"/>
              </w:rPr>
              <w:t>47,719,817.93</w:t>
            </w:r>
          </w:p>
        </w:tc>
        <w:tc>
          <w:tcPr>
            <w:tcW w:w="1419" w:type="dxa"/>
            <w:tcBorders>
              <w:top w:val="single" w:sz="8" w:space="0" w:color="000000"/>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
        </w:tc>
        <w:tc>
          <w:tcPr>
            <w:tcW w:w="1522" w:type="dxa"/>
            <w:tcBorders>
              <w:top w:val="single" w:sz="8" w:space="0" w:color="000000"/>
              <w:left w:val="single" w:sz="8" w:space="0" w:color="000000"/>
              <w:bottom w:val="single" w:sz="8" w:space="0" w:color="000000"/>
              <w:right w:val="single" w:sz="8" w:space="0" w:color="000000"/>
            </w:tcBorders>
          </w:tcPr>
          <w:p>
            <w:pP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8"/>
              <w:jc w:val="right"/>
              <w:rPr>
                <w:rFonts w:ascii="宋体" w:hAnsi="宋体" w:cs="宋体" w:eastAsia="宋体" w:hint="default"/>
                <w:sz w:val="15"/>
                <w:szCs w:val="15"/>
              </w:rPr>
            </w:pPr>
            <w:r>
              <w:rPr>
                <w:rFonts w:ascii="宋体"/>
                <w:spacing w:val="-2"/>
                <w:sz w:val="15"/>
              </w:rPr>
              <w:t>47,719,817.93</w:t>
            </w:r>
          </w:p>
        </w:tc>
      </w:tr>
      <w:tr>
        <w:trPr>
          <w:trHeight w:val="331" w:hRule="exact"/>
        </w:trPr>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98" w:right="0"/>
              <w:jc w:val="left"/>
              <w:rPr>
                <w:rFonts w:ascii="宋体" w:hAnsi="宋体" w:cs="宋体" w:eastAsia="宋体" w:hint="default"/>
                <w:sz w:val="15"/>
                <w:szCs w:val="15"/>
              </w:rPr>
            </w:pPr>
            <w:r>
              <w:rPr>
                <w:rFonts w:ascii="宋体" w:hAnsi="宋体" w:cs="宋体" w:eastAsia="宋体" w:hint="default"/>
                <w:sz w:val="15"/>
                <w:szCs w:val="15"/>
              </w:rPr>
              <w:t>其他流动负债</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宋体" w:hAnsi="宋体" w:cs="宋体" w:eastAsia="宋体" w:hint="default"/>
                <w:sz w:val="15"/>
                <w:szCs w:val="15"/>
              </w:rPr>
            </w:pPr>
            <w:r>
              <w:rPr>
                <w:rFonts w:ascii="宋体"/>
                <w:spacing w:val="-2"/>
                <w:sz w:val="15"/>
              </w:rPr>
              <w:t>211,854.00</w:t>
            </w:r>
          </w:p>
        </w:tc>
        <w:tc>
          <w:tcPr>
            <w:tcW w:w="1419" w:type="dxa"/>
            <w:tcBorders>
              <w:top w:val="single" w:sz="8" w:space="0" w:color="000000"/>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
        </w:tc>
        <w:tc>
          <w:tcPr>
            <w:tcW w:w="1522" w:type="dxa"/>
            <w:tcBorders>
              <w:top w:val="single" w:sz="8" w:space="0" w:color="000000"/>
              <w:left w:val="single" w:sz="8" w:space="0" w:color="000000"/>
              <w:bottom w:val="single" w:sz="8" w:space="0" w:color="000000"/>
              <w:right w:val="single" w:sz="8" w:space="0" w:color="000000"/>
            </w:tcBorders>
          </w:tcPr>
          <w:p>
            <w:pP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宋体" w:hAnsi="宋体" w:cs="宋体" w:eastAsia="宋体" w:hint="default"/>
                <w:sz w:val="15"/>
                <w:szCs w:val="15"/>
              </w:rPr>
            </w:pPr>
            <w:r>
              <w:rPr>
                <w:rFonts w:ascii="宋体"/>
                <w:spacing w:val="-1"/>
                <w:sz w:val="15"/>
              </w:rPr>
              <w:t>211,854.00</w:t>
            </w:r>
          </w:p>
        </w:tc>
      </w:tr>
      <w:tr>
        <w:trPr>
          <w:trHeight w:val="667" w:hRule="exact"/>
        </w:trPr>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left="98" w:right="95"/>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46"/>
                <w:sz w:val="15"/>
                <w:szCs w:val="15"/>
              </w:rPr>
              <w:t> </w:t>
            </w:r>
            <w:r>
              <w:rPr>
                <w:rFonts w:ascii="宋体" w:hAnsi="宋体" w:cs="宋体" w:eastAsia="宋体" w:hint="default"/>
                <w:sz w:val="15"/>
                <w:szCs w:val="15"/>
              </w:rPr>
              <w:t>年内到期到期的非流</w:t>
            </w:r>
            <w:r>
              <w:rPr>
                <w:rFonts w:ascii="宋体" w:hAnsi="宋体" w:cs="宋体" w:eastAsia="宋体" w:hint="default"/>
                <w:w w:val="100"/>
                <w:sz w:val="15"/>
                <w:szCs w:val="15"/>
              </w:rPr>
              <w:t> </w:t>
            </w:r>
            <w:r>
              <w:rPr>
                <w:rFonts w:ascii="宋体" w:hAnsi="宋体" w:cs="宋体" w:eastAsia="宋体" w:hint="default"/>
                <w:sz w:val="15"/>
                <w:szCs w:val="15"/>
              </w:rPr>
              <w:t>动负债</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5"/>
                <w:szCs w:val="15"/>
              </w:rPr>
            </w:pPr>
            <w:r>
              <w:rPr>
                <w:rFonts w:ascii="宋体"/>
                <w:spacing w:val="-1"/>
                <w:sz w:val="15"/>
              </w:rPr>
              <w:t>303,060,000.00</w:t>
            </w:r>
          </w:p>
        </w:tc>
        <w:tc>
          <w:tcPr>
            <w:tcW w:w="1419" w:type="dxa"/>
            <w:tcBorders>
              <w:top w:val="single" w:sz="8" w:space="0" w:color="000000"/>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
        </w:tc>
        <w:tc>
          <w:tcPr>
            <w:tcW w:w="1522" w:type="dxa"/>
            <w:tcBorders>
              <w:top w:val="single" w:sz="8" w:space="0" w:color="000000"/>
              <w:left w:val="single" w:sz="8" w:space="0" w:color="000000"/>
              <w:bottom w:val="single" w:sz="8" w:space="0" w:color="000000"/>
              <w:right w:val="single" w:sz="8" w:space="0" w:color="000000"/>
            </w:tcBorders>
          </w:tcPr>
          <w:p>
            <w:pP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303,060,000.00</w:t>
            </w:r>
          </w:p>
        </w:tc>
      </w:tr>
      <w:tr>
        <w:trPr>
          <w:trHeight w:val="360" w:hRule="exact"/>
        </w:trPr>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宋体" w:hAnsi="宋体" w:cs="宋体" w:eastAsia="宋体" w:hint="default"/>
                <w:sz w:val="15"/>
                <w:szCs w:val="15"/>
              </w:rPr>
            </w:pPr>
            <w:r>
              <w:rPr>
                <w:rFonts w:ascii="宋体" w:hAnsi="宋体" w:cs="宋体" w:eastAsia="宋体" w:hint="default"/>
                <w:sz w:val="15"/>
                <w:szCs w:val="15"/>
              </w:rPr>
              <w:t>长期借款</w:t>
            </w:r>
          </w:p>
        </w:tc>
        <w:tc>
          <w:tcPr>
            <w:tcW w:w="1561"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宋体" w:hAnsi="宋体" w:cs="宋体" w:eastAsia="宋体" w:hint="default"/>
                <w:sz w:val="15"/>
                <w:szCs w:val="15"/>
              </w:rPr>
            </w:pPr>
            <w:r>
              <w:rPr>
                <w:rFonts w:ascii="宋体"/>
                <w:spacing w:val="-1"/>
                <w:sz w:val="15"/>
              </w:rPr>
              <w:t>338,390,000.00</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宋体" w:hAnsi="宋体" w:cs="宋体" w:eastAsia="宋体" w:hint="default"/>
                <w:sz w:val="15"/>
                <w:szCs w:val="15"/>
              </w:rPr>
            </w:pPr>
            <w:r>
              <w:rPr>
                <w:rFonts w:ascii="宋体"/>
                <w:spacing w:val="-1"/>
                <w:sz w:val="15"/>
              </w:rPr>
              <w:t>316,680,000.00</w:t>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8"/>
              <w:jc w:val="right"/>
              <w:rPr>
                <w:rFonts w:ascii="宋体" w:hAnsi="宋体" w:cs="宋体" w:eastAsia="宋体" w:hint="default"/>
                <w:sz w:val="15"/>
                <w:szCs w:val="15"/>
              </w:rPr>
            </w:pPr>
            <w:r>
              <w:rPr>
                <w:rFonts w:ascii="宋体"/>
                <w:spacing w:val="-1"/>
                <w:sz w:val="15"/>
              </w:rPr>
              <w:t>970,530,000.00</w:t>
            </w: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9"/>
              <w:jc w:val="right"/>
              <w:rPr>
                <w:rFonts w:ascii="宋体" w:hAnsi="宋体" w:cs="宋体" w:eastAsia="宋体" w:hint="default"/>
                <w:sz w:val="15"/>
                <w:szCs w:val="15"/>
              </w:rPr>
            </w:pPr>
            <w:r>
              <w:rPr>
                <w:rFonts w:ascii="宋体"/>
                <w:spacing w:val="-2"/>
                <w:sz w:val="15"/>
              </w:rPr>
              <w:t>1,625,600,000.00</w:t>
            </w:r>
            <w:r>
              <w:rPr>
                <w:rFonts w:ascii="宋体"/>
                <w:sz w:val="15"/>
              </w:rPr>
            </w:r>
          </w:p>
        </w:tc>
      </w:tr>
      <w:tr>
        <w:trPr>
          <w:trHeight w:val="360" w:hRule="exact"/>
        </w:trPr>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1561"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宋体" w:hAnsi="宋体" w:cs="宋体" w:eastAsia="宋体" w:hint="default"/>
                <w:sz w:val="15"/>
                <w:szCs w:val="15"/>
              </w:rPr>
            </w:pPr>
            <w:r>
              <w:rPr>
                <w:rFonts w:ascii="宋体"/>
                <w:spacing w:val="-2"/>
                <w:sz w:val="15"/>
              </w:rPr>
              <w:t>1,000,000,000.00</w:t>
            </w:r>
          </w:p>
        </w:tc>
        <w:tc>
          <w:tcPr>
            <w:tcW w:w="1522" w:type="dxa"/>
            <w:tcBorders>
              <w:top w:val="single" w:sz="8" w:space="0" w:color="000000"/>
              <w:left w:val="single" w:sz="8" w:space="0" w:color="000000"/>
              <w:bottom w:val="single" w:sz="8" w:space="0" w:color="000000"/>
              <w:right w:val="single" w:sz="8" w:space="0" w:color="000000"/>
            </w:tcBorders>
          </w:tcPr>
          <w:p>
            <w:pP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8"/>
              <w:jc w:val="right"/>
              <w:rPr>
                <w:rFonts w:ascii="宋体" w:hAnsi="宋体" w:cs="宋体" w:eastAsia="宋体" w:hint="default"/>
                <w:sz w:val="15"/>
                <w:szCs w:val="15"/>
              </w:rPr>
            </w:pPr>
            <w:r>
              <w:rPr>
                <w:rFonts w:ascii="宋体"/>
                <w:spacing w:val="-2"/>
                <w:sz w:val="15"/>
              </w:rPr>
              <w:t>1,000,000,000.00</w:t>
            </w:r>
          </w:p>
        </w:tc>
      </w:tr>
      <w:tr>
        <w:trPr>
          <w:trHeight w:val="410" w:hRule="exact"/>
        </w:trPr>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171" w:lineRule="exact"/>
              <w:ind w:left="98" w:right="0"/>
              <w:jc w:val="left"/>
              <w:rPr>
                <w:rFonts w:ascii="宋体" w:hAnsi="宋体" w:cs="宋体" w:eastAsia="宋体" w:hint="default"/>
                <w:sz w:val="15"/>
                <w:szCs w:val="15"/>
              </w:rPr>
            </w:pPr>
            <w:r>
              <w:rPr>
                <w:rFonts w:ascii="宋体" w:hAnsi="宋体" w:cs="宋体" w:eastAsia="宋体" w:hint="default"/>
                <w:b/>
                <w:bCs/>
                <w:sz w:val="15"/>
                <w:szCs w:val="15"/>
              </w:rPr>
              <w:t>金融负债和或有负债</w:t>
            </w:r>
            <w:r>
              <w:rPr>
                <w:rFonts w:ascii="宋体" w:hAnsi="宋体" w:cs="宋体" w:eastAsia="宋体" w:hint="default"/>
                <w:sz w:val="15"/>
                <w:szCs w:val="15"/>
              </w:rPr>
            </w:r>
          </w:p>
          <w:p>
            <w:pPr>
              <w:pStyle w:val="TableParagraph"/>
              <w:spacing w:line="195" w:lineRule="exact"/>
              <w:ind w:left="98" w:right="0"/>
              <w:jc w:val="left"/>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宋体" w:hAnsi="宋体" w:cs="宋体" w:eastAsia="宋体" w:hint="default"/>
                <w:sz w:val="15"/>
                <w:szCs w:val="15"/>
              </w:rPr>
            </w:pPr>
            <w:r>
              <w:rPr>
                <w:rFonts w:ascii="宋体"/>
                <w:b/>
                <w:spacing w:val="-1"/>
                <w:sz w:val="15"/>
              </w:rPr>
              <w:t>2,357,757,067.71</w:t>
            </w:r>
            <w:r>
              <w:rPr>
                <w:rFonts w:ascii="宋体"/>
                <w:spacing w:val="-1"/>
                <w:sz w:val="15"/>
              </w:rPr>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宋体" w:hAnsi="宋体" w:cs="宋体" w:eastAsia="宋体" w:hint="default"/>
                <w:sz w:val="15"/>
                <w:szCs w:val="15"/>
              </w:rPr>
            </w:pPr>
            <w:r>
              <w:rPr>
                <w:rFonts w:ascii="宋体"/>
                <w:b/>
                <w:spacing w:val="-1"/>
                <w:sz w:val="15"/>
              </w:rPr>
              <w:t>338,390,000.00</w:t>
            </w:r>
            <w:r>
              <w:rPr>
                <w:rFonts w:ascii="宋体"/>
                <w:spacing w:val="-1"/>
                <w:sz w:val="15"/>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宋体" w:hAnsi="宋体" w:cs="宋体" w:eastAsia="宋体" w:hint="default"/>
                <w:sz w:val="15"/>
                <w:szCs w:val="15"/>
              </w:rPr>
            </w:pPr>
            <w:r>
              <w:rPr>
                <w:rFonts w:ascii="宋体"/>
                <w:b/>
                <w:spacing w:val="-1"/>
                <w:sz w:val="15"/>
              </w:rPr>
              <w:t>1,316,680,000.00</w:t>
            </w:r>
            <w:r>
              <w:rPr>
                <w:rFonts w:ascii="宋体"/>
                <w:spacing w:val="-1"/>
                <w:sz w:val="15"/>
              </w:rPr>
            </w:r>
          </w:p>
        </w:tc>
        <w:tc>
          <w:tcPr>
            <w:tcW w:w="15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9"/>
              <w:jc w:val="right"/>
              <w:rPr>
                <w:rFonts w:ascii="宋体" w:hAnsi="宋体" w:cs="宋体" w:eastAsia="宋体" w:hint="default"/>
                <w:sz w:val="15"/>
                <w:szCs w:val="15"/>
              </w:rPr>
            </w:pPr>
            <w:r>
              <w:rPr>
                <w:rFonts w:ascii="宋体"/>
                <w:b/>
                <w:spacing w:val="-1"/>
                <w:sz w:val="15"/>
              </w:rPr>
              <w:t>970,530,000.00</w:t>
            </w:r>
            <w:r>
              <w:rPr>
                <w:rFonts w:ascii="宋体"/>
                <w:spacing w:val="-1"/>
                <w:sz w:val="15"/>
              </w:rPr>
            </w:r>
          </w:p>
        </w:tc>
        <w:tc>
          <w:tcPr>
            <w:tcW w:w="15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9"/>
              <w:jc w:val="right"/>
              <w:rPr>
                <w:rFonts w:ascii="宋体" w:hAnsi="宋体" w:cs="宋体" w:eastAsia="宋体" w:hint="default"/>
                <w:sz w:val="15"/>
                <w:szCs w:val="15"/>
              </w:rPr>
            </w:pPr>
            <w:r>
              <w:rPr>
                <w:rFonts w:ascii="宋体"/>
                <w:b/>
                <w:spacing w:val="-1"/>
                <w:sz w:val="15"/>
              </w:rPr>
              <w:t>4,983,357,067.71</w:t>
            </w:r>
            <w:r>
              <w:rPr>
                <w:rFonts w:ascii="宋体"/>
                <w:spacing w:val="-1"/>
                <w:sz w:val="15"/>
              </w:rPr>
            </w:r>
          </w:p>
        </w:tc>
      </w:tr>
    </w:tbl>
    <w:p>
      <w:pPr>
        <w:pStyle w:val="BodyText"/>
        <w:spacing w:line="240" w:lineRule="auto" w:before="86"/>
        <w:ind w:left="222" w:right="0"/>
        <w:jc w:val="left"/>
      </w:pPr>
      <w:r>
        <w:rPr/>
        <w:t>续上表：</w:t>
      </w:r>
    </w:p>
    <w:p>
      <w:pPr>
        <w:spacing w:line="240" w:lineRule="auto" w:before="11"/>
        <w:rPr>
          <w:rFonts w:ascii="宋体" w:hAnsi="宋体" w:cs="宋体" w:eastAsia="宋体"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1673"/>
        <w:gridCol w:w="1558"/>
        <w:gridCol w:w="1560"/>
        <w:gridCol w:w="1416"/>
        <w:gridCol w:w="1702"/>
        <w:gridCol w:w="1558"/>
      </w:tblGrid>
      <w:tr>
        <w:trPr>
          <w:trHeight w:val="305" w:hRule="exact"/>
        </w:trPr>
        <w:tc>
          <w:tcPr>
            <w:tcW w:w="1673" w:type="dxa"/>
            <w:tcBorders>
              <w:top w:val="single" w:sz="8" w:space="0" w:color="000000"/>
              <w:left w:val="single" w:sz="8" w:space="0" w:color="000000"/>
              <w:bottom w:val="single" w:sz="8" w:space="0" w:color="000000"/>
              <w:right w:val="single" w:sz="8" w:space="0" w:color="000000"/>
            </w:tcBorders>
          </w:tcPr>
          <w:p>
            <w:pPr/>
          </w:p>
        </w:tc>
        <w:tc>
          <w:tcPr>
            <w:tcW w:w="7795" w:type="dxa"/>
            <w:gridSpan w:val="5"/>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0"/>
              <w:jc w:val="center"/>
              <w:rPr>
                <w:rFonts w:ascii="宋体" w:hAnsi="宋体" w:cs="宋体" w:eastAsia="宋体" w:hint="default"/>
                <w:sz w:val="15"/>
                <w:szCs w:val="15"/>
              </w:rPr>
            </w:pPr>
            <w:r>
              <w:rPr>
                <w:rFonts w:ascii="宋体" w:hAnsi="宋体" w:cs="宋体" w:eastAsia="宋体" w:hint="default"/>
                <w:b/>
                <w:bCs/>
                <w:sz w:val="15"/>
                <w:szCs w:val="15"/>
              </w:rPr>
              <w:t>期初数</w:t>
            </w:r>
            <w:r>
              <w:rPr>
                <w:rFonts w:ascii="宋体" w:hAnsi="宋体" w:cs="宋体" w:eastAsia="宋体" w:hint="default"/>
                <w:sz w:val="15"/>
                <w:szCs w:val="15"/>
              </w:rPr>
            </w:r>
          </w:p>
        </w:tc>
      </w:tr>
      <w:tr>
        <w:trPr>
          <w:trHeight w:val="307" w:hRule="exact"/>
        </w:trPr>
        <w:tc>
          <w:tcPr>
            <w:tcW w:w="16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left="98" w:right="0"/>
              <w:jc w:val="left"/>
              <w:rPr>
                <w:rFonts w:ascii="宋体" w:hAnsi="宋体" w:cs="宋体" w:eastAsia="宋体" w:hint="default"/>
                <w:sz w:val="15"/>
                <w:szCs w:val="15"/>
              </w:rPr>
            </w:pPr>
            <w:r>
              <w:rPr>
                <w:rFonts w:ascii="宋体" w:hAnsi="宋体" w:cs="宋体" w:eastAsia="宋体" w:hint="default"/>
                <w:b/>
                <w:bCs/>
                <w:sz w:val="15"/>
                <w:szCs w:val="15"/>
              </w:rPr>
              <w:t>项</w:t>
            </w:r>
            <w:r>
              <w:rPr>
                <w:rFonts w:ascii="宋体" w:hAnsi="宋体" w:cs="宋体" w:eastAsia="宋体" w:hint="default"/>
                <w:b/>
                <w:bCs/>
                <w:spacing w:val="2"/>
                <w:sz w:val="15"/>
                <w:szCs w:val="15"/>
              </w:rPr>
              <w:t> </w:t>
            </w:r>
            <w:r>
              <w:rPr>
                <w:rFonts w:ascii="宋体" w:hAnsi="宋体" w:cs="宋体" w:eastAsia="宋体" w:hint="default"/>
                <w:b/>
                <w:bCs/>
                <w:sz w:val="15"/>
                <w:szCs w:val="15"/>
              </w:rPr>
              <w:t>目</w:t>
            </w:r>
            <w:r>
              <w:rPr>
                <w:rFonts w:ascii="宋体" w:hAnsi="宋体" w:cs="宋体" w:eastAsia="宋体" w:hint="default"/>
                <w:sz w:val="15"/>
                <w:szCs w:val="15"/>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95"/>
              <w:jc w:val="right"/>
              <w:rPr>
                <w:rFonts w:ascii="宋体" w:hAnsi="宋体" w:cs="宋体" w:eastAsia="宋体" w:hint="default"/>
                <w:sz w:val="15"/>
                <w:szCs w:val="15"/>
              </w:rPr>
            </w:pPr>
            <w:r>
              <w:rPr>
                <w:rFonts w:ascii="宋体" w:hAnsi="宋体" w:cs="宋体" w:eastAsia="宋体" w:hint="default"/>
                <w:b/>
                <w:bCs/>
                <w:sz w:val="15"/>
                <w:szCs w:val="15"/>
              </w:rPr>
              <w:t>一年以内</w:t>
            </w:r>
            <w:r>
              <w:rPr>
                <w:rFonts w:ascii="宋体" w:hAnsi="宋体" w:cs="宋体" w:eastAsia="宋体" w:hint="default"/>
                <w:sz w:val="15"/>
                <w:szCs w:val="15"/>
              </w:rPr>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94"/>
              <w:jc w:val="right"/>
              <w:rPr>
                <w:rFonts w:ascii="宋体" w:hAnsi="宋体" w:cs="宋体" w:eastAsia="宋体" w:hint="default"/>
                <w:sz w:val="15"/>
                <w:szCs w:val="15"/>
              </w:rPr>
            </w:pPr>
            <w:r>
              <w:rPr>
                <w:rFonts w:ascii="宋体" w:hAnsi="宋体" w:cs="宋体" w:eastAsia="宋体" w:hint="default"/>
                <w:b/>
                <w:bCs/>
                <w:sz w:val="15"/>
                <w:szCs w:val="15"/>
              </w:rPr>
              <w:t>一至两年</w:t>
            </w:r>
            <w:r>
              <w:rPr>
                <w:rFonts w:ascii="宋体" w:hAnsi="宋体" w:cs="宋体" w:eastAsia="宋体" w:hint="default"/>
                <w:sz w:val="15"/>
                <w:szCs w:val="15"/>
              </w:rPr>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95"/>
              <w:jc w:val="right"/>
              <w:rPr>
                <w:rFonts w:ascii="宋体" w:hAnsi="宋体" w:cs="宋体" w:eastAsia="宋体" w:hint="default"/>
                <w:sz w:val="15"/>
                <w:szCs w:val="15"/>
              </w:rPr>
            </w:pPr>
            <w:r>
              <w:rPr>
                <w:rFonts w:ascii="宋体" w:hAnsi="宋体" w:cs="宋体" w:eastAsia="宋体" w:hint="default"/>
                <w:b/>
                <w:bCs/>
                <w:sz w:val="15"/>
                <w:szCs w:val="15"/>
              </w:rPr>
              <w:t>两至三年</w:t>
            </w:r>
            <w:r>
              <w:rPr>
                <w:rFonts w:ascii="宋体" w:hAnsi="宋体" w:cs="宋体" w:eastAsia="宋体" w:hint="default"/>
                <w:sz w:val="15"/>
                <w:szCs w:val="15"/>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96"/>
              <w:jc w:val="right"/>
              <w:rPr>
                <w:rFonts w:ascii="宋体" w:hAnsi="宋体" w:cs="宋体" w:eastAsia="宋体" w:hint="default"/>
                <w:sz w:val="15"/>
                <w:szCs w:val="15"/>
              </w:rPr>
            </w:pPr>
            <w:r>
              <w:rPr>
                <w:rFonts w:ascii="宋体" w:hAnsi="宋体" w:cs="宋体" w:eastAsia="宋体" w:hint="default"/>
                <w:b/>
                <w:bCs/>
                <w:sz w:val="15"/>
                <w:szCs w:val="15"/>
              </w:rPr>
              <w:t>三年以上</w:t>
            </w:r>
            <w:r>
              <w:rPr>
                <w:rFonts w:ascii="宋体" w:hAnsi="宋体" w:cs="宋体" w:eastAsia="宋体" w:hint="default"/>
                <w:sz w:val="15"/>
                <w:szCs w:val="15"/>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4"/>
              <w:ind w:right="96"/>
              <w:jc w:val="right"/>
              <w:rPr>
                <w:rFonts w:ascii="宋体" w:hAnsi="宋体" w:cs="宋体" w:eastAsia="宋体" w:hint="default"/>
                <w:sz w:val="15"/>
                <w:szCs w:val="15"/>
              </w:rPr>
            </w:pPr>
            <w:r>
              <w:rPr>
                <w:rFonts w:ascii="宋体" w:hAnsi="宋体" w:cs="宋体" w:eastAsia="宋体" w:hint="default"/>
                <w:b/>
                <w:bCs/>
                <w:sz w:val="15"/>
                <w:szCs w:val="15"/>
              </w:rPr>
              <w:t>合 </w:t>
            </w:r>
            <w:r>
              <w:rPr>
                <w:rFonts w:ascii="宋体" w:hAnsi="宋体" w:cs="宋体" w:eastAsia="宋体" w:hint="default"/>
                <w:b/>
                <w:bCs/>
                <w:spacing w:val="1"/>
                <w:sz w:val="15"/>
                <w:szCs w:val="15"/>
              </w:rPr>
              <w:t> </w:t>
            </w:r>
            <w:r>
              <w:rPr>
                <w:rFonts w:ascii="宋体" w:hAnsi="宋体" w:cs="宋体" w:eastAsia="宋体" w:hint="default"/>
                <w:b/>
                <w:bCs/>
                <w:sz w:val="15"/>
                <w:szCs w:val="15"/>
              </w:rPr>
              <w:t>计</w:t>
            </w:r>
            <w:r>
              <w:rPr>
                <w:rFonts w:ascii="宋体" w:hAnsi="宋体" w:cs="宋体" w:eastAsia="宋体" w:hint="default"/>
                <w:sz w:val="15"/>
                <w:szCs w:val="15"/>
              </w:rPr>
            </w:r>
          </w:p>
        </w:tc>
      </w:tr>
      <w:tr>
        <w:trPr>
          <w:trHeight w:val="360" w:hRule="exact"/>
        </w:trPr>
        <w:tc>
          <w:tcPr>
            <w:tcW w:w="16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98" w:right="0"/>
              <w:jc w:val="left"/>
              <w:rPr>
                <w:rFonts w:ascii="宋体" w:hAnsi="宋体" w:cs="宋体" w:eastAsia="宋体" w:hint="default"/>
                <w:sz w:val="15"/>
                <w:szCs w:val="15"/>
              </w:rPr>
            </w:pPr>
            <w:r>
              <w:rPr>
                <w:rFonts w:ascii="宋体" w:hAnsi="宋体" w:cs="宋体" w:eastAsia="宋体" w:hint="default"/>
                <w:sz w:val="15"/>
                <w:szCs w:val="15"/>
              </w:rPr>
              <w:t>金融负债：</w:t>
            </w:r>
          </w:p>
        </w:tc>
        <w:tc>
          <w:tcPr>
            <w:tcW w:w="1558"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
        </w:tc>
      </w:tr>
      <w:tr>
        <w:trPr>
          <w:trHeight w:val="360" w:hRule="exact"/>
        </w:trPr>
        <w:tc>
          <w:tcPr>
            <w:tcW w:w="16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98" w:right="0"/>
              <w:jc w:val="left"/>
              <w:rPr>
                <w:rFonts w:ascii="宋体" w:hAnsi="宋体" w:cs="宋体" w:eastAsia="宋体" w:hint="default"/>
                <w:sz w:val="15"/>
                <w:szCs w:val="15"/>
              </w:rPr>
            </w:pPr>
            <w:r>
              <w:rPr>
                <w:rFonts w:ascii="宋体" w:hAnsi="宋体" w:cs="宋体" w:eastAsia="宋体" w:hint="default"/>
                <w:sz w:val="15"/>
                <w:szCs w:val="15"/>
              </w:rPr>
              <w:t>短期借款</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6"/>
              <w:jc w:val="right"/>
              <w:rPr>
                <w:rFonts w:ascii="宋体" w:hAnsi="宋体" w:cs="宋体" w:eastAsia="宋体" w:hint="default"/>
                <w:sz w:val="15"/>
                <w:szCs w:val="15"/>
              </w:rPr>
            </w:pPr>
            <w:r>
              <w:rPr>
                <w:rFonts w:ascii="宋体"/>
                <w:spacing w:val="-2"/>
                <w:sz w:val="15"/>
              </w:rPr>
              <w:t>1,442,307,351.78</w:t>
            </w:r>
          </w:p>
        </w:tc>
        <w:tc>
          <w:tcPr>
            <w:tcW w:w="1560"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8"/>
              <w:jc w:val="right"/>
              <w:rPr>
                <w:rFonts w:ascii="宋体" w:hAnsi="宋体" w:cs="宋体" w:eastAsia="宋体" w:hint="default"/>
                <w:sz w:val="15"/>
                <w:szCs w:val="15"/>
              </w:rPr>
            </w:pPr>
            <w:r>
              <w:rPr>
                <w:rFonts w:ascii="宋体"/>
                <w:spacing w:val="-2"/>
                <w:sz w:val="15"/>
              </w:rPr>
              <w:t>1,442,307,351.78</w:t>
            </w:r>
          </w:p>
        </w:tc>
      </w:tr>
      <w:tr>
        <w:trPr>
          <w:trHeight w:val="360" w:hRule="exact"/>
        </w:trPr>
        <w:tc>
          <w:tcPr>
            <w:tcW w:w="16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98" w:right="0"/>
              <w:jc w:val="left"/>
              <w:rPr>
                <w:rFonts w:ascii="宋体" w:hAnsi="宋体" w:cs="宋体" w:eastAsia="宋体" w:hint="default"/>
                <w:sz w:val="15"/>
                <w:szCs w:val="15"/>
              </w:rPr>
            </w:pPr>
            <w:r>
              <w:rPr>
                <w:rFonts w:ascii="宋体" w:hAnsi="宋体" w:cs="宋体" w:eastAsia="宋体" w:hint="default"/>
                <w:sz w:val="15"/>
                <w:szCs w:val="15"/>
              </w:rPr>
              <w:t>应付票据</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宋体" w:hAnsi="宋体" w:cs="宋体" w:eastAsia="宋体" w:hint="default"/>
                <w:sz w:val="15"/>
                <w:szCs w:val="15"/>
              </w:rPr>
            </w:pPr>
            <w:r>
              <w:rPr>
                <w:rFonts w:ascii="宋体"/>
                <w:spacing w:val="-1"/>
                <w:sz w:val="15"/>
              </w:rPr>
              <w:t>312,264,298.92</w:t>
            </w:r>
          </w:p>
        </w:tc>
        <w:tc>
          <w:tcPr>
            <w:tcW w:w="1560"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8"/>
              <w:jc w:val="right"/>
              <w:rPr>
                <w:rFonts w:ascii="宋体" w:hAnsi="宋体" w:cs="宋体" w:eastAsia="宋体" w:hint="default"/>
                <w:sz w:val="15"/>
                <w:szCs w:val="15"/>
              </w:rPr>
            </w:pPr>
            <w:r>
              <w:rPr>
                <w:rFonts w:ascii="宋体"/>
                <w:spacing w:val="-1"/>
                <w:sz w:val="15"/>
              </w:rPr>
              <w:t>312,264,298.92</w:t>
            </w:r>
          </w:p>
        </w:tc>
      </w:tr>
      <w:tr>
        <w:trPr>
          <w:trHeight w:val="360" w:hRule="exact"/>
        </w:trPr>
        <w:tc>
          <w:tcPr>
            <w:tcW w:w="16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98"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宋体" w:hAnsi="宋体" w:cs="宋体" w:eastAsia="宋体" w:hint="default"/>
                <w:sz w:val="15"/>
                <w:szCs w:val="15"/>
              </w:rPr>
            </w:pPr>
            <w:r>
              <w:rPr>
                <w:rFonts w:ascii="宋体"/>
                <w:spacing w:val="-1"/>
                <w:sz w:val="15"/>
              </w:rPr>
              <w:t>935,008,697.35</w:t>
            </w:r>
          </w:p>
        </w:tc>
        <w:tc>
          <w:tcPr>
            <w:tcW w:w="1560"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8"/>
              <w:jc w:val="right"/>
              <w:rPr>
                <w:rFonts w:ascii="宋体" w:hAnsi="宋体" w:cs="宋体" w:eastAsia="宋体" w:hint="default"/>
                <w:sz w:val="15"/>
                <w:szCs w:val="15"/>
              </w:rPr>
            </w:pPr>
            <w:r>
              <w:rPr>
                <w:rFonts w:ascii="宋体"/>
                <w:spacing w:val="-1"/>
                <w:sz w:val="15"/>
              </w:rPr>
              <w:t>935,008,697.35</w:t>
            </w:r>
          </w:p>
        </w:tc>
      </w:tr>
      <w:tr>
        <w:trPr>
          <w:trHeight w:val="360" w:hRule="exact"/>
        </w:trPr>
        <w:tc>
          <w:tcPr>
            <w:tcW w:w="16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98" w:right="0"/>
              <w:jc w:val="left"/>
              <w:rPr>
                <w:rFonts w:ascii="宋体" w:hAnsi="宋体" w:cs="宋体" w:eastAsia="宋体" w:hint="default"/>
                <w:sz w:val="15"/>
                <w:szCs w:val="15"/>
              </w:rPr>
            </w:pPr>
            <w:r>
              <w:rPr>
                <w:rFonts w:ascii="宋体" w:hAnsi="宋体" w:cs="宋体" w:eastAsia="宋体" w:hint="default"/>
                <w:sz w:val="15"/>
                <w:szCs w:val="15"/>
              </w:rPr>
              <w:t>应付利息</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宋体" w:hAnsi="宋体" w:cs="宋体" w:eastAsia="宋体" w:hint="default"/>
                <w:sz w:val="15"/>
                <w:szCs w:val="15"/>
              </w:rPr>
            </w:pPr>
            <w:r>
              <w:rPr>
                <w:rFonts w:ascii="宋体"/>
                <w:spacing w:val="-2"/>
                <w:sz w:val="15"/>
              </w:rPr>
              <w:t>14,861,445.32</w:t>
            </w:r>
          </w:p>
        </w:tc>
        <w:tc>
          <w:tcPr>
            <w:tcW w:w="1560"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8"/>
              <w:jc w:val="right"/>
              <w:rPr>
                <w:rFonts w:ascii="宋体" w:hAnsi="宋体" w:cs="宋体" w:eastAsia="宋体" w:hint="default"/>
                <w:sz w:val="15"/>
                <w:szCs w:val="15"/>
              </w:rPr>
            </w:pPr>
            <w:r>
              <w:rPr>
                <w:rFonts w:ascii="宋体"/>
                <w:spacing w:val="-2"/>
                <w:sz w:val="15"/>
              </w:rPr>
              <w:t>14,861,445.32</w:t>
            </w:r>
          </w:p>
        </w:tc>
      </w:tr>
      <w:tr>
        <w:trPr>
          <w:trHeight w:val="360" w:hRule="exact"/>
        </w:trPr>
        <w:tc>
          <w:tcPr>
            <w:tcW w:w="16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98"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宋体" w:hAnsi="宋体" w:cs="宋体" w:eastAsia="宋体" w:hint="default"/>
                <w:sz w:val="15"/>
                <w:szCs w:val="15"/>
              </w:rPr>
            </w:pPr>
            <w:r>
              <w:rPr>
                <w:rFonts w:ascii="宋体"/>
                <w:spacing w:val="-2"/>
                <w:sz w:val="15"/>
              </w:rPr>
              <w:t>67,752,303.89</w:t>
            </w:r>
          </w:p>
        </w:tc>
        <w:tc>
          <w:tcPr>
            <w:tcW w:w="1560"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8"/>
              <w:jc w:val="right"/>
              <w:rPr>
                <w:rFonts w:ascii="宋体" w:hAnsi="宋体" w:cs="宋体" w:eastAsia="宋体" w:hint="default"/>
                <w:sz w:val="15"/>
                <w:szCs w:val="15"/>
              </w:rPr>
            </w:pPr>
            <w:r>
              <w:rPr>
                <w:rFonts w:ascii="宋体"/>
                <w:spacing w:val="-2"/>
                <w:sz w:val="15"/>
              </w:rPr>
              <w:t>67,752,303.89</w:t>
            </w:r>
          </w:p>
        </w:tc>
      </w:tr>
      <w:tr>
        <w:trPr>
          <w:trHeight w:val="360" w:hRule="exact"/>
        </w:trPr>
        <w:tc>
          <w:tcPr>
            <w:tcW w:w="16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98" w:right="0"/>
              <w:jc w:val="left"/>
              <w:rPr>
                <w:rFonts w:ascii="宋体" w:hAnsi="宋体" w:cs="宋体" w:eastAsia="宋体" w:hint="default"/>
                <w:sz w:val="15"/>
                <w:szCs w:val="15"/>
              </w:rPr>
            </w:pPr>
            <w:r>
              <w:rPr>
                <w:rFonts w:ascii="宋体" w:hAnsi="宋体" w:cs="宋体" w:eastAsia="宋体" w:hint="default"/>
                <w:sz w:val="15"/>
                <w:szCs w:val="15"/>
              </w:rPr>
              <w:t>其他流动负债</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5"/>
              <w:jc w:val="right"/>
              <w:rPr>
                <w:rFonts w:ascii="宋体" w:hAnsi="宋体" w:cs="宋体" w:eastAsia="宋体" w:hint="default"/>
                <w:sz w:val="15"/>
                <w:szCs w:val="15"/>
              </w:rPr>
            </w:pPr>
            <w:r>
              <w:rPr>
                <w:rFonts w:ascii="宋体"/>
                <w:spacing w:val="-1"/>
                <w:sz w:val="15"/>
              </w:rPr>
              <w:t>211,854.00</w:t>
            </w:r>
          </w:p>
        </w:tc>
        <w:tc>
          <w:tcPr>
            <w:tcW w:w="1560"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8"/>
              <w:jc w:val="right"/>
              <w:rPr>
                <w:rFonts w:ascii="宋体" w:hAnsi="宋体" w:cs="宋体" w:eastAsia="宋体" w:hint="default"/>
                <w:sz w:val="15"/>
                <w:szCs w:val="15"/>
              </w:rPr>
            </w:pPr>
            <w:r>
              <w:rPr>
                <w:rFonts w:ascii="宋体"/>
                <w:spacing w:val="-1"/>
                <w:sz w:val="15"/>
              </w:rPr>
              <w:t>211,854.00</w:t>
            </w:r>
          </w:p>
        </w:tc>
      </w:tr>
      <w:tr>
        <w:trPr>
          <w:trHeight w:val="409" w:hRule="exact"/>
        </w:trPr>
        <w:tc>
          <w:tcPr>
            <w:tcW w:w="1673" w:type="dxa"/>
            <w:tcBorders>
              <w:top w:val="single" w:sz="8" w:space="0" w:color="000000"/>
              <w:left w:val="single" w:sz="8" w:space="0" w:color="000000"/>
              <w:bottom w:val="single" w:sz="8" w:space="0" w:color="000000"/>
              <w:right w:val="single" w:sz="8" w:space="0" w:color="000000"/>
            </w:tcBorders>
          </w:tcPr>
          <w:p>
            <w:pPr>
              <w:pStyle w:val="TableParagraph"/>
              <w:spacing w:line="172" w:lineRule="exact"/>
              <w:ind w:left="98"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44"/>
                <w:sz w:val="15"/>
                <w:szCs w:val="15"/>
              </w:rPr>
              <w:t> </w:t>
            </w:r>
            <w:r>
              <w:rPr>
                <w:rFonts w:ascii="宋体" w:hAnsi="宋体" w:cs="宋体" w:eastAsia="宋体" w:hint="default"/>
                <w:sz w:val="15"/>
                <w:szCs w:val="15"/>
              </w:rPr>
              <w:t>年内到期到期的非流</w:t>
            </w:r>
          </w:p>
          <w:p>
            <w:pPr>
              <w:pStyle w:val="TableParagraph"/>
              <w:spacing w:line="196" w:lineRule="exact"/>
              <w:ind w:left="98" w:right="0"/>
              <w:jc w:val="left"/>
              <w:rPr>
                <w:rFonts w:ascii="宋体" w:hAnsi="宋体" w:cs="宋体" w:eastAsia="宋体" w:hint="default"/>
                <w:sz w:val="15"/>
                <w:szCs w:val="15"/>
              </w:rPr>
            </w:pPr>
            <w:r>
              <w:rPr>
                <w:rFonts w:ascii="宋体" w:hAnsi="宋体" w:cs="宋体" w:eastAsia="宋体" w:hint="default"/>
                <w:sz w:val="15"/>
                <w:szCs w:val="15"/>
              </w:rPr>
              <w:t>动负债</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5"/>
              <w:jc w:val="right"/>
              <w:rPr>
                <w:rFonts w:ascii="宋体" w:hAnsi="宋体" w:cs="宋体" w:eastAsia="宋体" w:hint="default"/>
                <w:sz w:val="15"/>
                <w:szCs w:val="15"/>
              </w:rPr>
            </w:pPr>
            <w:r>
              <w:rPr>
                <w:rFonts w:ascii="宋体"/>
                <w:spacing w:val="-1"/>
                <w:sz w:val="15"/>
              </w:rPr>
              <w:t>294,210,000.00</w:t>
            </w:r>
          </w:p>
        </w:tc>
        <w:tc>
          <w:tcPr>
            <w:tcW w:w="1560"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8"/>
              <w:jc w:val="right"/>
              <w:rPr>
                <w:rFonts w:ascii="宋体" w:hAnsi="宋体" w:cs="宋体" w:eastAsia="宋体" w:hint="default"/>
                <w:sz w:val="15"/>
                <w:szCs w:val="15"/>
              </w:rPr>
            </w:pPr>
            <w:r>
              <w:rPr>
                <w:rFonts w:ascii="宋体"/>
                <w:spacing w:val="-1"/>
                <w:sz w:val="15"/>
              </w:rPr>
              <w:t>294,210,000.00</w:t>
            </w:r>
          </w:p>
        </w:tc>
      </w:tr>
      <w:tr>
        <w:trPr>
          <w:trHeight w:val="360" w:hRule="exact"/>
        </w:trPr>
        <w:tc>
          <w:tcPr>
            <w:tcW w:w="16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宋体" w:hAnsi="宋体" w:cs="宋体" w:eastAsia="宋体" w:hint="default"/>
                <w:sz w:val="15"/>
                <w:szCs w:val="15"/>
              </w:rPr>
            </w:pPr>
            <w:r>
              <w:rPr>
                <w:rFonts w:ascii="宋体" w:hAnsi="宋体" w:cs="宋体" w:eastAsia="宋体" w:hint="default"/>
                <w:sz w:val="15"/>
                <w:szCs w:val="15"/>
              </w:rPr>
              <w:t>长期借款</w:t>
            </w:r>
          </w:p>
        </w:tc>
        <w:tc>
          <w:tcPr>
            <w:tcW w:w="1558"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宋体" w:hAnsi="宋体" w:cs="宋体" w:eastAsia="宋体" w:hint="default"/>
                <w:sz w:val="15"/>
                <w:szCs w:val="15"/>
              </w:rPr>
            </w:pPr>
            <w:r>
              <w:rPr>
                <w:rFonts w:ascii="宋体"/>
                <w:spacing w:val="-1"/>
                <w:sz w:val="15"/>
              </w:rPr>
              <w:t>391,070,000.00</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宋体" w:hAnsi="宋体" w:cs="宋体" w:eastAsia="宋体" w:hint="default"/>
                <w:sz w:val="15"/>
                <w:szCs w:val="15"/>
              </w:rPr>
            </w:pPr>
            <w:r>
              <w:rPr>
                <w:rFonts w:ascii="宋体"/>
                <w:spacing w:val="-1"/>
                <w:sz w:val="15"/>
              </w:rPr>
              <w:t>424,390,000.00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8"/>
              <w:jc w:val="right"/>
              <w:rPr>
                <w:rFonts w:ascii="宋体" w:hAnsi="宋体" w:cs="宋体" w:eastAsia="宋体" w:hint="default"/>
                <w:sz w:val="15"/>
                <w:szCs w:val="15"/>
              </w:rPr>
            </w:pPr>
            <w:r>
              <w:rPr>
                <w:rFonts w:ascii="宋体"/>
                <w:spacing w:val="-2"/>
                <w:sz w:val="15"/>
              </w:rPr>
              <w:t>1,376,207,500.00</w:t>
            </w:r>
            <w:r>
              <w:rPr>
                <w:rFonts w:ascii="宋体"/>
                <w:sz w:val="15"/>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8"/>
              <w:jc w:val="right"/>
              <w:rPr>
                <w:rFonts w:ascii="宋体" w:hAnsi="宋体" w:cs="宋体" w:eastAsia="宋体" w:hint="default"/>
                <w:sz w:val="15"/>
                <w:szCs w:val="15"/>
              </w:rPr>
            </w:pPr>
            <w:r>
              <w:rPr>
                <w:rFonts w:ascii="宋体"/>
                <w:spacing w:val="-2"/>
                <w:sz w:val="15"/>
              </w:rPr>
              <w:t>2,191,667,500.00</w:t>
            </w:r>
            <w:r>
              <w:rPr>
                <w:rFonts w:ascii="宋体"/>
                <w:sz w:val="15"/>
              </w:rPr>
            </w:r>
          </w:p>
        </w:tc>
      </w:tr>
      <w:tr>
        <w:trPr>
          <w:trHeight w:val="360" w:hRule="exact"/>
        </w:trPr>
        <w:tc>
          <w:tcPr>
            <w:tcW w:w="16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8"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宋体" w:hAnsi="宋体" w:cs="宋体" w:eastAsia="宋体" w:hint="default"/>
                <w:sz w:val="15"/>
                <w:szCs w:val="15"/>
              </w:rPr>
            </w:pPr>
            <w:r>
              <w:rPr>
                <w:rFonts w:ascii="宋体"/>
                <w:spacing w:val="-1"/>
                <w:sz w:val="15"/>
              </w:rPr>
              <w:t>100,000,000.00</w:t>
            </w:r>
          </w:p>
        </w:tc>
        <w:tc>
          <w:tcPr>
            <w:tcW w:w="1560"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8"/>
              <w:jc w:val="right"/>
              <w:rPr>
                <w:rFonts w:ascii="宋体" w:hAnsi="宋体" w:cs="宋体" w:eastAsia="宋体" w:hint="default"/>
                <w:sz w:val="15"/>
                <w:szCs w:val="15"/>
              </w:rPr>
            </w:pPr>
            <w:r>
              <w:rPr>
                <w:rFonts w:ascii="宋体"/>
                <w:spacing w:val="-1"/>
                <w:sz w:val="15"/>
              </w:rPr>
              <w:t>100,000,000.00</w:t>
            </w:r>
          </w:p>
        </w:tc>
      </w:tr>
      <w:tr>
        <w:trPr>
          <w:trHeight w:val="410" w:hRule="exact"/>
        </w:trPr>
        <w:tc>
          <w:tcPr>
            <w:tcW w:w="1673" w:type="dxa"/>
            <w:tcBorders>
              <w:top w:val="single" w:sz="8" w:space="0" w:color="000000"/>
              <w:left w:val="single" w:sz="8" w:space="0" w:color="000000"/>
              <w:bottom w:val="single" w:sz="8" w:space="0" w:color="000000"/>
              <w:right w:val="single" w:sz="8" w:space="0" w:color="000000"/>
            </w:tcBorders>
          </w:tcPr>
          <w:p>
            <w:pPr>
              <w:pStyle w:val="TableParagraph"/>
              <w:spacing w:line="171" w:lineRule="exact"/>
              <w:ind w:left="98" w:right="0"/>
              <w:jc w:val="left"/>
              <w:rPr>
                <w:rFonts w:ascii="宋体" w:hAnsi="宋体" w:cs="宋体" w:eastAsia="宋体" w:hint="default"/>
                <w:sz w:val="15"/>
                <w:szCs w:val="15"/>
              </w:rPr>
            </w:pPr>
            <w:r>
              <w:rPr>
                <w:rFonts w:ascii="宋体" w:hAnsi="宋体" w:cs="宋体" w:eastAsia="宋体" w:hint="default"/>
                <w:b/>
                <w:bCs/>
                <w:sz w:val="15"/>
                <w:szCs w:val="15"/>
              </w:rPr>
              <w:t>金融负债和或有负债</w:t>
            </w:r>
            <w:r>
              <w:rPr>
                <w:rFonts w:ascii="宋体" w:hAnsi="宋体" w:cs="宋体" w:eastAsia="宋体" w:hint="default"/>
                <w:sz w:val="15"/>
                <w:szCs w:val="15"/>
              </w:rPr>
            </w:r>
          </w:p>
          <w:p>
            <w:pPr>
              <w:pStyle w:val="TableParagraph"/>
              <w:spacing w:line="195" w:lineRule="exact"/>
              <w:ind w:left="98" w:right="0"/>
              <w:jc w:val="left"/>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8"/>
              <w:jc w:val="right"/>
              <w:rPr>
                <w:rFonts w:ascii="宋体" w:hAnsi="宋体" w:cs="宋体" w:eastAsia="宋体" w:hint="default"/>
                <w:sz w:val="15"/>
                <w:szCs w:val="15"/>
              </w:rPr>
            </w:pPr>
            <w:r>
              <w:rPr>
                <w:rFonts w:ascii="宋体"/>
                <w:b/>
                <w:spacing w:val="-1"/>
                <w:sz w:val="15"/>
              </w:rPr>
              <w:t>3,166,615,951.26</w:t>
            </w:r>
            <w:r>
              <w:rPr>
                <w:rFonts w:ascii="宋体"/>
                <w:spacing w:val="-1"/>
                <w:sz w:val="15"/>
              </w:rPr>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宋体" w:hAnsi="宋体" w:cs="宋体" w:eastAsia="宋体" w:hint="default"/>
                <w:sz w:val="15"/>
                <w:szCs w:val="15"/>
              </w:rPr>
            </w:pPr>
            <w:r>
              <w:rPr>
                <w:rFonts w:ascii="宋体"/>
                <w:b/>
                <w:spacing w:val="-1"/>
                <w:sz w:val="15"/>
              </w:rPr>
              <w:t>391,070,000.00</w:t>
            </w:r>
            <w:r>
              <w:rPr>
                <w:rFonts w:ascii="宋体"/>
                <w:spacing w:val="-1"/>
                <w:sz w:val="15"/>
              </w:rPr>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6"/>
              <w:jc w:val="right"/>
              <w:rPr>
                <w:rFonts w:ascii="宋体" w:hAnsi="宋体" w:cs="宋体" w:eastAsia="宋体" w:hint="default"/>
                <w:sz w:val="15"/>
                <w:szCs w:val="15"/>
              </w:rPr>
            </w:pPr>
            <w:r>
              <w:rPr>
                <w:rFonts w:ascii="宋体"/>
                <w:b/>
                <w:spacing w:val="-1"/>
                <w:sz w:val="15"/>
              </w:rPr>
              <w:t>424,390,000.00</w:t>
            </w:r>
            <w:r>
              <w:rPr>
                <w:rFonts w:ascii="宋体"/>
                <w:spacing w:val="-1"/>
                <w:sz w:val="15"/>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9"/>
              <w:jc w:val="right"/>
              <w:rPr>
                <w:rFonts w:ascii="宋体" w:hAnsi="宋体" w:cs="宋体" w:eastAsia="宋体" w:hint="default"/>
                <w:sz w:val="15"/>
                <w:szCs w:val="15"/>
              </w:rPr>
            </w:pPr>
            <w:r>
              <w:rPr>
                <w:rFonts w:ascii="宋体"/>
                <w:b/>
                <w:spacing w:val="-1"/>
                <w:sz w:val="15"/>
              </w:rPr>
              <w:t>1,376,207,500.00</w:t>
            </w:r>
            <w:r>
              <w:rPr>
                <w:rFonts w:ascii="宋体"/>
                <w:spacing w:val="-1"/>
                <w:sz w:val="15"/>
              </w:rPr>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99"/>
              <w:jc w:val="right"/>
              <w:rPr>
                <w:rFonts w:ascii="宋体" w:hAnsi="宋体" w:cs="宋体" w:eastAsia="宋体" w:hint="default"/>
                <w:sz w:val="15"/>
                <w:szCs w:val="15"/>
              </w:rPr>
            </w:pPr>
            <w:r>
              <w:rPr>
                <w:rFonts w:ascii="宋体"/>
                <w:b/>
                <w:spacing w:val="-1"/>
                <w:sz w:val="15"/>
              </w:rPr>
              <w:t>5,358,283,451.26</w:t>
            </w:r>
            <w:r>
              <w:rPr>
                <w:rFonts w:ascii="宋体"/>
                <w:spacing w:val="-1"/>
                <w:sz w:val="15"/>
              </w:rPr>
            </w:r>
          </w:p>
        </w:tc>
      </w:tr>
    </w:tbl>
    <w:p>
      <w:pPr>
        <w:pStyle w:val="BodyText"/>
        <w:spacing w:line="239" w:lineRule="exact"/>
        <w:ind w:left="641" w:right="0"/>
        <w:jc w:val="left"/>
      </w:pPr>
      <w:r>
        <w:rPr/>
        <w:t>上表中披露的金融负债金额为未经折现的合同现金流量，因而可能与资产负债表中的账面金额</w:t>
      </w:r>
    </w:p>
    <w:p>
      <w:pPr>
        <w:pStyle w:val="BodyText"/>
        <w:spacing w:line="273" w:lineRule="exact"/>
        <w:ind w:left="222" w:right="0"/>
        <w:jc w:val="left"/>
      </w:pPr>
      <w:r>
        <w:rPr/>
        <w:t>有所不同。</w:t>
      </w:r>
    </w:p>
    <w:p>
      <w:pPr>
        <w:pStyle w:val="BodyText"/>
        <w:spacing w:line="390" w:lineRule="atLeast" w:before="3"/>
        <w:ind w:left="641" w:right="0"/>
        <w:jc w:val="left"/>
      </w:pPr>
      <w:r>
        <w:rPr/>
        <w:t>（</w:t>
      </w:r>
      <w:r>
        <w:rPr>
          <w:rFonts w:ascii="宋体" w:hAnsi="宋体" w:cs="宋体" w:eastAsia="宋体" w:hint="default"/>
        </w:rPr>
        <w:t>3</w:t>
      </w:r>
      <w:r>
        <w:rPr/>
        <w:t>）市场风险</w:t>
      </w:r>
      <w:r>
        <w:rPr>
          <w:w w:val="100"/>
        </w:rPr>
        <w:t> </w:t>
      </w:r>
      <w:r>
        <w:rPr>
          <w:spacing w:val="-2"/>
        </w:rPr>
        <w:t>金融工具的市场风险，是指金融工具的公允价值或未来现金流量因市场价格变动而发生波动的</w:t>
      </w:r>
    </w:p>
    <w:p>
      <w:pPr>
        <w:pStyle w:val="BodyText"/>
        <w:spacing w:line="343" w:lineRule="auto"/>
        <w:ind w:left="641" w:right="4102" w:hanging="420"/>
        <w:jc w:val="left"/>
      </w:pPr>
      <w:r>
        <w:rPr>
          <w:spacing w:val="-2"/>
        </w:rPr>
        <w:t>风险，包括利率风险、汇率风险和其他价格风险。</w:t>
      </w:r>
      <w:r>
        <w:rPr>
          <w:spacing w:val="-62"/>
        </w:rPr>
        <w:t> </w:t>
      </w:r>
      <w:r>
        <w:rPr>
          <w:spacing w:val="-62"/>
        </w:rPr>
      </w:r>
      <w:r>
        <w:rPr/>
        <w:t>利率风险</w:t>
      </w:r>
    </w:p>
    <w:p>
      <w:pPr>
        <w:pStyle w:val="BodyText"/>
        <w:spacing w:line="272" w:lineRule="exact" w:before="56"/>
        <w:ind w:left="222" w:right="0" w:firstLine="419"/>
        <w:jc w:val="left"/>
      </w:pPr>
      <w:r>
        <w:rPr>
          <w:spacing w:val="-2"/>
        </w:rPr>
        <w:t>利率风险，是指金融工具的公允价值或未来现金流量因市场利率变动而发生波动的风险。利率</w:t>
      </w:r>
      <w:r>
        <w:rPr>
          <w:w w:val="100"/>
        </w:rPr>
        <w:t> </w:t>
      </w:r>
      <w:r>
        <w:rPr/>
        <w:t>风险可源于已确认的计息金融工具和未确认的金融工具（如某些贷款承诺）。</w:t>
      </w:r>
    </w:p>
    <w:p>
      <w:pPr>
        <w:pStyle w:val="BodyText"/>
        <w:spacing w:line="272" w:lineRule="exact" w:before="121"/>
        <w:ind w:left="222" w:right="0" w:firstLine="419"/>
        <w:jc w:val="left"/>
      </w:pPr>
      <w:r>
        <w:rPr>
          <w:spacing w:val="-2"/>
        </w:rPr>
        <w:t>本集团的利率风险主要产生于长期银行借款。浮动利率的金融负债使本集团面临现金流量利率</w:t>
      </w:r>
      <w:r>
        <w:rPr>
          <w:w w:val="100"/>
        </w:rPr>
        <w:t> </w:t>
      </w:r>
      <w:r>
        <w:rPr>
          <w:spacing w:val="-2"/>
        </w:rPr>
        <w:t>风险，固定利率的金融负债使本集团面临公允价值利率风险。本集团的借款以浮动利率为主。如果</w:t>
      </w:r>
      <w:r>
        <w:rPr/>
      </w:r>
    </w:p>
    <w:p>
      <w:pPr>
        <w:spacing w:after="0" w:line="272" w:lineRule="exact"/>
        <w:jc w:val="left"/>
        <w:sectPr>
          <w:pgSz w:w="11900" w:h="16850"/>
          <w:pgMar w:header="0" w:footer="941" w:top="1000" w:bottom="1140" w:left="148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74" w:lineRule="exact" w:before="36"/>
        <w:ind w:left="222" w:right="0"/>
        <w:jc w:val="left"/>
        <w:rPr>
          <w:rFonts w:ascii="宋体" w:hAnsi="宋体" w:cs="宋体" w:eastAsia="宋体" w:hint="default"/>
        </w:rPr>
      </w:pPr>
      <w:r>
        <w:rPr/>
        <w:t>以浮动利率计算的借款利率上下浮动</w:t>
      </w:r>
      <w:r>
        <w:rPr>
          <w:spacing w:val="-53"/>
        </w:rPr>
        <w:t> </w:t>
      </w:r>
      <w:r>
        <w:rPr>
          <w:rFonts w:ascii="宋体" w:hAnsi="宋体" w:cs="宋体" w:eastAsia="宋体" w:hint="default"/>
        </w:rPr>
        <w:t>100</w:t>
      </w:r>
      <w:r>
        <w:rPr>
          <w:rFonts w:ascii="宋体" w:hAnsi="宋体" w:cs="宋体" w:eastAsia="宋体" w:hint="default"/>
          <w:spacing w:val="-56"/>
        </w:rPr>
        <w:t> </w:t>
      </w:r>
      <w:r>
        <w:rPr/>
        <w:t>个基点，则本集团</w:t>
      </w:r>
      <w:r>
        <w:rPr>
          <w:spacing w:val="-54"/>
        </w:rPr>
        <w:t> </w:t>
      </w:r>
      <w:r>
        <w:rPr>
          <w:rFonts w:ascii="宋体" w:hAnsi="宋体" w:cs="宋体" w:eastAsia="宋体" w:hint="default"/>
        </w:rPr>
        <w:t>2015</w:t>
      </w:r>
      <w:r>
        <w:rPr>
          <w:rFonts w:ascii="宋体" w:hAnsi="宋体" w:cs="宋体" w:eastAsia="宋体" w:hint="default"/>
          <w:spacing w:val="-56"/>
        </w:rPr>
        <w:t> </w:t>
      </w:r>
      <w:r>
        <w:rPr/>
        <w:t>年净利润将减少或增加</w:t>
      </w:r>
      <w:r>
        <w:rPr>
          <w:spacing w:val="-53"/>
        </w:rPr>
        <w:t> </w:t>
      </w:r>
      <w:r>
        <w:rPr>
          <w:rFonts w:ascii="宋体" w:hAnsi="宋体" w:cs="宋体" w:eastAsia="宋体" w:hint="default"/>
        </w:rPr>
        <w:t>1,928.66</w:t>
      </w:r>
    </w:p>
    <w:p>
      <w:pPr>
        <w:pStyle w:val="BodyText"/>
        <w:spacing w:line="272" w:lineRule="exact" w:before="27"/>
        <w:ind w:left="222" w:right="0"/>
        <w:jc w:val="left"/>
      </w:pPr>
      <w:r>
        <w:rPr/>
        <w:t>万元，</w:t>
      </w:r>
      <w:r>
        <w:rPr>
          <w:rFonts w:ascii="宋体" w:hAnsi="宋体" w:cs="宋体" w:eastAsia="宋体" w:hint="default"/>
        </w:rPr>
        <w:t>2014</w:t>
      </w:r>
      <w:r>
        <w:rPr>
          <w:rFonts w:ascii="宋体" w:hAnsi="宋体" w:cs="宋体" w:eastAsia="宋体" w:hint="default"/>
          <w:spacing w:val="-55"/>
        </w:rPr>
        <w:t> </w:t>
      </w:r>
      <w:r>
        <w:rPr/>
        <w:t>年净利润将减少或增加</w:t>
      </w:r>
      <w:r>
        <w:rPr>
          <w:spacing w:val="-54"/>
        </w:rPr>
        <w:t> </w:t>
      </w:r>
      <w:r>
        <w:rPr>
          <w:rFonts w:ascii="宋体" w:hAnsi="宋体" w:cs="宋体" w:eastAsia="宋体" w:hint="default"/>
        </w:rPr>
        <w:t>2,251.48</w:t>
      </w:r>
      <w:r>
        <w:rPr>
          <w:rFonts w:ascii="宋体" w:hAnsi="宋体" w:cs="宋体" w:eastAsia="宋体" w:hint="default"/>
          <w:spacing w:val="-57"/>
        </w:rPr>
        <w:t> </w:t>
      </w:r>
      <w:r>
        <w:rPr/>
        <w:t>万元，本集团管理层认为</w:t>
      </w:r>
      <w:r>
        <w:rPr>
          <w:spacing w:val="-55"/>
        </w:rPr>
        <w:t> </w:t>
      </w:r>
      <w:r>
        <w:rPr>
          <w:rFonts w:ascii="宋体" w:hAnsi="宋体" w:cs="宋体" w:eastAsia="宋体" w:hint="default"/>
        </w:rPr>
        <w:t>100</w:t>
      </w:r>
      <w:r>
        <w:rPr>
          <w:rFonts w:ascii="宋体" w:hAnsi="宋体" w:cs="宋体" w:eastAsia="宋体" w:hint="default"/>
          <w:spacing w:val="-54"/>
        </w:rPr>
        <w:t> </w:t>
      </w:r>
      <w:r>
        <w:rPr/>
        <w:t>个基点反映了下一个年</w:t>
      </w:r>
      <w:r>
        <w:rPr>
          <w:w w:val="100"/>
        </w:rPr>
        <w:t> </w:t>
      </w:r>
      <w:r>
        <w:rPr/>
        <w:t>度利率可能发生变动的合理范围。</w:t>
      </w:r>
    </w:p>
    <w:p>
      <w:pPr>
        <w:pStyle w:val="BodyText"/>
        <w:spacing w:line="340" w:lineRule="auto" w:before="94"/>
        <w:ind w:left="641" w:right="2116"/>
        <w:jc w:val="left"/>
      </w:pPr>
      <w:r>
        <w:rPr/>
        <w:t>汇率风险</w:t>
      </w:r>
      <w:r>
        <w:rPr>
          <w:w w:val="100"/>
        </w:rPr>
        <w:t> </w:t>
      </w:r>
      <w:r>
        <w:rPr>
          <w:spacing w:val="-2"/>
        </w:rPr>
        <w:t>本集团的主要经营位于中国境内，主要业务以人民币结算，无汇率风险。</w:t>
      </w:r>
      <w:r>
        <w:rPr>
          <w:spacing w:val="-45"/>
        </w:rPr>
        <w:t> </w:t>
      </w:r>
      <w:r>
        <w:rPr>
          <w:spacing w:val="-45"/>
        </w:rPr>
      </w:r>
      <w:r>
        <w:rPr/>
        <w:t>其他价格风险</w:t>
      </w:r>
    </w:p>
    <w:p>
      <w:pPr>
        <w:pStyle w:val="BodyText"/>
        <w:spacing w:line="272" w:lineRule="exact" w:before="58"/>
        <w:ind w:left="222" w:right="0" w:firstLine="419"/>
        <w:jc w:val="left"/>
      </w:pPr>
      <w:r>
        <w:rPr>
          <w:spacing w:val="-2"/>
        </w:rPr>
        <w:t>本集团持有的分类为可供出售金融资产的投资在资产负债表日以成本计量。因此，本公司不承</w:t>
      </w:r>
      <w:r>
        <w:rPr>
          <w:w w:val="100"/>
        </w:rPr>
        <w:t> </w:t>
      </w:r>
      <w:r>
        <w:rPr/>
        <w:t>担着证券市场变动等风险。</w:t>
      </w:r>
    </w:p>
    <w:p>
      <w:pPr>
        <w:pStyle w:val="BodyText"/>
        <w:spacing w:line="392" w:lineRule="exact" w:before="26"/>
        <w:ind w:left="641" w:right="0"/>
        <w:jc w:val="left"/>
      </w:pPr>
      <w:r>
        <w:rPr>
          <w:rFonts w:ascii="宋体" w:hAnsi="宋体" w:cs="宋体" w:eastAsia="宋体" w:hint="default"/>
        </w:rPr>
        <w:t>2</w:t>
      </w:r>
      <w:r>
        <w:rPr/>
        <w:t>、资本管理</w:t>
      </w:r>
      <w:r>
        <w:rPr>
          <w:w w:val="100"/>
        </w:rPr>
        <w:t> </w:t>
      </w:r>
      <w:r>
        <w:rPr>
          <w:spacing w:val="-2"/>
        </w:rPr>
        <w:t>本集团资本管理政策的目标是为了保障本集团能够持续经营，从而为股东提供回报，并使其他</w:t>
      </w:r>
    </w:p>
    <w:p>
      <w:pPr>
        <w:pStyle w:val="BodyText"/>
        <w:spacing w:line="225" w:lineRule="exact"/>
        <w:ind w:left="222" w:right="0"/>
        <w:jc w:val="left"/>
      </w:pPr>
      <w:r>
        <w:rPr/>
        <w:t>利益相关者获益，同时维持最佳的资本结构以降低资本成本。</w:t>
      </w:r>
    </w:p>
    <w:p>
      <w:pPr>
        <w:pStyle w:val="BodyText"/>
        <w:spacing w:line="240" w:lineRule="auto" w:before="116"/>
        <w:ind w:left="222" w:right="0" w:firstLine="419"/>
        <w:jc w:val="left"/>
      </w:pPr>
      <w:r>
        <w:rPr>
          <w:spacing w:val="-2"/>
        </w:rPr>
        <w:t>为了维持或调整资本结构，本集团可能会调整支付给股东的股利金额、向股东返还资本、发行</w:t>
      </w:r>
      <w:r>
        <w:rPr>
          <w:w w:val="100"/>
        </w:rPr>
        <w:t> </w:t>
      </w:r>
      <w:r>
        <w:rPr/>
        <w:t>新股或出售资产以减低债务。</w:t>
      </w:r>
    </w:p>
    <w:p>
      <w:pPr>
        <w:pStyle w:val="BodyText"/>
        <w:spacing w:line="240" w:lineRule="auto" w:before="116"/>
        <w:ind w:left="222" w:right="0" w:firstLine="419"/>
        <w:jc w:val="left"/>
      </w:pPr>
      <w:r>
        <w:rPr>
          <w:spacing w:val="-3"/>
        </w:rPr>
        <w:t>本集团以资产负债率（即总负债除以总资产）为基础对资本结构进行监控。于</w:t>
      </w:r>
      <w:r>
        <w:rPr>
          <w:spacing w:val="-37"/>
        </w:rPr>
        <w:t> </w:t>
      </w:r>
      <w:r>
        <w:rPr>
          <w:rFonts w:ascii="宋体" w:hAnsi="宋体" w:cs="宋体" w:eastAsia="宋体" w:hint="default"/>
        </w:rPr>
        <w:t>2015</w:t>
      </w:r>
      <w:r>
        <w:rPr>
          <w:rFonts w:ascii="宋体" w:hAnsi="宋体" w:cs="宋体" w:eastAsia="宋体" w:hint="default"/>
          <w:spacing w:val="-39"/>
        </w:rPr>
        <w:t> </w:t>
      </w:r>
      <w:r>
        <w:rPr/>
        <w:t>年</w:t>
      </w:r>
      <w:r>
        <w:rPr>
          <w:spacing w:val="-41"/>
        </w:rPr>
        <w:t> </w:t>
      </w:r>
      <w:r>
        <w:rPr>
          <w:rFonts w:ascii="宋体" w:hAnsi="宋体" w:cs="宋体" w:eastAsia="宋体" w:hint="default"/>
        </w:rPr>
        <w:t>12</w:t>
      </w:r>
      <w:r>
        <w:rPr>
          <w:rFonts w:ascii="宋体" w:hAnsi="宋体" w:cs="宋体" w:eastAsia="宋体" w:hint="default"/>
          <w:spacing w:val="-41"/>
        </w:rPr>
        <w:t> </w:t>
      </w:r>
      <w:r>
        <w:rPr/>
        <w:t>月</w:t>
      </w:r>
      <w:r>
        <w:rPr>
          <w:spacing w:val="-39"/>
        </w:rPr>
        <w:t> </w:t>
      </w:r>
      <w:r>
        <w:rPr>
          <w:rFonts w:ascii="宋体" w:hAnsi="宋体" w:cs="宋体" w:eastAsia="宋体" w:hint="default"/>
        </w:rPr>
        <w:t>31</w:t>
      </w:r>
      <w:r>
        <w:rPr>
          <w:rFonts w:ascii="宋体" w:hAnsi="宋体" w:cs="宋体" w:eastAsia="宋体" w:hint="default"/>
          <w:w w:val="100"/>
        </w:rPr>
        <w:t> </w:t>
      </w:r>
      <w:r>
        <w:rPr/>
        <w:t>日，本集团的资产负债率为</w:t>
      </w:r>
      <w:r>
        <w:rPr>
          <w:spacing w:val="-53"/>
        </w:rPr>
        <w:t> </w:t>
      </w:r>
      <w:r>
        <w:rPr>
          <w:rFonts w:ascii="宋体" w:hAnsi="宋体" w:cs="宋体" w:eastAsia="宋体" w:hint="default"/>
        </w:rPr>
        <w:t>49.89%</w:t>
      </w:r>
      <w:r>
        <w:rPr/>
        <w:t>（</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w:t>
      </w:r>
      <w:r>
        <w:rPr>
          <w:rFonts w:ascii="宋体" w:hAnsi="宋体" w:cs="宋体" w:eastAsia="宋体" w:hint="default"/>
        </w:rPr>
        <w:t>51.20%</w:t>
      </w:r>
      <w:r>
        <w:rPr/>
        <w:t>）。</w:t>
      </w:r>
    </w:p>
    <w:p>
      <w:pPr>
        <w:pStyle w:val="Heading2"/>
        <w:tabs>
          <w:tab w:pos="1061" w:val="left" w:leader="none"/>
        </w:tabs>
        <w:spacing w:line="240" w:lineRule="auto" w:before="116"/>
        <w:ind w:left="222" w:right="0"/>
        <w:jc w:val="left"/>
        <w:rPr>
          <w:b w:val="0"/>
          <w:bCs w:val="0"/>
        </w:rPr>
      </w:pPr>
      <w:r>
        <w:rPr/>
        <w:t>十一、</w:t>
        <w:tab/>
        <w:t>公允价值的披露</w:t>
      </w:r>
      <w:r>
        <w:rPr>
          <w:b w:val="0"/>
          <w:bCs w:val="0"/>
        </w:rPr>
      </w:r>
    </w:p>
    <w:p>
      <w:pPr>
        <w:pStyle w:val="BodyText"/>
        <w:spacing w:line="240" w:lineRule="auto" w:before="58"/>
        <w:ind w:left="222" w:right="6958"/>
        <w:jc w:val="left"/>
      </w:pPr>
      <w:r>
        <w:rPr/>
        <w:t>□适用 √不适用</w:t>
      </w:r>
    </w:p>
    <w:p>
      <w:pPr>
        <w:spacing w:line="240" w:lineRule="auto" w:before="3"/>
        <w:rPr>
          <w:rFonts w:ascii="宋体" w:hAnsi="宋体" w:cs="宋体" w:eastAsia="宋体" w:hint="default"/>
          <w:sz w:val="25"/>
          <w:szCs w:val="25"/>
        </w:rPr>
      </w:pPr>
    </w:p>
    <w:p>
      <w:pPr>
        <w:tabs>
          <w:tab w:pos="1061" w:val="left" w:leader="none"/>
        </w:tabs>
        <w:spacing w:line="290" w:lineRule="auto" w:before="0"/>
        <w:ind w:left="222" w:right="6765" w:firstLine="0"/>
        <w:jc w:val="left"/>
        <w:rPr>
          <w:rFonts w:ascii="宋体" w:hAnsi="宋体" w:cs="宋体" w:eastAsia="宋体" w:hint="default"/>
          <w:sz w:val="21"/>
          <w:szCs w:val="21"/>
        </w:rPr>
      </w:pPr>
      <w:r>
        <w:rPr>
          <w:rFonts w:ascii="宋体" w:hAnsi="宋体" w:cs="宋体" w:eastAsia="宋体" w:hint="default"/>
          <w:b/>
          <w:bCs/>
          <w:sz w:val="21"/>
          <w:szCs w:val="21"/>
        </w:rPr>
        <w:t>十二、</w:t>
        <w:tab/>
        <w:t>关联方及关联交易</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 本企业的母公司情况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本企业的母公司情况的说明</w:t>
      </w:r>
    </w:p>
    <w:p>
      <w:pPr>
        <w:pStyle w:val="BodyText"/>
        <w:spacing w:line="227" w:lineRule="exact"/>
        <w:ind w:left="222" w:right="0"/>
        <w:jc w:val="left"/>
      </w:pPr>
      <w:r>
        <w:rPr/>
        <w:t>本公司无控股股东及实际控制人。</w:t>
      </w:r>
    </w:p>
    <w:p>
      <w:pPr>
        <w:spacing w:line="240" w:lineRule="auto" w:before="3"/>
        <w:rPr>
          <w:rFonts w:ascii="宋体" w:hAnsi="宋体" w:cs="宋体" w:eastAsia="宋体" w:hint="default"/>
          <w:sz w:val="25"/>
          <w:szCs w:val="25"/>
        </w:rPr>
      </w:pPr>
    </w:p>
    <w:p>
      <w:pPr>
        <w:pStyle w:val="Heading2"/>
        <w:spacing w:line="240" w:lineRule="auto" w:before="0"/>
        <w:ind w:left="222" w:right="0"/>
        <w:jc w:val="left"/>
        <w:rPr>
          <w:b w:val="0"/>
          <w:bCs w:val="0"/>
        </w:rPr>
      </w:pPr>
      <w:r>
        <w:rPr>
          <w:rFonts w:ascii="宋体" w:hAnsi="宋体" w:cs="宋体" w:eastAsia="宋体" w:hint="default"/>
        </w:rPr>
        <w:t>2</w:t>
      </w:r>
      <w:r>
        <w:rPr/>
        <w:t>、</w:t>
      </w:r>
      <w:r>
        <w:rPr>
          <w:spacing w:val="5"/>
        </w:rPr>
        <w:t> </w:t>
      </w:r>
      <w:r>
        <w:rPr/>
        <w:t>本企业的子公司情况</w:t>
      </w:r>
      <w:r>
        <w:rPr>
          <w:b w:val="0"/>
          <w:bCs w:val="0"/>
        </w:rPr>
      </w:r>
    </w:p>
    <w:p>
      <w:pPr>
        <w:pStyle w:val="BodyText"/>
        <w:spacing w:line="272" w:lineRule="exact" w:before="86"/>
        <w:ind w:left="222" w:right="2116"/>
        <w:jc w:val="left"/>
      </w:pPr>
      <w:r>
        <w:rPr/>
        <w:t>本企业子公司的情况详见附注</w:t>
      </w:r>
      <w:r>
        <w:rPr>
          <w:w w:val="100"/>
        </w:rPr>
        <w:t> </w:t>
      </w:r>
      <w:r>
        <w:rPr>
          <w:spacing w:val="-2"/>
        </w:rPr>
        <w:t>子公司情况详见附注“在其他主体中的权益、</w:t>
      </w:r>
      <w:r>
        <w:rPr>
          <w:rFonts w:ascii="宋体" w:hAnsi="宋体" w:cs="宋体" w:eastAsia="宋体" w:hint="default"/>
          <w:spacing w:val="-2"/>
        </w:rPr>
        <w:t>1</w:t>
      </w:r>
      <w:r>
        <w:rPr>
          <w:spacing w:val="-2"/>
        </w:rPr>
        <w:t>”</w:t>
      </w:r>
    </w:p>
    <w:p>
      <w:pPr>
        <w:spacing w:line="240" w:lineRule="auto" w:before="5"/>
        <w:rPr>
          <w:rFonts w:ascii="宋体" w:hAnsi="宋体" w:cs="宋体" w:eastAsia="宋体" w:hint="default"/>
          <w:sz w:val="23"/>
          <w:szCs w:val="23"/>
        </w:rPr>
      </w:pPr>
    </w:p>
    <w:p>
      <w:pPr>
        <w:pStyle w:val="Heading2"/>
        <w:spacing w:line="240" w:lineRule="auto" w:before="0"/>
        <w:ind w:left="222" w:right="0"/>
        <w:jc w:val="left"/>
        <w:rPr>
          <w:b w:val="0"/>
          <w:bCs w:val="0"/>
        </w:rPr>
      </w:pPr>
      <w:r>
        <w:rPr>
          <w:rFonts w:ascii="宋体" w:hAnsi="宋体" w:cs="宋体" w:eastAsia="宋体" w:hint="default"/>
        </w:rPr>
        <w:t>3</w:t>
      </w:r>
      <w:r>
        <w:rPr/>
        <w:t>、 本企业合营和联营企业情况</w:t>
      </w:r>
      <w:r>
        <w:rPr>
          <w:b w:val="0"/>
          <w:bCs w:val="0"/>
        </w:rPr>
      </w:r>
    </w:p>
    <w:p>
      <w:pPr>
        <w:pStyle w:val="BodyText"/>
        <w:spacing w:line="240" w:lineRule="auto" w:before="56"/>
        <w:ind w:left="222" w:right="0"/>
        <w:jc w:val="left"/>
      </w:pPr>
      <w:r>
        <w:rPr/>
        <w:t>本企业重要的合营或联营企业详见附注</w:t>
      </w:r>
      <w:r>
        <w:rPr>
          <w:w w:val="100"/>
        </w:rPr>
        <w:t> </w:t>
      </w:r>
      <w:r>
        <w:rPr/>
        <w:t>重要的合营和联营企业情况详见附注“在其他主体中的权益、</w:t>
      </w:r>
      <w:r>
        <w:rPr>
          <w:rFonts w:ascii="宋体" w:hAnsi="宋体" w:cs="宋体" w:eastAsia="宋体" w:hint="default"/>
        </w:rPr>
        <w:t>2</w:t>
      </w:r>
      <w:r>
        <w:rPr/>
        <w:t>”。</w:t>
      </w:r>
    </w:p>
    <w:p>
      <w:pPr>
        <w:spacing w:line="240" w:lineRule="auto" w:before="3"/>
        <w:rPr>
          <w:rFonts w:ascii="宋体" w:hAnsi="宋体" w:cs="宋体" w:eastAsia="宋体" w:hint="default"/>
          <w:sz w:val="16"/>
          <w:szCs w:val="16"/>
        </w:rPr>
      </w:pPr>
    </w:p>
    <w:p>
      <w:pPr>
        <w:pStyle w:val="BodyText"/>
        <w:spacing w:line="240" w:lineRule="auto"/>
        <w:ind w:left="222" w:right="0"/>
        <w:jc w:val="left"/>
      </w:pPr>
      <w:r>
        <w:rPr>
          <w:spacing w:val="-2"/>
        </w:rPr>
        <w:t>本期与本公司发生关联方交易，或前期与本公司发生关联方交易形成余额的其他合营或联营企业情</w:t>
      </w:r>
      <w:r>
        <w:rPr>
          <w:spacing w:val="-25"/>
        </w:rPr>
        <w:t> </w:t>
      </w:r>
      <w:r>
        <w:rPr>
          <w:spacing w:val="-25"/>
        </w:rPr>
      </w:r>
      <w:r>
        <w:rPr/>
        <w:t>况如下</w:t>
      </w:r>
    </w:p>
    <w:p>
      <w:pPr>
        <w:pStyle w:val="BodyText"/>
        <w:spacing w:line="271" w:lineRule="exact"/>
        <w:ind w:left="222" w:right="6958"/>
        <w:jc w:val="left"/>
      </w:pPr>
      <w:r>
        <w:rPr/>
        <w:t>√适用 □不适用</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088"/>
        <w:gridCol w:w="5195"/>
      </w:tblGrid>
      <w:tr>
        <w:trPr>
          <w:trHeight w:val="293" w:hRule="exact"/>
        </w:trPr>
        <w:tc>
          <w:tcPr>
            <w:tcW w:w="4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4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辽宁锦港宝地置业有限公司</w:t>
            </w:r>
          </w:p>
        </w:tc>
        <w:tc>
          <w:tcPr>
            <w:tcW w:w="5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3" w:hRule="exact"/>
        </w:trPr>
        <w:tc>
          <w:tcPr>
            <w:tcW w:w="4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锦州新时代集装箱码头有限公司</w:t>
            </w:r>
          </w:p>
        </w:tc>
        <w:tc>
          <w:tcPr>
            <w:tcW w:w="5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4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锦州中理外轮理货有限公司</w:t>
            </w:r>
          </w:p>
        </w:tc>
        <w:tc>
          <w:tcPr>
            <w:tcW w:w="5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4" w:hRule="exact"/>
        </w:trPr>
        <w:tc>
          <w:tcPr>
            <w:tcW w:w="4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中电投锦州港口有限责任公司</w:t>
            </w:r>
          </w:p>
        </w:tc>
        <w:tc>
          <w:tcPr>
            <w:tcW w:w="5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4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锦州港龙煤瑞隆能源有限公司</w:t>
            </w:r>
          </w:p>
        </w:tc>
        <w:tc>
          <w:tcPr>
            <w:tcW w:w="5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4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中丝锦州化工品港储有限公司</w:t>
            </w:r>
          </w:p>
        </w:tc>
        <w:tc>
          <w:tcPr>
            <w:tcW w:w="5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4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辽宁沈哈红运物流有限公司</w:t>
            </w:r>
          </w:p>
        </w:tc>
        <w:tc>
          <w:tcPr>
            <w:tcW w:w="5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bl>
    <w:p>
      <w:pPr>
        <w:spacing w:after="0" w:line="241" w:lineRule="exact"/>
        <w:jc w:val="left"/>
        <w:rPr>
          <w:rFonts w:ascii="宋体" w:hAnsi="宋体" w:cs="宋体" w:eastAsia="宋体" w:hint="default"/>
          <w:sz w:val="21"/>
          <w:szCs w:val="21"/>
        </w:rPr>
        <w:sectPr>
          <w:pgSz w:w="11900" w:h="16850"/>
          <w:pgMar w:header="0" w:footer="941" w:top="1000" w:bottom="1140" w:left="14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Heading2"/>
        <w:spacing w:line="240" w:lineRule="auto"/>
        <w:ind w:left="222" w:right="6958"/>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left="222" w:right="6958"/>
        <w:jc w:val="left"/>
      </w:pPr>
      <w:r>
        <w:rPr/>
        <w:t>√适用 □不适用</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081"/>
        <w:gridCol w:w="5202"/>
      </w:tblGrid>
      <w:tr>
        <w:trPr>
          <w:trHeight w:val="283" w:hRule="exact"/>
        </w:trPr>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8"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0"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1" w:hRule="exact"/>
        </w:trPr>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参股股东</w:t>
            </w:r>
          </w:p>
        </w:tc>
      </w:tr>
      <w:tr>
        <w:trPr>
          <w:trHeight w:val="283" w:hRule="exact"/>
        </w:trPr>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东方集团股份有限公司</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参股股东</w:t>
            </w:r>
          </w:p>
        </w:tc>
      </w:tr>
      <w:tr>
        <w:trPr>
          <w:trHeight w:val="283" w:hRule="exact"/>
        </w:trPr>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东方集团股份有限公司之附属公司</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281" w:hRule="exact"/>
        </w:trPr>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东方集团实业股份有限公司</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西藏海涵交通发展有限公司</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参股股东</w:t>
            </w:r>
          </w:p>
        </w:tc>
      </w:tr>
      <w:tr>
        <w:trPr>
          <w:trHeight w:val="283" w:hRule="exact"/>
        </w:trPr>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锦州港国有资产经营管理有限公司</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参股股东</w:t>
            </w:r>
          </w:p>
        </w:tc>
      </w:tr>
      <w:tr>
        <w:trPr>
          <w:trHeight w:val="555" w:hRule="exact"/>
        </w:trPr>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锦州港国有资产经营管理有限公司附属公</w:t>
            </w:r>
          </w:p>
          <w:p>
            <w:pPr>
              <w:pStyle w:val="TableParagraph"/>
              <w:spacing w:line="300" w:lineRule="exact"/>
              <w:ind w:left="103" w:right="0"/>
              <w:jc w:val="left"/>
              <w:rPr>
                <w:rFonts w:ascii="宋体" w:hAnsi="宋体" w:cs="宋体" w:eastAsia="宋体" w:hint="default"/>
                <w:sz w:val="21"/>
                <w:szCs w:val="21"/>
              </w:rPr>
            </w:pPr>
            <w:r>
              <w:rPr>
                <w:rFonts w:ascii="宋体" w:hAnsi="宋体" w:cs="宋体" w:eastAsia="宋体" w:hint="default"/>
                <w:sz w:val="21"/>
                <w:szCs w:val="21"/>
              </w:rPr>
              <w:t>司（注</w:t>
            </w:r>
            <w:r>
              <w:rPr>
                <w:rFonts w:ascii="宋体" w:hAnsi="宋体" w:cs="宋体" w:eastAsia="宋体" w:hint="default"/>
                <w:spacing w:val="-53"/>
                <w:sz w:val="21"/>
                <w:szCs w:val="21"/>
              </w:rPr>
              <w:t> </w:t>
            </w:r>
            <w:r>
              <w:rPr>
                <w:rFonts w:ascii="Calibri" w:hAnsi="Calibri" w:cs="Calibri" w:eastAsia="Calibri" w:hint="default"/>
                <w:sz w:val="21"/>
                <w:szCs w:val="21"/>
              </w:rPr>
              <w:t>1</w:t>
            </w:r>
            <w:r>
              <w:rPr>
                <w:rFonts w:ascii="宋体" w:hAnsi="宋体" w:cs="宋体" w:eastAsia="宋体" w:hint="default"/>
                <w:sz w:val="21"/>
                <w:szCs w:val="21"/>
              </w:rPr>
              <w:t>）</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281" w:hRule="exact"/>
        </w:trPr>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西藏天圣交通发展投资有限公司</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参股股东</w:t>
            </w:r>
          </w:p>
        </w:tc>
      </w:tr>
      <w:tr>
        <w:trPr>
          <w:trHeight w:val="283" w:hRule="exact"/>
        </w:trPr>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中国石油天然气集团公司</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参股股东</w:t>
            </w:r>
          </w:p>
        </w:tc>
      </w:tr>
      <w:tr>
        <w:trPr>
          <w:trHeight w:val="283" w:hRule="exact"/>
        </w:trPr>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中国石油天然气集团公司附属公司（注</w:t>
            </w:r>
            <w:r>
              <w:rPr>
                <w:rFonts w:ascii="宋体" w:hAnsi="宋体" w:cs="宋体" w:eastAsia="宋体" w:hint="default"/>
                <w:spacing w:val="-56"/>
                <w:sz w:val="21"/>
                <w:szCs w:val="21"/>
              </w:rPr>
              <w:t> </w:t>
            </w:r>
            <w:r>
              <w:rPr>
                <w:rFonts w:ascii="Calibri" w:hAnsi="Calibri" w:cs="Calibri" w:eastAsia="Calibri" w:hint="default"/>
                <w:sz w:val="21"/>
                <w:szCs w:val="21"/>
              </w:rPr>
              <w:t>2</w:t>
            </w:r>
            <w:r>
              <w:rPr>
                <w:rFonts w:ascii="宋体" w:hAnsi="宋体" w:cs="宋体" w:eastAsia="宋体" w:hint="default"/>
                <w:sz w:val="21"/>
                <w:szCs w:val="21"/>
              </w:rPr>
              <w:t>）</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281" w:hRule="exact"/>
        </w:trPr>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董事、经理、财务总监及董事会秘书</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pStyle w:val="BodyText"/>
        <w:spacing w:line="240" w:lineRule="exact"/>
        <w:ind w:left="219" w:right="0"/>
        <w:jc w:val="left"/>
      </w:pPr>
      <w:r>
        <w:rPr/>
        <w:t>注</w:t>
      </w:r>
      <w:r>
        <w:rPr>
          <w:spacing w:val="24"/>
        </w:rPr>
        <w:t> </w:t>
      </w:r>
      <w:r>
        <w:rPr>
          <w:rFonts w:ascii="宋体" w:hAnsi="宋体" w:cs="宋体" w:eastAsia="宋体" w:hint="default"/>
          <w:spacing w:val="-2"/>
        </w:rPr>
        <w:t>1</w:t>
      </w:r>
      <w:r>
        <w:rPr>
          <w:spacing w:val="-2"/>
        </w:rPr>
        <w:t>：锦州港国有资产经营管理有限公司附属公司包括锦州港引航站、锦州水运工程质量与安全监</w:t>
      </w:r>
    </w:p>
    <w:p>
      <w:pPr>
        <w:pStyle w:val="BodyText"/>
        <w:spacing w:line="272" w:lineRule="exact"/>
        <w:ind w:left="219" w:right="6958"/>
        <w:jc w:val="left"/>
      </w:pPr>
      <w:r>
        <w:rPr/>
        <w:t>督处。</w:t>
      </w:r>
    </w:p>
    <w:p>
      <w:pPr>
        <w:pStyle w:val="BodyText"/>
        <w:spacing w:line="237" w:lineRule="auto"/>
        <w:ind w:left="222" w:right="0"/>
        <w:jc w:val="left"/>
      </w:pPr>
      <w:r>
        <w:rPr/>
        <w:t>注</w:t>
      </w:r>
      <w:r>
        <w:rPr>
          <w:spacing w:val="-55"/>
        </w:rPr>
        <w:t> </w:t>
      </w:r>
      <w:r>
        <w:rPr>
          <w:rFonts w:ascii="宋体" w:hAnsi="宋体" w:cs="宋体" w:eastAsia="宋体" w:hint="default"/>
        </w:rPr>
        <w:t>2</w:t>
      </w:r>
      <w:r>
        <w:rPr/>
        <w:t>：中国石油天然气集团公司附属公司主要包括中国石油天然气股份有限公司锦州石化分公司、</w:t>
      </w:r>
      <w:r>
        <w:rPr>
          <w:w w:val="100"/>
        </w:rPr>
        <w:t> </w:t>
      </w:r>
      <w:r>
        <w:rPr>
          <w:spacing w:val="-3"/>
        </w:rPr>
        <w:t>中国石油天然气股份有限公司锦西石化分公司、中国石油天然气股份有限公司东北销售锦州分公司、</w:t>
      </w:r>
      <w:r>
        <w:rPr>
          <w:spacing w:val="-49"/>
        </w:rPr>
        <w:t> </w:t>
      </w:r>
      <w:r>
        <w:rPr>
          <w:spacing w:val="-49"/>
        </w:rPr>
      </w:r>
      <w:r>
        <w:rPr/>
        <w:t>中国石油天然气股份有限公司东北销售葫芦岛分公司、锦州中石油国际事业有限公司等。</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00" w:h="16850"/>
          <w:pgMar w:header="0" w:footer="941" w:top="1000" w:bottom="1140" w:left="1480" w:right="900"/>
        </w:sectPr>
      </w:pPr>
    </w:p>
    <w:p>
      <w:pPr>
        <w:pStyle w:val="Heading2"/>
        <w:spacing w:line="240" w:lineRule="auto"/>
        <w:ind w:left="222"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pStyle w:val="Heading2"/>
        <w:spacing w:line="240" w:lineRule="auto" w:before="58"/>
        <w:ind w:left="222" w:right="-18"/>
        <w:jc w:val="left"/>
        <w:rPr>
          <w:b w:val="0"/>
          <w:bCs w:val="0"/>
        </w:rPr>
      </w:pPr>
      <w:r>
        <w:rPr>
          <w:rFonts w:ascii="宋体" w:hAnsi="宋体" w:cs="宋体" w:eastAsia="宋体" w:hint="default"/>
        </w:rPr>
        <w:t>(1).</w:t>
      </w:r>
      <w:r>
        <w:rPr>
          <w:rFonts w:ascii="宋体" w:hAnsi="宋体" w:cs="宋体" w:eastAsia="宋体" w:hint="default"/>
          <w:spacing w:val="87"/>
        </w:rPr>
        <w:t> </w:t>
      </w:r>
      <w:r>
        <w:rPr/>
        <w:t>购销商品、提供和接受劳务的关联交易</w:t>
      </w:r>
      <w:r>
        <w:rPr>
          <w:b w:val="0"/>
          <w:bCs w:val="0"/>
        </w:rPr>
      </w:r>
    </w:p>
    <w:p>
      <w:pPr>
        <w:pStyle w:val="BodyText"/>
        <w:spacing w:line="240" w:lineRule="auto" w:before="56"/>
        <w:ind w:left="222" w:right="258"/>
        <w:jc w:val="left"/>
      </w:pPr>
      <w:r>
        <w:rPr/>
        <w:t>√适用</w:t>
      </w:r>
      <w:r>
        <w:rPr>
          <w:spacing w:val="-2"/>
        </w:rPr>
        <w:t> </w:t>
      </w:r>
      <w:r>
        <w:rPr/>
        <w:t>□不适用</w:t>
      </w:r>
      <w:r>
        <w:rPr>
          <w:spacing w:val="-103"/>
        </w:rPr>
        <w:t> </w:t>
      </w:r>
      <w:r>
        <w:rPr>
          <w:spacing w:val="-103"/>
        </w:rPr>
      </w:r>
      <w:r>
        <w:rPr>
          <w:spacing w:val="-2"/>
        </w:rPr>
        <w:t>采购商品</w:t>
      </w:r>
      <w:r>
        <w:rPr>
          <w:rFonts w:ascii="宋体" w:hAnsi="宋体" w:cs="宋体" w:eastAsia="宋体" w:hint="default"/>
          <w:spacing w:val="-2"/>
        </w:rPr>
        <w:t>/</w:t>
      </w:r>
      <w:r>
        <w:rPr>
          <w:spacing w:val="-2"/>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73" w:val="left" w:leader="none"/>
        </w:tabs>
        <w:spacing w:line="240" w:lineRule="auto"/>
        <w:ind w:left="222" w:right="0"/>
        <w:jc w:val="left"/>
      </w:pPr>
      <w:r>
        <w:rPr>
          <w:spacing w:val="-1"/>
        </w:rPr>
        <w:t>单位：元</w:t>
        <w:tab/>
      </w:r>
      <w:r>
        <w:rPr>
          <w:spacing w:val="-2"/>
        </w:rPr>
        <w:t>币种：人民币</w:t>
      </w:r>
    </w:p>
    <w:p>
      <w:pPr>
        <w:spacing w:after="0" w:line="240" w:lineRule="auto"/>
        <w:jc w:val="left"/>
        <w:sectPr>
          <w:type w:val="continuous"/>
          <w:pgSz w:w="11900" w:h="16850"/>
          <w:pgMar w:top="1120" w:bottom="1380" w:left="1480" w:right="900"/>
          <w:cols w:num="2" w:equalWidth="0">
            <w:col w:w="4425" w:space="2330"/>
            <w:col w:w="2765"/>
          </w:cols>
        </w:sectPr>
      </w:pPr>
    </w:p>
    <w:p>
      <w:pPr>
        <w:spacing w:line="240" w:lineRule="auto" w:before="7"/>
        <w:rPr>
          <w:rFonts w:ascii="宋体" w:hAnsi="宋体" w:cs="宋体" w:eastAsia="宋体" w:hint="default"/>
          <w:sz w:val="2"/>
          <w:szCs w:val="2"/>
        </w:rPr>
      </w:pPr>
    </w:p>
    <w:tbl>
      <w:tblPr>
        <w:tblW w:w="0" w:type="auto"/>
        <w:jc w:val="left"/>
        <w:tblInd w:w="186" w:type="dxa"/>
        <w:tblLayout w:type="fixed"/>
        <w:tblCellMar>
          <w:top w:w="0" w:type="dxa"/>
          <w:left w:w="0" w:type="dxa"/>
          <w:bottom w:w="0" w:type="dxa"/>
          <w:right w:w="0" w:type="dxa"/>
        </w:tblCellMar>
        <w:tblLook w:val="01E0"/>
      </w:tblPr>
      <w:tblGrid>
        <w:gridCol w:w="2487"/>
        <w:gridCol w:w="2199"/>
        <w:gridCol w:w="2228"/>
        <w:gridCol w:w="2216"/>
      </w:tblGrid>
      <w:tr>
        <w:trPr>
          <w:trHeight w:val="305" w:hRule="exact"/>
        </w:trPr>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63"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7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锦州港国有资产经营管理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有限公司及附属公司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引航、后勤服务</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2,470,387.08</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3,291,797.19</w:t>
            </w:r>
          </w:p>
        </w:tc>
      </w:tr>
      <w:tr>
        <w:trPr>
          <w:trHeight w:val="555" w:hRule="exact"/>
        </w:trPr>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锦州中理外轮理货有限公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理货服务</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15,368,127.77</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17,542,074.97</w:t>
            </w:r>
          </w:p>
        </w:tc>
      </w:tr>
      <w:tr>
        <w:trPr>
          <w:trHeight w:val="554" w:hRule="exact"/>
        </w:trPr>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锦州港龙煤瑞隆能源有限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采购煤炭</w:t>
            </w:r>
          </w:p>
        </w:tc>
        <w:tc>
          <w:tcPr>
            <w:tcW w:w="2228" w:type="dxa"/>
            <w:tcBorders>
              <w:top w:val="single" w:sz="4" w:space="0" w:color="000000"/>
              <w:left w:val="single" w:sz="4" w:space="0" w:color="000000"/>
              <w:bottom w:val="single" w:sz="4" w:space="0" w:color="000000"/>
              <w:right w:val="single" w:sz="4" w:space="0" w:color="000000"/>
            </w:tcBorders>
          </w:tcPr>
          <w:p>
            <w:pP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214,376,068.38</w:t>
            </w:r>
          </w:p>
        </w:tc>
      </w:tr>
    </w:tbl>
    <w:p>
      <w:pPr>
        <w:spacing w:line="240" w:lineRule="auto" w:before="7"/>
        <w:rPr>
          <w:rFonts w:ascii="宋体" w:hAnsi="宋体" w:cs="宋体" w:eastAsia="宋体" w:hint="default"/>
          <w:sz w:val="15"/>
          <w:szCs w:val="15"/>
        </w:rPr>
      </w:pPr>
    </w:p>
    <w:p>
      <w:pPr>
        <w:pStyle w:val="BodyText"/>
        <w:spacing w:line="273" w:lineRule="exact" w:before="36"/>
        <w:ind w:left="222" w:right="0"/>
        <w:jc w:val="left"/>
      </w:pPr>
      <w:r>
        <w:rPr/>
        <w:t>出售商品</w:t>
      </w:r>
      <w:r>
        <w:rPr>
          <w:rFonts w:ascii="宋体" w:hAnsi="宋体" w:cs="宋体" w:eastAsia="宋体" w:hint="default"/>
        </w:rPr>
        <w:t>/</w:t>
      </w:r>
      <w:r>
        <w:rPr/>
        <w:t>提供劳务情况表</w:t>
      </w:r>
    </w:p>
    <w:p>
      <w:pPr>
        <w:pStyle w:val="BodyText"/>
        <w:tabs>
          <w:tab w:pos="1051" w:val="left" w:leader="none"/>
        </w:tabs>
        <w:spacing w:line="273" w:lineRule="exact"/>
        <w:ind w:left="0" w:right="226"/>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86" w:type="dxa"/>
        <w:tblLayout w:type="fixed"/>
        <w:tblCellMar>
          <w:top w:w="0" w:type="dxa"/>
          <w:left w:w="0" w:type="dxa"/>
          <w:bottom w:w="0" w:type="dxa"/>
          <w:right w:w="0" w:type="dxa"/>
        </w:tblCellMar>
        <w:tblLook w:val="01E0"/>
      </w:tblPr>
      <w:tblGrid>
        <w:gridCol w:w="4285"/>
        <w:gridCol w:w="1702"/>
        <w:gridCol w:w="1558"/>
        <w:gridCol w:w="1584"/>
      </w:tblGrid>
      <w:tr>
        <w:trPr>
          <w:trHeight w:val="283"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中国石油天然气集团公司附属公司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提供港口服务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246,986,183.90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222,219,935.39</w:t>
            </w:r>
          </w:p>
        </w:tc>
      </w:tr>
      <w:tr>
        <w:trPr>
          <w:trHeight w:val="283"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锦州新时代集装箱码头有限公司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提供港口服务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2,901,461.13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3,019,776.90</w:t>
            </w:r>
          </w:p>
        </w:tc>
      </w:tr>
      <w:tr>
        <w:trPr>
          <w:trHeight w:val="283"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锦州中理外轮理货有限公司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提供港口服务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6,114,413.21</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25,292,823.11</w:t>
            </w:r>
          </w:p>
        </w:tc>
      </w:tr>
      <w:tr>
        <w:trPr>
          <w:trHeight w:val="281"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锦州新时代集装箱码头有限公司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3,301,152.49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3,244,025.96</w:t>
            </w:r>
          </w:p>
        </w:tc>
      </w:tr>
      <w:tr>
        <w:trPr>
          <w:trHeight w:val="284"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中国石油天然气集团公司附属公司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377,932.54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5,244.40</w:t>
            </w:r>
          </w:p>
        </w:tc>
      </w:tr>
      <w:tr>
        <w:trPr>
          <w:trHeight w:val="281"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锦州中理外轮理货有限公司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284,367.95</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281,073.38</w:t>
            </w:r>
          </w:p>
        </w:tc>
      </w:tr>
      <w:tr>
        <w:trPr>
          <w:trHeight w:val="283"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中电投锦州港口有限责任公司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218,357.81</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93,912.74</w:t>
            </w:r>
          </w:p>
        </w:tc>
      </w:tr>
      <w:tr>
        <w:trPr>
          <w:trHeight w:val="283"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锦州港国有资产经营管理有限公司及附属公司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95,205.72</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131,658.59</w:t>
            </w:r>
          </w:p>
        </w:tc>
      </w:tr>
      <w:tr>
        <w:trPr>
          <w:trHeight w:val="281"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中丝锦州化工品港储有限公司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41,939.23</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锦州港龙煤瑞隆能源有限公司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销售煤炭</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214,721,675.21</w:t>
            </w:r>
          </w:p>
        </w:tc>
      </w:tr>
    </w:tbl>
    <w:p>
      <w:pPr>
        <w:spacing w:after="0" w:line="243" w:lineRule="exact"/>
        <w:jc w:val="right"/>
        <w:rPr>
          <w:rFonts w:ascii="宋体" w:hAnsi="宋体" w:cs="宋体" w:eastAsia="宋体" w:hint="default"/>
          <w:sz w:val="21"/>
          <w:szCs w:val="21"/>
        </w:rPr>
        <w:sectPr>
          <w:type w:val="continuous"/>
          <w:pgSz w:w="11900" w:h="16850"/>
          <w:pgMar w:top="1120" w:bottom="1380" w:left="14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00" w:h="16850"/>
          <w:pgMar w:header="0" w:footer="941" w:top="1000" w:bottom="1140" w:left="1560" w:right="980"/>
        </w:sectPr>
      </w:pPr>
    </w:p>
    <w:p>
      <w:pPr>
        <w:pStyle w:val="Heading2"/>
        <w:spacing w:line="240" w:lineRule="auto"/>
        <w:ind w:left="142" w:right="-17"/>
        <w:jc w:val="left"/>
        <w:rPr>
          <w:b w:val="0"/>
          <w:bCs w:val="0"/>
        </w:rPr>
      </w:pPr>
      <w:r>
        <w:rPr>
          <w:rFonts w:ascii="宋体" w:hAnsi="宋体" w:cs="宋体" w:eastAsia="宋体" w:hint="default"/>
        </w:rPr>
        <w:t>(2).</w:t>
      </w:r>
      <w:r>
        <w:rPr>
          <w:rFonts w:ascii="宋体" w:hAnsi="宋体" w:cs="宋体" w:eastAsia="宋体" w:hint="default"/>
          <w:spacing w:val="88"/>
        </w:rPr>
        <w:t> </w:t>
      </w:r>
      <w:r>
        <w:rPr/>
        <w:t>关联受托管理</w:t>
      </w:r>
      <w:r>
        <w:rPr>
          <w:rFonts w:ascii="Cambria" w:hAnsi="Cambria" w:cs="Cambria" w:eastAsia="Cambria" w:hint="default"/>
        </w:rPr>
        <w:t>/</w:t>
      </w:r>
      <w:r>
        <w:rPr/>
        <w:t>承包及委托管理</w:t>
      </w:r>
      <w:r>
        <w:rPr>
          <w:rFonts w:ascii="Cambria" w:hAnsi="Cambria" w:cs="Cambria" w:eastAsia="Cambria" w:hint="default"/>
        </w:rPr>
        <w:t>/</w:t>
      </w:r>
      <w:r>
        <w:rPr/>
        <w:t>出包情况</w:t>
      </w:r>
      <w:r>
        <w:rPr>
          <w:b w:val="0"/>
          <w:bCs w:val="0"/>
        </w:rPr>
      </w:r>
    </w:p>
    <w:p>
      <w:pPr>
        <w:pStyle w:val="BodyText"/>
        <w:spacing w:line="272" w:lineRule="exact" w:before="69"/>
        <w:ind w:left="142" w:right="56"/>
        <w:jc w:val="left"/>
      </w:pPr>
      <w:r>
        <w:rPr/>
        <w:t>√适用</w:t>
      </w:r>
      <w:r>
        <w:rPr>
          <w:spacing w:val="-2"/>
        </w:rPr>
        <w:t> </w:t>
      </w:r>
      <w:r>
        <w:rPr/>
        <w:t>□不适用</w:t>
      </w:r>
      <w:r>
        <w:rPr>
          <w:spacing w:val="-103"/>
        </w:rPr>
        <w:t> </w:t>
      </w:r>
      <w:r>
        <w:rPr>
          <w:spacing w:val="-103"/>
        </w:rPr>
      </w:r>
      <w:r>
        <w:rPr>
          <w:spacing w:val="-2"/>
        </w:rPr>
        <w:t>本公司委托管理</w:t>
      </w:r>
      <w:r>
        <w:rPr>
          <w:rFonts w:ascii="宋体" w:hAnsi="宋体" w:cs="宋体" w:eastAsia="宋体" w:hint="default"/>
          <w:spacing w:val="-2"/>
        </w:rPr>
        <w:t>/</w:t>
      </w:r>
      <w:r>
        <w:rPr>
          <w:spacing w:val="-2"/>
        </w:rPr>
        <w:t>出包情况表：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193" w:val="left" w:leader="none"/>
        </w:tabs>
        <w:spacing w:line="240" w:lineRule="auto"/>
        <w:ind w:left="142" w:right="0"/>
        <w:jc w:val="left"/>
      </w:pPr>
      <w:r>
        <w:rPr>
          <w:spacing w:val="-1"/>
        </w:rPr>
        <w:t>单位：元</w:t>
        <w:tab/>
      </w:r>
      <w:r>
        <w:rPr>
          <w:spacing w:val="-2"/>
        </w:rPr>
        <w:t>币种：人民币</w:t>
      </w:r>
    </w:p>
    <w:p>
      <w:pPr>
        <w:spacing w:after="0" w:line="240" w:lineRule="auto"/>
        <w:jc w:val="left"/>
        <w:sectPr>
          <w:type w:val="continuous"/>
          <w:pgSz w:w="11900" w:h="16850"/>
          <w:pgMar w:top="1120" w:bottom="1380" w:left="1560" w:right="980"/>
          <w:cols w:num="2" w:equalWidth="0">
            <w:col w:w="4559" w:space="2196"/>
            <w:col w:w="2605"/>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332"/>
        <w:gridCol w:w="1321"/>
        <w:gridCol w:w="1267"/>
        <w:gridCol w:w="1102"/>
        <w:gridCol w:w="1243"/>
        <w:gridCol w:w="1397"/>
        <w:gridCol w:w="1467"/>
      </w:tblGrid>
      <w:tr>
        <w:trPr>
          <w:trHeight w:val="574"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482" w:right="72" w:hanging="406"/>
              <w:jc w:val="left"/>
              <w:rPr>
                <w:rFonts w:ascii="宋体" w:hAnsi="宋体" w:cs="宋体" w:eastAsia="宋体" w:hint="default"/>
                <w:sz w:val="18"/>
                <w:szCs w:val="18"/>
              </w:rPr>
            </w:pPr>
            <w:r>
              <w:rPr>
                <w:rFonts w:ascii="宋体" w:hAnsi="宋体" w:cs="宋体" w:eastAsia="宋体" w:hint="default"/>
                <w:sz w:val="18"/>
                <w:szCs w:val="18"/>
              </w:rPr>
              <w:t>委托方</w:t>
            </w:r>
            <w:r>
              <w:rPr>
                <w:rFonts w:ascii="宋体" w:hAnsi="宋体" w:cs="宋体" w:eastAsia="宋体" w:hint="default"/>
                <w:sz w:val="18"/>
                <w:szCs w:val="18"/>
              </w:rPr>
              <w:t>/</w:t>
            </w:r>
            <w:r>
              <w:rPr>
                <w:rFonts w:ascii="宋体" w:hAnsi="宋体" w:cs="宋体" w:eastAsia="宋体" w:hint="default"/>
                <w:sz w:val="18"/>
                <w:szCs w:val="18"/>
              </w:rPr>
              <w:t>出包方 名称</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472" w:right="71" w:hanging="406"/>
              <w:jc w:val="left"/>
              <w:rPr>
                <w:rFonts w:ascii="宋体" w:hAnsi="宋体" w:cs="宋体" w:eastAsia="宋体" w:hint="default"/>
                <w:sz w:val="18"/>
                <w:szCs w:val="18"/>
              </w:rPr>
            </w:pPr>
            <w:r>
              <w:rPr>
                <w:rFonts w:ascii="宋体" w:hAnsi="宋体" w:cs="宋体" w:eastAsia="宋体" w:hint="default"/>
                <w:sz w:val="18"/>
                <w:szCs w:val="18"/>
              </w:rPr>
              <w:t>受托方</w:t>
            </w:r>
            <w:r>
              <w:rPr>
                <w:rFonts w:ascii="宋体" w:hAnsi="宋体" w:cs="宋体" w:eastAsia="宋体" w:hint="default"/>
                <w:sz w:val="18"/>
                <w:szCs w:val="18"/>
              </w:rPr>
              <w:t>/</w:t>
            </w:r>
            <w:r>
              <w:rPr>
                <w:rFonts w:ascii="宋体" w:hAnsi="宋体" w:cs="宋体" w:eastAsia="宋体" w:hint="default"/>
                <w:sz w:val="18"/>
                <w:szCs w:val="18"/>
              </w:rPr>
              <w:t>出包方 名称</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446" w:right="43" w:hanging="406"/>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出包资产 类型</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365" w:right="50" w:hanging="318"/>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出包起 始日</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525" w:right="31" w:hanging="497"/>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w:t>
            </w:r>
            <w:r>
              <w:rPr>
                <w:rFonts w:ascii="宋体" w:hAnsi="宋体" w:cs="宋体" w:eastAsia="宋体" w:hint="default"/>
                <w:sz w:val="18"/>
                <w:szCs w:val="18"/>
              </w:rPr>
              <w:t>出包终止 日</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331" w:right="108" w:hanging="226"/>
              <w:jc w:val="left"/>
              <w:rPr>
                <w:rFonts w:ascii="宋体" w:hAnsi="宋体" w:cs="宋体" w:eastAsia="宋体" w:hint="default"/>
                <w:sz w:val="18"/>
                <w:szCs w:val="18"/>
              </w:rPr>
            </w:pPr>
            <w:r>
              <w:rPr>
                <w:rFonts w:ascii="宋体" w:hAnsi="宋体" w:cs="宋体" w:eastAsia="宋体" w:hint="default"/>
                <w:sz w:val="18"/>
                <w:szCs w:val="18"/>
              </w:rPr>
              <w:t>托管费</w:t>
            </w:r>
            <w:r>
              <w:rPr>
                <w:rFonts w:ascii="宋体" w:hAnsi="宋体" w:cs="宋体" w:eastAsia="宋体" w:hint="default"/>
                <w:sz w:val="18"/>
                <w:szCs w:val="18"/>
              </w:rPr>
              <w:t>/</w:t>
            </w:r>
            <w:r>
              <w:rPr>
                <w:rFonts w:ascii="宋体" w:hAnsi="宋体" w:cs="宋体" w:eastAsia="宋体" w:hint="default"/>
                <w:sz w:val="18"/>
                <w:szCs w:val="18"/>
              </w:rPr>
              <w:t>出包费 定价依据</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319" w:right="99" w:hanging="224"/>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宋体" w:hAnsi="宋体" w:cs="宋体" w:eastAsia="宋体" w:hint="default"/>
                <w:sz w:val="18"/>
                <w:szCs w:val="18"/>
              </w:rPr>
              <w:t>/</w:t>
            </w:r>
            <w:r>
              <w:rPr>
                <w:rFonts w:ascii="宋体" w:hAnsi="宋体" w:cs="宋体" w:eastAsia="宋体" w:hint="default"/>
                <w:sz w:val="18"/>
                <w:szCs w:val="18"/>
              </w:rPr>
              <w:t>出包费</w:t>
            </w:r>
          </w:p>
        </w:tc>
      </w:tr>
      <w:tr>
        <w:trPr>
          <w:trHeight w:val="478"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锦州港股份有限</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西藏海涵交通</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发展有限公司</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股权托管</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2014-6-18</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2017-6-17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委托经营合同</w:t>
            </w:r>
          </w:p>
        </w:tc>
        <w:tc>
          <w:tcPr>
            <w:tcW w:w="14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142" w:right="146"/>
        <w:jc w:val="left"/>
      </w:pPr>
      <w:r>
        <w:rPr/>
        <w:t>关联管理</w:t>
      </w:r>
      <w:r>
        <w:rPr>
          <w:rFonts w:ascii="宋体" w:hAnsi="宋体" w:cs="宋体" w:eastAsia="宋体" w:hint="default"/>
        </w:rPr>
        <w:t>/</w:t>
      </w:r>
      <w:r>
        <w:rPr/>
        <w:t>出包情况说明</w:t>
      </w:r>
    </w:p>
    <w:p>
      <w:pPr>
        <w:pStyle w:val="BodyText"/>
        <w:spacing w:line="237" w:lineRule="auto" w:before="1"/>
        <w:ind w:left="142" w:right="146" w:firstLine="419"/>
        <w:jc w:val="both"/>
      </w:pPr>
      <w:r>
        <w:rPr>
          <w:rFonts w:ascii="宋体" w:hAnsi="宋体" w:cs="宋体" w:eastAsia="宋体" w:hint="default"/>
        </w:rPr>
        <w:t>2014</w:t>
      </w:r>
      <w:r>
        <w:rPr>
          <w:rFonts w:ascii="宋体" w:hAnsi="宋体" w:cs="宋体" w:eastAsia="宋体" w:hint="default"/>
          <w:spacing w:val="-16"/>
        </w:rPr>
        <w:t> </w:t>
      </w:r>
      <w:r>
        <w:rPr>
          <w:spacing w:val="-2"/>
        </w:rPr>
        <w:t>年公司与股东西藏海涵交通发展有限公司签订了《委托经营管理锦州港国际贸易发展有限</w:t>
      </w:r>
      <w:r>
        <w:rPr>
          <w:w w:val="100"/>
        </w:rPr>
        <w:t> </w:t>
      </w:r>
      <w:r>
        <w:rPr>
          <w:spacing w:val="-2"/>
        </w:rPr>
        <w:t>公司》，委托股东西藏海涵交通发展有限公司运营锦州港国际贸易发展有限公司，协议约定：双方</w:t>
      </w:r>
      <w:r>
        <w:rPr>
          <w:spacing w:val="-25"/>
        </w:rPr>
        <w:t> </w:t>
      </w:r>
      <w:r>
        <w:rPr>
          <w:spacing w:val="-25"/>
        </w:rPr>
      </w:r>
      <w:r>
        <w:rPr/>
        <w:t>约定锦州港国际贸易发展有限公司扣除融资成本、税费等交付锦州港</w:t>
      </w:r>
      <w:r>
        <w:rPr>
          <w:spacing w:val="-55"/>
        </w:rPr>
        <w:t> </w:t>
      </w:r>
      <w:r>
        <w:rPr>
          <w:rFonts w:ascii="宋体" w:hAnsi="宋体" w:cs="宋体" w:eastAsia="宋体" w:hint="default"/>
        </w:rPr>
        <w:t>0.5</w:t>
      </w:r>
      <w:r>
        <w:rPr>
          <w:rFonts w:ascii="宋体" w:hAnsi="宋体" w:cs="宋体" w:eastAsia="宋体" w:hint="default"/>
          <w:spacing w:val="-54"/>
        </w:rPr>
        <w:t> </w:t>
      </w:r>
      <w:r>
        <w:rPr/>
        <w:t>亿元税后净利，不足部分</w:t>
      </w:r>
      <w:r>
        <w:rPr>
          <w:w w:val="100"/>
        </w:rPr>
        <w:t> </w:t>
      </w:r>
      <w:r>
        <w:rPr/>
        <w:t>由受托方补足。</w:t>
      </w:r>
    </w:p>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00" w:h="16850"/>
          <w:pgMar w:top="1120" w:bottom="1380" w:left="1560" w:right="980"/>
        </w:sectPr>
      </w:pPr>
    </w:p>
    <w:p>
      <w:pPr>
        <w:pStyle w:val="Heading2"/>
        <w:spacing w:line="240" w:lineRule="auto"/>
        <w:ind w:left="142" w:right="-10"/>
        <w:jc w:val="left"/>
        <w:rPr>
          <w:b w:val="0"/>
          <w:bCs w:val="0"/>
        </w:rPr>
      </w:pPr>
      <w:r>
        <w:rPr>
          <w:rFonts w:ascii="宋体" w:hAnsi="宋体" w:cs="宋体" w:eastAsia="宋体" w:hint="default"/>
        </w:rPr>
        <w:t>(3).</w:t>
      </w:r>
      <w:r>
        <w:rPr>
          <w:rFonts w:ascii="宋体" w:hAnsi="宋体" w:cs="宋体" w:eastAsia="宋体" w:hint="default"/>
          <w:spacing w:val="89"/>
        </w:rPr>
        <w:t> </w:t>
      </w:r>
      <w:r>
        <w:rPr/>
        <w:t>关联租赁情况</w:t>
      </w:r>
      <w:r>
        <w:rPr>
          <w:b w:val="0"/>
          <w:bCs w:val="0"/>
        </w:rPr>
      </w:r>
    </w:p>
    <w:p>
      <w:pPr>
        <w:pStyle w:val="BodyText"/>
        <w:spacing w:line="272" w:lineRule="exact" w:before="86"/>
        <w:ind w:left="142" w:right="-8"/>
        <w:jc w:val="left"/>
      </w:pPr>
      <w:r>
        <w:rPr/>
        <w:t>√适用</w:t>
      </w:r>
      <w:r>
        <w:rPr>
          <w:spacing w:val="-2"/>
        </w:rPr>
        <w:t> </w:t>
      </w:r>
      <w:r>
        <w:rPr/>
        <w:t>□不适用</w:t>
      </w:r>
      <w:r>
        <w:rPr>
          <w:w w:val="100"/>
        </w:rPr>
        <w:t> </w:t>
      </w:r>
      <w:r>
        <w:rPr>
          <w:spacing w:val="-1"/>
        </w:rPr>
        <w:t>本公司作为出租方：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193" w:val="left" w:leader="none"/>
        </w:tabs>
        <w:spacing w:line="240" w:lineRule="auto"/>
        <w:ind w:left="142" w:right="0"/>
        <w:jc w:val="left"/>
      </w:pPr>
      <w:r>
        <w:rPr>
          <w:spacing w:val="-1"/>
        </w:rPr>
        <w:t>单位：元</w:t>
        <w:tab/>
      </w:r>
      <w:r>
        <w:rPr>
          <w:spacing w:val="-2"/>
        </w:rPr>
        <w:t>币种：人民币</w:t>
      </w:r>
    </w:p>
    <w:p>
      <w:pPr>
        <w:spacing w:after="0" w:line="240" w:lineRule="auto"/>
        <w:jc w:val="left"/>
        <w:sectPr>
          <w:type w:val="continuous"/>
          <w:pgSz w:w="11900" w:h="16850"/>
          <w:pgMar w:top="1120" w:bottom="1380" w:left="1560" w:right="980"/>
          <w:cols w:num="2" w:equalWidth="0">
            <w:col w:w="2036" w:space="4719"/>
            <w:col w:w="2605"/>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435"/>
        <w:gridCol w:w="1560"/>
        <w:gridCol w:w="2125"/>
        <w:gridCol w:w="2009"/>
      </w:tblGrid>
      <w:tr>
        <w:trPr>
          <w:trHeight w:val="348"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承租方名称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3"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0"/>
              <w:jc w:val="right"/>
              <w:rPr>
                <w:rFonts w:ascii="宋体" w:hAnsi="宋体" w:cs="宋体" w:eastAsia="宋体" w:hint="default"/>
                <w:sz w:val="21"/>
                <w:szCs w:val="21"/>
              </w:rPr>
            </w:pPr>
            <w:r>
              <w:rPr>
                <w:rFonts w:ascii="宋体" w:hAnsi="宋体" w:cs="宋体" w:eastAsia="宋体" w:hint="default"/>
                <w:spacing w:val="-1"/>
                <w:sz w:val="21"/>
                <w:szCs w:val="21"/>
              </w:rPr>
              <w:t>上期确认的租赁收入</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中电投锦州港口有限责任公司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2,169,268.00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2,169,917.00</w:t>
            </w:r>
          </w:p>
        </w:tc>
      </w:tr>
      <w:tr>
        <w:trPr>
          <w:trHeight w:val="284"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中国石油天然气集团公司附属公司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1,635,300.00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1,635,300.00</w:t>
            </w:r>
          </w:p>
        </w:tc>
      </w:tr>
      <w:tr>
        <w:trPr>
          <w:trHeight w:val="281"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锦州中理外轮理货有限公司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215,747.00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321,922.00</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锦州港龙煤瑞隆能源有限公司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125"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8,000.00</w:t>
            </w:r>
          </w:p>
        </w:tc>
      </w:tr>
      <w:tr>
        <w:trPr>
          <w:trHeight w:val="283"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中丝锦州化工品港储有限公司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307,400.00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307,400.00</w:t>
            </w:r>
          </w:p>
        </w:tc>
      </w:tr>
    </w:tbl>
    <w:p>
      <w:pPr>
        <w:spacing w:line="240" w:lineRule="auto" w:before="5"/>
        <w:rPr>
          <w:rFonts w:ascii="宋体" w:hAnsi="宋体" w:cs="宋体" w:eastAsia="宋体" w:hint="default"/>
          <w:sz w:val="15"/>
          <w:szCs w:val="15"/>
        </w:rPr>
      </w:pPr>
    </w:p>
    <w:p>
      <w:pPr>
        <w:pStyle w:val="BodyText"/>
        <w:spacing w:line="274" w:lineRule="exact" w:before="36"/>
        <w:ind w:left="142" w:right="146"/>
        <w:jc w:val="left"/>
      </w:pPr>
      <w:r>
        <w:rPr/>
        <w:t>本公司作为承租方：</w:t>
      </w:r>
    </w:p>
    <w:p>
      <w:pPr>
        <w:pStyle w:val="BodyText"/>
        <w:tabs>
          <w:tab w:pos="1051" w:val="left" w:leader="none"/>
        </w:tabs>
        <w:spacing w:line="274" w:lineRule="exact"/>
        <w:ind w:left="0" w:right="146"/>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718"/>
        <w:gridCol w:w="1558"/>
        <w:gridCol w:w="1988"/>
        <w:gridCol w:w="1865"/>
      </w:tblGrid>
      <w:tr>
        <w:trPr>
          <w:trHeight w:val="322"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出租方名称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44"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48"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6"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554"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锦州港国有资产经营管理有限公司及附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属公司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2" w:right="0"/>
              <w:jc w:val="left"/>
              <w:rPr>
                <w:rFonts w:ascii="宋体" w:hAnsi="宋体" w:cs="宋体" w:eastAsia="宋体" w:hint="default"/>
                <w:sz w:val="21"/>
                <w:szCs w:val="21"/>
              </w:rPr>
            </w:pPr>
            <w:r>
              <w:rPr>
                <w:rFonts w:ascii="宋体"/>
                <w:sz w:val="21"/>
              </w:rPr>
              <w:t>150,000.00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75,000.00</w:t>
            </w:r>
          </w:p>
        </w:tc>
      </w:tr>
      <w:tr>
        <w:trPr>
          <w:trHeight w:val="281"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锦州新时代集装箱码头有限公司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988"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263,900.00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00" w:h="16850"/>
          <w:pgMar w:top="1120" w:bottom="1380" w:left="1560" w:right="980"/>
        </w:sectPr>
      </w:pPr>
    </w:p>
    <w:p>
      <w:pPr>
        <w:pStyle w:val="Heading2"/>
        <w:spacing w:line="240" w:lineRule="auto"/>
        <w:ind w:left="142" w:right="-20"/>
        <w:jc w:val="left"/>
        <w:rPr>
          <w:b w:val="0"/>
          <w:bCs w:val="0"/>
        </w:rPr>
      </w:pPr>
      <w:r>
        <w:rPr>
          <w:rFonts w:ascii="宋体" w:hAnsi="宋体" w:cs="宋体" w:eastAsia="宋体" w:hint="default"/>
        </w:rPr>
        <w:t>(4).</w:t>
      </w:r>
      <w:r>
        <w:rPr>
          <w:rFonts w:ascii="宋体" w:hAnsi="宋体" w:cs="宋体" w:eastAsia="宋体" w:hint="default"/>
          <w:spacing w:val="89"/>
        </w:rPr>
        <w:t> </w:t>
      </w:r>
      <w:r>
        <w:rPr/>
        <w:t>关联担保情况</w:t>
      </w:r>
      <w:r>
        <w:rPr>
          <w:b w:val="0"/>
          <w:bCs w:val="0"/>
        </w:rPr>
      </w:r>
    </w:p>
    <w:p>
      <w:pPr>
        <w:pStyle w:val="BodyText"/>
        <w:spacing w:line="240" w:lineRule="auto" w:before="56"/>
        <w:ind w:left="142" w:right="-20"/>
        <w:jc w:val="left"/>
      </w:pPr>
      <w:r>
        <w:rPr/>
        <w:t>√适用</w:t>
      </w:r>
      <w:r>
        <w:rPr>
          <w:spacing w:val="-1"/>
        </w:rPr>
        <w:t> </w:t>
      </w:r>
      <w:r>
        <w:rPr/>
        <w:t>□不适用</w:t>
      </w:r>
      <w:r>
        <w:rPr>
          <w:w w:val="100"/>
        </w:rPr>
        <w:t> </w:t>
      </w:r>
      <w:r>
        <w:rPr>
          <w:spacing w:val="-2"/>
        </w:rPr>
        <w:t>本公司作为担保方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190" w:val="left" w:leader="none"/>
        </w:tabs>
        <w:spacing w:line="240" w:lineRule="auto"/>
        <w:ind w:left="142" w:right="0"/>
        <w:jc w:val="left"/>
      </w:pPr>
      <w:r>
        <w:rPr>
          <w:spacing w:val="-1"/>
        </w:rPr>
        <w:t>单位：元</w:t>
        <w:tab/>
        <w:t>币种：人民币</w:t>
      </w:r>
    </w:p>
    <w:p>
      <w:pPr>
        <w:spacing w:after="0" w:line="240" w:lineRule="auto"/>
        <w:jc w:val="left"/>
        <w:sectPr>
          <w:type w:val="continuous"/>
          <w:pgSz w:w="11900" w:h="16850"/>
          <w:pgMar w:top="1120" w:bottom="1380" w:left="1560" w:right="980"/>
          <w:cols w:num="2" w:equalWidth="0">
            <w:col w:w="2027" w:space="4729"/>
            <w:col w:w="2604"/>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293"/>
        <w:gridCol w:w="1844"/>
        <w:gridCol w:w="1421"/>
        <w:gridCol w:w="1417"/>
        <w:gridCol w:w="1155"/>
      </w:tblGrid>
      <w:tr>
        <w:trPr>
          <w:trHeight w:val="554"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被担保方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4"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0"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3" w:right="0"/>
              <w:jc w:val="left"/>
              <w:rPr>
                <w:rFonts w:ascii="宋体" w:hAnsi="宋体" w:cs="宋体" w:eastAsia="宋体" w:hint="default"/>
                <w:sz w:val="21"/>
                <w:szCs w:val="21"/>
              </w:rPr>
            </w:pPr>
            <w:r>
              <w:rPr>
                <w:rFonts w:ascii="宋体" w:hAnsi="宋体" w:cs="宋体" w:eastAsia="宋体" w:hint="default"/>
                <w:sz w:val="21"/>
                <w:szCs w:val="21"/>
              </w:rPr>
              <w:t>担保是否已</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经履行完毕</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中丝锦州化工品港储有限公司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sz w:val="21"/>
              </w:rPr>
              <w:t>67,673,900.00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2015/09/24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2018/09/11</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5"/>
        <w:rPr>
          <w:rFonts w:ascii="宋体" w:hAnsi="宋体" w:cs="宋体" w:eastAsia="宋体" w:hint="default"/>
          <w:sz w:val="15"/>
          <w:szCs w:val="15"/>
        </w:rPr>
      </w:pPr>
    </w:p>
    <w:p>
      <w:pPr>
        <w:pStyle w:val="BodyText"/>
        <w:spacing w:line="274" w:lineRule="exact" w:before="36"/>
        <w:ind w:left="142" w:right="146"/>
        <w:jc w:val="left"/>
      </w:pPr>
      <w:r>
        <w:rPr/>
        <w:t>本公司作为被担保方</w:t>
      </w:r>
    </w:p>
    <w:p>
      <w:pPr>
        <w:pStyle w:val="BodyText"/>
        <w:tabs>
          <w:tab w:pos="1048" w:val="left" w:leader="none"/>
        </w:tabs>
        <w:spacing w:line="274" w:lineRule="exact"/>
        <w:ind w:left="0" w:right="146"/>
        <w:jc w:val="right"/>
      </w:pPr>
      <w:r>
        <w:rPr>
          <w:spacing w:val="-1"/>
        </w:rPr>
        <w:t>单位：元</w:t>
        <w:tab/>
        <w:t>币种：人民币</w:t>
      </w:r>
    </w:p>
    <w:p>
      <w:pPr>
        <w:spacing w:line="240" w:lineRule="auto" w:before="5"/>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152"/>
        <w:gridCol w:w="1844"/>
        <w:gridCol w:w="1560"/>
        <w:gridCol w:w="1417"/>
        <w:gridCol w:w="1157"/>
      </w:tblGrid>
      <w:tr>
        <w:trPr>
          <w:trHeight w:val="55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6"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8"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 w:right="0"/>
              <w:jc w:val="left"/>
              <w:rPr>
                <w:rFonts w:ascii="宋体" w:hAnsi="宋体" w:cs="宋体" w:eastAsia="宋体" w:hint="default"/>
                <w:sz w:val="21"/>
                <w:szCs w:val="21"/>
              </w:rPr>
            </w:pPr>
            <w:r>
              <w:rPr>
                <w:rFonts w:ascii="宋体" w:hAnsi="宋体" w:cs="宋体" w:eastAsia="宋体" w:hint="default"/>
                <w:sz w:val="21"/>
                <w:szCs w:val="21"/>
              </w:rPr>
              <w:t>担保是否已</w:t>
            </w:r>
          </w:p>
          <w:p>
            <w:pPr>
              <w:pStyle w:val="TableParagraph"/>
              <w:spacing w:line="274" w:lineRule="exact"/>
              <w:ind w:left="47" w:right="0"/>
              <w:jc w:val="left"/>
              <w:rPr>
                <w:rFonts w:ascii="宋体" w:hAnsi="宋体" w:cs="宋体" w:eastAsia="宋体" w:hint="default"/>
                <w:sz w:val="21"/>
                <w:szCs w:val="21"/>
              </w:rPr>
            </w:pPr>
            <w:r>
              <w:rPr>
                <w:rFonts w:ascii="宋体" w:hAnsi="宋体" w:cs="宋体" w:eastAsia="宋体" w:hint="default"/>
                <w:sz w:val="21"/>
                <w:szCs w:val="21"/>
              </w:rPr>
              <w:t>经履行完毕</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东方集团实业股份有限公司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sz w:val="21"/>
              </w:rPr>
              <w:t>500,000,000.00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2014/05/13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2017/05/13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1900" w:h="16850"/>
          <w:pgMar w:top="1120" w:bottom="1380" w:left="15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00" w:h="16850"/>
          <w:pgMar w:header="0" w:footer="941" w:top="1000" w:bottom="1140" w:left="1480" w:right="900"/>
        </w:sectPr>
      </w:pPr>
    </w:p>
    <w:p>
      <w:pPr>
        <w:pStyle w:val="Heading2"/>
        <w:spacing w:line="240" w:lineRule="auto"/>
        <w:ind w:left="222" w:right="-19"/>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8"/>
        <w:ind w:left="222"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0" w:val="left" w:leader="none"/>
        </w:tabs>
        <w:spacing w:line="240" w:lineRule="auto"/>
        <w:ind w:left="222" w:right="0"/>
        <w:jc w:val="left"/>
      </w:pPr>
      <w:r>
        <w:rPr>
          <w:spacing w:val="-1"/>
        </w:rPr>
        <w:t>单位：元</w:t>
        <w:tab/>
        <w:t>币种：人民币</w:t>
      </w:r>
    </w:p>
    <w:p>
      <w:pPr>
        <w:spacing w:after="0" w:line="240" w:lineRule="auto"/>
        <w:jc w:val="left"/>
        <w:sectPr>
          <w:type w:val="continuous"/>
          <w:pgSz w:w="11900" w:h="16850"/>
          <w:pgMar w:top="1120" w:bottom="1380" w:left="1480" w:right="900"/>
          <w:cols w:num="2" w:equalWidth="0">
            <w:col w:w="2318" w:space="4437"/>
            <w:col w:w="2765"/>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653"/>
        <w:gridCol w:w="1702"/>
        <w:gridCol w:w="1417"/>
        <w:gridCol w:w="1272"/>
        <w:gridCol w:w="1239"/>
      </w:tblGrid>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拆借金额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6"/>
              <w:jc w:val="right"/>
              <w:rPr>
                <w:rFonts w:ascii="宋体" w:hAnsi="宋体" w:cs="宋体" w:eastAsia="宋体" w:hint="default"/>
                <w:sz w:val="21"/>
                <w:szCs w:val="21"/>
              </w:rPr>
            </w:pPr>
            <w:r>
              <w:rPr>
                <w:rFonts w:ascii="宋体" w:hAnsi="宋体" w:cs="宋体" w:eastAsia="宋体" w:hint="default"/>
                <w:sz w:val="21"/>
                <w:szCs w:val="21"/>
              </w:rPr>
              <w:t>起始日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92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辽宁锦港宝地置业有限公司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center"/>
              <w:rPr>
                <w:rFonts w:ascii="宋体" w:hAnsi="宋体" w:cs="宋体" w:eastAsia="宋体" w:hint="default"/>
                <w:sz w:val="21"/>
                <w:szCs w:val="21"/>
              </w:rPr>
            </w:pPr>
            <w:r>
              <w:rPr>
                <w:rFonts w:ascii="宋体"/>
                <w:sz w:val="21"/>
              </w:rPr>
              <w:t>81,000,000.00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3"/>
              <w:jc w:val="right"/>
              <w:rPr>
                <w:rFonts w:ascii="宋体" w:hAnsi="宋体" w:cs="宋体" w:eastAsia="宋体" w:hint="default"/>
                <w:sz w:val="21"/>
                <w:szCs w:val="21"/>
              </w:rPr>
            </w:pPr>
            <w:r>
              <w:rPr>
                <w:rFonts w:ascii="宋体"/>
                <w:spacing w:val="-1"/>
                <w:sz w:val="21"/>
              </w:rPr>
              <w:t>2015/1/27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2017/11/8</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委托贷款</w:t>
            </w:r>
          </w:p>
        </w:tc>
      </w:tr>
    </w:tbl>
    <w:p>
      <w:pPr>
        <w:pStyle w:val="BodyText"/>
        <w:spacing w:line="240" w:lineRule="auto" w:before="86"/>
        <w:ind w:left="219" w:right="0"/>
        <w:jc w:val="left"/>
      </w:pPr>
      <w:r>
        <w:rPr/>
        <w:t>说明：本期收到的拆借资金利息</w:t>
      </w:r>
      <w:r>
        <w:rPr>
          <w:spacing w:val="-54"/>
        </w:rPr>
        <w:t> </w:t>
      </w:r>
      <w:r>
        <w:rPr>
          <w:rFonts w:ascii="宋体" w:hAnsi="宋体" w:cs="宋体" w:eastAsia="宋体" w:hint="default"/>
        </w:rPr>
        <w:t>9,855,000.00</w:t>
      </w:r>
      <w:r>
        <w:rPr>
          <w:rFonts w:ascii="宋体" w:hAnsi="宋体" w:cs="宋体" w:eastAsia="宋体" w:hint="default"/>
          <w:spacing w:val="-54"/>
        </w:rPr>
        <w:t> </w:t>
      </w:r>
      <w:r>
        <w:rPr>
          <w:spacing w:val="-3"/>
        </w:rPr>
        <w:t>元。</w:t>
      </w:r>
      <w:r>
        <w:rPr/>
      </w: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00" w:h="16850"/>
          <w:pgMar w:top="1120" w:bottom="1380" w:left="1480" w:right="900"/>
        </w:sectPr>
      </w:pPr>
    </w:p>
    <w:p>
      <w:pPr>
        <w:pStyle w:val="Heading2"/>
        <w:spacing w:line="240" w:lineRule="auto"/>
        <w:ind w:left="222" w:right="-18"/>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9"/>
        <w:ind w:left="222"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73" w:val="left" w:leader="none"/>
        </w:tabs>
        <w:spacing w:line="240" w:lineRule="auto"/>
        <w:ind w:left="222" w:right="0"/>
        <w:jc w:val="left"/>
      </w:pPr>
      <w:r>
        <w:rPr>
          <w:spacing w:val="-1"/>
        </w:rPr>
        <w:t>单位：元</w:t>
        <w:tab/>
      </w:r>
      <w:r>
        <w:rPr>
          <w:spacing w:val="-2"/>
        </w:rPr>
        <w:t>币种：人民币</w:t>
      </w:r>
    </w:p>
    <w:p>
      <w:pPr>
        <w:spacing w:after="0" w:line="240" w:lineRule="auto"/>
        <w:jc w:val="left"/>
        <w:sectPr>
          <w:type w:val="continuous"/>
          <w:pgSz w:w="11900" w:h="16850"/>
          <w:pgMar w:top="1120" w:bottom="1380" w:left="1480" w:right="900"/>
          <w:cols w:num="2" w:equalWidth="0">
            <w:col w:w="3791" w:space="2964"/>
            <w:col w:w="2765"/>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506"/>
        <w:gridCol w:w="1558"/>
        <w:gridCol w:w="1417"/>
        <w:gridCol w:w="1803"/>
      </w:tblGrid>
      <w:tr>
        <w:trPr>
          <w:trHeight w:val="334" w:hRule="exact"/>
        </w:trPr>
        <w:tc>
          <w:tcPr>
            <w:tcW w:w="45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1"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6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2"/>
              <w:jc w:val="center"/>
              <w:rPr>
                <w:rFonts w:ascii="宋体" w:hAnsi="宋体" w:cs="宋体" w:eastAsia="宋体" w:hint="default"/>
                <w:sz w:val="21"/>
                <w:szCs w:val="21"/>
              </w:rPr>
            </w:pPr>
            <w:r>
              <w:rPr>
                <w:rFonts w:ascii="宋体" w:hAnsi="宋体" w:cs="宋体" w:eastAsia="宋体" w:hint="default"/>
                <w:sz w:val="21"/>
                <w:szCs w:val="21"/>
              </w:rPr>
              <w:t>中国石油天然气股份有限公司锦西石化分公司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转让无形资产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sz w:val="21"/>
              </w:rPr>
              <w:t>28,698,600.00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00" w:h="16850"/>
          <w:pgMar w:top="1120" w:bottom="1380" w:left="1480" w:right="900"/>
        </w:sectPr>
      </w:pPr>
    </w:p>
    <w:p>
      <w:pPr>
        <w:pStyle w:val="Heading2"/>
        <w:spacing w:line="240" w:lineRule="auto"/>
        <w:ind w:left="222" w:right="-19"/>
        <w:jc w:val="left"/>
        <w:rPr>
          <w:b w:val="0"/>
          <w:bCs w:val="0"/>
        </w:rPr>
      </w:pPr>
      <w:r>
        <w:rPr>
          <w:rFonts w:ascii="宋体" w:hAnsi="宋体" w:cs="宋体" w:eastAsia="宋体" w:hint="default"/>
        </w:rPr>
        <w:t>(7).</w:t>
      </w:r>
      <w:r>
        <w:rPr>
          <w:rFonts w:ascii="宋体" w:hAnsi="宋体" w:cs="宋体" w:eastAsia="宋体" w:hint="default"/>
          <w:spacing w:val="89"/>
        </w:rPr>
        <w:t> </w:t>
      </w:r>
      <w:r>
        <w:rPr/>
        <w:t>关键管理人员报酬</w:t>
      </w:r>
      <w:r>
        <w:rPr>
          <w:b w:val="0"/>
          <w:bCs w:val="0"/>
        </w:rPr>
      </w:r>
    </w:p>
    <w:p>
      <w:pPr>
        <w:pStyle w:val="BodyText"/>
        <w:spacing w:line="240" w:lineRule="auto" w:before="56"/>
        <w:ind w:left="222"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0" w:val="left" w:leader="none"/>
        </w:tabs>
        <w:spacing w:line="240" w:lineRule="auto"/>
        <w:ind w:left="222" w:right="0"/>
        <w:jc w:val="left"/>
      </w:pPr>
      <w:r>
        <w:rPr>
          <w:spacing w:val="-1"/>
        </w:rPr>
        <w:t>单位：元</w:t>
        <w:tab/>
        <w:t>币种：人民币</w:t>
      </w:r>
    </w:p>
    <w:p>
      <w:pPr>
        <w:spacing w:after="0" w:line="240" w:lineRule="auto"/>
        <w:jc w:val="left"/>
        <w:sectPr>
          <w:type w:val="continuous"/>
          <w:pgSz w:w="11900" w:h="16850"/>
          <w:pgMar w:top="1120" w:bottom="1380" w:left="1480" w:right="900"/>
          <w:cols w:num="2" w:equalWidth="0">
            <w:col w:w="2529" w:space="4226"/>
            <w:col w:w="2765"/>
          </w:cols>
        </w:sectPr>
      </w:pP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358"/>
        <w:gridCol w:w="3358"/>
        <w:gridCol w:w="2566"/>
      </w:tblGrid>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85" w:right="0"/>
              <w:jc w:val="left"/>
              <w:rPr>
                <w:rFonts w:ascii="宋体" w:hAnsi="宋体" w:cs="宋体" w:eastAsia="宋体" w:hint="default"/>
                <w:sz w:val="21"/>
                <w:szCs w:val="21"/>
              </w:rPr>
            </w:pPr>
            <w:r>
              <w:rPr>
                <w:rFonts w:ascii="宋体"/>
                <w:sz w:val="21"/>
              </w:rPr>
              <w:t>5,715,280.04</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2" w:right="0"/>
              <w:jc w:val="left"/>
              <w:rPr>
                <w:rFonts w:ascii="宋体" w:hAnsi="宋体" w:cs="宋体" w:eastAsia="宋体" w:hint="default"/>
                <w:sz w:val="21"/>
                <w:szCs w:val="21"/>
              </w:rPr>
            </w:pPr>
            <w:r>
              <w:rPr>
                <w:rFonts w:ascii="宋体"/>
                <w:sz w:val="21"/>
              </w:rPr>
              <w:t>9,370,056.93</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00" w:h="16850"/>
          <w:pgMar w:top="1120" w:bottom="1380" w:left="1480" w:right="900"/>
        </w:sectPr>
      </w:pPr>
    </w:p>
    <w:p>
      <w:pPr>
        <w:pStyle w:val="Heading2"/>
        <w:spacing w:line="240" w:lineRule="auto"/>
        <w:ind w:left="222" w:right="-20"/>
        <w:jc w:val="left"/>
        <w:rPr>
          <w:b w:val="0"/>
          <w:bCs w:val="0"/>
        </w:rPr>
      </w:pPr>
      <w:r>
        <w:rPr>
          <w:rFonts w:ascii="宋体" w:hAnsi="宋体" w:cs="宋体" w:eastAsia="宋体" w:hint="default"/>
        </w:rPr>
        <w:t>6</w:t>
      </w:r>
      <w:r>
        <w:rPr/>
        <w:t>、</w:t>
      </w:r>
      <w:r>
        <w:rPr>
          <w:spacing w:val="5"/>
        </w:rPr>
        <w:t> </w:t>
      </w:r>
      <w:r>
        <w:rPr/>
        <w:t>关联方应收应付款项</w:t>
      </w:r>
      <w:r>
        <w:rPr>
          <w:b w:val="0"/>
          <w:bCs w:val="0"/>
        </w:rPr>
      </w:r>
    </w:p>
    <w:p>
      <w:pPr>
        <w:spacing w:line="290" w:lineRule="auto" w:before="58"/>
        <w:ind w:left="222" w:right="730"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88"/>
          <w:sz w:val="21"/>
          <w:szCs w:val="21"/>
        </w:rPr>
        <w:t> </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167" w:val="left" w:leader="none"/>
        </w:tabs>
        <w:spacing w:line="240" w:lineRule="auto"/>
        <w:ind w:left="22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00" w:h="16850"/>
          <w:pgMar w:top="1120" w:bottom="1380" w:left="1480" w:right="900"/>
          <w:cols w:num="2" w:equalWidth="0">
            <w:col w:w="2548" w:space="4418"/>
            <w:col w:w="2554"/>
          </w:cols>
        </w:sectPr>
      </w:pPr>
    </w:p>
    <w:p>
      <w:pPr>
        <w:spacing w:line="240" w:lineRule="auto" w:before="4"/>
        <w:rPr>
          <w:rFonts w:ascii="宋体" w:hAnsi="宋体" w:cs="宋体" w:eastAsia="宋体" w:hint="default"/>
          <w:sz w:val="2"/>
          <w:szCs w:val="2"/>
        </w:rPr>
      </w:pPr>
    </w:p>
    <w:tbl>
      <w:tblPr>
        <w:tblW w:w="0" w:type="auto"/>
        <w:jc w:val="left"/>
        <w:tblInd w:w="186" w:type="dxa"/>
        <w:tblLayout w:type="fixed"/>
        <w:tblCellMar>
          <w:top w:w="0" w:type="dxa"/>
          <w:left w:w="0" w:type="dxa"/>
          <w:bottom w:w="0" w:type="dxa"/>
          <w:right w:w="0" w:type="dxa"/>
        </w:tblCellMar>
        <w:tblLook w:val="01E0"/>
      </w:tblPr>
      <w:tblGrid>
        <w:gridCol w:w="1150"/>
        <w:gridCol w:w="2986"/>
        <w:gridCol w:w="1380"/>
        <w:gridCol w:w="1068"/>
        <w:gridCol w:w="1508"/>
        <w:gridCol w:w="1037"/>
      </w:tblGrid>
      <w:tr>
        <w:trPr>
          <w:trHeight w:val="245" w:hRule="exact"/>
        </w:trPr>
        <w:tc>
          <w:tcPr>
            <w:tcW w:w="1150" w:type="dxa"/>
            <w:vMerge w:val="restart"/>
            <w:tcBorders>
              <w:top w:val="single" w:sz="4" w:space="0" w:color="000000"/>
              <w:left w:val="single" w:sz="4" w:space="0" w:color="000000"/>
              <w:right w:val="single" w:sz="4" w:space="0" w:color="000000"/>
            </w:tcBorders>
          </w:tcPr>
          <w:p>
            <w:pPr>
              <w:pStyle w:val="TableParagraph"/>
              <w:spacing w:line="240" w:lineRule="auto" w:before="92"/>
              <w:ind w:left="21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986" w:type="dxa"/>
            <w:vMerge w:val="restart"/>
            <w:tcBorders>
              <w:top w:val="single" w:sz="4" w:space="0" w:color="000000"/>
              <w:left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1150" w:type="dxa"/>
            <w:vMerge/>
            <w:tcBorders>
              <w:left w:val="single" w:sz="4" w:space="0" w:color="000000"/>
              <w:bottom w:val="single" w:sz="4" w:space="0" w:color="000000"/>
              <w:right w:val="single" w:sz="4" w:space="0" w:color="000000"/>
            </w:tcBorders>
          </w:tcPr>
          <w:p>
            <w:pPr/>
          </w:p>
        </w:tc>
        <w:tc>
          <w:tcPr>
            <w:tcW w:w="2986" w:type="dxa"/>
            <w:vMerge/>
            <w:tcBorders>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5"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中国石油天然气集团公司之附属公司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5,169,777.59</w:t>
            </w:r>
          </w:p>
        </w:tc>
        <w:tc>
          <w:tcPr>
            <w:tcW w:w="106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14,659,912.98</w:t>
            </w: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锦州中理外轮理货有限公司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16,500.00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锦州港国有资产经营管理有限公司及</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附属公司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75,000.00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75,000.00</w:t>
            </w: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锦州新时代集装箱码头有限公司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12,600.00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414,800.00</w:t>
            </w: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锦州新时代集装箱码头有限公司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2,000.00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309,736.60</w:t>
            </w: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辽宁沈哈红运物流锦州有限公司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743,697.66</w:t>
            </w:r>
          </w:p>
        </w:tc>
        <w:tc>
          <w:tcPr>
            <w:tcW w:w="106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锦州中理外轮理货有限公司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3,943.60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中国石油天然气集团公司之附属公司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480.00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79,841.13</w:t>
            </w: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辽宁沈哈红运物流锦州有限公司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1,805,299.06</w:t>
            </w:r>
          </w:p>
        </w:tc>
        <w:tc>
          <w:tcPr>
            <w:tcW w:w="106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辽宁锦港宝地置业有限公司</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81,000,000.00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81,000,000.00</w:t>
            </w:r>
          </w:p>
        </w:tc>
        <w:tc>
          <w:tcPr>
            <w:tcW w:w="103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ind w:left="222" w:right="6958"/>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945" w:val="left" w:leader="none"/>
        </w:tabs>
        <w:spacing w:line="240" w:lineRule="auto" w:before="58"/>
        <w:ind w:left="0" w:right="226"/>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86" w:type="dxa"/>
        <w:tblLayout w:type="fixed"/>
        <w:tblCellMar>
          <w:top w:w="0" w:type="dxa"/>
          <w:left w:w="0" w:type="dxa"/>
          <w:bottom w:w="0" w:type="dxa"/>
          <w:right w:w="0" w:type="dxa"/>
        </w:tblCellMar>
        <w:tblLook w:val="01E0"/>
      </w:tblPr>
      <w:tblGrid>
        <w:gridCol w:w="1289"/>
        <w:gridCol w:w="4273"/>
        <w:gridCol w:w="2269"/>
        <w:gridCol w:w="1299"/>
      </w:tblGrid>
      <w:tr>
        <w:trPr>
          <w:trHeight w:val="245"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242"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锦州中理外轮理货有限公司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433,146.00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1,645,876.00</w:t>
            </w:r>
          </w:p>
        </w:tc>
      </w:tr>
      <w:tr>
        <w:trPr>
          <w:trHeight w:val="245"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锦州新时代集装箱码头有限公司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3"/>
              <w:jc w:val="right"/>
              <w:rPr>
                <w:rFonts w:ascii="宋体" w:hAnsi="宋体" w:cs="宋体" w:eastAsia="宋体" w:hint="default"/>
                <w:sz w:val="18"/>
                <w:szCs w:val="18"/>
              </w:rPr>
            </w:pPr>
            <w:r>
              <w:rPr>
                <w:rFonts w:ascii="宋体"/>
                <w:spacing w:val="-1"/>
                <w:sz w:val="18"/>
              </w:rPr>
              <w:t>1,615.00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263,507.00</w:t>
            </w:r>
          </w:p>
        </w:tc>
      </w:tr>
      <w:tr>
        <w:trPr>
          <w:trHeight w:val="242"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锦州港国有资产经营管理有限公司及附属公司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161,235.70</w:t>
            </w:r>
          </w:p>
        </w:tc>
        <w:tc>
          <w:tcPr>
            <w:tcW w:w="129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锦州港龙煤瑞隆能源有限公司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2,210,000.00</w:t>
            </w:r>
          </w:p>
        </w:tc>
        <w:tc>
          <w:tcPr>
            <w:tcW w:w="129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中国石油天然气集团公司之附属公司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9,220.40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9,251.80</w:t>
            </w:r>
          </w:p>
        </w:tc>
      </w:tr>
      <w:tr>
        <w:trPr>
          <w:trHeight w:val="242"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锦州中理外轮理货有限公司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565,449.35</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351,544.75</w:t>
            </w:r>
          </w:p>
        </w:tc>
      </w:tr>
      <w:tr>
        <w:trPr>
          <w:trHeight w:val="245"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中国石油天然气集团公司之附属公司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1,678,803.88</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687,864.88</w:t>
            </w:r>
          </w:p>
        </w:tc>
      </w:tr>
      <w:tr>
        <w:trPr>
          <w:trHeight w:val="242"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锦州新时代集装箱码头有限公司</w:t>
            </w:r>
          </w:p>
        </w:tc>
        <w:tc>
          <w:tcPr>
            <w:tcW w:w="2269"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646,900.00</w:t>
            </w:r>
          </w:p>
        </w:tc>
      </w:tr>
    </w:tbl>
    <w:p>
      <w:pPr>
        <w:spacing w:after="0" w:line="205" w:lineRule="exact"/>
        <w:jc w:val="right"/>
        <w:rPr>
          <w:rFonts w:ascii="宋体" w:hAnsi="宋体" w:cs="宋体" w:eastAsia="宋体" w:hint="default"/>
          <w:sz w:val="18"/>
          <w:szCs w:val="18"/>
        </w:rPr>
        <w:sectPr>
          <w:type w:val="continuous"/>
          <w:pgSz w:w="11900" w:h="16850"/>
          <w:pgMar w:top="1120" w:bottom="1380" w:left="14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Heading2"/>
        <w:spacing w:line="240" w:lineRule="auto"/>
        <w:ind w:left="222" w:right="0"/>
        <w:jc w:val="both"/>
        <w:rPr>
          <w:b w:val="0"/>
          <w:bCs w:val="0"/>
        </w:rPr>
      </w:pPr>
      <w:r>
        <w:rPr/>
        <w:t>十三、</w:t>
      </w:r>
      <w:r>
        <w:rPr>
          <w:spacing w:val="102"/>
        </w:rPr>
        <w:t> </w:t>
      </w:r>
      <w:r>
        <w:rPr/>
        <w:t>股份支付</w:t>
      </w:r>
      <w:r>
        <w:rPr>
          <w:b w:val="0"/>
          <w:bCs w:val="0"/>
        </w:rPr>
      </w:r>
    </w:p>
    <w:p>
      <w:pPr>
        <w:pStyle w:val="Heading2"/>
        <w:spacing w:line="240" w:lineRule="auto" w:before="58"/>
        <w:ind w:left="222" w:right="0"/>
        <w:jc w:val="both"/>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left="222"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222" w:right="0"/>
        <w:jc w:val="both"/>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6"/>
        <w:ind w:left="222"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222" w:right="0"/>
        <w:jc w:val="both"/>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9"/>
        <w:ind w:left="222" w:right="0"/>
        <w:jc w:val="both"/>
      </w:pPr>
      <w:r>
        <w:rPr/>
        <w:t>□适用 √不适用</w:t>
      </w:r>
    </w:p>
    <w:p>
      <w:pPr>
        <w:spacing w:line="240" w:lineRule="auto" w:before="3"/>
        <w:rPr>
          <w:rFonts w:ascii="宋体" w:hAnsi="宋体" w:cs="宋体" w:eastAsia="宋体" w:hint="default"/>
          <w:sz w:val="25"/>
          <w:szCs w:val="25"/>
        </w:rPr>
      </w:pPr>
    </w:p>
    <w:p>
      <w:pPr>
        <w:pStyle w:val="Heading2"/>
        <w:tabs>
          <w:tab w:pos="1061" w:val="left" w:leader="none"/>
        </w:tabs>
        <w:spacing w:line="290" w:lineRule="auto" w:before="0"/>
        <w:ind w:left="222" w:right="6976"/>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40" w:lineRule="auto" w:before="14"/>
        <w:ind w:left="222"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222" w:right="0"/>
        <w:jc w:val="both"/>
        <w:rPr>
          <w:b w:val="0"/>
          <w:bCs w:val="0"/>
        </w:rPr>
      </w:pPr>
      <w:r>
        <w:rPr>
          <w:rFonts w:ascii="宋体" w:hAnsi="宋体" w:cs="宋体" w:eastAsia="宋体" w:hint="default"/>
        </w:rPr>
        <w:t>2</w:t>
      </w:r>
      <w:r>
        <w:rPr/>
        <w:t>、</w:t>
      </w:r>
      <w:r>
        <w:rPr>
          <w:spacing w:val="3"/>
        </w:rPr>
        <w:t> </w:t>
      </w:r>
      <w:r>
        <w:rPr/>
        <w:t>或有事项</w:t>
      </w:r>
      <w:r>
        <w:rPr>
          <w:b w:val="0"/>
          <w:bCs w:val="0"/>
        </w:rPr>
      </w:r>
    </w:p>
    <w:p>
      <w:pPr>
        <w:pStyle w:val="BodyText"/>
        <w:spacing w:line="240" w:lineRule="auto" w:before="56"/>
        <w:ind w:left="222" w:right="0"/>
        <w:jc w:val="both"/>
      </w:pPr>
      <w:r>
        <w:rPr/>
        <w:t>√适用 □不适用</w:t>
      </w:r>
    </w:p>
    <w:p>
      <w:pPr>
        <w:pStyle w:val="Heading2"/>
        <w:spacing w:line="240" w:lineRule="auto" w:before="58"/>
        <w:ind w:left="222" w:right="0"/>
        <w:jc w:val="both"/>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pStyle w:val="BodyText"/>
        <w:spacing w:line="237" w:lineRule="auto" w:before="119"/>
        <w:ind w:left="219" w:right="226" w:firstLine="419"/>
        <w:jc w:val="both"/>
      </w:pPr>
      <w:r>
        <w:rPr>
          <w:spacing w:val="-2"/>
        </w:rPr>
        <w:t>①公司第八届董事会第十五次会议审议通过了《关于按照股比为参股公司中丝锦州化工品港储</w:t>
      </w:r>
      <w:r>
        <w:rPr>
          <w:w w:val="100"/>
        </w:rPr>
        <w:t> </w:t>
      </w:r>
      <w:r>
        <w:rPr>
          <w:spacing w:val="-2"/>
        </w:rPr>
        <w:t>有限公司提供担保的议案》，报告期内，中丝锦州化工品港储有限公司通过中国民生银行股份有限</w:t>
      </w:r>
      <w:r>
        <w:rPr>
          <w:spacing w:val="-25"/>
        </w:rPr>
        <w:t> </w:t>
      </w:r>
      <w:r>
        <w:rPr>
          <w:spacing w:val="-25"/>
        </w:rPr>
      </w:r>
      <w:r>
        <w:rPr/>
        <w:t>公司融资</w:t>
      </w:r>
      <w:r>
        <w:rPr>
          <w:spacing w:val="-52"/>
        </w:rPr>
        <w:t> </w:t>
      </w:r>
      <w:r>
        <w:rPr>
          <w:rFonts w:ascii="宋体" w:hAnsi="宋体" w:cs="宋体" w:eastAsia="宋体" w:hint="default"/>
        </w:rPr>
        <w:t>13,811</w:t>
      </w:r>
      <w:r>
        <w:rPr>
          <w:rFonts w:ascii="宋体" w:hAnsi="宋体" w:cs="宋体" w:eastAsia="宋体" w:hint="default"/>
          <w:spacing w:val="-52"/>
        </w:rPr>
        <w:t> </w:t>
      </w:r>
      <w:r>
        <w:rPr>
          <w:spacing w:val="-3"/>
        </w:rPr>
        <w:t>万元，期限自</w:t>
      </w:r>
      <w:r>
        <w:rPr>
          <w:spacing w:val="-51"/>
        </w:rPr>
        <w:t> </w:t>
      </w:r>
      <w:r>
        <w:rPr>
          <w:rFonts w:ascii="宋体" w:hAnsi="宋体" w:cs="宋体" w:eastAsia="宋体" w:hint="default"/>
        </w:rPr>
        <w:t>2015</w:t>
      </w:r>
      <w:r>
        <w:rPr>
          <w:rFonts w:ascii="宋体" w:hAnsi="宋体" w:cs="宋体" w:eastAsia="宋体" w:hint="default"/>
          <w:spacing w:val="-54"/>
        </w:rPr>
        <w:t> </w:t>
      </w:r>
      <w:r>
        <w:rPr/>
        <w:t>年</w:t>
      </w:r>
      <w:r>
        <w:rPr>
          <w:spacing w:val="-52"/>
        </w:rPr>
        <w:t> </w:t>
      </w:r>
      <w:r>
        <w:rPr>
          <w:rFonts w:ascii="宋体" w:hAnsi="宋体" w:cs="宋体" w:eastAsia="宋体" w:hint="default"/>
        </w:rPr>
        <w:t>9</w:t>
      </w:r>
      <w:r>
        <w:rPr>
          <w:rFonts w:ascii="宋体" w:hAnsi="宋体" w:cs="宋体" w:eastAsia="宋体" w:hint="default"/>
          <w:spacing w:val="-54"/>
        </w:rPr>
        <w:t> </w:t>
      </w:r>
      <w:r>
        <w:rPr/>
        <w:t>月</w:t>
      </w:r>
      <w:r>
        <w:rPr>
          <w:spacing w:val="-52"/>
        </w:rPr>
        <w:t> </w:t>
      </w:r>
      <w:r>
        <w:rPr>
          <w:rFonts w:ascii="宋体" w:hAnsi="宋体" w:cs="宋体" w:eastAsia="宋体" w:hint="default"/>
        </w:rPr>
        <w:t>24</w:t>
      </w:r>
      <w:r>
        <w:rPr>
          <w:rFonts w:ascii="宋体" w:hAnsi="宋体" w:cs="宋体" w:eastAsia="宋体" w:hint="default"/>
          <w:spacing w:val="-54"/>
        </w:rPr>
        <w:t> </w:t>
      </w:r>
      <w:r>
        <w:rPr/>
        <w:t>日起至</w:t>
      </w:r>
      <w:r>
        <w:rPr>
          <w:spacing w:val="-52"/>
        </w:rPr>
        <w:t> </w:t>
      </w:r>
      <w:r>
        <w:rPr>
          <w:rFonts w:ascii="宋体" w:hAnsi="宋体" w:cs="宋体" w:eastAsia="宋体" w:hint="default"/>
        </w:rPr>
        <w:t>2018</w:t>
      </w:r>
      <w:r>
        <w:rPr>
          <w:rFonts w:ascii="宋体" w:hAnsi="宋体" w:cs="宋体" w:eastAsia="宋体" w:hint="default"/>
          <w:spacing w:val="-52"/>
        </w:rPr>
        <w:t> </w:t>
      </w:r>
      <w:r>
        <w:rPr/>
        <w:t>年</w:t>
      </w:r>
      <w:r>
        <w:rPr>
          <w:spacing w:val="-54"/>
        </w:rPr>
        <w:t> </w:t>
      </w:r>
      <w:r>
        <w:rPr>
          <w:rFonts w:ascii="宋体" w:hAnsi="宋体" w:cs="宋体" w:eastAsia="宋体" w:hint="default"/>
        </w:rPr>
        <w:t>9</w:t>
      </w:r>
      <w:r>
        <w:rPr>
          <w:rFonts w:ascii="宋体" w:hAnsi="宋体" w:cs="宋体" w:eastAsia="宋体" w:hint="default"/>
          <w:spacing w:val="-52"/>
        </w:rPr>
        <w:t> </w:t>
      </w:r>
      <w:r>
        <w:rPr/>
        <w:t>月</w:t>
      </w:r>
      <w:r>
        <w:rPr>
          <w:spacing w:val="-54"/>
        </w:rPr>
        <w:t> </w:t>
      </w:r>
      <w:r>
        <w:rPr>
          <w:rFonts w:ascii="宋体" w:hAnsi="宋体" w:cs="宋体" w:eastAsia="宋体" w:hint="default"/>
        </w:rPr>
        <w:t>11</w:t>
      </w:r>
      <w:r>
        <w:rPr>
          <w:rFonts w:ascii="宋体" w:hAnsi="宋体" w:cs="宋体" w:eastAsia="宋体" w:hint="default"/>
          <w:spacing w:val="-52"/>
        </w:rPr>
        <w:t> </w:t>
      </w:r>
      <w:r>
        <w:rPr>
          <w:spacing w:val="-4"/>
        </w:rPr>
        <w:t>日止。公司按</w:t>
      </w:r>
      <w:r>
        <w:rPr>
          <w:spacing w:val="-51"/>
        </w:rPr>
        <w:t> </w:t>
      </w:r>
      <w:r>
        <w:rPr>
          <w:rFonts w:ascii="宋体" w:hAnsi="宋体" w:cs="宋体" w:eastAsia="宋体" w:hint="default"/>
        </w:rPr>
        <w:t>49%</w:t>
      </w:r>
      <w:r>
        <w:rPr/>
        <w:t>的持股比例</w:t>
      </w:r>
    </w:p>
    <w:p>
      <w:pPr>
        <w:pStyle w:val="BodyText"/>
        <w:spacing w:line="237" w:lineRule="auto" w:before="1"/>
        <w:ind w:left="219" w:right="224"/>
        <w:jc w:val="both"/>
      </w:pPr>
      <w:r>
        <w:rPr>
          <w:spacing w:val="-3"/>
        </w:rPr>
        <w:t>为此项融资提供了连带保证担保。该资金主要用于被担保人建设</w:t>
      </w:r>
      <w:r>
        <w:rPr>
          <w:spacing w:val="-27"/>
        </w:rPr>
        <w:t> </w:t>
      </w:r>
      <w:r>
        <w:rPr>
          <w:rFonts w:ascii="宋体" w:hAnsi="宋体" w:cs="宋体" w:eastAsia="宋体" w:hint="default"/>
        </w:rPr>
        <w:t>7.36</w:t>
      </w:r>
      <w:r>
        <w:rPr>
          <w:rFonts w:ascii="宋体" w:hAnsi="宋体" w:cs="宋体" w:eastAsia="宋体" w:hint="default"/>
          <w:spacing w:val="-30"/>
        </w:rPr>
        <w:t> </w:t>
      </w:r>
      <w:r>
        <w:rPr>
          <w:spacing w:val="-4"/>
        </w:rPr>
        <w:t>万立方米油品、化工品罐区一</w:t>
      </w:r>
      <w:r>
        <w:rPr>
          <w:spacing w:val="-96"/>
        </w:rPr>
        <w:t> </w:t>
      </w:r>
      <w:r>
        <w:rPr>
          <w:spacing w:val="-96"/>
        </w:rPr>
      </w:r>
      <w:r>
        <w:rPr>
          <w:spacing w:val="-6"/>
        </w:rPr>
        <w:t>座，该业务有利于中丝锦州化工品港储有限公司油品、化工品仓储罐区的建设，使其尽早投入运营，</w:t>
      </w:r>
      <w:r>
        <w:rPr>
          <w:spacing w:val="-19"/>
        </w:rPr>
        <w:t> </w:t>
      </w:r>
      <w:r>
        <w:rPr>
          <w:spacing w:val="-19"/>
        </w:rPr>
      </w:r>
      <w:r>
        <w:rPr/>
        <w:t>增加投资效益。</w:t>
      </w:r>
    </w:p>
    <w:p>
      <w:pPr>
        <w:spacing w:line="240" w:lineRule="auto" w:before="6"/>
        <w:rPr>
          <w:rFonts w:ascii="宋体" w:hAnsi="宋体" w:cs="宋体" w:eastAsia="宋体" w:hint="default"/>
          <w:sz w:val="16"/>
          <w:szCs w:val="16"/>
        </w:rPr>
      </w:pPr>
    </w:p>
    <w:p>
      <w:pPr>
        <w:pStyle w:val="BodyText"/>
        <w:spacing w:line="237" w:lineRule="auto"/>
        <w:ind w:left="219" w:right="224" w:firstLine="419"/>
        <w:jc w:val="both"/>
      </w:pPr>
      <w:r>
        <w:rPr/>
        <w:t>②公司</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3"/>
        </w:rPr>
        <w:t> </w:t>
      </w:r>
      <w:r>
        <w:rPr/>
        <w:t>月</w:t>
      </w:r>
      <w:r>
        <w:rPr>
          <w:spacing w:val="-56"/>
        </w:rPr>
        <w:t> </w:t>
      </w:r>
      <w:r>
        <w:rPr>
          <w:rFonts w:ascii="宋体" w:hAnsi="宋体" w:cs="宋体" w:eastAsia="宋体" w:hint="default"/>
        </w:rPr>
        <w:t>29</w:t>
      </w:r>
      <w:r>
        <w:rPr>
          <w:rFonts w:ascii="宋体" w:hAnsi="宋体" w:cs="宋体" w:eastAsia="宋体" w:hint="default"/>
          <w:spacing w:val="-54"/>
        </w:rPr>
        <w:t> </w:t>
      </w:r>
      <w:r>
        <w:rPr/>
        <w:t>日第八届董事会第二十次会议审议通过了《关于为全资子公司锦州港物</w:t>
      </w:r>
      <w:r>
        <w:rPr>
          <w:w w:val="100"/>
        </w:rPr>
        <w:t> </w:t>
      </w:r>
      <w:r>
        <w:rPr>
          <w:spacing w:val="-2"/>
        </w:rPr>
        <w:t>流发展有限公司拟使用公司在民生银行信用额度提供担保的议案》，同意全资子公司锦州港物流发</w:t>
      </w:r>
      <w:r>
        <w:rPr>
          <w:spacing w:val="-25"/>
        </w:rPr>
        <w:t> </w:t>
      </w:r>
      <w:r>
        <w:rPr>
          <w:spacing w:val="-25"/>
        </w:rPr>
      </w:r>
      <w:r>
        <w:rPr/>
        <w:t>展有限公司使用公司已获得的中国民生银行股份有限公司沈阳分行不超过</w:t>
      </w:r>
      <w:r>
        <w:rPr>
          <w:spacing w:val="-52"/>
        </w:rPr>
        <w:t> </w:t>
      </w:r>
      <w:r>
        <w:rPr>
          <w:rFonts w:ascii="宋体" w:hAnsi="宋体" w:cs="宋体" w:eastAsia="宋体" w:hint="default"/>
        </w:rPr>
        <w:t>45,000</w:t>
      </w:r>
      <w:r>
        <w:rPr>
          <w:rFonts w:ascii="宋体" w:hAnsi="宋体" w:cs="宋体" w:eastAsia="宋体" w:hint="default"/>
          <w:spacing w:val="-55"/>
        </w:rPr>
        <w:t> </w:t>
      </w:r>
      <w:r>
        <w:rPr>
          <w:spacing w:val="-19"/>
        </w:rPr>
        <w:t>万元（含</w:t>
      </w:r>
      <w:r>
        <w:rPr>
          <w:spacing w:val="-53"/>
        </w:rPr>
        <w:t> </w:t>
      </w:r>
      <w:r>
        <w:rPr>
          <w:rFonts w:ascii="宋体" w:hAnsi="宋体" w:cs="宋体" w:eastAsia="宋体" w:hint="default"/>
        </w:rPr>
        <w:t>45000</w:t>
      </w:r>
      <w:r>
        <w:rPr>
          <w:rFonts w:ascii="宋体" w:hAnsi="宋体" w:cs="宋体" w:eastAsia="宋体" w:hint="default"/>
          <w:spacing w:val="-53"/>
        </w:rPr>
        <w:t> </w:t>
      </w:r>
      <w:r>
        <w:rPr/>
        <w:t>万</w:t>
      </w:r>
    </w:p>
    <w:p>
      <w:pPr>
        <w:pStyle w:val="BodyText"/>
        <w:spacing w:line="271" w:lineRule="exact"/>
        <w:ind w:left="219" w:right="0"/>
        <w:jc w:val="both"/>
      </w:pPr>
      <w:r>
        <w:rPr>
          <w:spacing w:val="-4"/>
        </w:rPr>
        <w:t>元）授信额度，并为其提供担保，担保期限为 </w:t>
      </w:r>
      <w:r>
        <w:rPr>
          <w:rFonts w:ascii="宋体" w:hAnsi="宋体" w:cs="宋体" w:eastAsia="宋体" w:hint="default"/>
        </w:rPr>
        <w:t>12</w:t>
      </w:r>
      <w:r>
        <w:rPr>
          <w:rFonts w:ascii="宋体" w:hAnsi="宋体" w:cs="宋体" w:eastAsia="宋体" w:hint="default"/>
          <w:spacing w:val="-36"/>
        </w:rPr>
        <w:t> </w:t>
      </w:r>
      <w:r>
        <w:rPr>
          <w:spacing w:val="-3"/>
        </w:rPr>
        <w:t>个月。报告期内，锦州港物流发展有限公司上述担</w:t>
      </w:r>
    </w:p>
    <w:p>
      <w:pPr>
        <w:pStyle w:val="BodyText"/>
        <w:spacing w:line="274" w:lineRule="exact"/>
        <w:ind w:left="219" w:right="0"/>
        <w:jc w:val="both"/>
      </w:pPr>
      <w:r>
        <w:rPr/>
        <w:t>保项下发生的主债务</w:t>
      </w:r>
      <w:r>
        <w:rPr>
          <w:spacing w:val="-54"/>
        </w:rPr>
        <w:t> </w:t>
      </w:r>
      <w:r>
        <w:rPr>
          <w:rFonts w:ascii="宋体" w:hAnsi="宋体" w:cs="宋体" w:eastAsia="宋体" w:hint="default"/>
        </w:rPr>
        <w:t>3,100</w:t>
      </w:r>
      <w:r>
        <w:rPr>
          <w:rFonts w:ascii="宋体" w:hAnsi="宋体" w:cs="宋体" w:eastAsia="宋体" w:hint="default"/>
          <w:spacing w:val="-55"/>
        </w:rPr>
        <w:t> </w:t>
      </w:r>
      <w:r>
        <w:rPr/>
        <w:t>万元已还清。</w:t>
      </w:r>
    </w:p>
    <w:p>
      <w:pPr>
        <w:spacing w:line="240" w:lineRule="auto" w:before="4"/>
        <w:rPr>
          <w:rFonts w:ascii="宋体" w:hAnsi="宋体" w:cs="宋体" w:eastAsia="宋体" w:hint="default"/>
          <w:sz w:val="16"/>
          <w:szCs w:val="16"/>
        </w:rPr>
      </w:pPr>
    </w:p>
    <w:p>
      <w:pPr>
        <w:pStyle w:val="BodyText"/>
        <w:spacing w:line="240" w:lineRule="auto"/>
        <w:ind w:left="639" w:right="0"/>
        <w:jc w:val="left"/>
      </w:pPr>
      <w:r>
        <w:rPr/>
        <w:t>截至</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5"/>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日，本集团不存在其他应披露的或有事项。</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00" w:h="16850"/>
          <w:pgMar w:header="0" w:footer="941" w:top="1000" w:bottom="1140" w:left="1480" w:right="900"/>
        </w:sectPr>
      </w:pPr>
    </w:p>
    <w:p>
      <w:pPr>
        <w:pStyle w:val="Heading2"/>
        <w:tabs>
          <w:tab w:pos="1061" w:val="left" w:leader="none"/>
        </w:tabs>
        <w:spacing w:line="240" w:lineRule="auto"/>
        <w:ind w:left="222" w:right="-16"/>
        <w:jc w:val="left"/>
        <w:rPr>
          <w:b w:val="0"/>
          <w:bCs w:val="0"/>
        </w:rPr>
      </w:pPr>
      <w:r>
        <w:rPr/>
        <w:t>十五、</w:t>
        <w:tab/>
        <w:t>资产负债表日后事项</w:t>
      </w:r>
      <w:r>
        <w:rPr>
          <w:b w:val="0"/>
          <w:bCs w:val="0"/>
        </w:rPr>
      </w:r>
    </w:p>
    <w:p>
      <w:pPr>
        <w:pStyle w:val="Heading2"/>
        <w:spacing w:line="240" w:lineRule="auto" w:before="58"/>
        <w:ind w:left="222"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29"/>
        <w:ind w:left="222" w:right="-16"/>
        <w:jc w:val="left"/>
      </w:pPr>
      <w:r>
        <w:rPr/>
        <w:t>□适用 √不适用</w:t>
      </w:r>
    </w:p>
    <w:p>
      <w:pPr>
        <w:pStyle w:val="Heading2"/>
        <w:spacing w:line="240" w:lineRule="auto" w:before="58"/>
        <w:ind w:left="222" w:right="-16"/>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29"/>
        <w:ind w:left="222"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273" w:val="left" w:leader="none"/>
        </w:tabs>
        <w:spacing w:line="240" w:lineRule="auto"/>
        <w:ind w:left="222" w:right="0"/>
        <w:jc w:val="left"/>
      </w:pPr>
      <w:r>
        <w:rPr>
          <w:spacing w:val="-1"/>
        </w:rPr>
        <w:t>单位：元</w:t>
        <w:tab/>
      </w:r>
      <w:r>
        <w:rPr>
          <w:spacing w:val="-2"/>
        </w:rPr>
        <w:t>币种：人民币</w:t>
      </w:r>
    </w:p>
    <w:p>
      <w:pPr>
        <w:spacing w:after="0" w:line="240" w:lineRule="auto"/>
        <w:jc w:val="left"/>
        <w:sectPr>
          <w:type w:val="continuous"/>
          <w:pgSz w:w="11900" w:h="16850"/>
          <w:pgMar w:top="1120" w:bottom="1380" w:left="1480" w:right="900"/>
          <w:cols w:num="2" w:equalWidth="0">
            <w:col w:w="2963" w:space="3792"/>
            <w:col w:w="2765"/>
          </w:cols>
        </w:sectPr>
      </w:pP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819"/>
        <w:gridCol w:w="5464"/>
      </w:tblGrid>
      <w:tr>
        <w:trPr>
          <w:trHeight w:val="295" w:hRule="exact"/>
        </w:trPr>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46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2"/>
                <w:szCs w:val="22"/>
              </w:rPr>
            </w:pPr>
            <w:r>
              <w:rPr>
                <w:rFonts w:ascii="宋体"/>
                <w:spacing w:val="-1"/>
                <w:sz w:val="22"/>
              </w:rPr>
              <w:t>40,045,830.00</w:t>
            </w:r>
          </w:p>
        </w:tc>
      </w:tr>
      <w:tr>
        <w:trPr>
          <w:trHeight w:val="284" w:hRule="exact"/>
        </w:trPr>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2"/>
        <w:rPr>
          <w:rFonts w:ascii="宋体" w:hAnsi="宋体" w:cs="宋体" w:eastAsia="宋体" w:hint="default"/>
          <w:sz w:val="20"/>
          <w:szCs w:val="20"/>
        </w:rPr>
      </w:pPr>
    </w:p>
    <w:p>
      <w:pPr>
        <w:pStyle w:val="Heading2"/>
        <w:spacing w:line="240" w:lineRule="auto"/>
        <w:ind w:left="222" w:right="6958"/>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29"/>
        <w:ind w:left="222" w:right="6958"/>
        <w:jc w:val="left"/>
      </w:pPr>
      <w:r>
        <w:rPr/>
        <w:t>□适用 √不适用</w:t>
      </w:r>
    </w:p>
    <w:p>
      <w:pPr>
        <w:spacing w:after="0" w:line="240" w:lineRule="auto"/>
        <w:jc w:val="left"/>
        <w:sectPr>
          <w:type w:val="continuous"/>
          <w:pgSz w:w="11900" w:h="16850"/>
          <w:pgMar w:top="1120" w:bottom="1380" w:left="14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line="266" w:lineRule="auto" w:before="36"/>
        <w:ind w:left="561" w:right="6014" w:hanging="420"/>
        <w:jc w:val="left"/>
        <w:rPr>
          <w:rFonts w:ascii="宋体" w:hAnsi="宋体" w:cs="宋体" w:eastAsia="宋体" w:hint="default"/>
          <w:sz w:val="21"/>
          <w:szCs w:val="21"/>
        </w:rPr>
      </w:pPr>
      <w:r>
        <w:rPr>
          <w:rFonts w:ascii="Calibri" w:hAnsi="Calibri" w:cs="Calibri" w:eastAsia="Calibri" w:hint="default"/>
          <w:b/>
          <w:bCs/>
          <w:sz w:val="21"/>
          <w:szCs w:val="21"/>
        </w:rPr>
        <w:t>4</w:t>
      </w:r>
      <w:r>
        <w:rPr>
          <w:rFonts w:ascii="宋体" w:hAnsi="宋体" w:cs="宋体" w:eastAsia="宋体" w:hint="default"/>
          <w:b/>
          <w:bCs/>
          <w:sz w:val="21"/>
          <w:szCs w:val="21"/>
        </w:rPr>
        <w:t>、 其他资产负债表日后事项说明</w:t>
      </w:r>
      <w:r>
        <w:rPr>
          <w:rFonts w:ascii="宋体" w:hAnsi="宋体" w:cs="宋体" w:eastAsia="宋体" w:hint="default"/>
          <w:b/>
          <w:bCs/>
          <w:w w:val="100"/>
          <w:sz w:val="21"/>
          <w:szCs w:val="21"/>
        </w:rPr>
        <w:t> </w:t>
      </w:r>
      <w:r>
        <w:rPr>
          <w:rFonts w:ascii="宋体" w:hAnsi="宋体" w:cs="宋体" w:eastAsia="宋体" w:hint="default"/>
          <w:spacing w:val="-2"/>
          <w:sz w:val="21"/>
          <w:szCs w:val="21"/>
        </w:rPr>
        <w:t>关于短期融资券获准注册事宜</w:t>
      </w:r>
    </w:p>
    <w:p>
      <w:pPr>
        <w:pStyle w:val="BodyText"/>
        <w:spacing w:line="247" w:lineRule="exact"/>
        <w:ind w:left="142" w:right="120" w:firstLine="419"/>
        <w:jc w:val="left"/>
      </w:pPr>
      <w:r>
        <w:rPr/>
        <w:t>公司</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10</w:t>
      </w:r>
      <w:r>
        <w:rPr>
          <w:rFonts w:ascii="宋体" w:hAnsi="宋体" w:cs="宋体" w:eastAsia="宋体" w:hint="default"/>
          <w:spacing w:val="-53"/>
        </w:rPr>
        <w:t> </w:t>
      </w:r>
      <w:r>
        <w:rPr/>
        <w:t>日召开的第八届董事会第十次会议、</w:t>
      </w:r>
      <w:r>
        <w:rPr>
          <w:rFonts w:ascii="宋体" w:hAnsi="宋体" w:cs="宋体" w:eastAsia="宋体" w:hint="default"/>
        </w:rPr>
        <w:t>2015</w:t>
      </w:r>
      <w:r>
        <w:rPr>
          <w:rFonts w:ascii="宋体" w:hAnsi="宋体" w:cs="宋体" w:eastAsia="宋体" w:hint="default"/>
          <w:spacing w:val="-53"/>
        </w:rPr>
        <w:t> </w:t>
      </w:r>
      <w:r>
        <w:rPr/>
        <w:t>年</w:t>
      </w:r>
      <w:r>
        <w:rPr>
          <w:spacing w:val="-2"/>
        </w:rPr>
        <w:t> </w:t>
      </w:r>
      <w:r>
        <w:rPr>
          <w:rFonts w:ascii="宋体" w:hAnsi="宋体" w:cs="宋体" w:eastAsia="宋体" w:hint="default"/>
        </w:rPr>
        <w:t>1</w:t>
      </w:r>
      <w:r>
        <w:rPr>
          <w:rFonts w:ascii="宋体" w:hAnsi="宋体" w:cs="宋体" w:eastAsia="宋体" w:hint="default"/>
          <w:spacing w:val="-52"/>
        </w:rPr>
        <w:t> </w:t>
      </w:r>
      <w:r>
        <w:rPr/>
        <w:t>月</w:t>
      </w:r>
      <w:r>
        <w:rPr>
          <w:spacing w:val="-55"/>
        </w:rPr>
        <w:t> </w:t>
      </w:r>
      <w:r>
        <w:rPr>
          <w:rFonts w:ascii="宋体" w:hAnsi="宋体" w:cs="宋体" w:eastAsia="宋体" w:hint="default"/>
        </w:rPr>
        <w:t>16</w:t>
      </w:r>
      <w:r>
        <w:rPr>
          <w:rFonts w:ascii="宋体" w:hAnsi="宋体" w:cs="宋体" w:eastAsia="宋体" w:hint="default"/>
          <w:spacing w:val="-53"/>
        </w:rPr>
        <w:t> </w:t>
      </w:r>
      <w:r>
        <w:rPr/>
        <w:t>日召开的</w:t>
      </w:r>
      <w:r>
        <w:rPr>
          <w:spacing w:val="-53"/>
        </w:rPr>
        <w:t> </w:t>
      </w:r>
      <w:r>
        <w:rPr>
          <w:rFonts w:ascii="宋体" w:hAnsi="宋体" w:cs="宋体" w:eastAsia="宋体" w:hint="default"/>
        </w:rPr>
        <w:t>2015</w:t>
      </w:r>
      <w:r>
        <w:rPr>
          <w:rFonts w:ascii="宋体" w:hAnsi="宋体" w:cs="宋体" w:eastAsia="宋体" w:hint="default"/>
          <w:spacing w:val="-53"/>
        </w:rPr>
        <w:t> </w:t>
      </w:r>
      <w:r>
        <w:rPr>
          <w:spacing w:val="-3"/>
        </w:rPr>
        <w:t>年第</w:t>
      </w:r>
      <w:r>
        <w:rPr/>
      </w:r>
    </w:p>
    <w:p>
      <w:pPr>
        <w:pStyle w:val="BodyText"/>
        <w:spacing w:line="272" w:lineRule="exact" w:before="27"/>
        <w:ind w:left="142" w:right="120"/>
        <w:jc w:val="left"/>
      </w:pPr>
      <w:r>
        <w:rPr/>
        <w:t>一次临时股东大会审议通过了《关于发行短期融资券的议案》。</w:t>
      </w:r>
      <w:r>
        <w:rPr>
          <w:rFonts w:ascii="宋体" w:hAnsi="宋体" w:cs="宋体" w:eastAsia="宋体" w:hint="default"/>
        </w:rPr>
        <w:t>2016</w:t>
      </w:r>
      <w:r>
        <w:rPr>
          <w:rFonts w:ascii="宋体" w:hAnsi="宋体" w:cs="宋体" w:eastAsia="宋体" w:hint="default"/>
          <w:spacing w:val="-62"/>
        </w:rPr>
        <w:t> </w:t>
      </w:r>
      <w:r>
        <w:rPr/>
        <w:t>年</w:t>
      </w:r>
      <w:r>
        <w:rPr>
          <w:spacing w:val="-61"/>
        </w:rPr>
        <w:t> </w:t>
      </w:r>
      <w:r>
        <w:rPr>
          <w:rFonts w:ascii="宋体" w:hAnsi="宋体" w:cs="宋体" w:eastAsia="宋体" w:hint="default"/>
        </w:rPr>
        <w:t>1</w:t>
      </w:r>
      <w:r>
        <w:rPr>
          <w:rFonts w:ascii="宋体" w:hAnsi="宋体" w:cs="宋体" w:eastAsia="宋体" w:hint="default"/>
          <w:spacing w:val="-60"/>
        </w:rPr>
        <w:t> </w:t>
      </w:r>
      <w:r>
        <w:rPr/>
        <w:t>月本公司收到中国银行间</w:t>
      </w:r>
      <w:r>
        <w:rPr>
          <w:w w:val="100"/>
        </w:rPr>
        <w:t> </w:t>
      </w:r>
      <w:r>
        <w:rPr/>
        <w:t>市场交易商协会的《接受注册通知书》（中市协注【</w:t>
      </w:r>
      <w:r>
        <w:rPr>
          <w:rFonts w:ascii="宋体" w:hAnsi="宋体" w:cs="宋体" w:eastAsia="宋体" w:hint="default"/>
        </w:rPr>
        <w:t>2016</w:t>
      </w:r>
      <w:r>
        <w:rPr/>
        <w:t>】</w:t>
      </w:r>
      <w:r>
        <w:rPr>
          <w:rFonts w:ascii="宋体" w:hAnsi="宋体" w:cs="宋体" w:eastAsia="宋体" w:hint="default"/>
        </w:rPr>
        <w:t>CP23</w:t>
      </w:r>
      <w:r>
        <w:rPr>
          <w:rFonts w:ascii="宋体" w:hAnsi="宋体" w:cs="宋体" w:eastAsia="宋体" w:hint="default"/>
          <w:spacing w:val="-56"/>
        </w:rPr>
        <w:t> </w:t>
      </w:r>
      <w:r>
        <w:rPr/>
        <w:t>号）。交易商协会接受公司</w:t>
      </w:r>
      <w:r>
        <w:rPr>
          <w:spacing w:val="-54"/>
        </w:rPr>
        <w:t> </w:t>
      </w:r>
      <w:r>
        <w:rPr>
          <w:rFonts w:ascii="宋体" w:hAnsi="宋体" w:cs="宋体" w:eastAsia="宋体" w:hint="default"/>
        </w:rPr>
        <w:t>12</w:t>
      </w:r>
      <w:r>
        <w:rPr>
          <w:rFonts w:ascii="宋体" w:hAnsi="宋体" w:cs="宋体" w:eastAsia="宋体" w:hint="default"/>
          <w:spacing w:val="-56"/>
        </w:rPr>
        <w:t> </w:t>
      </w:r>
      <w:r>
        <w:rPr/>
        <w:t>亿</w:t>
      </w:r>
      <w:r>
        <w:rPr>
          <w:w w:val="100"/>
        </w:rPr>
        <w:t> </w:t>
      </w:r>
      <w:r>
        <w:rPr/>
        <w:t>元短期融资券注册，注册额度自通知书发出之日起</w:t>
      </w:r>
      <w:r>
        <w:rPr>
          <w:spacing w:val="-58"/>
        </w:rPr>
        <w:t> </w:t>
      </w:r>
      <w:r>
        <w:rPr>
          <w:rFonts w:ascii="宋体" w:hAnsi="宋体" w:cs="宋体" w:eastAsia="宋体" w:hint="default"/>
        </w:rPr>
        <w:t>2</w:t>
      </w:r>
      <w:r>
        <w:rPr>
          <w:rFonts w:ascii="宋体" w:hAnsi="宋体" w:cs="宋体" w:eastAsia="宋体" w:hint="default"/>
          <w:spacing w:val="-56"/>
        </w:rPr>
        <w:t> </w:t>
      </w:r>
      <w:r>
        <w:rPr/>
        <w:t>年内有效，由中国民生银行股份有限公司主承</w:t>
      </w:r>
    </w:p>
    <w:p>
      <w:pPr>
        <w:pStyle w:val="BodyText"/>
        <w:spacing w:line="272" w:lineRule="exact" w:before="1"/>
        <w:ind w:left="142" w:right="156"/>
        <w:jc w:val="left"/>
      </w:pPr>
      <w:r>
        <w:rPr/>
        <w:t>销。公司在注册有效期内可分期发行，首期发行应在注册后</w:t>
      </w:r>
      <w:r>
        <w:rPr>
          <w:spacing w:val="-54"/>
        </w:rPr>
        <w:t> </w:t>
      </w:r>
      <w:r>
        <w:rPr>
          <w:rFonts w:ascii="宋体" w:hAnsi="宋体" w:cs="宋体" w:eastAsia="宋体" w:hint="default"/>
        </w:rPr>
        <w:t>2</w:t>
      </w:r>
      <w:r>
        <w:rPr>
          <w:rFonts w:ascii="宋体" w:hAnsi="宋体" w:cs="宋体" w:eastAsia="宋体" w:hint="default"/>
          <w:spacing w:val="-56"/>
        </w:rPr>
        <w:t> </w:t>
      </w:r>
      <w:r>
        <w:rPr/>
        <w:t>个月内完成，后续发行提前</w:t>
      </w:r>
      <w:r>
        <w:rPr>
          <w:spacing w:val="-53"/>
        </w:rPr>
        <w:t> </w:t>
      </w:r>
      <w:r>
        <w:rPr>
          <w:rFonts w:ascii="宋体" w:hAnsi="宋体" w:cs="宋体" w:eastAsia="宋体" w:hint="default"/>
        </w:rPr>
        <w:t>2</w:t>
      </w:r>
      <w:r>
        <w:rPr>
          <w:rFonts w:ascii="宋体" w:hAnsi="宋体" w:cs="宋体" w:eastAsia="宋体" w:hint="default"/>
          <w:spacing w:val="-56"/>
        </w:rPr>
        <w:t> </w:t>
      </w:r>
      <w:r>
        <w:rPr/>
        <w:t>个工作</w:t>
      </w:r>
      <w:r>
        <w:rPr>
          <w:w w:val="100"/>
        </w:rPr>
        <w:t> </w:t>
      </w:r>
      <w:r>
        <w:rPr/>
        <w:t>日向交易商协会备案。</w:t>
      </w:r>
    </w:p>
    <w:p>
      <w:pPr>
        <w:spacing w:line="240" w:lineRule="auto" w:before="5"/>
        <w:rPr>
          <w:rFonts w:ascii="宋体" w:hAnsi="宋体" w:cs="宋体" w:eastAsia="宋体" w:hint="default"/>
          <w:sz w:val="23"/>
          <w:szCs w:val="23"/>
        </w:rPr>
      </w:pPr>
    </w:p>
    <w:p>
      <w:pPr>
        <w:pStyle w:val="Heading2"/>
        <w:tabs>
          <w:tab w:pos="981" w:val="left" w:leader="none"/>
        </w:tabs>
        <w:spacing w:line="290" w:lineRule="auto" w:before="0"/>
        <w:ind w:left="142" w:right="7080"/>
        <w:jc w:val="left"/>
        <w:rPr>
          <w:b w:val="0"/>
          <w:bCs w:val="0"/>
        </w:rPr>
      </w:pPr>
      <w:r>
        <w:rPr/>
        <w:t>十六、</w:t>
        <w:tab/>
        <w:t>其他重要事项</w:t>
      </w:r>
      <w:r>
        <w:rPr>
          <w:spacing w:val="-104"/>
        </w:rPr>
        <w:t> </w:t>
      </w:r>
      <w:r>
        <w:rPr>
          <w:spacing w:val="-104"/>
        </w:rPr>
      </w:r>
      <w:r>
        <w:rPr>
          <w:rFonts w:ascii="宋体" w:hAnsi="宋体" w:cs="宋体" w:eastAsia="宋体" w:hint="default"/>
        </w:rPr>
        <w:t>1</w:t>
      </w:r>
      <w:r>
        <w:rPr/>
        <w:t>、</w:t>
      </w:r>
      <w:r>
        <w:rPr>
          <w:spacing w:val="5"/>
        </w:rPr>
        <w:t> </w:t>
      </w:r>
      <w:r>
        <w:rPr/>
        <w:t>前期会计差错更正</w:t>
      </w:r>
      <w:r>
        <w:rPr>
          <w:b w:val="0"/>
          <w:bCs w:val="0"/>
        </w:rPr>
      </w:r>
    </w:p>
    <w:p>
      <w:pPr>
        <w:pStyle w:val="BodyText"/>
        <w:spacing w:line="240" w:lineRule="auto" w:before="12"/>
        <w:ind w:left="142"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42" w:right="0"/>
        <w:jc w:val="both"/>
        <w:rPr>
          <w:b w:val="0"/>
          <w:bCs w:val="0"/>
        </w:rPr>
      </w:pPr>
      <w:r>
        <w:rPr>
          <w:rFonts w:ascii="宋体" w:hAnsi="宋体" w:cs="宋体" w:eastAsia="宋体" w:hint="default"/>
        </w:rPr>
        <w:t>2</w:t>
      </w:r>
      <w:r>
        <w:rPr/>
        <w:t>、</w:t>
      </w:r>
      <w:r>
        <w:rPr>
          <w:spacing w:val="3"/>
        </w:rPr>
        <w:t> </w:t>
      </w:r>
      <w:r>
        <w:rPr/>
        <w:t>债务重组</w:t>
      </w:r>
      <w:r>
        <w:rPr>
          <w:b w:val="0"/>
          <w:bCs w:val="0"/>
        </w:rPr>
      </w:r>
    </w:p>
    <w:p>
      <w:pPr>
        <w:pStyle w:val="BodyText"/>
        <w:spacing w:line="240" w:lineRule="auto" w:before="58"/>
        <w:ind w:left="142"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42" w:right="0"/>
        <w:jc w:val="both"/>
        <w:rPr>
          <w:b w:val="0"/>
          <w:bCs w:val="0"/>
        </w:rPr>
      </w:pPr>
      <w:r>
        <w:rPr>
          <w:rFonts w:ascii="宋体" w:hAnsi="宋体" w:cs="宋体" w:eastAsia="宋体" w:hint="default"/>
        </w:rPr>
        <w:t>3</w:t>
      </w:r>
      <w:r>
        <w:rPr/>
        <w:t>、</w:t>
      </w:r>
      <w:r>
        <w:rPr>
          <w:spacing w:val="3"/>
        </w:rPr>
        <w:t> </w:t>
      </w:r>
      <w:r>
        <w:rPr/>
        <w:t>资产置换</w:t>
      </w:r>
      <w:r>
        <w:rPr>
          <w:b w:val="0"/>
          <w:bCs w:val="0"/>
        </w:rPr>
      </w:r>
    </w:p>
    <w:p>
      <w:pPr>
        <w:pStyle w:val="BodyText"/>
        <w:spacing w:line="240" w:lineRule="auto" w:before="56"/>
        <w:ind w:left="142"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42"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8"/>
        <w:ind w:left="142"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42" w:right="0"/>
        <w:jc w:val="both"/>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6"/>
        <w:ind w:left="142" w:right="0"/>
        <w:jc w:val="both"/>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before="0"/>
        <w:ind w:left="142" w:right="0"/>
        <w:jc w:val="both"/>
        <w:rPr>
          <w:b w:val="0"/>
          <w:bCs w:val="0"/>
        </w:rPr>
      </w:pPr>
      <w:r>
        <w:rPr>
          <w:rFonts w:ascii="宋体" w:hAnsi="宋体" w:cs="宋体" w:eastAsia="宋体" w:hint="default"/>
        </w:rPr>
        <w:t>6</w:t>
      </w:r>
      <w:r>
        <w:rPr/>
        <w:t>、</w:t>
      </w:r>
      <w:r>
        <w:rPr>
          <w:spacing w:val="3"/>
        </w:rPr>
        <w:t> </w:t>
      </w:r>
      <w:r>
        <w:rPr/>
        <w:t>分部信息</w:t>
      </w:r>
      <w:r>
        <w:rPr>
          <w:b w:val="0"/>
          <w:bCs w:val="0"/>
        </w:rPr>
      </w:r>
    </w:p>
    <w:p>
      <w:pPr>
        <w:pStyle w:val="BodyText"/>
        <w:spacing w:line="240" w:lineRule="auto" w:before="58"/>
        <w:ind w:left="142" w:right="0"/>
        <w:jc w:val="both"/>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42" w:right="0"/>
        <w:jc w:val="both"/>
        <w:rPr>
          <w:b w:val="0"/>
          <w:bCs w:val="0"/>
        </w:rPr>
      </w:pPr>
      <w:r>
        <w:rPr>
          <w:rFonts w:ascii="宋体" w:hAnsi="宋体" w:cs="宋体" w:eastAsia="宋体" w:hint="default"/>
        </w:rPr>
        <w:t>7</w:t>
      </w:r>
      <w:r>
        <w:rPr/>
        <w:t>、</w:t>
      </w:r>
      <w:r>
        <w:rPr>
          <w:spacing w:val="2"/>
        </w:rPr>
        <w:t> </w:t>
      </w:r>
      <w:r>
        <w:rPr/>
        <w:t>其他</w:t>
      </w:r>
      <w:r>
        <w:rPr>
          <w:b w:val="0"/>
          <w:bCs w:val="0"/>
        </w:rPr>
      </w:r>
    </w:p>
    <w:p>
      <w:pPr>
        <w:pStyle w:val="BodyText"/>
        <w:spacing w:line="240" w:lineRule="auto" w:before="116"/>
        <w:ind w:left="718" w:right="120"/>
        <w:jc w:val="left"/>
      </w:pPr>
      <w:r>
        <w:rPr/>
        <w:t>（</w:t>
      </w:r>
      <w:r>
        <w:rPr>
          <w:rFonts w:ascii="宋体" w:hAnsi="宋体" w:cs="宋体" w:eastAsia="宋体" w:hint="default"/>
        </w:rPr>
        <w:t>1</w:t>
      </w:r>
      <w:r>
        <w:rPr/>
        <w:t>）关于发行中期票据事宜</w:t>
      </w:r>
    </w:p>
    <w:p>
      <w:pPr>
        <w:pStyle w:val="BodyText"/>
        <w:spacing w:line="273" w:lineRule="exact" w:before="118"/>
        <w:ind w:left="561" w:right="120"/>
        <w:jc w:val="left"/>
      </w:pPr>
      <w:r>
        <w:rPr/>
        <w:t>公司</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10</w:t>
      </w:r>
      <w:r>
        <w:rPr>
          <w:rFonts w:ascii="宋体" w:hAnsi="宋体" w:cs="宋体" w:eastAsia="宋体" w:hint="default"/>
          <w:spacing w:val="-53"/>
        </w:rPr>
        <w:t> </w:t>
      </w:r>
      <w:r>
        <w:rPr/>
        <w:t>日召开的第八届董事会第十次会议、</w:t>
      </w:r>
      <w:r>
        <w:rPr>
          <w:rFonts w:ascii="宋体" w:hAnsi="宋体" w:cs="宋体" w:eastAsia="宋体" w:hint="default"/>
        </w:rPr>
        <w:t>2015</w:t>
      </w:r>
      <w:r>
        <w:rPr>
          <w:rFonts w:ascii="宋体" w:hAnsi="宋体" w:cs="宋体" w:eastAsia="宋体" w:hint="default"/>
          <w:spacing w:val="-53"/>
        </w:rPr>
        <w:t> </w:t>
      </w:r>
      <w:r>
        <w:rPr/>
        <w:t>年</w:t>
      </w:r>
      <w:r>
        <w:rPr>
          <w:spacing w:val="-2"/>
        </w:rPr>
        <w:t> </w:t>
      </w:r>
      <w:r>
        <w:rPr>
          <w:rFonts w:ascii="宋体" w:hAnsi="宋体" w:cs="宋体" w:eastAsia="宋体" w:hint="default"/>
        </w:rPr>
        <w:t>1</w:t>
      </w:r>
      <w:r>
        <w:rPr>
          <w:rFonts w:ascii="宋体" w:hAnsi="宋体" w:cs="宋体" w:eastAsia="宋体" w:hint="default"/>
          <w:spacing w:val="-52"/>
        </w:rPr>
        <w:t> </w:t>
      </w:r>
      <w:r>
        <w:rPr/>
        <w:t>月</w:t>
      </w:r>
      <w:r>
        <w:rPr>
          <w:spacing w:val="-55"/>
        </w:rPr>
        <w:t> </w:t>
      </w:r>
      <w:r>
        <w:rPr>
          <w:rFonts w:ascii="宋体" w:hAnsi="宋体" w:cs="宋体" w:eastAsia="宋体" w:hint="default"/>
        </w:rPr>
        <w:t>16</w:t>
      </w:r>
      <w:r>
        <w:rPr>
          <w:rFonts w:ascii="宋体" w:hAnsi="宋体" w:cs="宋体" w:eastAsia="宋体" w:hint="default"/>
          <w:spacing w:val="-53"/>
        </w:rPr>
        <w:t> </w:t>
      </w:r>
      <w:r>
        <w:rPr/>
        <w:t>日召开的</w:t>
      </w:r>
      <w:r>
        <w:rPr>
          <w:spacing w:val="-53"/>
        </w:rPr>
        <w:t> </w:t>
      </w:r>
      <w:r>
        <w:rPr>
          <w:rFonts w:ascii="宋体" w:hAnsi="宋体" w:cs="宋体" w:eastAsia="宋体" w:hint="default"/>
        </w:rPr>
        <w:t>2015</w:t>
      </w:r>
      <w:r>
        <w:rPr>
          <w:rFonts w:ascii="宋体" w:hAnsi="宋体" w:cs="宋体" w:eastAsia="宋体" w:hint="default"/>
          <w:spacing w:val="-53"/>
        </w:rPr>
        <w:t> </w:t>
      </w:r>
      <w:r>
        <w:rPr>
          <w:spacing w:val="-3"/>
        </w:rPr>
        <w:t>年第</w:t>
      </w:r>
      <w:r>
        <w:rPr/>
      </w:r>
    </w:p>
    <w:p>
      <w:pPr>
        <w:pStyle w:val="BodyText"/>
        <w:spacing w:line="237" w:lineRule="auto"/>
        <w:ind w:left="142" w:right="126"/>
        <w:jc w:val="both"/>
      </w:pPr>
      <w:r>
        <w:rPr/>
        <w:t>一次临时股东大会审议通过了《关于发行中期票据的议案》，</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3"/>
        </w:rPr>
        <w:t> </w:t>
      </w:r>
      <w:r>
        <w:rPr>
          <w:rFonts w:ascii="宋体" w:hAnsi="宋体" w:cs="宋体" w:eastAsia="宋体" w:hint="default"/>
        </w:rPr>
        <w:t>20</w:t>
      </w:r>
      <w:r>
        <w:rPr>
          <w:rFonts w:ascii="宋体" w:hAnsi="宋体" w:cs="宋体" w:eastAsia="宋体" w:hint="default"/>
          <w:spacing w:val="-54"/>
        </w:rPr>
        <w:t> </w:t>
      </w:r>
      <w:r>
        <w:rPr/>
        <w:t>日，中国银行间市场</w:t>
      </w:r>
      <w:r>
        <w:rPr>
          <w:w w:val="100"/>
        </w:rPr>
        <w:t> </w:t>
      </w:r>
      <w:r>
        <w:rPr>
          <w:spacing w:val="-2"/>
        </w:rPr>
        <w:t>交易商协会接受了本公司中期票据的注册，出具了“中市协注【</w:t>
      </w:r>
      <w:r>
        <w:rPr>
          <w:rFonts w:ascii="宋体" w:hAnsi="宋体" w:cs="宋体" w:eastAsia="宋体" w:hint="default"/>
          <w:spacing w:val="-2"/>
        </w:rPr>
        <w:t>2015</w:t>
      </w:r>
      <w:r>
        <w:rPr>
          <w:spacing w:val="-2"/>
        </w:rPr>
        <w:t>】MTN175”号《接受注册通知</w:t>
      </w:r>
      <w:r>
        <w:rPr>
          <w:spacing w:val="-20"/>
        </w:rPr>
        <w:t> </w:t>
      </w:r>
      <w:r>
        <w:rPr>
          <w:spacing w:val="-20"/>
        </w:rPr>
      </w:r>
      <w:r>
        <w:rPr>
          <w:spacing w:val="-3"/>
        </w:rPr>
        <w:t>书》，公司本次中期票据注册金额为人民币 </w:t>
      </w:r>
      <w:r>
        <w:rPr>
          <w:rFonts w:ascii="宋体" w:hAnsi="宋体" w:cs="宋体" w:eastAsia="宋体" w:hint="default"/>
        </w:rPr>
        <w:t>20</w:t>
      </w:r>
      <w:r>
        <w:rPr>
          <w:rFonts w:ascii="宋体" w:hAnsi="宋体" w:cs="宋体" w:eastAsia="宋体" w:hint="default"/>
          <w:spacing w:val="-34"/>
        </w:rPr>
        <w:t> </w:t>
      </w:r>
      <w:r>
        <w:rPr>
          <w:spacing w:val="-4"/>
        </w:rPr>
        <w:t>亿元，注册额度自交易商协会《接受注册通知书》发</w:t>
      </w:r>
    </w:p>
    <w:p>
      <w:pPr>
        <w:pStyle w:val="BodyText"/>
        <w:spacing w:line="274" w:lineRule="exact"/>
        <w:ind w:left="142" w:right="0"/>
        <w:jc w:val="both"/>
      </w:pPr>
      <w:r>
        <w:rPr/>
        <w:t>出之日起</w:t>
      </w:r>
      <w:r>
        <w:rPr>
          <w:spacing w:val="-52"/>
        </w:rPr>
        <w:t> </w:t>
      </w:r>
      <w:r>
        <w:rPr>
          <w:rFonts w:ascii="宋体" w:hAnsi="宋体" w:cs="宋体" w:eastAsia="宋体" w:hint="default"/>
        </w:rPr>
        <w:t>2</w:t>
      </w:r>
      <w:r>
        <w:rPr>
          <w:rFonts w:ascii="宋体" w:hAnsi="宋体" w:cs="宋体" w:eastAsia="宋体" w:hint="default"/>
          <w:spacing w:val="-55"/>
        </w:rPr>
        <w:t> </w:t>
      </w:r>
      <w:r>
        <w:rPr/>
        <w:t>年内有效，公司将在注册有效期内择期分期发行。</w:t>
      </w:r>
    </w:p>
    <w:p>
      <w:pPr>
        <w:pStyle w:val="BodyText"/>
        <w:spacing w:line="274" w:lineRule="exact" w:before="116"/>
        <w:ind w:left="561" w:right="0"/>
        <w:jc w:val="left"/>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9</w:t>
      </w:r>
      <w:r>
        <w:rPr>
          <w:rFonts w:ascii="宋体" w:hAnsi="宋体" w:cs="宋体" w:eastAsia="宋体" w:hint="default"/>
          <w:spacing w:val="-55"/>
        </w:rPr>
        <w:t> </w:t>
      </w:r>
      <w:r>
        <w:rPr/>
        <w:t>日，公司成功在全国银行间市场发行了</w:t>
      </w:r>
      <w:r>
        <w:rPr>
          <w:spacing w:val="-52"/>
        </w:rPr>
        <w:t> </w:t>
      </w:r>
      <w:r>
        <w:rPr>
          <w:rFonts w:ascii="宋体" w:hAnsi="宋体" w:cs="宋体" w:eastAsia="宋体" w:hint="default"/>
        </w:rPr>
        <w:t>2015</w:t>
      </w:r>
      <w:r>
        <w:rPr>
          <w:rFonts w:ascii="宋体" w:hAnsi="宋体" w:cs="宋体" w:eastAsia="宋体" w:hint="default"/>
          <w:spacing w:val="-53"/>
        </w:rPr>
        <w:t> </w:t>
      </w:r>
      <w:r>
        <w:rPr/>
        <w:t>年度第一期中期票据</w:t>
      </w:r>
      <w:r>
        <w:rPr>
          <w:spacing w:val="-52"/>
        </w:rPr>
        <w:t> </w:t>
      </w:r>
      <w:r>
        <w:rPr>
          <w:rFonts w:ascii="宋体" w:hAnsi="宋体" w:cs="宋体" w:eastAsia="宋体" w:hint="default"/>
        </w:rPr>
        <w:t>10</w:t>
      </w:r>
      <w:r>
        <w:rPr>
          <w:rFonts w:ascii="宋体" w:hAnsi="宋体" w:cs="宋体" w:eastAsia="宋体" w:hint="default"/>
          <w:spacing w:val="-55"/>
        </w:rPr>
        <w:t> </w:t>
      </w:r>
      <w:r>
        <w:rPr>
          <w:spacing w:val="-3"/>
        </w:rPr>
        <w:t>亿元，期限</w:t>
      </w:r>
    </w:p>
    <w:p>
      <w:pPr>
        <w:pStyle w:val="BodyText"/>
        <w:spacing w:line="237" w:lineRule="auto" w:before="2"/>
        <w:ind w:left="142" w:right="124"/>
        <w:jc w:val="both"/>
      </w:pPr>
      <w:r>
        <w:rPr/>
        <w:t>为</w:t>
      </w:r>
      <w:r>
        <w:rPr>
          <w:spacing w:val="-51"/>
        </w:rPr>
        <w:t> </w:t>
      </w:r>
      <w:r>
        <w:rPr>
          <w:rFonts w:ascii="宋体" w:hAnsi="宋体" w:cs="宋体" w:eastAsia="宋体" w:hint="default"/>
        </w:rPr>
        <w:t>3</w:t>
      </w:r>
      <w:r>
        <w:rPr>
          <w:rFonts w:ascii="宋体" w:hAnsi="宋体" w:cs="宋体" w:eastAsia="宋体" w:hint="default"/>
          <w:spacing w:val="-51"/>
        </w:rPr>
        <w:t> </w:t>
      </w:r>
      <w:r>
        <w:rPr>
          <w:spacing w:val="-6"/>
        </w:rPr>
        <w:t>年，起息日为</w:t>
      </w:r>
      <w:r>
        <w:rPr>
          <w:spacing w:val="-51"/>
        </w:rPr>
        <w:t> </w:t>
      </w:r>
      <w:r>
        <w:rPr>
          <w:rFonts w:ascii="宋体" w:hAnsi="宋体" w:cs="宋体" w:eastAsia="宋体" w:hint="default"/>
        </w:rPr>
        <w:t>2015</w:t>
      </w:r>
      <w:r>
        <w:rPr>
          <w:rFonts w:ascii="宋体" w:hAnsi="宋体" w:cs="宋体" w:eastAsia="宋体" w:hint="default"/>
          <w:spacing w:val="-53"/>
        </w:rPr>
        <w:t> </w:t>
      </w:r>
      <w:r>
        <w:rPr/>
        <w:t>年</w:t>
      </w:r>
      <w:r>
        <w:rPr>
          <w:spacing w:val="-53"/>
        </w:rPr>
        <w:t> </w:t>
      </w:r>
      <w:r>
        <w:rPr>
          <w:rFonts w:ascii="宋体" w:hAnsi="宋体" w:cs="宋体" w:eastAsia="宋体" w:hint="default"/>
        </w:rPr>
        <w:t>7</w:t>
      </w:r>
      <w:r>
        <w:rPr>
          <w:rFonts w:ascii="宋体" w:hAnsi="宋体" w:cs="宋体" w:eastAsia="宋体" w:hint="default"/>
          <w:spacing w:val="-51"/>
        </w:rPr>
        <w:t> </w:t>
      </w:r>
      <w:r>
        <w:rPr/>
        <w:t>月</w:t>
      </w:r>
      <w:r>
        <w:rPr>
          <w:spacing w:val="-51"/>
        </w:rPr>
        <w:t> </w:t>
      </w:r>
      <w:r>
        <w:rPr>
          <w:rFonts w:ascii="宋体" w:hAnsi="宋体" w:cs="宋体" w:eastAsia="宋体" w:hint="default"/>
        </w:rPr>
        <w:t>10</w:t>
      </w:r>
      <w:r>
        <w:rPr>
          <w:rFonts w:ascii="宋体" w:hAnsi="宋体" w:cs="宋体" w:eastAsia="宋体" w:hint="default"/>
          <w:spacing w:val="-51"/>
        </w:rPr>
        <w:t> </w:t>
      </w:r>
      <w:r>
        <w:rPr>
          <w:spacing w:val="-5"/>
        </w:rPr>
        <w:t>日，兑付日为</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1"/>
        </w:rPr>
        <w:t> </w:t>
      </w:r>
      <w:r>
        <w:rPr>
          <w:rFonts w:ascii="宋体" w:hAnsi="宋体" w:cs="宋体" w:eastAsia="宋体" w:hint="default"/>
        </w:rPr>
        <w:t>7</w:t>
      </w:r>
      <w:r>
        <w:rPr>
          <w:rFonts w:ascii="宋体" w:hAnsi="宋体" w:cs="宋体" w:eastAsia="宋体" w:hint="default"/>
          <w:spacing w:val="-53"/>
        </w:rPr>
        <w:t> </w:t>
      </w:r>
      <w:r>
        <w:rPr/>
        <w:t>月</w:t>
      </w:r>
      <w:r>
        <w:rPr>
          <w:spacing w:val="-51"/>
        </w:rPr>
        <w:t> </w:t>
      </w:r>
      <w:r>
        <w:rPr>
          <w:rFonts w:ascii="宋体" w:hAnsi="宋体" w:cs="宋体" w:eastAsia="宋体" w:hint="default"/>
        </w:rPr>
        <w:t>10</w:t>
      </w:r>
      <w:r>
        <w:rPr>
          <w:rFonts w:ascii="宋体" w:hAnsi="宋体" w:cs="宋体" w:eastAsia="宋体" w:hint="default"/>
          <w:spacing w:val="-53"/>
        </w:rPr>
        <w:t> </w:t>
      </w:r>
      <w:r>
        <w:rPr>
          <w:spacing w:val="-4"/>
        </w:rPr>
        <w:t>日，发行价格为人民币</w:t>
      </w:r>
      <w:r>
        <w:rPr>
          <w:spacing w:val="-50"/>
        </w:rPr>
        <w:t> </w:t>
      </w:r>
      <w:r>
        <w:rPr>
          <w:rFonts w:ascii="宋体" w:hAnsi="宋体" w:cs="宋体" w:eastAsia="宋体" w:hint="default"/>
        </w:rPr>
        <w:t>100</w:t>
      </w:r>
      <w:r>
        <w:rPr>
          <w:rFonts w:ascii="宋体" w:hAnsi="宋体" w:cs="宋体" w:eastAsia="宋体" w:hint="default"/>
          <w:spacing w:val="-53"/>
        </w:rPr>
        <w:t> </w:t>
      </w:r>
      <w:r>
        <w:rPr/>
        <w:t>元</w:t>
      </w:r>
      <w:r>
        <w:rPr>
          <w:rFonts w:ascii="宋体" w:hAnsi="宋体" w:cs="宋体" w:eastAsia="宋体" w:hint="default"/>
        </w:rPr>
        <w:t>/</w:t>
      </w:r>
      <w:r>
        <w:rPr/>
        <w:t>百元</w:t>
      </w:r>
      <w:r>
        <w:rPr>
          <w:w w:val="100"/>
        </w:rPr>
        <w:t> </w:t>
      </w:r>
      <w:r>
        <w:rPr>
          <w:spacing w:val="-7"/>
        </w:rPr>
        <w:t>面值，发行利率为</w:t>
      </w:r>
      <w:r>
        <w:rPr>
          <w:spacing w:val="-41"/>
        </w:rPr>
        <w:t> </w:t>
      </w:r>
      <w:r>
        <w:rPr>
          <w:rFonts w:ascii="宋体" w:hAnsi="宋体" w:cs="宋体" w:eastAsia="宋体" w:hint="default"/>
          <w:spacing w:val="-6"/>
        </w:rPr>
        <w:t>5.15%</w:t>
      </w:r>
      <w:r>
        <w:rPr>
          <w:spacing w:val="-6"/>
        </w:rPr>
        <w:t>（发行日</w:t>
      </w:r>
      <w:r>
        <w:rPr>
          <w:spacing w:val="-38"/>
        </w:rPr>
        <w:t> </w:t>
      </w:r>
      <w:r>
        <w:rPr>
          <w:rFonts w:ascii="宋体" w:hAnsi="宋体" w:cs="宋体" w:eastAsia="宋体" w:hint="default"/>
        </w:rPr>
        <w:t>1</w:t>
      </w:r>
      <w:r>
        <w:rPr>
          <w:rFonts w:ascii="宋体" w:hAnsi="宋体" w:cs="宋体" w:eastAsia="宋体" w:hint="default"/>
          <w:spacing w:val="-41"/>
        </w:rPr>
        <w:t> </w:t>
      </w:r>
      <w:r>
        <w:rPr/>
        <w:t>年</w:t>
      </w:r>
      <w:r>
        <w:rPr>
          <w:spacing w:val="-38"/>
        </w:rPr>
        <w:t> </w:t>
      </w:r>
      <w:r>
        <w:rPr>
          <w:rFonts w:ascii="宋体" w:hAnsi="宋体" w:cs="宋体" w:eastAsia="宋体" w:hint="default"/>
          <w:spacing w:val="-4"/>
        </w:rPr>
        <w:t>SHIBOR+1.7633%</w:t>
      </w:r>
      <w:r>
        <w:rPr>
          <w:spacing w:val="-4"/>
        </w:rPr>
        <w:t>），主承销商为中国民生银行股份有限公司。</w:t>
      </w:r>
      <w:r>
        <w:rPr>
          <w:spacing w:val="-100"/>
        </w:rPr>
        <w:t> </w:t>
      </w:r>
      <w:r>
        <w:rPr>
          <w:spacing w:val="-100"/>
        </w:rPr>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10</w:t>
      </w:r>
      <w:r>
        <w:rPr>
          <w:rFonts w:ascii="宋体" w:hAnsi="宋体" w:cs="宋体" w:eastAsia="宋体" w:hint="default"/>
          <w:spacing w:val="-55"/>
        </w:rPr>
        <w:t> </w:t>
      </w:r>
      <w:r>
        <w:rPr/>
        <w:t>日，该募集资金已到账，扣除发行费用后</w:t>
      </w:r>
      <w:r>
        <w:rPr>
          <w:spacing w:val="-52"/>
        </w:rPr>
        <w:t> </w:t>
      </w:r>
      <w:r>
        <w:rPr>
          <w:rFonts w:ascii="宋体" w:hAnsi="宋体" w:cs="宋体" w:eastAsia="宋体" w:hint="default"/>
        </w:rPr>
        <w:t>9.97</w:t>
      </w:r>
      <w:r>
        <w:rPr>
          <w:rFonts w:ascii="宋体" w:hAnsi="宋体" w:cs="宋体" w:eastAsia="宋体" w:hint="default"/>
          <w:spacing w:val="-53"/>
        </w:rPr>
        <w:t> </w:t>
      </w:r>
      <w:r>
        <w:rPr/>
        <w:t>亿元全部用于偿还银行借款。</w:t>
      </w:r>
    </w:p>
    <w:p>
      <w:pPr>
        <w:pStyle w:val="BodyText"/>
        <w:spacing w:line="240" w:lineRule="auto" w:before="116"/>
        <w:ind w:left="561" w:right="6014"/>
        <w:jc w:val="left"/>
      </w:pPr>
      <w:r>
        <w:rPr/>
        <w:t>（</w:t>
      </w:r>
      <w:r>
        <w:rPr>
          <w:rFonts w:ascii="宋体" w:hAnsi="宋体" w:cs="宋体" w:eastAsia="宋体" w:hint="default"/>
        </w:rPr>
        <w:t>2</w:t>
      </w:r>
      <w:r>
        <w:rPr/>
        <w:t>）关于收到政府补助事宜</w:t>
      </w:r>
    </w:p>
    <w:p>
      <w:pPr>
        <w:pStyle w:val="BodyText"/>
        <w:spacing w:line="272" w:lineRule="exact" w:before="146"/>
        <w:ind w:left="142" w:right="153" w:firstLine="419"/>
        <w:jc w:val="left"/>
      </w:pPr>
      <w:r>
        <w:rPr/>
        <w:t>根据交函规划</w:t>
      </w:r>
      <w:r>
        <w:rPr>
          <w:rFonts w:ascii="宋体" w:hAnsi="宋体" w:cs="宋体" w:eastAsia="宋体" w:hint="default"/>
        </w:rPr>
        <w:t>[2013]268</w:t>
      </w:r>
      <w:r>
        <w:rPr>
          <w:rFonts w:ascii="宋体" w:hAnsi="宋体" w:cs="宋体" w:eastAsia="宋体" w:hint="default"/>
          <w:spacing w:val="-57"/>
        </w:rPr>
        <w:t> </w:t>
      </w:r>
      <w:r>
        <w:rPr/>
        <w:t>号《交通运输部关于安排锦州港航道扩建工程资金的函》、交规划函</w:t>
      </w:r>
      <w:r>
        <w:rPr>
          <w:w w:val="100"/>
        </w:rPr>
        <w:t> </w:t>
      </w:r>
      <w:r>
        <w:rPr>
          <w:rFonts w:ascii="宋体" w:hAnsi="宋体" w:cs="宋体" w:eastAsia="宋体" w:hint="default"/>
        </w:rPr>
        <w:t>[2014]904</w:t>
      </w:r>
      <w:r>
        <w:rPr>
          <w:rFonts w:ascii="宋体" w:hAnsi="宋体" w:cs="宋体" w:eastAsia="宋体" w:hint="default"/>
          <w:spacing w:val="-55"/>
        </w:rPr>
        <w:t> </w:t>
      </w:r>
      <w:r>
        <w:rPr/>
        <w:t>号《交通运输部关于安排锦州港第四港池西南防波堤工程建设资金的函》，</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p>
    <w:p>
      <w:pPr>
        <w:pStyle w:val="BodyText"/>
        <w:spacing w:line="249" w:lineRule="exact"/>
        <w:ind w:left="142" w:right="0"/>
        <w:jc w:val="both"/>
      </w:pPr>
      <w:r>
        <w:rPr>
          <w:rFonts w:ascii="宋体" w:hAnsi="宋体" w:cs="宋体" w:eastAsia="宋体" w:hint="default"/>
        </w:rPr>
        <w:t>11</w:t>
      </w:r>
      <w:r>
        <w:rPr>
          <w:rFonts w:ascii="宋体" w:hAnsi="宋体" w:cs="宋体" w:eastAsia="宋体" w:hint="default"/>
          <w:spacing w:val="-44"/>
        </w:rPr>
        <w:t> </w:t>
      </w:r>
      <w:r>
        <w:rPr>
          <w:spacing w:val="-3"/>
        </w:rPr>
        <w:t>日，辽宁省财政厅下发了辽财指流</w:t>
      </w:r>
      <w:r>
        <w:rPr>
          <w:rFonts w:ascii="宋体" w:hAnsi="宋体" w:cs="宋体" w:eastAsia="宋体" w:hint="default"/>
          <w:spacing w:val="-3"/>
        </w:rPr>
        <w:t>[2015]289</w:t>
      </w:r>
      <w:r>
        <w:rPr>
          <w:rFonts w:ascii="宋体" w:hAnsi="宋体" w:cs="宋体" w:eastAsia="宋体" w:hint="default"/>
          <w:spacing w:val="-42"/>
        </w:rPr>
        <w:t> </w:t>
      </w:r>
      <w:r>
        <w:rPr>
          <w:spacing w:val="-7"/>
        </w:rPr>
        <w:t>号《关于下达</w:t>
      </w:r>
      <w:r>
        <w:rPr>
          <w:spacing w:val="-44"/>
        </w:rPr>
        <w:t> </w:t>
      </w:r>
      <w:r>
        <w:rPr>
          <w:rFonts w:ascii="宋体" w:hAnsi="宋体" w:cs="宋体" w:eastAsia="宋体" w:hint="default"/>
        </w:rPr>
        <w:t>2015</w:t>
      </w:r>
      <w:r>
        <w:rPr>
          <w:rFonts w:ascii="宋体" w:hAnsi="宋体" w:cs="宋体" w:eastAsia="宋体" w:hint="default"/>
          <w:spacing w:val="-46"/>
        </w:rPr>
        <w:t> </w:t>
      </w:r>
      <w:r>
        <w:rPr/>
        <w:t>年港口建设费安排地方建设项目</w:t>
      </w:r>
    </w:p>
    <w:p>
      <w:pPr>
        <w:spacing w:after="0" w:line="249" w:lineRule="exact"/>
        <w:jc w:val="both"/>
        <w:sectPr>
          <w:pgSz w:w="11900" w:h="16850"/>
          <w:pgMar w:header="0" w:footer="941" w:top="1000" w:bottom="1140" w:left="156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74" w:lineRule="exact" w:before="36"/>
        <w:ind w:left="1102" w:right="0"/>
        <w:jc w:val="left"/>
      </w:pPr>
      <w:r>
        <w:rPr/>
        <w:t>支出预算—（第一批）的通知》，</w:t>
      </w:r>
      <w:r>
        <w:rPr>
          <w:rFonts w:ascii="宋体" w:hAnsi="宋体" w:cs="宋体" w:eastAsia="宋体" w:hint="default"/>
        </w:rPr>
        <w:t>2015</w:t>
      </w:r>
      <w:r>
        <w:rPr>
          <w:rFonts w:ascii="宋体" w:hAnsi="宋体" w:cs="宋体" w:eastAsia="宋体" w:hint="default"/>
          <w:spacing w:val="-61"/>
        </w:rPr>
        <w:t> </w:t>
      </w:r>
      <w:r>
        <w:rPr/>
        <w:t>年</w:t>
      </w:r>
      <w:r>
        <w:rPr>
          <w:spacing w:val="-59"/>
        </w:rPr>
        <w:t> </w:t>
      </w:r>
      <w:r>
        <w:rPr>
          <w:rFonts w:ascii="宋体" w:hAnsi="宋体" w:cs="宋体" w:eastAsia="宋体" w:hint="default"/>
        </w:rPr>
        <w:t>7</w:t>
      </w:r>
      <w:r>
        <w:rPr>
          <w:rFonts w:ascii="宋体" w:hAnsi="宋体" w:cs="宋体" w:eastAsia="宋体" w:hint="default"/>
          <w:spacing w:val="-61"/>
        </w:rPr>
        <w:t> </w:t>
      </w:r>
      <w:r>
        <w:rPr/>
        <w:t>月</w:t>
      </w:r>
      <w:r>
        <w:rPr>
          <w:spacing w:val="-58"/>
        </w:rPr>
        <w:t> </w:t>
      </w:r>
      <w:r>
        <w:rPr>
          <w:rFonts w:ascii="宋体" w:hAnsi="宋体" w:cs="宋体" w:eastAsia="宋体" w:hint="default"/>
        </w:rPr>
        <w:t>3</w:t>
      </w:r>
      <w:r>
        <w:rPr>
          <w:rFonts w:ascii="宋体" w:hAnsi="宋体" w:cs="宋体" w:eastAsia="宋体" w:hint="default"/>
          <w:spacing w:val="-59"/>
        </w:rPr>
        <w:t> </w:t>
      </w:r>
      <w:r>
        <w:rPr/>
        <w:t>日，公司收到拨付的“锦州港航道扩建工程”补助</w:t>
      </w:r>
    </w:p>
    <w:p>
      <w:pPr>
        <w:pStyle w:val="BodyText"/>
        <w:spacing w:line="274" w:lineRule="exact"/>
        <w:ind w:left="1102" w:right="0"/>
        <w:jc w:val="left"/>
      </w:pPr>
      <w:r>
        <w:rPr/>
        <w:t>资金</w:t>
      </w:r>
      <w:r>
        <w:rPr>
          <w:spacing w:val="-1"/>
        </w:rPr>
        <w:t> </w:t>
      </w:r>
      <w:r>
        <w:rPr>
          <w:rFonts w:ascii="宋体" w:hAnsi="宋体" w:cs="宋体" w:eastAsia="宋体" w:hint="default"/>
        </w:rPr>
        <w:t>3,620</w:t>
      </w:r>
      <w:r>
        <w:rPr>
          <w:rFonts w:ascii="宋体" w:hAnsi="宋体" w:cs="宋体" w:eastAsia="宋体" w:hint="default"/>
          <w:spacing w:val="-54"/>
        </w:rPr>
        <w:t> </w:t>
      </w:r>
      <w:r>
        <w:rPr/>
        <w:t>万元、</w:t>
      </w:r>
      <w:r>
        <w:rPr>
          <w:spacing w:val="-3"/>
        </w:rPr>
        <w:t> </w:t>
      </w:r>
      <w:r>
        <w:rPr/>
        <w:t>“锦州港第四港池西南防波堤工程”补助资金</w:t>
      </w:r>
      <w:r>
        <w:rPr>
          <w:spacing w:val="-54"/>
        </w:rPr>
        <w:t> </w:t>
      </w:r>
      <w:r>
        <w:rPr>
          <w:rFonts w:ascii="宋体" w:hAnsi="宋体" w:cs="宋体" w:eastAsia="宋体" w:hint="default"/>
        </w:rPr>
        <w:t>8,000</w:t>
      </w:r>
      <w:r>
        <w:rPr>
          <w:rFonts w:ascii="宋体" w:hAnsi="宋体" w:cs="宋体" w:eastAsia="宋体" w:hint="default"/>
          <w:spacing w:val="-53"/>
        </w:rPr>
        <w:t> </w:t>
      </w:r>
      <w:r>
        <w:rPr/>
        <w:t>万元。</w:t>
      </w:r>
    </w:p>
    <w:p>
      <w:pPr>
        <w:pStyle w:val="BodyText"/>
        <w:spacing w:line="237" w:lineRule="auto" w:before="119"/>
        <w:ind w:left="1102" w:right="306" w:firstLine="419"/>
        <w:jc w:val="both"/>
      </w:pPr>
      <w:r>
        <w:rPr>
          <w:spacing w:val="-2"/>
        </w:rPr>
        <w:t>依据《企业会计准则—政府补助》的相关规定，公司将上述补助资金将确认为与资产相关的政</w:t>
      </w:r>
      <w:r>
        <w:rPr>
          <w:w w:val="100"/>
        </w:rPr>
        <w:t> </w:t>
      </w:r>
      <w:r>
        <w:rPr>
          <w:spacing w:val="-6"/>
        </w:rPr>
        <w:t>府补助，计入“递延收益”，自相关资产达到预定可使用状态时起，在资产的使用寿命内平均分配，</w:t>
      </w:r>
      <w:r>
        <w:rPr>
          <w:spacing w:val="-24"/>
        </w:rPr>
        <w:t> </w:t>
      </w:r>
      <w:r>
        <w:rPr>
          <w:spacing w:val="-24"/>
        </w:rPr>
      </w:r>
      <w:r>
        <w:rPr/>
        <w:t>计入当期“营业外收入”。</w:t>
      </w:r>
    </w:p>
    <w:p>
      <w:pPr>
        <w:pStyle w:val="Heading2"/>
        <w:tabs>
          <w:tab w:pos="1941" w:val="left" w:leader="none"/>
        </w:tabs>
        <w:spacing w:line="290" w:lineRule="auto" w:before="56"/>
        <w:ind w:left="1102" w:right="5794"/>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2"/>
        <w:tabs>
          <w:tab w:pos="1941" w:val="left" w:leader="none"/>
        </w:tabs>
        <w:spacing w:line="240" w:lineRule="auto" w:before="12"/>
        <w:ind w:left="1243" w:right="0"/>
        <w:jc w:val="left"/>
        <w:rPr>
          <w:b w:val="0"/>
          <w:bCs w:val="0"/>
        </w:rPr>
      </w:pPr>
      <w:r>
        <w:rPr>
          <w:rFonts w:ascii="宋体" w:hAnsi="宋体" w:cs="宋体" w:eastAsia="宋体" w:hint="default"/>
          <w:w w:val="95"/>
        </w:rPr>
        <w:t>(1).</w:t>
        <w:tab/>
      </w:r>
      <w:r>
        <w:rPr/>
        <w:t>应收账款分类披露：</w:t>
      </w:r>
      <w:r>
        <w:rPr>
          <w:b w:val="0"/>
          <w:bCs w:val="0"/>
        </w:rPr>
      </w:r>
    </w:p>
    <w:p>
      <w:pPr>
        <w:pStyle w:val="BodyText"/>
        <w:tabs>
          <w:tab w:pos="1051" w:val="left" w:leader="none"/>
        </w:tabs>
        <w:spacing w:line="240" w:lineRule="auto" w:before="59"/>
        <w:ind w:left="0" w:right="306"/>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46"/>
        <w:gridCol w:w="1141"/>
        <w:gridCol w:w="449"/>
        <w:gridCol w:w="986"/>
        <w:gridCol w:w="528"/>
        <w:gridCol w:w="1140"/>
        <w:gridCol w:w="1140"/>
        <w:gridCol w:w="529"/>
        <w:gridCol w:w="986"/>
        <w:gridCol w:w="372"/>
        <w:gridCol w:w="1138"/>
      </w:tblGrid>
      <w:tr>
        <w:trPr>
          <w:trHeight w:val="269" w:hRule="exact"/>
        </w:trPr>
        <w:tc>
          <w:tcPr>
            <w:tcW w:w="18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种类</w:t>
            </w:r>
          </w:p>
        </w:tc>
        <w:tc>
          <w:tcPr>
            <w:tcW w:w="424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16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38" w:hRule="exact"/>
        </w:trPr>
        <w:tc>
          <w:tcPr>
            <w:tcW w:w="1846" w:type="dxa"/>
            <w:vMerge/>
            <w:tcBorders>
              <w:left w:val="single" w:sz="4" w:space="0" w:color="000000"/>
              <w:right w:val="single" w:sz="4" w:space="0" w:color="000000"/>
            </w:tcBorders>
          </w:tcPr>
          <w:p>
            <w:pPr/>
          </w:p>
        </w:tc>
        <w:tc>
          <w:tcPr>
            <w:tcW w:w="1589"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8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5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13" w:right="413"/>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669"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2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358"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37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12" w:right="411"/>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595" w:hRule="exact"/>
        </w:trPr>
        <w:tc>
          <w:tcPr>
            <w:tcW w:w="1846" w:type="dxa"/>
            <w:vMerge/>
            <w:tcBorders>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金额</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5" w:right="65" w:hanging="36"/>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2" w:right="29" w:hanging="39"/>
              <w:jc w:val="left"/>
              <w:rPr>
                <w:rFonts w:ascii="宋体" w:hAnsi="宋体" w:cs="宋体" w:eastAsia="宋体" w:hint="default"/>
                <w:sz w:val="15"/>
                <w:szCs w:val="15"/>
              </w:rPr>
            </w:pPr>
            <w:r>
              <w:rPr>
                <w:rFonts w:ascii="宋体" w:hAnsi="宋体" w:cs="宋体" w:eastAsia="宋体" w:hint="default"/>
                <w:sz w:val="15"/>
                <w:szCs w:val="15"/>
              </w:rPr>
              <w:t>计提比</w:t>
            </w:r>
            <w:r>
              <w:rPr>
                <w:rFonts w:ascii="宋体" w:hAnsi="宋体" w:cs="宋体" w:eastAsia="宋体" w:hint="default"/>
                <w:spacing w:val="-72"/>
                <w:sz w:val="15"/>
                <w:szCs w:val="15"/>
              </w:rPr>
              <w:t> </w:t>
            </w:r>
            <w:r>
              <w:rPr>
                <w:rFonts w:ascii="宋体" w:hAnsi="宋体" w:cs="宋体" w:eastAsia="宋体" w:hint="default"/>
                <w:sz w:val="15"/>
                <w:szCs w:val="15"/>
              </w:rPr>
              <w:t>例</w:t>
            </w:r>
            <w:r>
              <w:rPr>
                <w:rFonts w:ascii="宋体" w:hAnsi="宋体" w:cs="宋体" w:eastAsia="宋体" w:hint="default"/>
                <w:sz w:val="15"/>
                <w:szCs w:val="15"/>
              </w:rPr>
              <w:t>(%)</w:t>
            </w:r>
          </w:p>
        </w:tc>
        <w:tc>
          <w:tcPr>
            <w:tcW w:w="1140" w:type="dxa"/>
            <w:vMerge/>
            <w:tcBorders>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46" w:right="106"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8"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67" w:right="29"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38" w:type="dxa"/>
            <w:vMerge/>
            <w:tcBorders>
              <w:left w:val="single" w:sz="4" w:space="0" w:color="000000"/>
              <w:bottom w:val="single" w:sz="4" w:space="0" w:color="000000"/>
              <w:right w:val="single" w:sz="4" w:space="0" w:color="000000"/>
            </w:tcBorders>
          </w:tcPr>
          <w:p>
            <w:pPr/>
          </w:p>
        </w:tc>
      </w:tr>
      <w:tr>
        <w:trPr>
          <w:trHeight w:val="398"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pacing w:val="9"/>
                <w:sz w:val="15"/>
                <w:szCs w:val="15"/>
              </w:rPr>
              <w:t>单项金额重大并单独计提</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sz w:val="15"/>
                <w:szCs w:val="15"/>
              </w:rPr>
              <w:t>坏账准备的应收账款</w:t>
            </w:r>
          </w:p>
        </w:tc>
        <w:tc>
          <w:tcPr>
            <w:tcW w:w="1141"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pacing w:val="9"/>
                <w:sz w:val="15"/>
                <w:szCs w:val="15"/>
              </w:rPr>
              <w:t>按信用风险特征组合计提</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sz w:val="15"/>
                <w:szCs w:val="15"/>
              </w:rPr>
              <w:t>坏账准备的应收账款</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179,823,258.35</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3" w:right="0"/>
              <w:jc w:val="center"/>
              <w:rPr>
                <w:rFonts w:ascii="宋体" w:hAnsi="宋体" w:cs="宋体" w:eastAsia="宋体" w:hint="default"/>
                <w:sz w:val="15"/>
                <w:szCs w:val="15"/>
              </w:rPr>
            </w:pPr>
            <w:r>
              <w:rPr>
                <w:rFonts w:ascii="宋体"/>
                <w:sz w:val="15"/>
              </w:rPr>
              <w:t>98.28</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4" w:right="0"/>
              <w:jc w:val="center"/>
              <w:rPr>
                <w:rFonts w:ascii="宋体" w:hAnsi="宋体" w:cs="宋体" w:eastAsia="宋体" w:hint="default"/>
                <w:sz w:val="15"/>
                <w:szCs w:val="15"/>
              </w:rPr>
            </w:pPr>
            <w:r>
              <w:rPr>
                <w:rFonts w:ascii="宋体"/>
                <w:sz w:val="15"/>
              </w:rPr>
              <w:t>5,987,667.18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3.33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center"/>
              <w:rPr>
                <w:rFonts w:ascii="宋体" w:hAnsi="宋体" w:cs="宋体" w:eastAsia="宋体" w:hint="default"/>
                <w:sz w:val="15"/>
                <w:szCs w:val="15"/>
              </w:rPr>
            </w:pPr>
            <w:r>
              <w:rPr>
                <w:rFonts w:ascii="宋体"/>
                <w:sz w:val="15"/>
              </w:rPr>
              <w:t>173,835,591.17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center"/>
              <w:rPr>
                <w:rFonts w:ascii="宋体" w:hAnsi="宋体" w:cs="宋体" w:eastAsia="宋体" w:hint="default"/>
                <w:sz w:val="15"/>
                <w:szCs w:val="15"/>
              </w:rPr>
            </w:pPr>
            <w:r>
              <w:rPr>
                <w:rFonts w:ascii="宋体"/>
                <w:sz w:val="15"/>
              </w:rPr>
              <w:t>134,366,706.76</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4" w:right="0"/>
              <w:jc w:val="center"/>
              <w:rPr>
                <w:rFonts w:ascii="宋体" w:hAnsi="宋体" w:cs="宋体" w:eastAsia="宋体" w:hint="default"/>
                <w:sz w:val="15"/>
                <w:szCs w:val="15"/>
              </w:rPr>
            </w:pPr>
            <w:r>
              <w:rPr>
                <w:rFonts w:ascii="宋体"/>
                <w:sz w:val="15"/>
              </w:rPr>
              <w:t>100.00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4" w:right="0"/>
              <w:jc w:val="center"/>
              <w:rPr>
                <w:rFonts w:ascii="宋体" w:hAnsi="宋体" w:cs="宋体" w:eastAsia="宋体" w:hint="default"/>
                <w:sz w:val="15"/>
                <w:szCs w:val="15"/>
              </w:rPr>
            </w:pPr>
            <w:r>
              <w:rPr>
                <w:rFonts w:ascii="宋体"/>
                <w:sz w:val="15"/>
              </w:rPr>
              <w:t>5,980,346.96</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 w:right="0"/>
              <w:jc w:val="center"/>
              <w:rPr>
                <w:rFonts w:ascii="宋体" w:hAnsi="宋体" w:cs="宋体" w:eastAsia="宋体" w:hint="default"/>
                <w:sz w:val="15"/>
                <w:szCs w:val="15"/>
              </w:rPr>
            </w:pPr>
            <w:r>
              <w:rPr>
                <w:rFonts w:ascii="宋体"/>
                <w:sz w:val="15"/>
              </w:rPr>
              <w:t>4.45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128,386,359.80</w:t>
            </w:r>
          </w:p>
        </w:tc>
      </w:tr>
      <w:tr>
        <w:trPr>
          <w:trHeight w:val="398"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pacing w:val="9"/>
                <w:sz w:val="15"/>
                <w:szCs w:val="15"/>
              </w:rPr>
              <w:t>单项金额不重大但单独计</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sz w:val="15"/>
                <w:szCs w:val="15"/>
              </w:rPr>
              <w:t>提坏账准备的应收账款</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3,140,217.00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7" w:right="0"/>
              <w:jc w:val="center"/>
              <w:rPr>
                <w:rFonts w:ascii="宋体" w:hAnsi="宋体" w:cs="宋体" w:eastAsia="宋体" w:hint="default"/>
                <w:sz w:val="15"/>
                <w:szCs w:val="15"/>
              </w:rPr>
            </w:pPr>
            <w:r>
              <w:rPr>
                <w:rFonts w:ascii="宋体"/>
                <w:sz w:val="15"/>
              </w:rPr>
              <w:t>1.72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4" w:right="0"/>
              <w:jc w:val="center"/>
              <w:rPr>
                <w:rFonts w:ascii="宋体" w:hAnsi="宋体" w:cs="宋体" w:eastAsia="宋体" w:hint="default"/>
                <w:sz w:val="15"/>
                <w:szCs w:val="15"/>
              </w:rPr>
            </w:pPr>
            <w:r>
              <w:rPr>
                <w:rFonts w:ascii="宋体"/>
                <w:sz w:val="15"/>
              </w:rPr>
              <w:t>3,140,217.00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100.00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1"/>
                <w:sz w:val="15"/>
              </w:rPr>
              <w:t>182,963,475.35</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0"/>
              <w:jc w:val="center"/>
              <w:rPr>
                <w:rFonts w:ascii="宋体" w:hAnsi="宋体" w:cs="宋体" w:eastAsia="宋体" w:hint="default"/>
                <w:sz w:val="15"/>
                <w:szCs w:val="15"/>
              </w:rPr>
            </w:pPr>
            <w:r>
              <w:rPr>
                <w:rFonts w:ascii="宋体"/>
                <w:w w:val="100"/>
                <w:sz w:val="15"/>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4" w:right="0"/>
              <w:jc w:val="center"/>
              <w:rPr>
                <w:rFonts w:ascii="宋体" w:hAnsi="宋体" w:cs="宋体" w:eastAsia="宋体" w:hint="default"/>
                <w:sz w:val="15"/>
                <w:szCs w:val="15"/>
              </w:rPr>
            </w:pPr>
            <w:r>
              <w:rPr>
                <w:rFonts w:ascii="宋体"/>
                <w:sz w:val="15"/>
              </w:rPr>
              <w:t>9,127,884.18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
              <w:jc w:val="center"/>
              <w:rPr>
                <w:rFonts w:ascii="宋体" w:hAnsi="宋体" w:cs="宋体" w:eastAsia="宋体" w:hint="default"/>
                <w:sz w:val="15"/>
                <w:szCs w:val="15"/>
              </w:rPr>
            </w:pPr>
            <w:r>
              <w:rPr>
                <w:rFonts w:ascii="宋体"/>
                <w:w w:val="100"/>
                <w:sz w:val="15"/>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6" w:right="0"/>
              <w:jc w:val="center"/>
              <w:rPr>
                <w:rFonts w:ascii="宋体" w:hAnsi="宋体" w:cs="宋体" w:eastAsia="宋体" w:hint="default"/>
                <w:sz w:val="15"/>
                <w:szCs w:val="15"/>
              </w:rPr>
            </w:pPr>
            <w:r>
              <w:rPr>
                <w:rFonts w:ascii="宋体"/>
                <w:sz w:val="15"/>
              </w:rPr>
              <w:t>173,835,591.17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6" w:right="0"/>
              <w:jc w:val="center"/>
              <w:rPr>
                <w:rFonts w:ascii="宋体" w:hAnsi="宋体" w:cs="宋体" w:eastAsia="宋体" w:hint="default"/>
                <w:sz w:val="15"/>
                <w:szCs w:val="15"/>
              </w:rPr>
            </w:pPr>
            <w:r>
              <w:rPr>
                <w:rFonts w:ascii="宋体"/>
                <w:sz w:val="15"/>
              </w:rPr>
              <w:t>134,366,706.76</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
              <w:jc w:val="center"/>
              <w:rPr>
                <w:rFonts w:ascii="宋体" w:hAnsi="宋体" w:cs="宋体" w:eastAsia="宋体" w:hint="default"/>
                <w:sz w:val="15"/>
                <w:szCs w:val="15"/>
              </w:rPr>
            </w:pPr>
            <w:r>
              <w:rPr>
                <w:rFonts w:ascii="宋体"/>
                <w:w w:val="100"/>
                <w:sz w:val="15"/>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4" w:right="0"/>
              <w:jc w:val="center"/>
              <w:rPr>
                <w:rFonts w:ascii="宋体" w:hAnsi="宋体" w:cs="宋体" w:eastAsia="宋体" w:hint="default"/>
                <w:sz w:val="15"/>
                <w:szCs w:val="15"/>
              </w:rPr>
            </w:pPr>
            <w:r>
              <w:rPr>
                <w:rFonts w:ascii="宋体"/>
                <w:sz w:val="15"/>
              </w:rPr>
              <w:t>5,980,346.96</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
              <w:jc w:val="center"/>
              <w:rPr>
                <w:rFonts w:ascii="宋体" w:hAnsi="宋体" w:cs="宋体" w:eastAsia="宋体" w:hint="default"/>
                <w:sz w:val="15"/>
                <w:szCs w:val="15"/>
              </w:rPr>
            </w:pPr>
            <w:r>
              <w:rPr>
                <w:rFonts w:ascii="宋体"/>
                <w:w w:val="100"/>
                <w:sz w:val="15"/>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1"/>
                <w:sz w:val="15"/>
              </w:rPr>
              <w:t>128,386,359.80</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00" w:h="16850"/>
          <w:pgMar w:header="0" w:footer="941" w:top="1000" w:bottom="1140" w:left="600" w:right="820"/>
        </w:sectPr>
      </w:pPr>
    </w:p>
    <w:p>
      <w:pPr>
        <w:pStyle w:val="BodyText"/>
        <w:spacing w:line="240" w:lineRule="auto" w:before="36"/>
        <w:ind w:left="1102" w:right="0"/>
        <w:jc w:val="left"/>
      </w:pPr>
      <w:r>
        <w:rPr>
          <w:spacing w:val="-2"/>
        </w:rPr>
        <w:t>期末单项金额重大并单项计提坏账准备的应收账款：</w:t>
      </w:r>
    </w:p>
    <w:p>
      <w:pPr>
        <w:pStyle w:val="BodyText"/>
        <w:spacing w:line="290" w:lineRule="auto" w:before="58"/>
        <w:ind w:left="1102" w:right="0"/>
        <w:jc w:val="left"/>
      </w:pPr>
      <w:r>
        <w:rPr/>
        <w:t>□适用√不适用</w:t>
      </w:r>
      <w:r>
        <w:rPr>
          <w:spacing w:val="-103"/>
        </w:rPr>
        <w:t> </w:t>
      </w:r>
      <w:r>
        <w:rPr>
          <w:spacing w:val="-103"/>
        </w:rPr>
      </w:r>
      <w:r>
        <w:rPr>
          <w:spacing w:val="-2"/>
        </w:rPr>
        <w:t>组合中，按账龄分析法计提坏账准备的应收账款：</w:t>
      </w:r>
    </w:p>
    <w:p>
      <w:pPr>
        <w:pStyle w:val="BodyText"/>
        <w:spacing w:line="240" w:lineRule="auto" w:before="14"/>
        <w:ind w:left="1102"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2153" w:val="left" w:leader="none"/>
        </w:tabs>
        <w:spacing w:line="240" w:lineRule="auto"/>
        <w:ind w:left="1102" w:right="0"/>
        <w:jc w:val="left"/>
      </w:pPr>
      <w:r>
        <w:rPr>
          <w:spacing w:val="-1"/>
        </w:rPr>
        <w:t>单位：元</w:t>
        <w:tab/>
      </w:r>
      <w:r>
        <w:rPr>
          <w:spacing w:val="-2"/>
        </w:rPr>
        <w:t>币种：人民币</w:t>
      </w:r>
    </w:p>
    <w:p>
      <w:pPr>
        <w:spacing w:after="0" w:line="240" w:lineRule="auto"/>
        <w:jc w:val="left"/>
        <w:sectPr>
          <w:type w:val="continuous"/>
          <w:pgSz w:w="11900" w:h="16850"/>
          <w:pgMar w:top="1120" w:bottom="1380" w:left="600" w:right="820"/>
          <w:cols w:num="2" w:equalWidth="0">
            <w:col w:w="5937" w:space="818"/>
            <w:col w:w="3725"/>
          </w:cols>
        </w:sectPr>
      </w:pPr>
    </w:p>
    <w:p>
      <w:pPr>
        <w:spacing w:line="240" w:lineRule="auto" w:before="7"/>
        <w:rPr>
          <w:rFonts w:ascii="宋体" w:hAnsi="宋体" w:cs="宋体" w:eastAsia="宋体" w:hint="default"/>
          <w:sz w:val="2"/>
          <w:szCs w:val="2"/>
        </w:rPr>
      </w:pPr>
    </w:p>
    <w:tbl>
      <w:tblPr>
        <w:tblW w:w="0" w:type="auto"/>
        <w:jc w:val="left"/>
        <w:tblInd w:w="989" w:type="dxa"/>
        <w:tblLayout w:type="fixed"/>
        <w:tblCellMar>
          <w:top w:w="0" w:type="dxa"/>
          <w:left w:w="0" w:type="dxa"/>
          <w:bottom w:w="0" w:type="dxa"/>
          <w:right w:w="0" w:type="dxa"/>
        </w:tblCellMar>
        <w:tblLook w:val="01E0"/>
      </w:tblPr>
      <w:tblGrid>
        <w:gridCol w:w="2744"/>
        <w:gridCol w:w="2220"/>
        <w:gridCol w:w="2170"/>
        <w:gridCol w:w="2148"/>
      </w:tblGrid>
      <w:tr>
        <w:trPr>
          <w:trHeight w:val="307" w:hRule="exact"/>
        </w:trPr>
        <w:tc>
          <w:tcPr>
            <w:tcW w:w="2744" w:type="dxa"/>
            <w:vMerge w:val="restart"/>
            <w:tcBorders>
              <w:top w:val="single" w:sz="4" w:space="0" w:color="000000"/>
              <w:left w:val="single" w:sz="4" w:space="0" w:color="000000"/>
              <w:right w:val="single" w:sz="4" w:space="0" w:color="000000"/>
            </w:tcBorders>
          </w:tcPr>
          <w:p>
            <w:pPr>
              <w:pStyle w:val="TableParagraph"/>
              <w:spacing w:line="240" w:lineRule="auto" w:before="119"/>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744" w:type="dxa"/>
            <w:vMerge/>
            <w:tcBorders>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5"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77,979,730.33</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61,695.00</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3,084.75</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w:t>
            </w:r>
          </w:p>
        </w:tc>
      </w:tr>
      <w:tr>
        <w:trPr>
          <w:trHeight w:val="283"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582,444.00</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116,488.80</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20.00</w:t>
            </w:r>
          </w:p>
        </w:tc>
      </w:tr>
      <w:tr>
        <w:trPr>
          <w:trHeight w:val="281"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5,868,093.63</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5,868,093.63</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r>
      <w:tr>
        <w:trPr>
          <w:trHeight w:val="283"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84,491,962.96</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5,987,667.18</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7.09</w:t>
            </w:r>
          </w:p>
        </w:tc>
      </w:tr>
    </w:tbl>
    <w:p>
      <w:pPr>
        <w:spacing w:line="240" w:lineRule="auto" w:before="12"/>
        <w:rPr>
          <w:rFonts w:ascii="宋体" w:hAnsi="宋体" w:cs="宋体" w:eastAsia="宋体" w:hint="default"/>
          <w:sz w:val="19"/>
          <w:szCs w:val="19"/>
        </w:rPr>
      </w:pPr>
    </w:p>
    <w:p>
      <w:pPr>
        <w:pStyle w:val="BodyText"/>
        <w:spacing w:line="240" w:lineRule="auto" w:before="36"/>
        <w:ind w:left="1102" w:right="0"/>
        <w:jc w:val="left"/>
      </w:pPr>
      <w:r>
        <w:rPr/>
        <w:t>组合中，采用余额百分比法计提坏账准备的应收账款：</w:t>
      </w:r>
    </w:p>
    <w:p>
      <w:pPr>
        <w:pStyle w:val="BodyText"/>
        <w:spacing w:line="240" w:lineRule="auto" w:before="58"/>
        <w:ind w:left="1102" w:right="0"/>
        <w:jc w:val="left"/>
      </w:pPr>
      <w:r>
        <w:rPr/>
        <w:t>□适用 √不适用</w:t>
      </w:r>
    </w:p>
    <w:p>
      <w:pPr>
        <w:spacing w:line="240" w:lineRule="auto" w:before="3"/>
        <w:rPr>
          <w:rFonts w:ascii="宋体" w:hAnsi="宋体" w:cs="宋体" w:eastAsia="宋体" w:hint="default"/>
          <w:sz w:val="25"/>
          <w:szCs w:val="25"/>
        </w:rPr>
      </w:pPr>
    </w:p>
    <w:p>
      <w:pPr>
        <w:pStyle w:val="Heading2"/>
        <w:tabs>
          <w:tab w:pos="1941" w:val="left" w:leader="none"/>
        </w:tabs>
        <w:spacing w:line="240" w:lineRule="auto" w:before="0"/>
        <w:ind w:left="1243" w:right="0"/>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6"/>
        <w:ind w:left="1102" w:right="0"/>
        <w:jc w:val="left"/>
      </w:pPr>
      <w:r>
        <w:rPr/>
        <w:t>本期计提坏账准备金额</w:t>
      </w:r>
      <w:r>
        <w:rPr>
          <w:spacing w:val="-54"/>
        </w:rPr>
        <w:t> </w:t>
      </w:r>
      <w:r>
        <w:rPr>
          <w:rFonts w:ascii="宋体" w:hAnsi="宋体" w:cs="宋体" w:eastAsia="宋体" w:hint="default"/>
        </w:rPr>
        <w:t>3,147,537.22</w:t>
      </w:r>
      <w:r>
        <w:rPr>
          <w:rFonts w:ascii="宋体" w:hAnsi="宋体" w:cs="宋体" w:eastAsia="宋体" w:hint="default"/>
          <w:spacing w:val="-55"/>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5"/>
        </w:rPr>
        <w:t> </w:t>
      </w:r>
      <w:r>
        <w:rPr>
          <w:spacing w:val="-3"/>
        </w:rPr>
        <w:t>元。</w:t>
      </w:r>
      <w:r>
        <w:rPr/>
      </w:r>
    </w:p>
    <w:p>
      <w:pPr>
        <w:spacing w:line="240" w:lineRule="auto" w:before="8"/>
        <w:rPr>
          <w:rFonts w:ascii="宋体" w:hAnsi="宋体" w:cs="宋体" w:eastAsia="宋体" w:hint="default"/>
          <w:sz w:val="20"/>
          <w:szCs w:val="20"/>
        </w:rPr>
      </w:pPr>
    </w:p>
    <w:p>
      <w:pPr>
        <w:pStyle w:val="BodyText"/>
        <w:spacing w:line="274" w:lineRule="exact"/>
        <w:ind w:left="1102" w:right="0"/>
        <w:jc w:val="left"/>
      </w:pPr>
      <w:r>
        <w:rPr/>
        <w:t>其中本期坏账准备收回或转回金额重要的：</w:t>
      </w:r>
    </w:p>
    <w:p>
      <w:pPr>
        <w:pStyle w:val="BodyText"/>
        <w:spacing w:line="274" w:lineRule="exact"/>
        <w:ind w:left="1102" w:right="0"/>
        <w:jc w:val="left"/>
      </w:pPr>
      <w:r>
        <w:rPr/>
        <w:t>□适用 √不适用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2"/>
        <w:tabs>
          <w:tab w:pos="1941" w:val="left" w:leader="none"/>
        </w:tabs>
        <w:spacing w:line="240" w:lineRule="auto" w:before="0"/>
        <w:ind w:left="1243" w:right="0"/>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spacing w:line="272" w:lineRule="exact" w:before="86"/>
        <w:ind w:left="1102" w:right="5794"/>
        <w:jc w:val="left"/>
      </w:pPr>
      <w:r>
        <w:rPr/>
        <w:t>□适用</w:t>
      </w:r>
      <w:r>
        <w:rPr>
          <w:spacing w:val="-2"/>
        </w:rPr>
        <w:t> </w:t>
      </w:r>
      <w:r>
        <w:rPr/>
        <w:t>√不适用</w:t>
      </w:r>
      <w:r>
        <w:rPr>
          <w:spacing w:val="-103"/>
        </w:rPr>
        <w:t> </w:t>
      </w:r>
      <w:r>
        <w:rPr>
          <w:spacing w:val="-103"/>
        </w:rPr>
      </w:r>
      <w:r>
        <w:rPr>
          <w:spacing w:val="-2"/>
        </w:rPr>
        <w:t>其中重要的应收账款核销情况</w:t>
      </w:r>
    </w:p>
    <w:p>
      <w:pPr>
        <w:pStyle w:val="BodyText"/>
        <w:spacing w:line="249" w:lineRule="exact"/>
        <w:ind w:left="1102" w:right="0"/>
        <w:jc w:val="left"/>
      </w:pPr>
      <w:r>
        <w:rPr/>
        <w:t>□适用 √不适用</w:t>
      </w:r>
    </w:p>
    <w:p>
      <w:pPr>
        <w:spacing w:after="0" w:line="249" w:lineRule="exact"/>
        <w:jc w:val="left"/>
        <w:sectPr>
          <w:type w:val="continuous"/>
          <w:pgSz w:w="11900" w:h="16850"/>
          <w:pgMar w:top="1120" w:bottom="1380" w:left="60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Heading2"/>
        <w:tabs>
          <w:tab w:pos="1521" w:val="left" w:leader="none"/>
        </w:tabs>
        <w:spacing w:line="240" w:lineRule="auto"/>
        <w:ind w:left="823" w:right="0"/>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pStyle w:val="BodyText"/>
        <w:spacing w:line="272" w:lineRule="exact" w:before="86"/>
        <w:ind w:left="576" w:right="0" w:firstLine="419"/>
        <w:jc w:val="left"/>
      </w:pPr>
      <w:r>
        <w:rPr/>
        <w:t>本期按欠款方归集的期末余额前五名应收账款汇总金额</w:t>
      </w:r>
      <w:r>
        <w:rPr>
          <w:spacing w:val="-46"/>
        </w:rPr>
        <w:t> </w:t>
      </w:r>
      <w:r>
        <w:rPr>
          <w:rFonts w:ascii="宋体" w:hAnsi="宋体" w:cs="宋体" w:eastAsia="宋体" w:hint="default"/>
        </w:rPr>
        <w:t>52,111,443.86</w:t>
      </w:r>
      <w:r>
        <w:rPr>
          <w:rFonts w:ascii="宋体" w:hAnsi="宋体" w:cs="宋体" w:eastAsia="宋体" w:hint="default"/>
          <w:spacing w:val="-50"/>
        </w:rPr>
        <w:t> </w:t>
      </w:r>
      <w:r>
        <w:rPr>
          <w:spacing w:val="-8"/>
        </w:rPr>
        <w:t>元，占应收账款期末余额</w:t>
      </w:r>
      <w:r>
        <w:rPr>
          <w:w w:val="100"/>
        </w:rPr>
        <w:t> </w:t>
      </w:r>
      <w:r>
        <w:rPr/>
        <w:t>合计数的比例为</w:t>
      </w:r>
      <w:r>
        <w:rPr>
          <w:spacing w:val="-57"/>
        </w:rPr>
        <w:t> </w:t>
      </w:r>
      <w:r>
        <w:rPr>
          <w:rFonts w:ascii="宋体" w:hAnsi="宋体" w:cs="宋体" w:eastAsia="宋体" w:hint="default"/>
        </w:rPr>
        <w:t>28.48%</w:t>
      </w:r>
      <w:r>
        <w:rPr/>
        <w:t>，未计提坏账准备。</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47"/>
          <w:pgSz w:w="11900" w:h="16850"/>
          <w:pgMar w:footer="941" w:header="0" w:top="1000" w:bottom="1140" w:left="1020" w:right="580"/>
        </w:sectPr>
      </w:pPr>
    </w:p>
    <w:p>
      <w:pPr>
        <w:pStyle w:val="Heading2"/>
        <w:spacing w:line="240" w:lineRule="auto"/>
        <w:ind w:left="682" w:right="-18"/>
        <w:jc w:val="left"/>
        <w:rPr>
          <w:b w:val="0"/>
          <w:bCs w:val="0"/>
        </w:rPr>
      </w:pPr>
      <w:r>
        <w:rPr>
          <w:rFonts w:ascii="宋体" w:hAnsi="宋体" w:cs="宋体" w:eastAsia="宋体" w:hint="default"/>
        </w:rPr>
        <w:t>2</w:t>
      </w:r>
      <w:r>
        <w:rPr/>
        <w:t>、</w:t>
      </w:r>
      <w:r>
        <w:rPr>
          <w:spacing w:val="4"/>
        </w:rPr>
        <w:t> </w:t>
      </w:r>
      <w:r>
        <w:rPr/>
        <w:t>其他应收款</w:t>
      </w:r>
      <w:r>
        <w:rPr>
          <w:b w:val="0"/>
          <w:bCs w:val="0"/>
        </w:rPr>
      </w:r>
    </w:p>
    <w:p>
      <w:pPr>
        <w:pStyle w:val="Heading2"/>
        <w:spacing w:line="240" w:lineRule="auto" w:before="58"/>
        <w:ind w:left="682" w:right="-18"/>
        <w:jc w:val="left"/>
        <w:rPr>
          <w:b w:val="0"/>
          <w:bCs w:val="0"/>
        </w:rPr>
      </w:pPr>
      <w:r>
        <w:rPr>
          <w:rFonts w:ascii="宋体" w:hAnsi="宋体" w:cs="宋体" w:eastAsia="宋体" w:hint="default"/>
        </w:rPr>
        <w:t>(1).</w:t>
      </w:r>
      <w:r>
        <w:rPr>
          <w:rFonts w:ascii="宋体" w:hAnsi="宋体" w:cs="宋体" w:eastAsia="宋体" w:hint="default"/>
          <w:spacing w:val="-2"/>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733" w:val="left" w:leader="none"/>
        </w:tabs>
        <w:spacing w:line="240" w:lineRule="auto" w:before="177"/>
        <w:ind w:left="682" w:right="0"/>
        <w:jc w:val="left"/>
      </w:pPr>
      <w:r>
        <w:rPr>
          <w:spacing w:val="-1"/>
        </w:rPr>
        <w:t>单位：元</w:t>
        <w:tab/>
      </w:r>
      <w:r>
        <w:rPr>
          <w:spacing w:val="-2"/>
        </w:rPr>
        <w:t>币种：人民币</w:t>
      </w:r>
    </w:p>
    <w:p>
      <w:pPr>
        <w:spacing w:after="0" w:line="240" w:lineRule="auto"/>
        <w:jc w:val="left"/>
        <w:sectPr>
          <w:type w:val="continuous"/>
          <w:pgSz w:w="11900" w:h="16850"/>
          <w:pgMar w:top="1120" w:bottom="1380" w:left="1020" w:right="580"/>
          <w:cols w:num="2" w:equalWidth="0">
            <w:col w:w="3321" w:space="3434"/>
            <w:col w:w="3545"/>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841"/>
        <w:gridCol w:w="1114"/>
        <w:gridCol w:w="511"/>
        <w:gridCol w:w="962"/>
        <w:gridCol w:w="514"/>
        <w:gridCol w:w="1037"/>
        <w:gridCol w:w="1111"/>
        <w:gridCol w:w="514"/>
        <w:gridCol w:w="962"/>
        <w:gridCol w:w="456"/>
        <w:gridCol w:w="1037"/>
      </w:tblGrid>
      <w:tr>
        <w:trPr>
          <w:trHeight w:val="293" w:hRule="exact"/>
        </w:trPr>
        <w:tc>
          <w:tcPr>
            <w:tcW w:w="18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类别</w:t>
            </w:r>
          </w:p>
        </w:tc>
        <w:tc>
          <w:tcPr>
            <w:tcW w:w="41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08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4" w:hRule="exact"/>
        </w:trPr>
        <w:tc>
          <w:tcPr>
            <w:tcW w:w="1841" w:type="dxa"/>
            <w:vMerge/>
            <w:tcBorders>
              <w:left w:val="single" w:sz="4" w:space="0" w:color="000000"/>
              <w:right w:val="single" w:sz="4" w:space="0" w:color="000000"/>
            </w:tcBorders>
          </w:tcPr>
          <w:p>
            <w:pPr/>
          </w:p>
        </w:tc>
        <w:tc>
          <w:tcPr>
            <w:tcW w:w="1625"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06"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76"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32"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62" w:right="360"/>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625"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06"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60" w:right="363"/>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593" w:hRule="exact"/>
        </w:trPr>
        <w:tc>
          <w:tcPr>
            <w:tcW w:w="1841" w:type="dxa"/>
            <w:vMerge/>
            <w:tcBorders>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6" w:right="98"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2" w:right="24" w:hanging="39"/>
              <w:jc w:val="left"/>
              <w:rPr>
                <w:rFonts w:ascii="宋体" w:hAnsi="宋体" w:cs="宋体" w:eastAsia="宋体" w:hint="default"/>
                <w:sz w:val="15"/>
                <w:szCs w:val="15"/>
              </w:rPr>
            </w:pPr>
            <w:r>
              <w:rPr>
                <w:rFonts w:ascii="宋体" w:hAnsi="宋体" w:cs="宋体" w:eastAsia="宋体" w:hint="default"/>
                <w:sz w:val="15"/>
                <w:szCs w:val="15"/>
              </w:rPr>
              <w:t>计提比</w:t>
            </w:r>
            <w:r>
              <w:rPr>
                <w:rFonts w:ascii="宋体" w:hAnsi="宋体" w:cs="宋体" w:eastAsia="宋体" w:hint="default"/>
                <w:spacing w:val="-72"/>
                <w:sz w:val="15"/>
                <w:szCs w:val="15"/>
              </w:rPr>
              <w:t> </w:t>
            </w:r>
            <w:r>
              <w:rPr>
                <w:rFonts w:ascii="宋体" w:hAnsi="宋体" w:cs="宋体" w:eastAsia="宋体" w:hint="default"/>
                <w:sz w:val="15"/>
                <w:szCs w:val="15"/>
              </w:rPr>
              <w:t>例</w:t>
            </w:r>
            <w:r>
              <w:rPr>
                <w:rFonts w:ascii="宋体" w:hAnsi="宋体" w:cs="宋体" w:eastAsia="宋体" w:hint="default"/>
                <w:sz w:val="15"/>
                <w:szCs w:val="15"/>
              </w:rPr>
              <w:t>(%)</w:t>
            </w:r>
          </w:p>
        </w:tc>
        <w:tc>
          <w:tcPr>
            <w:tcW w:w="1037" w:type="dxa"/>
            <w:vMerge/>
            <w:tcBorders>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39" w:right="98"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1"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10" w:right="71"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37" w:type="dxa"/>
            <w:vMerge/>
            <w:tcBorders>
              <w:left w:val="single" w:sz="4" w:space="0" w:color="000000"/>
              <w:bottom w:val="single" w:sz="4" w:space="0" w:color="000000"/>
              <w:right w:val="single" w:sz="4" w:space="0" w:color="000000"/>
            </w:tcBorders>
          </w:tcPr>
          <w:p>
            <w:pPr/>
          </w:p>
        </w:tc>
      </w:tr>
      <w:tr>
        <w:trPr>
          <w:trHeight w:val="398"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单项金额重大并单独计提</w:t>
            </w:r>
          </w:p>
          <w:p>
            <w:pPr>
              <w:pStyle w:val="TableParagraph"/>
              <w:spacing w:line="195" w:lineRule="exact"/>
              <w:ind w:left="24" w:right="0"/>
              <w:jc w:val="left"/>
              <w:rPr>
                <w:rFonts w:ascii="宋体" w:hAnsi="宋体" w:cs="宋体" w:eastAsia="宋体" w:hint="default"/>
                <w:sz w:val="15"/>
                <w:szCs w:val="15"/>
              </w:rPr>
            </w:pPr>
            <w:r>
              <w:rPr>
                <w:rFonts w:ascii="宋体" w:hAnsi="宋体" w:cs="宋体" w:eastAsia="宋体" w:hint="default"/>
                <w:sz w:val="15"/>
                <w:szCs w:val="15"/>
              </w:rPr>
              <w:t>坏账准备的其他应收款</w:t>
            </w:r>
          </w:p>
        </w:tc>
        <w:tc>
          <w:tcPr>
            <w:tcW w:w="111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4" w:right="0"/>
              <w:jc w:val="left"/>
              <w:rPr>
                <w:rFonts w:ascii="宋体" w:hAnsi="宋体" w:cs="宋体" w:eastAsia="宋体" w:hint="default"/>
                <w:sz w:val="15"/>
                <w:szCs w:val="15"/>
              </w:rPr>
            </w:pPr>
            <w:r>
              <w:rPr>
                <w:rFonts w:ascii="宋体" w:hAnsi="宋体" w:cs="宋体" w:eastAsia="宋体" w:hint="default"/>
                <w:sz w:val="15"/>
                <w:szCs w:val="15"/>
              </w:rPr>
              <w:t>按信用风险特征组合计提</w:t>
            </w:r>
          </w:p>
          <w:p>
            <w:pPr>
              <w:pStyle w:val="TableParagraph"/>
              <w:spacing w:line="195" w:lineRule="exact"/>
              <w:ind w:left="24" w:right="0"/>
              <w:jc w:val="left"/>
              <w:rPr>
                <w:rFonts w:ascii="宋体" w:hAnsi="宋体" w:cs="宋体" w:eastAsia="宋体" w:hint="default"/>
                <w:sz w:val="15"/>
                <w:szCs w:val="15"/>
              </w:rPr>
            </w:pPr>
            <w:r>
              <w:rPr>
                <w:rFonts w:ascii="宋体" w:hAnsi="宋体" w:cs="宋体" w:eastAsia="宋体" w:hint="default"/>
                <w:sz w:val="15"/>
                <w:szCs w:val="15"/>
              </w:rPr>
              <w:t>坏账准备的其他应收款</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sz w:val="15"/>
              </w:rPr>
              <w:t>100,961,064.70</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
              <w:jc w:val="center"/>
              <w:rPr>
                <w:rFonts w:ascii="宋体" w:hAnsi="宋体" w:cs="宋体" w:eastAsia="宋体" w:hint="default"/>
                <w:sz w:val="15"/>
                <w:szCs w:val="15"/>
              </w:rPr>
            </w:pPr>
            <w:r>
              <w:rPr>
                <w:rFonts w:ascii="宋体"/>
                <w:sz w:val="15"/>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sz w:val="15"/>
              </w:rPr>
              <w:t>4,451,683.40</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75" w:right="0"/>
              <w:jc w:val="left"/>
              <w:rPr>
                <w:rFonts w:ascii="宋体" w:hAnsi="宋体" w:cs="宋体" w:eastAsia="宋体" w:hint="default"/>
                <w:sz w:val="15"/>
                <w:szCs w:val="15"/>
              </w:rPr>
            </w:pPr>
            <w:r>
              <w:rPr>
                <w:rFonts w:ascii="宋体"/>
                <w:sz w:val="15"/>
              </w:rPr>
              <w:t>4.41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sz w:val="15"/>
              </w:rPr>
              <w:t>96,509,381.30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 w:right="0"/>
              <w:jc w:val="center"/>
              <w:rPr>
                <w:rFonts w:ascii="宋体" w:hAnsi="宋体" w:cs="宋体" w:eastAsia="宋体" w:hint="default"/>
                <w:sz w:val="15"/>
                <w:szCs w:val="15"/>
              </w:rPr>
            </w:pPr>
            <w:r>
              <w:rPr>
                <w:rFonts w:ascii="宋体"/>
                <w:sz w:val="15"/>
              </w:rPr>
              <w:t>102,475,318.51</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sz w:val="15"/>
              </w:rPr>
              <w:t>100.00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sz w:val="15"/>
              </w:rPr>
              <w:t>5,857,199.40</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94" w:right="0"/>
              <w:jc w:val="center"/>
              <w:rPr>
                <w:rFonts w:ascii="宋体" w:hAnsi="宋体" w:cs="宋体" w:eastAsia="宋体" w:hint="default"/>
                <w:sz w:val="15"/>
                <w:szCs w:val="15"/>
              </w:rPr>
            </w:pPr>
            <w:r>
              <w:rPr>
                <w:rFonts w:ascii="宋体"/>
                <w:sz w:val="15"/>
              </w:rPr>
              <w:t>5.72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
              <w:jc w:val="center"/>
              <w:rPr>
                <w:rFonts w:ascii="宋体" w:hAnsi="宋体" w:cs="宋体" w:eastAsia="宋体" w:hint="default"/>
                <w:sz w:val="15"/>
                <w:szCs w:val="15"/>
              </w:rPr>
            </w:pPr>
            <w:r>
              <w:rPr>
                <w:rFonts w:ascii="宋体"/>
                <w:sz w:val="15"/>
              </w:rPr>
              <w:t>96,618,119.11</w:t>
            </w:r>
          </w:p>
        </w:tc>
      </w:tr>
      <w:tr>
        <w:trPr>
          <w:trHeight w:val="398"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单项金额不重大但单独计</w:t>
            </w:r>
          </w:p>
          <w:p>
            <w:pPr>
              <w:pStyle w:val="TableParagraph"/>
              <w:spacing w:line="195" w:lineRule="exact"/>
              <w:ind w:left="24" w:right="0"/>
              <w:jc w:val="left"/>
              <w:rPr>
                <w:rFonts w:ascii="宋体" w:hAnsi="宋体" w:cs="宋体" w:eastAsia="宋体" w:hint="default"/>
                <w:sz w:val="15"/>
                <w:szCs w:val="15"/>
              </w:rPr>
            </w:pPr>
            <w:r>
              <w:rPr>
                <w:rFonts w:ascii="宋体" w:hAnsi="宋体" w:cs="宋体" w:eastAsia="宋体" w:hint="default"/>
                <w:sz w:val="15"/>
                <w:szCs w:val="15"/>
              </w:rPr>
              <w:t>提坏账准备的其他应收款</w:t>
            </w:r>
          </w:p>
        </w:tc>
        <w:tc>
          <w:tcPr>
            <w:tcW w:w="111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100,961,064.70</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4,451,683.40</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11" w:right="0"/>
              <w:jc w:val="left"/>
              <w:rPr>
                <w:rFonts w:ascii="宋体" w:hAnsi="宋体" w:cs="宋体" w:eastAsia="宋体" w:hint="default"/>
                <w:sz w:val="15"/>
                <w:szCs w:val="15"/>
              </w:rPr>
            </w:pPr>
            <w:r>
              <w:rPr>
                <w:rFonts w:ascii="宋体"/>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96,509,381.30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sz w:val="15"/>
              </w:rPr>
              <w:t>102,475,318.51</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5,857,199.40</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sz w:val="15"/>
              </w:rPr>
              <w:t>96,618,119.11</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00" w:h="16850"/>
          <w:pgMar w:top="1120" w:bottom="1380" w:left="1020" w:right="580"/>
        </w:sectPr>
      </w:pPr>
    </w:p>
    <w:p>
      <w:pPr>
        <w:pStyle w:val="BodyText"/>
        <w:spacing w:line="240" w:lineRule="auto" w:before="36"/>
        <w:ind w:left="682" w:right="0"/>
        <w:jc w:val="left"/>
      </w:pPr>
      <w:r>
        <w:rPr>
          <w:spacing w:val="-2"/>
        </w:rPr>
        <w:t>期末单项金额重大并单项计提坏账准备的其他应收款：</w:t>
      </w:r>
    </w:p>
    <w:p>
      <w:pPr>
        <w:pStyle w:val="BodyText"/>
        <w:spacing w:line="292" w:lineRule="auto" w:before="56"/>
        <w:ind w:left="682" w:right="0"/>
        <w:jc w:val="left"/>
      </w:pPr>
      <w:r>
        <w:rPr/>
        <w:t>□适用√不适用</w:t>
      </w:r>
      <w:r>
        <w:rPr>
          <w:spacing w:val="-103"/>
        </w:rPr>
        <w:t> </w:t>
      </w:r>
      <w:r>
        <w:rPr>
          <w:spacing w:val="-103"/>
        </w:rPr>
      </w:r>
      <w:r>
        <w:rPr>
          <w:spacing w:val="-2"/>
        </w:rPr>
        <w:t>组合中，按账龄分析法计提坏账准备的其他应收款：</w:t>
      </w:r>
    </w:p>
    <w:p>
      <w:pPr>
        <w:pStyle w:val="BodyText"/>
        <w:spacing w:line="240" w:lineRule="auto" w:before="10"/>
        <w:ind w:left="682"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733" w:val="left" w:leader="none"/>
        </w:tabs>
        <w:spacing w:line="240" w:lineRule="auto"/>
        <w:ind w:left="682" w:right="0"/>
        <w:jc w:val="left"/>
      </w:pPr>
      <w:r>
        <w:rPr>
          <w:spacing w:val="-1"/>
        </w:rPr>
        <w:t>单位：元</w:t>
        <w:tab/>
      </w:r>
      <w:r>
        <w:rPr>
          <w:spacing w:val="-2"/>
        </w:rPr>
        <w:t>币种：人民币</w:t>
      </w:r>
    </w:p>
    <w:p>
      <w:pPr>
        <w:spacing w:after="0" w:line="240" w:lineRule="auto"/>
        <w:jc w:val="left"/>
        <w:sectPr>
          <w:type w:val="continuous"/>
          <w:pgSz w:w="11900" w:h="16850"/>
          <w:pgMar w:top="1120" w:bottom="1380" w:left="1020" w:right="580"/>
          <w:cols w:num="2" w:equalWidth="0">
            <w:col w:w="5728" w:space="1027"/>
            <w:col w:w="3545"/>
          </w:cols>
        </w:sectPr>
      </w:pPr>
    </w:p>
    <w:p>
      <w:pPr>
        <w:spacing w:line="240" w:lineRule="auto" w:before="4"/>
        <w:rPr>
          <w:rFonts w:ascii="宋体" w:hAnsi="宋体" w:cs="宋体" w:eastAsia="宋体" w:hint="default"/>
          <w:sz w:val="2"/>
          <w:szCs w:val="2"/>
        </w:rPr>
      </w:pPr>
    </w:p>
    <w:tbl>
      <w:tblPr>
        <w:tblW w:w="0" w:type="auto"/>
        <w:jc w:val="left"/>
        <w:tblInd w:w="569" w:type="dxa"/>
        <w:tblLayout w:type="fixed"/>
        <w:tblCellMar>
          <w:top w:w="0" w:type="dxa"/>
          <w:left w:w="0" w:type="dxa"/>
          <w:bottom w:w="0" w:type="dxa"/>
          <w:right w:w="0" w:type="dxa"/>
        </w:tblCellMar>
        <w:tblLook w:val="01E0"/>
      </w:tblPr>
      <w:tblGrid>
        <w:gridCol w:w="3665"/>
        <w:gridCol w:w="1870"/>
        <w:gridCol w:w="1870"/>
        <w:gridCol w:w="1877"/>
      </w:tblGrid>
      <w:tr>
        <w:trPr>
          <w:trHeight w:val="283" w:hRule="exact"/>
        </w:trPr>
        <w:tc>
          <w:tcPr>
            <w:tcW w:w="3665"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665" w:type="dxa"/>
            <w:vMerge/>
            <w:tcBorders>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61,462,882.69</w:t>
            </w:r>
          </w:p>
        </w:tc>
        <w:tc>
          <w:tcPr>
            <w:tcW w:w="1870"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70"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20.00</w:t>
            </w:r>
          </w:p>
        </w:tc>
      </w:tr>
      <w:tr>
        <w:trPr>
          <w:trHeight w:val="281" w:hRule="exact"/>
        </w:trPr>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4,451,671.40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4,451,671.40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r>
      <w:tr>
        <w:trPr>
          <w:trHeight w:val="283" w:hRule="exact"/>
        </w:trPr>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65,914,614.09</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4,451,683.40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6.75</w:t>
            </w:r>
          </w:p>
        </w:tc>
      </w:tr>
    </w:tbl>
    <w:p>
      <w:pPr>
        <w:spacing w:line="240" w:lineRule="auto" w:before="2"/>
        <w:rPr>
          <w:rFonts w:ascii="宋体" w:hAnsi="宋体" w:cs="宋体" w:eastAsia="宋体" w:hint="default"/>
          <w:sz w:val="20"/>
          <w:szCs w:val="20"/>
        </w:rPr>
      </w:pPr>
    </w:p>
    <w:p>
      <w:pPr>
        <w:pStyle w:val="BodyText"/>
        <w:spacing w:line="240" w:lineRule="auto" w:before="36"/>
        <w:ind w:left="682" w:right="0"/>
        <w:jc w:val="left"/>
      </w:pPr>
      <w:r>
        <w:rPr/>
        <w:t>组合中，采用余额百分比法计提坏账准备的其他应收款：</w:t>
      </w:r>
    </w:p>
    <w:p>
      <w:pPr>
        <w:pStyle w:val="BodyText"/>
        <w:spacing w:line="240" w:lineRule="auto" w:before="56"/>
        <w:ind w:left="682"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682" w:right="0"/>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72" w:lineRule="exact" w:before="86"/>
        <w:ind w:left="682" w:right="0"/>
        <w:jc w:val="left"/>
      </w:pPr>
      <w:r>
        <w:rPr>
          <w:w w:val="95"/>
        </w:rPr>
        <w:t>本期计提坏账准备金额</w:t>
      </w:r>
      <w:r>
        <w:rPr>
          <w:rFonts w:ascii="Arial" w:hAnsi="Arial" w:cs="Arial" w:eastAsia="Arial" w:hint="default"/>
          <w:w w:val="95"/>
        </w:rPr>
        <w:t>-1,405,516.00 </w:t>
      </w:r>
      <w:r>
        <w:rPr>
          <w:w w:val="95"/>
        </w:rPr>
        <w:t>元；本期收回或转回坏账准备金额 </w:t>
      </w:r>
      <w:r>
        <w:rPr>
          <w:rFonts w:ascii="宋体" w:hAnsi="宋体" w:cs="宋体" w:eastAsia="宋体" w:hint="default"/>
          <w:w w:val="95"/>
        </w:rPr>
        <w:t>0 </w:t>
      </w:r>
      <w:r>
        <w:rPr>
          <w:w w:val="95"/>
        </w:rPr>
        <w:t>元。</w:t>
      </w:r>
      <w:r>
        <w:rPr>
          <w:spacing w:val="-82"/>
          <w:w w:val="95"/>
        </w:rPr>
        <w:t> </w:t>
      </w:r>
      <w:r>
        <w:rPr/>
        <w:t>其中本期坏账准备转回或收回金额重要的：</w:t>
      </w:r>
    </w:p>
    <w:p>
      <w:pPr>
        <w:pStyle w:val="BodyText"/>
        <w:spacing w:line="249" w:lineRule="exact"/>
        <w:ind w:left="682" w:right="0"/>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682" w:right="0"/>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6"/>
        <w:ind w:left="682"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00" w:h="16850"/>
          <w:pgMar w:top="1120" w:bottom="1380" w:left="1020" w:right="580"/>
        </w:sectPr>
      </w:pPr>
    </w:p>
    <w:p>
      <w:pPr>
        <w:pStyle w:val="Heading2"/>
        <w:spacing w:line="240" w:lineRule="auto"/>
        <w:ind w:left="682" w:right="-1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6"/>
        <w:ind w:left="682"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33" w:val="left" w:leader="none"/>
        </w:tabs>
        <w:spacing w:line="240" w:lineRule="auto"/>
        <w:ind w:left="682" w:right="0"/>
        <w:jc w:val="left"/>
      </w:pPr>
      <w:r>
        <w:rPr>
          <w:spacing w:val="-1"/>
        </w:rPr>
        <w:t>单位：元</w:t>
        <w:tab/>
      </w:r>
      <w:r>
        <w:rPr>
          <w:spacing w:val="-2"/>
        </w:rPr>
        <w:t>币种：人民币</w:t>
      </w:r>
    </w:p>
    <w:p>
      <w:pPr>
        <w:spacing w:after="0" w:line="240" w:lineRule="auto"/>
        <w:jc w:val="left"/>
        <w:sectPr>
          <w:type w:val="continuous"/>
          <w:pgSz w:w="11900" w:h="16850"/>
          <w:pgMar w:top="1120" w:bottom="1380" w:left="1020" w:right="580"/>
          <w:cols w:num="2" w:equalWidth="0">
            <w:col w:w="4163" w:space="2592"/>
            <w:col w:w="3545"/>
          </w:cols>
        </w:sectPr>
      </w:pPr>
    </w:p>
    <w:p>
      <w:pPr>
        <w:spacing w:line="240" w:lineRule="auto" w:before="4"/>
        <w:rPr>
          <w:rFonts w:ascii="宋体" w:hAnsi="宋体" w:cs="宋体" w:eastAsia="宋体" w:hint="default"/>
          <w:sz w:val="2"/>
          <w:szCs w:val="2"/>
        </w:rPr>
      </w:pPr>
    </w:p>
    <w:tbl>
      <w:tblPr>
        <w:tblW w:w="0" w:type="auto"/>
        <w:jc w:val="left"/>
        <w:tblInd w:w="569" w:type="dxa"/>
        <w:tblLayout w:type="fixed"/>
        <w:tblCellMar>
          <w:top w:w="0" w:type="dxa"/>
          <w:left w:w="0" w:type="dxa"/>
          <w:bottom w:w="0" w:type="dxa"/>
          <w:right w:w="0" w:type="dxa"/>
        </w:tblCellMar>
        <w:tblLook w:val="01E0"/>
      </w:tblPr>
      <w:tblGrid>
        <w:gridCol w:w="3157"/>
        <w:gridCol w:w="3058"/>
        <w:gridCol w:w="3068"/>
      </w:tblGrid>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5"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85" w:right="0"/>
              <w:jc w:val="left"/>
              <w:rPr>
                <w:rFonts w:ascii="宋体" w:hAnsi="宋体" w:cs="宋体" w:eastAsia="宋体" w:hint="default"/>
                <w:sz w:val="21"/>
                <w:szCs w:val="21"/>
              </w:rPr>
            </w:pPr>
            <w:r>
              <w:rPr>
                <w:rFonts w:ascii="宋体"/>
                <w:sz w:val="21"/>
              </w:rPr>
              <w:t>2,981,431.03</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92" w:right="0"/>
              <w:jc w:val="left"/>
              <w:rPr>
                <w:rFonts w:ascii="宋体" w:hAnsi="宋体" w:cs="宋体" w:eastAsia="宋体" w:hint="default"/>
                <w:sz w:val="21"/>
                <w:szCs w:val="21"/>
              </w:rPr>
            </w:pPr>
            <w:r>
              <w:rPr>
                <w:rFonts w:ascii="宋体"/>
                <w:sz w:val="21"/>
              </w:rPr>
              <w:t>3,444,577.42</w:t>
            </w:r>
          </w:p>
        </w:tc>
      </w:tr>
    </w:tbl>
    <w:p>
      <w:pPr>
        <w:spacing w:after="0" w:line="241" w:lineRule="exact"/>
        <w:jc w:val="left"/>
        <w:rPr>
          <w:rFonts w:ascii="宋体" w:hAnsi="宋体" w:cs="宋体" w:eastAsia="宋体" w:hint="default"/>
          <w:sz w:val="21"/>
          <w:szCs w:val="21"/>
        </w:rPr>
        <w:sectPr>
          <w:type w:val="continuous"/>
          <w:pgSz w:w="11900" w:h="16850"/>
          <w:pgMar w:top="1120" w:bottom="1380" w:left="1020" w:right="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3157"/>
        <w:gridCol w:w="3058"/>
        <w:gridCol w:w="3068"/>
      </w:tblGrid>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代收代付</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2,051,780.30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1,414,141.90</w:t>
            </w:r>
          </w:p>
        </w:tc>
      </w:tr>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91,175,441.06</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92,464,523.23</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4,752,412.31</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5,152,075.96</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100,961,064.70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102,475,318.51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8"/>
          <w:pgSz w:w="11900" w:h="16850"/>
          <w:pgMar w:footer="941" w:header="0" w:top="1000" w:bottom="1140" w:left="1480" w:right="900"/>
          <w:pgNumType w:start="111"/>
        </w:sectPr>
      </w:pPr>
    </w:p>
    <w:p>
      <w:pPr>
        <w:pStyle w:val="Heading2"/>
        <w:spacing w:line="240" w:lineRule="auto"/>
        <w:ind w:left="222" w:right="-16"/>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6"/>
        <w:ind w:left="222"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3" w:val="left" w:leader="none"/>
        </w:tabs>
        <w:spacing w:line="240" w:lineRule="auto"/>
        <w:ind w:left="222" w:right="0"/>
        <w:jc w:val="left"/>
      </w:pPr>
      <w:r>
        <w:rPr>
          <w:spacing w:val="-1"/>
        </w:rPr>
        <w:t>单位：元</w:t>
        <w:tab/>
      </w:r>
      <w:r>
        <w:rPr>
          <w:spacing w:val="-2"/>
        </w:rPr>
        <w:t>币种：人民币</w:t>
      </w:r>
    </w:p>
    <w:p>
      <w:pPr>
        <w:spacing w:after="0" w:line="240" w:lineRule="auto"/>
        <w:jc w:val="left"/>
        <w:sectPr>
          <w:type w:val="continuous"/>
          <w:pgSz w:w="11900" w:h="16850"/>
          <w:pgMar w:top="1120" w:bottom="1380" w:left="1480" w:right="900"/>
          <w:cols w:num="2" w:equalWidth="0">
            <w:col w:w="5599" w:space="1156"/>
            <w:col w:w="2765"/>
          </w:cols>
        </w:sectPr>
      </w:pPr>
    </w:p>
    <w:p>
      <w:pPr>
        <w:spacing w:line="240" w:lineRule="auto" w:before="4"/>
        <w:rPr>
          <w:rFonts w:ascii="宋体" w:hAnsi="宋体" w:cs="宋体" w:eastAsia="宋体" w:hint="default"/>
          <w:sz w:val="2"/>
          <w:szCs w:val="2"/>
        </w:rPr>
      </w:pPr>
    </w:p>
    <w:tbl>
      <w:tblPr>
        <w:tblW w:w="0" w:type="auto"/>
        <w:jc w:val="left"/>
        <w:tblInd w:w="214" w:type="dxa"/>
        <w:tblLayout w:type="fixed"/>
        <w:tblCellMar>
          <w:top w:w="0" w:type="dxa"/>
          <w:left w:w="0" w:type="dxa"/>
          <w:bottom w:w="0" w:type="dxa"/>
          <w:right w:w="0" w:type="dxa"/>
        </w:tblCellMar>
        <w:tblLook w:val="01E0"/>
      </w:tblPr>
      <w:tblGrid>
        <w:gridCol w:w="2444"/>
        <w:gridCol w:w="1272"/>
        <w:gridCol w:w="1846"/>
        <w:gridCol w:w="1133"/>
        <w:gridCol w:w="1279"/>
        <w:gridCol w:w="1155"/>
      </w:tblGrid>
      <w:tr>
        <w:trPr>
          <w:trHeight w:val="1105" w:hRule="exact"/>
        </w:trPr>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74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64"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占其他应收</w:t>
            </w:r>
          </w:p>
          <w:p>
            <w:pPr>
              <w:pStyle w:val="TableParagraph"/>
              <w:spacing w:line="237" w:lineRule="auto" w:before="2"/>
              <w:ind w:left="105" w:right="103"/>
              <w:jc w:val="center"/>
              <w:rPr>
                <w:rFonts w:ascii="宋体" w:hAnsi="宋体" w:cs="宋体" w:eastAsia="宋体" w:hint="default"/>
                <w:sz w:val="21"/>
                <w:szCs w:val="21"/>
              </w:rPr>
            </w:pPr>
            <w:r>
              <w:rPr>
                <w:rFonts w:ascii="宋体" w:hAnsi="宋体" w:cs="宋体" w:eastAsia="宋体" w:hint="default"/>
                <w:sz w:val="21"/>
                <w:szCs w:val="21"/>
              </w:rPr>
              <w:t>款期末余额</w:t>
            </w:r>
            <w:r>
              <w:rPr>
                <w:rFonts w:ascii="宋体" w:hAnsi="宋体" w:cs="宋体" w:eastAsia="宋体" w:hint="default"/>
                <w:w w:val="100"/>
                <w:sz w:val="21"/>
                <w:szCs w:val="21"/>
              </w:rPr>
              <w:t> </w:t>
            </w:r>
            <w:r>
              <w:rPr>
                <w:rFonts w:ascii="宋体" w:hAnsi="宋体" w:cs="宋体" w:eastAsia="宋体" w:hint="default"/>
                <w:sz w:val="21"/>
                <w:szCs w:val="21"/>
              </w:rPr>
              <w:t>合计数的比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46" w:right="14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8" w:hRule="exact"/>
        </w:trPr>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开发区财政局</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41,616,880.45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41.22</w:t>
            </w:r>
          </w:p>
        </w:tc>
        <w:tc>
          <w:tcPr>
            <w:tcW w:w="115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锦州港现代粮食物流有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35,046,450.61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34.71</w:t>
            </w:r>
          </w:p>
        </w:tc>
        <w:tc>
          <w:tcPr>
            <w:tcW w:w="115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葫芦岛市财政局</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7,380,000.00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7.31</w:t>
            </w:r>
          </w:p>
        </w:tc>
        <w:tc>
          <w:tcPr>
            <w:tcW w:w="115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锦州市财政局</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7,131,510.00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7.06</w:t>
            </w:r>
          </w:p>
        </w:tc>
        <w:tc>
          <w:tcPr>
            <w:tcW w:w="115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方大锦化化工科技股份</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有限公司锦州分公司</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代收代付</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1,083,251.80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1.07</w:t>
            </w:r>
          </w:p>
        </w:tc>
        <w:tc>
          <w:tcPr>
            <w:tcW w:w="115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4"/>
              <w:jc w:val="center"/>
              <w:rPr>
                <w:rFonts w:ascii="宋体" w:hAnsi="宋体" w:cs="宋体" w:eastAsia="宋体" w:hint="default"/>
                <w:sz w:val="21"/>
                <w:szCs w:val="21"/>
              </w:rPr>
            </w:pPr>
            <w:r>
              <w:rPr>
                <w:rFonts w:ascii="宋体"/>
                <w:w w:val="100"/>
                <w:sz w:val="21"/>
              </w:rPr>
              <w:t>/</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92,258,092.86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5"/>
              <w:jc w:val="center"/>
              <w:rPr>
                <w:rFonts w:ascii="宋体" w:hAnsi="宋体" w:cs="宋体" w:eastAsia="宋体" w:hint="default"/>
                <w:sz w:val="21"/>
                <w:szCs w:val="21"/>
              </w:rPr>
            </w:pPr>
            <w:r>
              <w:rPr>
                <w:rFonts w:ascii="宋体"/>
                <w:w w:val="100"/>
                <w:sz w:val="21"/>
              </w:rPr>
              <w:t>/</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91.37</w:t>
            </w:r>
          </w:p>
        </w:tc>
        <w:tc>
          <w:tcPr>
            <w:tcW w:w="115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222" w:right="0"/>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6"/>
        <w:ind w:left="222" w:right="6958"/>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00" w:h="16850"/>
          <w:pgMar w:top="1120" w:bottom="1380" w:left="1480" w:right="900"/>
        </w:sectPr>
      </w:pPr>
    </w:p>
    <w:p>
      <w:pPr>
        <w:pStyle w:val="Heading2"/>
        <w:spacing w:line="240" w:lineRule="auto"/>
        <w:ind w:left="222"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6"/>
        <w:ind w:left="222"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3" w:val="left" w:leader="none"/>
        </w:tabs>
        <w:spacing w:line="240" w:lineRule="auto"/>
        <w:ind w:left="222" w:right="0"/>
        <w:jc w:val="left"/>
      </w:pPr>
      <w:r>
        <w:rPr>
          <w:spacing w:val="-1"/>
        </w:rPr>
        <w:t>单位：元</w:t>
        <w:tab/>
      </w:r>
      <w:r>
        <w:rPr>
          <w:spacing w:val="-2"/>
        </w:rPr>
        <w:t>币种：人民币</w:t>
      </w:r>
    </w:p>
    <w:p>
      <w:pPr>
        <w:spacing w:after="0" w:line="240" w:lineRule="auto"/>
        <w:jc w:val="left"/>
        <w:sectPr>
          <w:type w:val="continuous"/>
          <w:pgSz w:w="11900" w:h="16850"/>
          <w:pgMar w:top="1120" w:bottom="1380" w:left="1480" w:right="900"/>
          <w:cols w:num="2" w:equalWidth="0">
            <w:col w:w="1915" w:space="4841"/>
            <w:col w:w="2764"/>
          </w:cols>
        </w:sectPr>
      </w:pPr>
    </w:p>
    <w:p>
      <w:pPr>
        <w:spacing w:line="240" w:lineRule="auto" w:before="4"/>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524"/>
        <w:gridCol w:w="1743"/>
        <w:gridCol w:w="312"/>
        <w:gridCol w:w="1740"/>
        <w:gridCol w:w="1743"/>
        <w:gridCol w:w="324"/>
        <w:gridCol w:w="1743"/>
      </w:tblGrid>
      <w:tr>
        <w:trPr>
          <w:trHeight w:val="289" w:hRule="exact"/>
        </w:trPr>
        <w:tc>
          <w:tcPr>
            <w:tcW w:w="152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1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104" w:hRule="exact"/>
        </w:trPr>
        <w:tc>
          <w:tcPr>
            <w:tcW w:w="1524" w:type="dxa"/>
            <w:vMerge/>
            <w:tcBorders>
              <w:left w:val="single" w:sz="6" w:space="0" w:color="000000"/>
              <w:bottom w:val="single" w:sz="6" w:space="0" w:color="000000"/>
              <w:right w:val="single" w:sz="6" w:space="0" w:color="000000"/>
            </w:tcBorders>
          </w:tcPr>
          <w:p>
            <w:pP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3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3"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2"/>
              <w:ind w:left="43" w:right="41"/>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3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2"/>
              <w:ind w:left="47" w:right="48"/>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319,506,502.45</w:t>
            </w:r>
          </w:p>
        </w:tc>
        <w:tc>
          <w:tcPr>
            <w:tcW w:w="312"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319,506,502.45</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320,006,502.45</w:t>
            </w:r>
          </w:p>
        </w:tc>
        <w:tc>
          <w:tcPr>
            <w:tcW w:w="324" w:type="dxa"/>
            <w:tcBorders>
              <w:top w:val="single" w:sz="6" w:space="0" w:color="000000"/>
              <w:left w:val="single" w:sz="6" w:space="0" w:color="000000"/>
              <w:bottom w:val="single" w:sz="6" w:space="0" w:color="000000"/>
              <w:right w:val="single" w:sz="6" w:space="0" w:color="000000"/>
            </w:tcBorders>
          </w:tcPr>
          <w:p>
            <w:pP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320,006,502.45</w:t>
            </w:r>
          </w:p>
        </w:tc>
      </w:tr>
      <w:tr>
        <w:trPr>
          <w:trHeight w:val="559" w:hRule="exact"/>
        </w:trPr>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对联营、合营企</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业投资</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852,845,012.70</w:t>
            </w:r>
          </w:p>
        </w:tc>
        <w:tc>
          <w:tcPr>
            <w:tcW w:w="312"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852,845,012.70</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857,338,633.63</w:t>
            </w:r>
          </w:p>
        </w:tc>
        <w:tc>
          <w:tcPr>
            <w:tcW w:w="324" w:type="dxa"/>
            <w:tcBorders>
              <w:top w:val="single" w:sz="6" w:space="0" w:color="000000"/>
              <w:left w:val="single" w:sz="6" w:space="0" w:color="000000"/>
              <w:bottom w:val="single" w:sz="6" w:space="0" w:color="000000"/>
              <w:right w:val="single" w:sz="6" w:space="0" w:color="000000"/>
            </w:tcBorders>
          </w:tcPr>
          <w:p>
            <w:pP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857,338,633.63</w:t>
            </w:r>
          </w:p>
        </w:tc>
      </w:tr>
      <w:tr>
        <w:trPr>
          <w:trHeight w:val="288" w:hRule="exact"/>
        </w:trPr>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1,172,351,515.15</w:t>
            </w:r>
          </w:p>
        </w:tc>
        <w:tc>
          <w:tcPr>
            <w:tcW w:w="312"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1,172,351,515.15</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1,177,345,136.08</w:t>
            </w:r>
          </w:p>
        </w:tc>
        <w:tc>
          <w:tcPr>
            <w:tcW w:w="324" w:type="dxa"/>
            <w:tcBorders>
              <w:top w:val="single" w:sz="6" w:space="0" w:color="000000"/>
              <w:left w:val="single" w:sz="6" w:space="0" w:color="000000"/>
              <w:bottom w:val="single" w:sz="6" w:space="0" w:color="000000"/>
              <w:right w:val="single" w:sz="6" w:space="0" w:color="000000"/>
            </w:tcBorders>
          </w:tcPr>
          <w:p>
            <w:pP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1,177,345,136.08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00" w:h="16850"/>
          <w:pgMar w:top="1120" w:bottom="1380" w:left="1480" w:right="900"/>
        </w:sectPr>
      </w:pPr>
    </w:p>
    <w:p>
      <w:pPr>
        <w:pStyle w:val="Heading2"/>
        <w:spacing w:line="240" w:lineRule="auto"/>
        <w:ind w:left="222" w:right="-20"/>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6"/>
        <w:ind w:left="222"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3" w:val="left" w:leader="none"/>
        </w:tabs>
        <w:spacing w:line="240" w:lineRule="auto"/>
        <w:ind w:left="222" w:right="0"/>
        <w:jc w:val="left"/>
      </w:pPr>
      <w:r>
        <w:rPr>
          <w:spacing w:val="-1"/>
        </w:rPr>
        <w:t>单位：元</w:t>
        <w:tab/>
      </w:r>
      <w:r>
        <w:rPr>
          <w:spacing w:val="-2"/>
        </w:rPr>
        <w:t>币种：人民币</w:t>
      </w:r>
    </w:p>
    <w:p>
      <w:pPr>
        <w:spacing w:after="0" w:line="240" w:lineRule="auto"/>
        <w:jc w:val="left"/>
        <w:sectPr>
          <w:type w:val="continuous"/>
          <w:pgSz w:w="11900" w:h="16850"/>
          <w:pgMar w:top="1120" w:bottom="1380" w:left="1480" w:right="900"/>
          <w:cols w:num="2" w:equalWidth="0">
            <w:col w:w="1915" w:space="4841"/>
            <w:col w:w="2764"/>
          </w:cols>
        </w:sectPr>
      </w:pP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399"/>
        <w:gridCol w:w="1685"/>
        <w:gridCol w:w="1476"/>
        <w:gridCol w:w="1476"/>
        <w:gridCol w:w="1688"/>
        <w:gridCol w:w="780"/>
        <w:gridCol w:w="778"/>
      </w:tblGrid>
      <w:tr>
        <w:trPr>
          <w:trHeight w:val="828" w:hRule="exact"/>
        </w:trPr>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40" w:lineRule="auto"/>
              <w:ind w:left="175" w:right="17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40" w:lineRule="auto"/>
              <w:ind w:left="172" w:right="171"/>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p>
        </w:tc>
      </w:tr>
    </w:tbl>
    <w:p>
      <w:pPr>
        <w:spacing w:after="0" w:line="240" w:lineRule="auto"/>
        <w:jc w:val="left"/>
        <w:rPr>
          <w:rFonts w:ascii="宋体" w:hAnsi="宋体" w:cs="宋体" w:eastAsia="宋体" w:hint="default"/>
          <w:sz w:val="21"/>
          <w:szCs w:val="21"/>
        </w:rPr>
        <w:sectPr>
          <w:type w:val="continuous"/>
          <w:pgSz w:w="11900" w:h="16850"/>
          <w:pgMar w:top="1120" w:bottom="1380" w:left="14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tbl>
      <w:tblPr>
        <w:tblW w:w="0" w:type="auto"/>
        <w:jc w:val="left"/>
        <w:tblInd w:w="989" w:type="dxa"/>
        <w:tblLayout w:type="fixed"/>
        <w:tblCellMar>
          <w:top w:w="0" w:type="dxa"/>
          <w:left w:w="0" w:type="dxa"/>
          <w:bottom w:w="0" w:type="dxa"/>
          <w:right w:w="0" w:type="dxa"/>
        </w:tblCellMar>
        <w:tblLook w:val="01E0"/>
      </w:tblPr>
      <w:tblGrid>
        <w:gridCol w:w="1399"/>
        <w:gridCol w:w="1685"/>
        <w:gridCol w:w="1476"/>
        <w:gridCol w:w="1476"/>
        <w:gridCol w:w="1688"/>
        <w:gridCol w:w="780"/>
        <w:gridCol w:w="778"/>
      </w:tblGrid>
      <w:tr>
        <w:trPr>
          <w:trHeight w:val="283" w:hRule="exact"/>
        </w:trPr>
        <w:tc>
          <w:tcPr>
            <w:tcW w:w="139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余额</w:t>
            </w:r>
          </w:p>
        </w:tc>
      </w:tr>
      <w:tr>
        <w:trPr>
          <w:trHeight w:val="826" w:hRule="exact"/>
        </w:trPr>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锦州兴港工</w:t>
            </w:r>
          </w:p>
          <w:p>
            <w:pPr>
              <w:pStyle w:val="TableParagraph"/>
              <w:spacing w:line="240" w:lineRule="auto"/>
              <w:ind w:left="103" w:right="230"/>
              <w:jc w:val="left"/>
              <w:rPr>
                <w:rFonts w:ascii="宋体" w:hAnsi="宋体" w:cs="宋体" w:eastAsia="宋体" w:hint="default"/>
                <w:sz w:val="21"/>
                <w:szCs w:val="21"/>
              </w:rPr>
            </w:pPr>
            <w:r>
              <w:rPr>
                <w:rFonts w:ascii="宋体" w:hAnsi="宋体" w:cs="宋体" w:eastAsia="宋体" w:hint="default"/>
                <w:sz w:val="21"/>
                <w:szCs w:val="21"/>
              </w:rPr>
              <w:t>程监理有限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1,520,000.00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1,520,000.00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锦州港集铁</w:t>
            </w:r>
          </w:p>
          <w:p>
            <w:pPr>
              <w:pStyle w:val="TableParagraph"/>
              <w:spacing w:line="272" w:lineRule="exact" w:before="27"/>
              <w:ind w:left="103" w:right="230"/>
              <w:jc w:val="left"/>
              <w:rPr>
                <w:rFonts w:ascii="宋体" w:hAnsi="宋体" w:cs="宋体" w:eastAsia="宋体" w:hint="default"/>
                <w:sz w:val="21"/>
                <w:szCs w:val="21"/>
              </w:rPr>
            </w:pPr>
            <w:r>
              <w:rPr>
                <w:rFonts w:ascii="宋体" w:hAnsi="宋体" w:cs="宋体" w:eastAsia="宋体" w:hint="default"/>
                <w:sz w:val="21"/>
                <w:szCs w:val="21"/>
              </w:rPr>
              <w:t>物流有限公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5,500,000.00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锦州港物流</w:t>
            </w:r>
          </w:p>
          <w:p>
            <w:pPr>
              <w:pStyle w:val="TableParagraph"/>
              <w:spacing w:line="272" w:lineRule="exact" w:before="27"/>
              <w:ind w:left="103" w:right="230"/>
              <w:jc w:val="left"/>
              <w:rPr>
                <w:rFonts w:ascii="宋体" w:hAnsi="宋体" w:cs="宋体" w:eastAsia="宋体" w:hint="default"/>
                <w:sz w:val="21"/>
                <w:szCs w:val="21"/>
              </w:rPr>
            </w:pPr>
            <w:r>
              <w:rPr>
                <w:rFonts w:ascii="宋体" w:hAnsi="宋体" w:cs="宋体" w:eastAsia="宋体" w:hint="default"/>
                <w:sz w:val="21"/>
                <w:szCs w:val="21"/>
              </w:rPr>
              <w:t>发展有限公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23,500,000.00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23,500,000.00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锦州港现代</w:t>
            </w:r>
          </w:p>
          <w:p>
            <w:pPr>
              <w:pStyle w:val="TableParagraph"/>
              <w:spacing w:line="240" w:lineRule="auto"/>
              <w:ind w:left="103" w:right="230"/>
              <w:jc w:val="left"/>
              <w:rPr>
                <w:rFonts w:ascii="宋体" w:hAnsi="宋体" w:cs="宋体" w:eastAsia="宋体" w:hint="default"/>
                <w:sz w:val="21"/>
                <w:szCs w:val="21"/>
              </w:rPr>
            </w:pPr>
            <w:r>
              <w:rPr>
                <w:rFonts w:ascii="宋体" w:hAnsi="宋体" w:cs="宋体" w:eastAsia="宋体" w:hint="default"/>
                <w:sz w:val="21"/>
                <w:szCs w:val="21"/>
              </w:rPr>
              <w:t>粮食物流有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289,386,502.45</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289,386,502.45</w:t>
            </w:r>
          </w:p>
        </w:tc>
        <w:tc>
          <w:tcPr>
            <w:tcW w:w="78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哈尔滨锦州</w:t>
            </w:r>
          </w:p>
          <w:p>
            <w:pPr>
              <w:pStyle w:val="TableParagraph"/>
              <w:spacing w:line="272" w:lineRule="exact" w:before="27"/>
              <w:ind w:left="103" w:right="230"/>
              <w:jc w:val="left"/>
              <w:rPr>
                <w:rFonts w:ascii="宋体" w:hAnsi="宋体" w:cs="宋体" w:eastAsia="宋体" w:hint="default"/>
                <w:sz w:val="21"/>
                <w:szCs w:val="21"/>
              </w:rPr>
            </w:pPr>
            <w:r>
              <w:rPr>
                <w:rFonts w:ascii="宋体" w:hAnsi="宋体" w:cs="宋体" w:eastAsia="宋体" w:hint="default"/>
                <w:sz w:val="21"/>
                <w:szCs w:val="21"/>
              </w:rPr>
              <w:t>港物流代理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锦港海洋石</w:t>
            </w:r>
          </w:p>
          <w:p>
            <w:pPr>
              <w:pStyle w:val="TableParagraph"/>
              <w:spacing w:line="240" w:lineRule="auto"/>
              <w:ind w:left="103" w:right="230"/>
              <w:jc w:val="left"/>
              <w:rPr>
                <w:rFonts w:ascii="宋体" w:hAnsi="宋体" w:cs="宋体" w:eastAsia="宋体" w:hint="default"/>
                <w:sz w:val="21"/>
                <w:szCs w:val="21"/>
              </w:rPr>
            </w:pPr>
            <w:r>
              <w:rPr>
                <w:rFonts w:ascii="宋体" w:hAnsi="宋体" w:cs="宋体" w:eastAsia="宋体" w:hint="default"/>
                <w:sz w:val="21"/>
                <w:szCs w:val="21"/>
              </w:rPr>
              <w:t>化贸易有限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320,006,502.45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5,500,000.00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319,506,502.45</w:t>
            </w:r>
          </w:p>
        </w:tc>
        <w:tc>
          <w:tcPr>
            <w:tcW w:w="78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49"/>
          <w:pgSz w:w="11900" w:h="16850"/>
          <w:pgMar w:header="762" w:footer="941" w:top="1080" w:bottom="1140" w:left="600" w:right="360"/>
        </w:sectPr>
      </w:pPr>
    </w:p>
    <w:p>
      <w:pPr>
        <w:pStyle w:val="Heading2"/>
        <w:spacing w:line="240" w:lineRule="auto"/>
        <w:ind w:left="1102" w:right="-19"/>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6"/>
        <w:ind w:left="1102"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153" w:val="left" w:leader="none"/>
        </w:tabs>
        <w:spacing w:line="240" w:lineRule="auto"/>
        <w:ind w:left="1102" w:right="0"/>
        <w:jc w:val="left"/>
      </w:pPr>
      <w:r>
        <w:rPr>
          <w:spacing w:val="-1"/>
        </w:rPr>
        <w:t>单位：元</w:t>
        <w:tab/>
      </w:r>
      <w:r>
        <w:rPr>
          <w:spacing w:val="-2"/>
        </w:rPr>
        <w:t>币种：人民币</w:t>
      </w:r>
    </w:p>
    <w:p>
      <w:pPr>
        <w:spacing w:after="0" w:line="240" w:lineRule="auto"/>
        <w:jc w:val="left"/>
        <w:sectPr>
          <w:type w:val="continuous"/>
          <w:pgSz w:w="11900" w:h="16850"/>
          <w:pgMar w:top="1120" w:bottom="1380" w:left="600" w:right="360"/>
          <w:cols w:num="2" w:equalWidth="0">
            <w:col w:w="3637" w:space="3118"/>
            <w:col w:w="4185"/>
          </w:cols>
        </w:sectPr>
      </w:pPr>
    </w:p>
    <w:p>
      <w:pPr>
        <w:spacing w:line="240" w:lineRule="auto" w:before="4"/>
        <w:rPr>
          <w:rFonts w:ascii="宋体" w:hAnsi="宋体" w:cs="宋体" w:eastAsia="宋体" w:hint="default"/>
          <w:sz w:val="2"/>
          <w:szCs w:val="2"/>
        </w:rPr>
      </w:pPr>
      <w:r>
        <w:rPr/>
        <w:pict>
          <v:group style="position:absolute;margin-left:83.664001pt;margin-top:49.919979pt;width:455.15pt;height:.1pt;mso-position-horizontal-relative:page;mso-position-vertical-relative:page;z-index:1168" coordorigin="1673,998" coordsize="9103,2">
            <v:shape style="position:absolute;left:1673;top:998;width:9103;height:2" coordorigin="1673,998" coordsize="9103,0" path="m1673,998l10776,998e" filled="false" stroked="true" strokeweight=".72pt" strokecolor="#000000">
              <v:path arrowok="t"/>
            </v:shape>
            <w10:wrap type="none"/>
          </v:group>
        </w:pict>
      </w:r>
    </w:p>
    <w:tbl>
      <w:tblPr>
        <w:tblW w:w="0" w:type="auto"/>
        <w:jc w:val="left"/>
        <w:tblInd w:w="103" w:type="dxa"/>
        <w:tblLayout w:type="fixed"/>
        <w:tblCellMar>
          <w:top w:w="0" w:type="dxa"/>
          <w:left w:w="0" w:type="dxa"/>
          <w:bottom w:w="0" w:type="dxa"/>
          <w:right w:w="0" w:type="dxa"/>
        </w:tblCellMar>
        <w:tblLook w:val="01E0"/>
      </w:tblPr>
      <w:tblGrid>
        <w:gridCol w:w="1373"/>
        <w:gridCol w:w="1279"/>
        <w:gridCol w:w="1174"/>
        <w:gridCol w:w="370"/>
        <w:gridCol w:w="1193"/>
        <w:gridCol w:w="566"/>
        <w:gridCol w:w="602"/>
        <w:gridCol w:w="1241"/>
        <w:gridCol w:w="614"/>
        <w:gridCol w:w="386"/>
        <w:gridCol w:w="1270"/>
        <w:gridCol w:w="638"/>
      </w:tblGrid>
      <w:tr>
        <w:trPr>
          <w:trHeight w:val="204" w:hRule="exact"/>
        </w:trPr>
        <w:tc>
          <w:tcPr>
            <w:tcW w:w="137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530" w:right="528"/>
              <w:jc w:val="center"/>
              <w:rPr>
                <w:rFonts w:ascii="宋体" w:hAnsi="宋体" w:cs="宋体" w:eastAsia="宋体" w:hint="default"/>
                <w:sz w:val="15"/>
                <w:szCs w:val="15"/>
              </w:rPr>
            </w:pPr>
            <w:r>
              <w:rPr>
                <w:rFonts w:ascii="宋体" w:hAnsi="宋体" w:cs="宋体" w:eastAsia="宋体" w:hint="default"/>
                <w:sz w:val="15"/>
                <w:szCs w:val="15"/>
              </w:rPr>
              <w:t>投资</w:t>
            </w:r>
            <w:r>
              <w:rPr>
                <w:rFonts w:ascii="宋体" w:hAnsi="宋体" w:cs="宋体" w:eastAsia="宋体" w:hint="default"/>
                <w:w w:val="100"/>
                <w:sz w:val="15"/>
                <w:szCs w:val="15"/>
              </w:rPr>
              <w:t> </w:t>
            </w:r>
            <w:r>
              <w:rPr>
                <w:rFonts w:ascii="宋体" w:hAnsi="宋体" w:cs="宋体" w:eastAsia="宋体" w:hint="default"/>
                <w:sz w:val="15"/>
                <w:szCs w:val="15"/>
              </w:rPr>
              <w:t>单位</w:t>
            </w:r>
          </w:p>
        </w:tc>
        <w:tc>
          <w:tcPr>
            <w:tcW w:w="12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484" w:right="480"/>
              <w:jc w:val="center"/>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6148" w:type="dxa"/>
            <w:gridSpan w:val="8"/>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477" w:right="478"/>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638" w:type="dxa"/>
            <w:vMerge w:val="restart"/>
            <w:tcBorders>
              <w:top w:val="single" w:sz="4" w:space="0" w:color="000000"/>
              <w:left w:val="single" w:sz="4" w:space="0" w:color="000000"/>
              <w:right w:val="single" w:sz="4" w:space="0" w:color="000000"/>
            </w:tcBorders>
          </w:tcPr>
          <w:p>
            <w:pPr>
              <w:pStyle w:val="TableParagraph"/>
              <w:spacing w:line="240" w:lineRule="auto" w:before="79"/>
              <w:ind w:left="163" w:right="161"/>
              <w:jc w:val="both"/>
              <w:rPr>
                <w:rFonts w:ascii="宋体" w:hAnsi="宋体" w:cs="宋体" w:eastAsia="宋体" w:hint="default"/>
                <w:sz w:val="15"/>
                <w:szCs w:val="15"/>
              </w:rPr>
            </w:pP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r>
              <w:rPr>
                <w:rFonts w:ascii="宋体" w:hAnsi="宋体" w:cs="宋体" w:eastAsia="宋体" w:hint="default"/>
                <w:spacing w:val="-73"/>
                <w:sz w:val="15"/>
                <w:szCs w:val="15"/>
              </w:rPr>
              <w:t> </w:t>
            </w:r>
            <w:r>
              <w:rPr>
                <w:rFonts w:ascii="宋体" w:hAnsi="宋体" w:cs="宋体" w:eastAsia="宋体" w:hint="default"/>
                <w:sz w:val="15"/>
                <w:szCs w:val="15"/>
              </w:rPr>
              <w:t>期末</w:t>
            </w:r>
            <w:r>
              <w:rPr>
                <w:rFonts w:ascii="宋体" w:hAnsi="宋体" w:cs="宋体" w:eastAsia="宋体" w:hint="default"/>
                <w:spacing w:val="-73"/>
                <w:sz w:val="15"/>
                <w:szCs w:val="15"/>
              </w:rPr>
              <w:t> </w:t>
            </w:r>
            <w:r>
              <w:rPr>
                <w:rFonts w:ascii="宋体" w:hAnsi="宋体" w:cs="宋体" w:eastAsia="宋体" w:hint="default"/>
                <w:sz w:val="15"/>
                <w:szCs w:val="15"/>
              </w:rPr>
              <w:t>余额</w:t>
            </w:r>
          </w:p>
        </w:tc>
      </w:tr>
      <w:tr>
        <w:trPr>
          <w:trHeight w:val="790" w:hRule="exact"/>
        </w:trPr>
        <w:tc>
          <w:tcPr>
            <w:tcW w:w="1373" w:type="dxa"/>
            <w:vMerge/>
            <w:tcBorders>
              <w:left w:val="single" w:sz="4" w:space="0" w:color="000000"/>
              <w:bottom w:val="single" w:sz="4" w:space="0" w:color="000000"/>
              <w:right w:val="single" w:sz="4" w:space="0" w:color="000000"/>
            </w:tcBorders>
          </w:tcPr>
          <w:p>
            <w:pPr/>
          </w:p>
        </w:tc>
        <w:tc>
          <w:tcPr>
            <w:tcW w:w="1279" w:type="dxa"/>
            <w:vMerge/>
            <w:tcBorders>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15"/>
                <w:szCs w:val="15"/>
              </w:rPr>
            </w:pPr>
            <w:r>
              <w:rPr>
                <w:rFonts w:ascii="宋体" w:hAnsi="宋体" w:cs="宋体" w:eastAsia="宋体" w:hint="default"/>
                <w:sz w:val="15"/>
                <w:szCs w:val="15"/>
              </w:rPr>
              <w:t>追加投资</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减</w:t>
            </w:r>
          </w:p>
          <w:p>
            <w:pPr>
              <w:pStyle w:val="TableParagraph"/>
              <w:spacing w:line="240" w:lineRule="auto"/>
              <w:ind w:left="103" w:right="103"/>
              <w:jc w:val="both"/>
              <w:rPr>
                <w:rFonts w:ascii="宋体" w:hAnsi="宋体" w:cs="宋体" w:eastAsia="宋体" w:hint="default"/>
                <w:sz w:val="15"/>
                <w:szCs w:val="15"/>
              </w:rPr>
            </w:pPr>
            <w:r>
              <w:rPr>
                <w:rFonts w:ascii="宋体" w:hAnsi="宋体" w:cs="宋体" w:eastAsia="宋体" w:hint="default"/>
                <w:sz w:val="15"/>
                <w:szCs w:val="15"/>
              </w:rPr>
              <w:t>少</w:t>
            </w:r>
            <w:r>
              <w:rPr>
                <w:rFonts w:ascii="宋体" w:hAnsi="宋体" w:cs="宋体" w:eastAsia="宋体" w:hint="default"/>
                <w:w w:val="100"/>
                <w:sz w:val="15"/>
                <w:szCs w:val="15"/>
              </w:rPr>
              <w:t> </w:t>
            </w:r>
            <w:r>
              <w:rPr>
                <w:rFonts w:ascii="宋体" w:hAnsi="宋体" w:cs="宋体" w:eastAsia="宋体" w:hint="default"/>
                <w:sz w:val="15"/>
                <w:szCs w:val="15"/>
              </w:rPr>
              <w:t>投</w:t>
            </w:r>
            <w:r>
              <w:rPr>
                <w:rFonts w:ascii="宋体" w:hAnsi="宋体" w:cs="宋体" w:eastAsia="宋体" w:hint="default"/>
                <w:w w:val="100"/>
                <w:sz w:val="15"/>
                <w:szCs w:val="15"/>
              </w:rPr>
              <w:t> </w:t>
            </w:r>
            <w:r>
              <w:rPr>
                <w:rFonts w:ascii="宋体" w:hAnsi="宋体" w:cs="宋体" w:eastAsia="宋体" w:hint="default"/>
                <w:sz w:val="15"/>
                <w:szCs w:val="15"/>
              </w:rPr>
              <w:t>资</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16" w:right="137" w:hanging="75"/>
              <w:jc w:val="left"/>
              <w:rPr>
                <w:rFonts w:ascii="宋体" w:hAnsi="宋体" w:cs="宋体" w:eastAsia="宋体" w:hint="default"/>
                <w:sz w:val="15"/>
                <w:szCs w:val="15"/>
              </w:rPr>
            </w:pPr>
            <w:r>
              <w:rPr>
                <w:rFonts w:ascii="宋体" w:hAnsi="宋体" w:cs="宋体" w:eastAsia="宋体" w:hint="default"/>
                <w:sz w:val="15"/>
                <w:szCs w:val="15"/>
              </w:rPr>
              <w:t>权益法下确认</w:t>
            </w:r>
            <w:r>
              <w:rPr>
                <w:rFonts w:ascii="宋体" w:hAnsi="宋体" w:cs="宋体" w:eastAsia="宋体" w:hint="default"/>
                <w:w w:val="100"/>
                <w:sz w:val="15"/>
                <w:szCs w:val="15"/>
              </w:rPr>
              <w:t> </w:t>
            </w:r>
            <w:r>
              <w:rPr>
                <w:rFonts w:ascii="宋体" w:hAnsi="宋体" w:cs="宋体" w:eastAsia="宋体" w:hint="default"/>
                <w:sz w:val="15"/>
                <w:szCs w:val="15"/>
              </w:rPr>
              <w:t>的投资损益</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7" w:right="0"/>
              <w:jc w:val="both"/>
              <w:rPr>
                <w:rFonts w:ascii="宋体" w:hAnsi="宋体" w:cs="宋体" w:eastAsia="宋体" w:hint="default"/>
                <w:sz w:val="15"/>
                <w:szCs w:val="15"/>
              </w:rPr>
            </w:pPr>
            <w:r>
              <w:rPr>
                <w:rFonts w:ascii="宋体" w:hAnsi="宋体" w:cs="宋体" w:eastAsia="宋体" w:hint="default"/>
                <w:sz w:val="15"/>
                <w:szCs w:val="15"/>
              </w:rPr>
              <w:t>其他</w:t>
            </w:r>
          </w:p>
          <w:p>
            <w:pPr>
              <w:pStyle w:val="TableParagraph"/>
              <w:spacing w:line="240" w:lineRule="auto"/>
              <w:ind w:left="127" w:right="125"/>
              <w:jc w:val="both"/>
              <w:rPr>
                <w:rFonts w:ascii="宋体" w:hAnsi="宋体" w:cs="宋体" w:eastAsia="宋体" w:hint="default"/>
                <w:sz w:val="15"/>
                <w:szCs w:val="15"/>
              </w:rPr>
            </w:pPr>
            <w:r>
              <w:rPr>
                <w:rFonts w:ascii="宋体" w:hAnsi="宋体" w:cs="宋体" w:eastAsia="宋体" w:hint="default"/>
                <w:sz w:val="15"/>
                <w:szCs w:val="15"/>
              </w:rPr>
              <w:t>综合</w:t>
            </w:r>
            <w:r>
              <w:rPr>
                <w:rFonts w:ascii="宋体" w:hAnsi="宋体" w:cs="宋体" w:eastAsia="宋体" w:hint="default"/>
                <w:spacing w:val="-73"/>
                <w:sz w:val="15"/>
                <w:szCs w:val="15"/>
              </w:rPr>
              <w:t> </w:t>
            </w:r>
            <w:r>
              <w:rPr>
                <w:rFonts w:ascii="宋体" w:hAnsi="宋体" w:cs="宋体" w:eastAsia="宋体" w:hint="default"/>
                <w:sz w:val="15"/>
                <w:szCs w:val="15"/>
              </w:rPr>
              <w:t>收益</w:t>
            </w:r>
            <w:r>
              <w:rPr>
                <w:rFonts w:ascii="宋体" w:hAnsi="宋体" w:cs="宋体" w:eastAsia="宋体" w:hint="default"/>
                <w:spacing w:val="-73"/>
                <w:sz w:val="15"/>
                <w:szCs w:val="15"/>
              </w:rPr>
              <w:t> </w:t>
            </w:r>
            <w:r>
              <w:rPr>
                <w:rFonts w:ascii="宋体" w:hAnsi="宋体" w:cs="宋体" w:eastAsia="宋体" w:hint="default"/>
                <w:sz w:val="15"/>
                <w:szCs w:val="15"/>
              </w:rPr>
              <w:t>调整</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46" w:right="143"/>
              <w:jc w:val="both"/>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pacing w:val="-73"/>
                <w:sz w:val="15"/>
                <w:szCs w:val="15"/>
              </w:rPr>
              <w:t> </w:t>
            </w:r>
            <w:r>
              <w:rPr>
                <w:rFonts w:ascii="宋体" w:hAnsi="宋体" w:cs="宋体" w:eastAsia="宋体" w:hint="default"/>
                <w:sz w:val="15"/>
                <w:szCs w:val="15"/>
              </w:rPr>
              <w:t>权益</w:t>
            </w:r>
            <w:r>
              <w:rPr>
                <w:rFonts w:ascii="宋体" w:hAnsi="宋体" w:cs="宋体" w:eastAsia="宋体" w:hint="default"/>
                <w:spacing w:val="-73"/>
                <w:sz w:val="15"/>
                <w:szCs w:val="15"/>
              </w:rPr>
              <w:t> </w:t>
            </w:r>
            <w:r>
              <w:rPr>
                <w:rFonts w:ascii="宋体" w:hAnsi="宋体" w:cs="宋体" w:eastAsia="宋体" w:hint="default"/>
                <w:sz w:val="15"/>
                <w:szCs w:val="15"/>
              </w:rPr>
              <w:t>变动</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9" w:right="161" w:hanging="75"/>
              <w:jc w:val="left"/>
              <w:rPr>
                <w:rFonts w:ascii="宋体" w:hAnsi="宋体" w:cs="宋体" w:eastAsia="宋体" w:hint="default"/>
                <w:sz w:val="15"/>
                <w:szCs w:val="15"/>
              </w:rPr>
            </w:pPr>
            <w:r>
              <w:rPr>
                <w:rFonts w:ascii="宋体" w:hAnsi="宋体" w:cs="宋体" w:eastAsia="宋体" w:hint="default"/>
                <w:sz w:val="15"/>
                <w:szCs w:val="15"/>
              </w:rPr>
              <w:t>宣告发放现金</w:t>
            </w:r>
            <w:r>
              <w:rPr>
                <w:rFonts w:ascii="宋体" w:hAnsi="宋体" w:cs="宋体" w:eastAsia="宋体" w:hint="default"/>
                <w:w w:val="100"/>
                <w:sz w:val="15"/>
                <w:szCs w:val="15"/>
              </w:rPr>
              <w:t> </w:t>
            </w:r>
            <w:r>
              <w:rPr>
                <w:rFonts w:ascii="宋体" w:hAnsi="宋体" w:cs="宋体" w:eastAsia="宋体" w:hint="default"/>
                <w:sz w:val="15"/>
                <w:szCs w:val="15"/>
              </w:rPr>
              <w:t>股利或利润</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51" w:right="149"/>
              <w:jc w:val="both"/>
              <w:rPr>
                <w:rFonts w:ascii="宋体" w:hAnsi="宋体" w:cs="宋体" w:eastAsia="宋体" w:hint="default"/>
                <w:sz w:val="15"/>
                <w:szCs w:val="15"/>
              </w:rPr>
            </w:pPr>
            <w:r>
              <w:rPr>
                <w:rFonts w:ascii="宋体" w:hAnsi="宋体" w:cs="宋体" w:eastAsia="宋体" w:hint="default"/>
                <w:sz w:val="15"/>
                <w:szCs w:val="15"/>
              </w:rPr>
              <w:t>计提</w:t>
            </w:r>
            <w:r>
              <w:rPr>
                <w:rFonts w:ascii="宋体" w:hAnsi="宋体" w:cs="宋体" w:eastAsia="宋体" w:hint="default"/>
                <w:spacing w:val="-73"/>
                <w:sz w:val="15"/>
                <w:szCs w:val="15"/>
              </w:rPr>
              <w:t> </w:t>
            </w: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10" w:right="113"/>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27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r>
      <w:tr>
        <w:trPr>
          <w:trHeight w:val="204"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一、合营企业</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辽宁锦港宝地置</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业有限公司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58,312,430.42</w:t>
            </w:r>
          </w:p>
        </w:tc>
        <w:tc>
          <w:tcPr>
            <w:tcW w:w="117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8,634,670.96</w:t>
            </w:r>
          </w:p>
        </w:tc>
        <w:tc>
          <w:tcPr>
            <w:tcW w:w="56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10,000,000.00</w:t>
            </w:r>
          </w:p>
        </w:tc>
        <w:tc>
          <w:tcPr>
            <w:tcW w:w="61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56,947,101.38</w:t>
            </w: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58,312,430.42</w:t>
            </w:r>
          </w:p>
        </w:tc>
        <w:tc>
          <w:tcPr>
            <w:tcW w:w="117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8,634,670.96</w:t>
            </w:r>
          </w:p>
        </w:tc>
        <w:tc>
          <w:tcPr>
            <w:tcW w:w="56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10,000,000.00</w:t>
            </w:r>
          </w:p>
        </w:tc>
        <w:tc>
          <w:tcPr>
            <w:tcW w:w="61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56,947,101.38</w:t>
            </w: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二、联营企业</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锦州新时代集装</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箱码头有限公司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2"/>
                <w:sz w:val="15"/>
              </w:rPr>
              <w:t>99,633,247.71</w:t>
            </w:r>
          </w:p>
        </w:tc>
        <w:tc>
          <w:tcPr>
            <w:tcW w:w="117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-22,662.54</w:t>
            </w:r>
          </w:p>
        </w:tc>
        <w:tc>
          <w:tcPr>
            <w:tcW w:w="56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3"/>
              <w:jc w:val="right"/>
              <w:rPr>
                <w:rFonts w:ascii="宋体" w:hAnsi="宋体" w:cs="宋体" w:eastAsia="宋体" w:hint="default"/>
                <w:sz w:val="15"/>
                <w:szCs w:val="15"/>
              </w:rPr>
            </w:pPr>
            <w:r>
              <w:rPr>
                <w:rFonts w:ascii="宋体"/>
                <w:spacing w:val="-2"/>
                <w:sz w:val="15"/>
              </w:rPr>
              <w:t>99,610,585.17</w:t>
            </w: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锦州中理外轮理</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货有限公司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8,453,968.67</w:t>
            </w:r>
          </w:p>
        </w:tc>
        <w:tc>
          <w:tcPr>
            <w:tcW w:w="117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604,137.64</w:t>
            </w:r>
          </w:p>
        </w:tc>
        <w:tc>
          <w:tcPr>
            <w:tcW w:w="56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2"/>
                <w:sz w:val="15"/>
              </w:rPr>
              <w:t>9,058,106.31</w:t>
            </w: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中电投锦州港口</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有限责任公司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142,863,693.28</w:t>
            </w:r>
          </w:p>
        </w:tc>
        <w:tc>
          <w:tcPr>
            <w:tcW w:w="117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-540,035.14</w:t>
            </w:r>
          </w:p>
        </w:tc>
        <w:tc>
          <w:tcPr>
            <w:tcW w:w="56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142,323,658.14</w:t>
            </w: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中丝锦州化工品</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港储有限公司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22,189,771.37</w:t>
            </w:r>
          </w:p>
        </w:tc>
        <w:tc>
          <w:tcPr>
            <w:tcW w:w="117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-1,503,206.13</w:t>
            </w:r>
          </w:p>
        </w:tc>
        <w:tc>
          <w:tcPr>
            <w:tcW w:w="56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3"/>
              <w:jc w:val="right"/>
              <w:rPr>
                <w:rFonts w:ascii="宋体" w:hAnsi="宋体" w:cs="宋体" w:eastAsia="宋体" w:hint="default"/>
                <w:sz w:val="15"/>
                <w:szCs w:val="15"/>
              </w:rPr>
            </w:pPr>
            <w:r>
              <w:rPr>
                <w:rFonts w:ascii="宋体"/>
                <w:spacing w:val="-2"/>
                <w:sz w:val="15"/>
              </w:rPr>
              <w:t>20,686,565.24</w:t>
            </w: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锦港国际贸易发</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展有限公司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525,908,430.74</w:t>
            </w:r>
          </w:p>
        </w:tc>
        <w:tc>
          <w:tcPr>
            <w:tcW w:w="1174"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20,910,252.38</w:t>
            </w:r>
          </w:p>
        </w:tc>
        <w:tc>
          <w:tcPr>
            <w:tcW w:w="56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23,317,587.67</w:t>
            </w:r>
          </w:p>
        </w:tc>
        <w:tc>
          <w:tcPr>
            <w:tcW w:w="61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523,501,095.45</w:t>
            </w: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辽宁沈哈红运物</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流锦州有限公司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-22,908.56</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62" w:right="0"/>
              <w:jc w:val="center"/>
              <w:rPr>
                <w:rFonts w:ascii="宋体" w:hAnsi="宋体" w:cs="宋体" w:eastAsia="宋体" w:hint="default"/>
                <w:sz w:val="15"/>
                <w:szCs w:val="15"/>
              </w:rPr>
            </w:pPr>
            <w:r>
              <w:rPr>
                <w:rFonts w:ascii="宋体"/>
                <w:sz w:val="15"/>
              </w:rPr>
              <w:t>1,000,000.00</w:t>
            </w:r>
          </w:p>
        </w:tc>
        <w:tc>
          <w:tcPr>
            <w:tcW w:w="37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-259,190.43</w:t>
            </w:r>
          </w:p>
        </w:tc>
        <w:tc>
          <w:tcPr>
            <w:tcW w:w="56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717,901.01</w:t>
            </w: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799,026,203.21</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62" w:right="0"/>
              <w:jc w:val="center"/>
              <w:rPr>
                <w:rFonts w:ascii="宋体" w:hAnsi="宋体" w:cs="宋体" w:eastAsia="宋体" w:hint="default"/>
                <w:sz w:val="15"/>
                <w:szCs w:val="15"/>
              </w:rPr>
            </w:pPr>
            <w:r>
              <w:rPr>
                <w:rFonts w:ascii="宋体"/>
                <w:sz w:val="15"/>
              </w:rPr>
              <w:t>1,000,000.00</w:t>
            </w:r>
          </w:p>
        </w:tc>
        <w:tc>
          <w:tcPr>
            <w:tcW w:w="37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19,189,295.78</w:t>
            </w:r>
          </w:p>
        </w:tc>
        <w:tc>
          <w:tcPr>
            <w:tcW w:w="56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23,317,587.67</w:t>
            </w:r>
          </w:p>
        </w:tc>
        <w:tc>
          <w:tcPr>
            <w:tcW w:w="61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795,897,911.32</w:t>
            </w: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857,338,633.63</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62" w:right="0"/>
              <w:jc w:val="center"/>
              <w:rPr>
                <w:rFonts w:ascii="宋体" w:hAnsi="宋体" w:cs="宋体" w:eastAsia="宋体" w:hint="default"/>
                <w:sz w:val="15"/>
                <w:szCs w:val="15"/>
              </w:rPr>
            </w:pPr>
            <w:r>
              <w:rPr>
                <w:rFonts w:ascii="宋体"/>
                <w:sz w:val="15"/>
              </w:rPr>
              <w:t>1,000,000.00</w:t>
            </w:r>
          </w:p>
        </w:tc>
        <w:tc>
          <w:tcPr>
            <w:tcW w:w="37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27,823,966.74</w:t>
            </w:r>
          </w:p>
        </w:tc>
        <w:tc>
          <w:tcPr>
            <w:tcW w:w="56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33,317,587.67</w:t>
            </w:r>
          </w:p>
        </w:tc>
        <w:tc>
          <w:tcPr>
            <w:tcW w:w="614"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3"/>
              <w:jc w:val="right"/>
              <w:rPr>
                <w:rFonts w:ascii="宋体" w:hAnsi="宋体" w:cs="宋体" w:eastAsia="宋体" w:hint="default"/>
                <w:sz w:val="15"/>
                <w:szCs w:val="15"/>
              </w:rPr>
            </w:pPr>
            <w:r>
              <w:rPr>
                <w:rFonts w:ascii="宋体"/>
                <w:spacing w:val="-1"/>
                <w:sz w:val="15"/>
              </w:rPr>
              <w:t>852,845,012.70</w:t>
            </w:r>
          </w:p>
        </w:tc>
        <w:tc>
          <w:tcPr>
            <w:tcW w:w="63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7" w:lineRule="auto" w:before="88"/>
        <w:ind w:left="1102" w:right="0" w:firstLine="419"/>
        <w:jc w:val="left"/>
      </w:pPr>
      <w:r>
        <w:rPr>
          <w:spacing w:val="-2"/>
        </w:rPr>
        <w:t>说明：报告期公司与辽宁沈铁红运物流有限公司签订《股权转让合同》，公司将持有辽宁沈哈</w:t>
      </w:r>
      <w:r>
        <w:rPr>
          <w:w w:val="100"/>
        </w:rPr>
        <w:t> </w:t>
      </w:r>
      <w:r>
        <w:rPr>
          <w:spacing w:val="-3"/>
        </w:rPr>
        <w:t>红运物流锦州有限公司（原名锦州港集铁物流有限公司）</w:t>
      </w:r>
      <w:r>
        <w:rPr>
          <w:rFonts w:ascii="宋体" w:hAnsi="宋体" w:cs="宋体" w:eastAsia="宋体" w:hint="default"/>
          <w:spacing w:val="-3"/>
        </w:rPr>
        <w:t>45%</w:t>
      </w:r>
      <w:r>
        <w:rPr>
          <w:spacing w:val="-3"/>
        </w:rPr>
        <w:t>的股权转让给辽宁沈铁红运物流有限公</w:t>
      </w:r>
      <w:r>
        <w:rPr>
          <w:spacing w:val="-48"/>
        </w:rPr>
        <w:t> </w:t>
      </w:r>
      <w:r>
        <w:rPr>
          <w:spacing w:val="-48"/>
        </w:rPr>
      </w:r>
      <w:r>
        <w:rPr/>
        <w:t>司，相关股权转让手续已办理完毕。对剩余</w:t>
      </w:r>
      <w:r>
        <w:rPr>
          <w:spacing w:val="-57"/>
        </w:rPr>
        <w:t> </w:t>
      </w:r>
      <w:r>
        <w:rPr>
          <w:rFonts w:ascii="宋体" w:hAnsi="宋体" w:cs="宋体" w:eastAsia="宋体" w:hint="default"/>
        </w:rPr>
        <w:t>10%</w:t>
      </w:r>
      <w:r>
        <w:rPr/>
        <w:t>的股权，鉴于公司已委派一名董事参与被投资单位</w:t>
      </w:r>
      <w:r>
        <w:rPr>
          <w:spacing w:val="-3"/>
          <w:w w:val="100"/>
        </w:rPr>
        <w:t> </w:t>
      </w:r>
      <w:r>
        <w:rPr>
          <w:spacing w:val="-2"/>
        </w:rPr>
        <w:t>的经营决策，本公司判断对被投资单位具有重大影响。股权处置后对被投资单位的长期股权投资后</w:t>
      </w:r>
      <w:r>
        <w:rPr>
          <w:spacing w:val="-26"/>
        </w:rPr>
        <w:t> </w:t>
      </w:r>
      <w:r>
        <w:rPr>
          <w:spacing w:val="-26"/>
        </w:rPr>
      </w:r>
      <w:r>
        <w:rPr/>
        <w:t>续计量方法由成本法变更为权益法，并进行了追溯调整。</w:t>
      </w:r>
    </w:p>
    <w:p>
      <w:pPr>
        <w:spacing w:after="0" w:line="237" w:lineRule="auto"/>
        <w:jc w:val="left"/>
        <w:sectPr>
          <w:type w:val="continuous"/>
          <w:pgSz w:w="11900" w:h="16850"/>
          <w:pgMar w:top="1120" w:bottom="1380" w:left="600" w:right="360"/>
        </w:sectPr>
      </w:pPr>
    </w:p>
    <w:p>
      <w:pPr>
        <w:spacing w:line="240" w:lineRule="auto" w:before="3"/>
        <w:rPr>
          <w:rFonts w:ascii="宋体" w:hAnsi="宋体" w:cs="宋体" w:eastAsia="宋体" w:hint="default"/>
          <w:sz w:val="2"/>
          <w:szCs w:val="2"/>
        </w:rPr>
      </w:pPr>
    </w:p>
    <w:p>
      <w:pPr>
        <w:spacing w:line="20" w:lineRule="exact"/>
        <w:ind w:left="186" w:right="0" w:firstLine="0"/>
        <w:rPr>
          <w:rFonts w:ascii="宋体" w:hAnsi="宋体" w:cs="宋体" w:eastAsia="宋体" w:hint="default"/>
          <w:sz w:val="2"/>
          <w:szCs w:val="2"/>
        </w:rPr>
      </w:pPr>
      <w:r>
        <w:rPr>
          <w:rFonts w:ascii="宋体" w:hAnsi="宋体" w:cs="宋体" w:eastAsia="宋体" w:hint="default"/>
          <w:sz w:val="2"/>
          <w:szCs w:val="2"/>
        </w:rPr>
        <w:pict>
          <v:group style="width:455.9pt;height:.75pt;mso-position-horizontal-relative:char;mso-position-vertical-relative:line" coordorigin="0,0" coordsize="9118,15">
            <v:group style="position:absolute;left:7;top:7;width:9103;height:2" coordorigin="7,7" coordsize="9103,2">
              <v:shape style="position:absolute;left:7;top:7;width:9103;height:2" coordorigin="7,7" coordsize="9103,0" path="m7,7l911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2"/>
        <w:spacing w:line="240" w:lineRule="auto"/>
        <w:ind w:left="222" w:right="0"/>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1051" w:val="left" w:leader="none"/>
        </w:tabs>
        <w:spacing w:line="240" w:lineRule="auto" w:before="58"/>
        <w:ind w:left="0" w:right="226"/>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908"/>
        <w:gridCol w:w="1897"/>
        <w:gridCol w:w="1685"/>
        <w:gridCol w:w="1897"/>
        <w:gridCol w:w="1896"/>
      </w:tblGrid>
      <w:tr>
        <w:trPr>
          <w:trHeight w:val="283" w:hRule="exact"/>
        </w:trPr>
        <w:tc>
          <w:tcPr>
            <w:tcW w:w="1908"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1908"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1,206,180,149.11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960,046,777.57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1,341,493,650.18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1,071,457,562.49</w:t>
            </w:r>
          </w:p>
        </w:tc>
      </w:tr>
      <w:tr>
        <w:trPr>
          <w:trHeight w:val="283"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120,340,310.10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12,677,771.27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541,239,779.49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447,643,857.55</w:t>
            </w:r>
          </w:p>
        </w:tc>
      </w:tr>
      <w:tr>
        <w:trPr>
          <w:trHeight w:val="281"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1,326,520,459.21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972,724,548.84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1,882,733,429.67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1,519,101,420.04</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50"/>
          <w:pgSz w:w="11900" w:h="16850"/>
          <w:pgMar w:footer="1195" w:header="762" w:top="1080" w:bottom="1380" w:left="1480" w:right="900"/>
          <w:pgNumType w:start="113"/>
        </w:sectPr>
      </w:pPr>
    </w:p>
    <w:p>
      <w:pPr>
        <w:pStyle w:val="Heading2"/>
        <w:spacing w:line="240" w:lineRule="auto"/>
        <w:ind w:left="222" w:right="-19"/>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7"/>
        <w:ind w:left="222"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73" w:val="left" w:leader="none"/>
        </w:tabs>
        <w:spacing w:line="240" w:lineRule="auto"/>
        <w:ind w:left="222" w:right="0"/>
        <w:jc w:val="left"/>
      </w:pPr>
      <w:r>
        <w:rPr>
          <w:spacing w:val="-1"/>
        </w:rPr>
        <w:t>单位：元</w:t>
        <w:tab/>
        <w:t>币种：人民币</w:t>
      </w:r>
    </w:p>
    <w:p>
      <w:pPr>
        <w:spacing w:after="0" w:line="240" w:lineRule="auto"/>
        <w:jc w:val="left"/>
        <w:sectPr>
          <w:type w:val="continuous"/>
          <w:pgSz w:w="11900" w:h="16850"/>
          <w:pgMar w:top="1120" w:bottom="1380" w:left="1480" w:right="900"/>
          <w:cols w:num="2" w:equalWidth="0">
            <w:col w:w="1799" w:space="4956"/>
            <w:col w:w="2765"/>
          </w:cols>
        </w:sectPr>
      </w:pP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157"/>
        <w:gridCol w:w="2559"/>
        <w:gridCol w:w="2566"/>
      </w:tblGrid>
      <w:tr>
        <w:trPr>
          <w:trHeight w:val="283"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44,202,431.59</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253,957.60</w:t>
            </w:r>
          </w:p>
        </w:tc>
      </w:tr>
      <w:tr>
        <w:trPr>
          <w:trHeight w:val="281"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27,823,966.74</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27,570,772.99</w:t>
            </w:r>
          </w:p>
        </w:tc>
      </w:tr>
      <w:tr>
        <w:trPr>
          <w:trHeight w:val="283"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853,722.04</w:t>
            </w:r>
          </w:p>
        </w:tc>
        <w:tc>
          <w:tcPr>
            <w:tcW w:w="25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72,880,120.37</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27,824,730.59</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00" w:h="16850"/>
          <w:pgMar w:top="1120" w:bottom="1380" w:left="1480" w:right="900"/>
        </w:sectPr>
      </w:pPr>
    </w:p>
    <w:p>
      <w:pPr>
        <w:pStyle w:val="Heading2"/>
        <w:tabs>
          <w:tab w:pos="1061" w:val="left" w:leader="none"/>
        </w:tabs>
        <w:spacing w:line="240" w:lineRule="auto"/>
        <w:ind w:left="222" w:right="-19"/>
        <w:jc w:val="left"/>
        <w:rPr>
          <w:b w:val="0"/>
          <w:bCs w:val="0"/>
        </w:rPr>
      </w:pPr>
      <w:r>
        <w:rPr/>
        <w:t>十八、</w:t>
        <w:tab/>
        <w:t>补充资料</w:t>
      </w:r>
      <w:r>
        <w:rPr>
          <w:b w:val="0"/>
          <w:bCs w:val="0"/>
        </w:rPr>
      </w:r>
    </w:p>
    <w:p>
      <w:pPr>
        <w:pStyle w:val="Heading2"/>
        <w:spacing w:line="240" w:lineRule="auto" w:before="58"/>
        <w:ind w:left="222" w:right="-19"/>
        <w:jc w:val="left"/>
        <w:rPr>
          <w:b w:val="0"/>
          <w:bCs w:val="0"/>
        </w:rPr>
      </w:pPr>
      <w:r>
        <w:rPr>
          <w:rFonts w:ascii="宋体" w:hAnsi="宋体" w:cs="宋体" w:eastAsia="宋体" w:hint="default"/>
        </w:rPr>
        <w:t>1</w:t>
      </w:r>
      <w:r>
        <w:rPr/>
        <w:t>、 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73" w:val="left" w:leader="none"/>
        </w:tabs>
        <w:spacing w:line="240" w:lineRule="auto" w:before="178"/>
        <w:ind w:left="222" w:right="0"/>
        <w:jc w:val="left"/>
      </w:pPr>
      <w:r>
        <w:rPr>
          <w:spacing w:val="-1"/>
        </w:rPr>
        <w:t>单位：元</w:t>
        <w:tab/>
      </w:r>
      <w:r>
        <w:rPr>
          <w:spacing w:val="-2"/>
        </w:rPr>
        <w:t>币种：人民币</w:t>
      </w:r>
    </w:p>
    <w:p>
      <w:pPr>
        <w:spacing w:after="0" w:line="240" w:lineRule="auto"/>
        <w:jc w:val="left"/>
        <w:sectPr>
          <w:type w:val="continuous"/>
          <w:pgSz w:w="11900" w:h="16850"/>
          <w:pgMar w:top="1120" w:bottom="1380" w:left="1480" w:right="900"/>
          <w:cols w:num="2" w:equalWidth="0">
            <w:col w:w="2966" w:space="3789"/>
            <w:col w:w="2765"/>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162"/>
        <w:gridCol w:w="2554"/>
        <w:gridCol w:w="2566"/>
      </w:tblGrid>
      <w:tr>
        <w:trPr>
          <w:trHeight w:val="281"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12,616,949.19</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处置拖船等固定资产收益</w:t>
            </w:r>
          </w:p>
        </w:tc>
      </w:tr>
      <w:tr>
        <w:trPr>
          <w:trHeight w:val="826"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计入当期损益的政府补助（与企业业务密切</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4"/>
                <w:sz w:val="21"/>
                <w:szCs w:val="21"/>
              </w:rPr>
              <w:t>相关，按照国家统一标准定额或定量享受的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政府补助除外）</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20,746,650.06</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航道等与资产相关的政府</w:t>
            </w:r>
          </w:p>
          <w:p>
            <w:pPr>
              <w:pStyle w:val="TableParagraph"/>
              <w:spacing w:line="272" w:lineRule="exact" w:before="27"/>
              <w:ind w:left="103" w:right="137"/>
              <w:jc w:val="left"/>
              <w:rPr>
                <w:rFonts w:ascii="宋体" w:hAnsi="宋体" w:cs="宋体" w:eastAsia="宋体" w:hint="default"/>
                <w:sz w:val="21"/>
                <w:szCs w:val="21"/>
              </w:rPr>
            </w:pPr>
            <w:r>
              <w:rPr>
                <w:rFonts w:ascii="宋体" w:hAnsi="宋体" w:cs="宋体" w:eastAsia="宋体" w:hint="default"/>
                <w:spacing w:val="-2"/>
                <w:sz w:val="21"/>
                <w:szCs w:val="21"/>
              </w:rPr>
              <w:t>补助分期计入当期损益的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金额</w:t>
            </w:r>
          </w:p>
        </w:tc>
      </w:tr>
      <w:tr>
        <w:trPr>
          <w:trHeight w:val="1102"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54,510,921.43</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向北京盛通华诚投资有限</w:t>
            </w:r>
          </w:p>
          <w:p>
            <w:pPr>
              <w:pStyle w:val="TableParagraph"/>
              <w:spacing w:line="237" w:lineRule="auto"/>
              <w:ind w:left="103" w:right="137"/>
              <w:jc w:val="both"/>
              <w:rPr>
                <w:rFonts w:ascii="宋体" w:hAnsi="宋体" w:cs="宋体" w:eastAsia="宋体" w:hint="default"/>
                <w:sz w:val="21"/>
                <w:szCs w:val="21"/>
              </w:rPr>
            </w:pPr>
            <w:r>
              <w:rPr>
                <w:rFonts w:ascii="宋体" w:hAnsi="宋体" w:cs="宋体" w:eastAsia="宋体" w:hint="default"/>
                <w:spacing w:val="-2"/>
                <w:sz w:val="21"/>
                <w:szCs w:val="21"/>
              </w:rPr>
              <w:t>公司、辽宁锦港宝地置业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有限公司提供委托贷款取</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得的收益</w:t>
            </w:r>
          </w:p>
        </w:tc>
      </w:tr>
      <w:tr>
        <w:trPr>
          <w:trHeight w:val="281"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1,201,536.6</w:t>
            </w:r>
          </w:p>
        </w:tc>
        <w:tc>
          <w:tcPr>
            <w:tcW w:w="256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-22,269,014.32</w:t>
            </w:r>
          </w:p>
        </w:tc>
        <w:tc>
          <w:tcPr>
            <w:tcW w:w="25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-22,461.50</w:t>
            </w:r>
          </w:p>
        </w:tc>
        <w:tc>
          <w:tcPr>
            <w:tcW w:w="25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66,784,581.46</w:t>
            </w:r>
          </w:p>
        </w:tc>
        <w:tc>
          <w:tcPr>
            <w:tcW w:w="25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222" w:right="0"/>
        <w:jc w:val="left"/>
        <w:rPr>
          <w:b w:val="0"/>
          <w:bCs w:val="0"/>
        </w:rPr>
      </w:pPr>
      <w:r>
        <w:rPr>
          <w:rFonts w:ascii="宋体" w:hAnsi="宋体" w:cs="宋体" w:eastAsia="宋体" w:hint="default"/>
        </w:rPr>
        <w:t>2</w:t>
      </w:r>
      <w:r>
        <w:rPr/>
        <w:t>、 净资产收益率及每股收益</w:t>
      </w:r>
      <w:r>
        <w:rPr>
          <w:b w:val="0"/>
          <w:bCs w:val="0"/>
        </w:rPr>
      </w:r>
    </w:p>
    <w:p>
      <w:pPr>
        <w:spacing w:line="240" w:lineRule="auto" w:before="1"/>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2989"/>
        <w:gridCol w:w="1889"/>
        <w:gridCol w:w="2201"/>
        <w:gridCol w:w="2204"/>
      </w:tblGrid>
      <w:tr>
        <w:trPr>
          <w:trHeight w:val="281" w:hRule="exact"/>
        </w:trPr>
        <w:tc>
          <w:tcPr>
            <w:tcW w:w="2989" w:type="dxa"/>
            <w:vMerge w:val="restart"/>
            <w:tcBorders>
              <w:top w:val="single" w:sz="4" w:space="0" w:color="000000"/>
              <w:left w:val="single" w:sz="4" w:space="0" w:color="000000"/>
              <w:right w:val="single" w:sz="4" w:space="0" w:color="000000"/>
            </w:tcBorders>
          </w:tcPr>
          <w:p>
            <w:pPr>
              <w:pStyle w:val="TableParagraph"/>
              <w:spacing w:line="240" w:lineRule="auto" w:before="150"/>
              <w:ind w:left="962"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89" w:type="dxa"/>
            <w:vMerge w:val="restart"/>
            <w:tcBorders>
              <w:top w:val="single" w:sz="4" w:space="0" w:color="000000"/>
              <w:left w:val="single" w:sz="4" w:space="0" w:color="000000"/>
              <w:right w:val="single" w:sz="4" w:space="0" w:color="000000"/>
            </w:tcBorders>
          </w:tcPr>
          <w:p>
            <w:pPr>
              <w:pStyle w:val="TableParagraph"/>
              <w:spacing w:line="240" w:lineRule="auto" w:before="14"/>
              <w:ind w:left="362" w:right="199"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2" w:hRule="exact"/>
        </w:trPr>
        <w:tc>
          <w:tcPr>
            <w:tcW w:w="2989" w:type="dxa"/>
            <w:vMerge/>
            <w:tcBorders>
              <w:left w:val="single" w:sz="4" w:space="0" w:color="000000"/>
              <w:bottom w:val="single" w:sz="4" w:space="0" w:color="000000"/>
              <w:right w:val="single" w:sz="4" w:space="0" w:color="000000"/>
            </w:tcBorders>
          </w:tcPr>
          <w:p>
            <w:pPr/>
          </w:p>
        </w:tc>
        <w:tc>
          <w:tcPr>
            <w:tcW w:w="1889" w:type="dxa"/>
            <w:vMerge/>
            <w:tcBorders>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65"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65"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0.06</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0.06</w:t>
            </w:r>
          </w:p>
        </w:tc>
      </w:tr>
      <w:tr>
        <w:trPr>
          <w:trHeight w:val="555"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司普通股股东的净利润</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1.06</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0.03</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0.03</w:t>
            </w:r>
          </w:p>
        </w:tc>
      </w:tr>
    </w:tbl>
    <w:p>
      <w:pPr>
        <w:spacing w:line="240" w:lineRule="auto" w:before="12"/>
        <w:rPr>
          <w:rFonts w:ascii="宋体" w:hAnsi="宋体" w:cs="宋体" w:eastAsia="宋体" w:hint="default"/>
          <w:b/>
          <w:bCs/>
          <w:sz w:val="19"/>
          <w:szCs w:val="19"/>
        </w:rPr>
      </w:pPr>
    </w:p>
    <w:p>
      <w:pPr>
        <w:pStyle w:val="Heading2"/>
        <w:spacing w:line="240" w:lineRule="auto"/>
        <w:ind w:left="222" w:right="0"/>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8"/>
        <w:ind w:left="222" w:right="6958"/>
        <w:jc w:val="left"/>
      </w:pPr>
      <w:r>
        <w:rPr/>
        <w:t>□适用 √不适用</w:t>
      </w:r>
    </w:p>
    <w:p>
      <w:pPr>
        <w:spacing w:after="0" w:line="240" w:lineRule="auto"/>
        <w:jc w:val="left"/>
        <w:sectPr>
          <w:type w:val="continuous"/>
          <w:pgSz w:w="11900" w:h="16850"/>
          <w:pgMar w:top="1120" w:bottom="1380" w:left="14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1"/>
        <w:spacing w:line="240" w:lineRule="auto"/>
        <w:ind w:left="3182" w:right="3191"/>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6" w:type="dxa"/>
        <w:tblLayout w:type="fixed"/>
        <w:tblCellMar>
          <w:top w:w="0" w:type="dxa"/>
          <w:left w:w="0" w:type="dxa"/>
          <w:bottom w:w="0" w:type="dxa"/>
          <w:right w:w="0" w:type="dxa"/>
        </w:tblCellMar>
        <w:tblLook w:val="01E0"/>
      </w:tblPr>
      <w:tblGrid>
        <w:gridCol w:w="2355"/>
        <w:gridCol w:w="6774"/>
      </w:tblGrid>
      <w:tr>
        <w:trPr>
          <w:trHeight w:val="554"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38"/>
              <w:jc w:val="right"/>
              <w:rPr>
                <w:rFonts w:ascii="宋体" w:hAnsi="宋体" w:cs="宋体" w:eastAsia="宋体" w:hint="default"/>
                <w:sz w:val="21"/>
                <w:szCs w:val="21"/>
              </w:rPr>
            </w:pPr>
            <w:r>
              <w:rPr>
                <w:rFonts w:ascii="宋体" w:hAnsi="宋体" w:cs="宋体" w:eastAsia="宋体" w:hint="default"/>
                <w:spacing w:val="-1"/>
                <w:sz w:val="21"/>
                <w:szCs w:val="21"/>
              </w:rPr>
              <w:t>备查文件目录</w:t>
            </w:r>
          </w:p>
        </w:tc>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载有企业负责人、主管会计工作负责人、会计机构负责人签名并盖章的会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计报表。</w:t>
            </w:r>
          </w:p>
        </w:tc>
      </w:tr>
      <w:tr>
        <w:trPr>
          <w:trHeight w:val="281"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8"/>
              <w:jc w:val="right"/>
              <w:rPr>
                <w:rFonts w:ascii="宋体" w:hAnsi="宋体" w:cs="宋体" w:eastAsia="宋体" w:hint="default"/>
                <w:sz w:val="21"/>
                <w:szCs w:val="21"/>
              </w:rPr>
            </w:pPr>
            <w:r>
              <w:rPr>
                <w:rFonts w:ascii="宋体" w:hAnsi="宋体" w:cs="宋体" w:eastAsia="宋体" w:hint="default"/>
                <w:spacing w:val="-1"/>
                <w:sz w:val="21"/>
                <w:szCs w:val="21"/>
              </w:rPr>
              <w:t>备查文件目录</w:t>
            </w:r>
          </w:p>
        </w:tc>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283"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8"/>
              <w:jc w:val="right"/>
              <w:rPr>
                <w:rFonts w:ascii="宋体" w:hAnsi="宋体" w:cs="宋体" w:eastAsia="宋体" w:hint="default"/>
                <w:sz w:val="21"/>
                <w:szCs w:val="21"/>
              </w:rPr>
            </w:pPr>
            <w:r>
              <w:rPr>
                <w:rFonts w:ascii="宋体" w:hAnsi="宋体" w:cs="宋体" w:eastAsia="宋体" w:hint="default"/>
                <w:spacing w:val="-1"/>
                <w:sz w:val="21"/>
                <w:szCs w:val="21"/>
              </w:rPr>
              <w:t>备查文件目录</w:t>
            </w:r>
          </w:p>
        </w:tc>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载有本公司董事、高级管理人员亲笔签名的年度报告正文。</w:t>
            </w:r>
          </w:p>
        </w:tc>
      </w:tr>
      <w:tr>
        <w:trPr>
          <w:trHeight w:val="555"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38"/>
              <w:jc w:val="right"/>
              <w:rPr>
                <w:rFonts w:ascii="宋体" w:hAnsi="宋体" w:cs="宋体" w:eastAsia="宋体" w:hint="default"/>
                <w:sz w:val="21"/>
                <w:szCs w:val="21"/>
              </w:rPr>
            </w:pPr>
            <w:r>
              <w:rPr>
                <w:rFonts w:ascii="宋体" w:hAnsi="宋体" w:cs="宋体" w:eastAsia="宋体" w:hint="default"/>
                <w:spacing w:val="-1"/>
                <w:sz w:val="21"/>
                <w:szCs w:val="21"/>
              </w:rPr>
              <w:t>备查文件目录</w:t>
            </w:r>
          </w:p>
        </w:tc>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报告期内在中国证监会指定报刊上公开披露过的所有公司文件的正本及</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r>
        <w:trPr>
          <w:trHeight w:val="283"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8"/>
              <w:jc w:val="right"/>
              <w:rPr>
                <w:rFonts w:ascii="宋体" w:hAnsi="宋体" w:cs="宋体" w:eastAsia="宋体" w:hint="default"/>
                <w:sz w:val="21"/>
                <w:szCs w:val="21"/>
              </w:rPr>
            </w:pPr>
            <w:r>
              <w:rPr>
                <w:rFonts w:ascii="宋体" w:hAnsi="宋体" w:cs="宋体" w:eastAsia="宋体" w:hint="default"/>
                <w:spacing w:val="-1"/>
                <w:sz w:val="21"/>
                <w:szCs w:val="21"/>
              </w:rPr>
              <w:t>备查文件目录</w:t>
            </w:r>
          </w:p>
        </w:tc>
        <w:tc>
          <w:tcPr>
            <w:tcW w:w="6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上述文件的备置地点：锦州港股份有限公司董监事会秘书处。</w:t>
            </w:r>
          </w:p>
        </w:tc>
      </w:tr>
    </w:tbl>
    <w:p>
      <w:pPr>
        <w:spacing w:line="240" w:lineRule="auto" w:before="3"/>
        <w:rPr>
          <w:rFonts w:ascii="宋体" w:hAnsi="宋体" w:cs="宋体" w:eastAsia="宋体" w:hint="default"/>
          <w:b/>
          <w:bCs/>
          <w:sz w:val="21"/>
          <w:szCs w:val="21"/>
        </w:rPr>
      </w:pPr>
    </w:p>
    <w:p>
      <w:pPr>
        <w:pStyle w:val="BodyText"/>
        <w:spacing w:line="314" w:lineRule="auto" w:before="36"/>
        <w:ind w:left="5475" w:right="146" w:firstLine="2467"/>
        <w:jc w:val="left"/>
      </w:pPr>
      <w:r>
        <w:rPr>
          <w:spacing w:val="-2"/>
        </w:rPr>
        <w:t>董事长：徐健</w:t>
      </w:r>
      <w:r>
        <w:rPr>
          <w:spacing w:val="-3"/>
          <w:w w:val="100"/>
        </w:rPr>
        <w:t> </w:t>
      </w:r>
      <w:r>
        <w:rPr/>
        <w:t>董事会批准报送日期：</w:t>
      </w:r>
      <w:r>
        <w:rPr>
          <w:rFonts w:ascii="宋体" w:hAnsi="宋体" w:cs="宋体" w:eastAsia="宋体" w:hint="default"/>
        </w:rPr>
        <w:t>2016</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15</w:t>
      </w:r>
      <w:r>
        <w:rPr>
          <w:rFonts w:ascii="宋体" w:hAnsi="宋体" w:cs="宋体" w:eastAsia="宋体" w:hint="default"/>
          <w:spacing w:val="-54"/>
        </w:rPr>
        <w:t> </w:t>
      </w:r>
      <w:r>
        <w:rPr/>
        <w:t>日</w:t>
      </w:r>
    </w:p>
    <w:sectPr>
      <w:pgSz w:w="11900" w:h="16850"/>
      <w:pgMar w:header="762" w:footer="1195" w:top="1080" w:bottom="1380" w:left="156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769989pt;margin-top:771.169983pt;width:28.85pt;height:11pt;mso-position-horizontal-relative:page;mso-position-vertical-relative:page;z-index:-694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114</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489990pt;margin-top:771.169983pt;width:32.4pt;height:11pt;mso-position-horizontal-relative:page;mso-position-vertical-relative:page;z-index:-6946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114</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489990pt;margin-top:771.169983pt;width:33.4pt;height:11pt;mso-position-horizontal-relative:page;mso-position-vertical-relative:page;z-index:-694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114</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829987pt;margin-top:524.546021pt;width:33.4pt;height:11pt;mso-position-horizontal-relative:page;mso-position-vertical-relative:page;z-index:-694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48</w:t>
                </w:r>
                <w:r>
                  <w:rPr/>
                  <w:fldChar w:fldCharType="end"/>
                </w:r>
                <w:r>
                  <w:rPr>
                    <w:rFonts w:ascii="Calibri"/>
                    <w:b/>
                    <w:sz w:val="18"/>
                  </w:rPr>
                  <w:t> </w:t>
                </w:r>
                <w:r>
                  <w:rPr>
                    <w:rFonts w:ascii="Calibri"/>
                    <w:sz w:val="18"/>
                  </w:rPr>
                  <w:t>/</w:t>
                </w:r>
                <w:r>
                  <w:rPr>
                    <w:rFonts w:ascii="Calibri"/>
                    <w:spacing w:val="-3"/>
                    <w:sz w:val="18"/>
                  </w:rPr>
                  <w:t> </w:t>
                </w:r>
                <w:r>
                  <w:rPr>
                    <w:rFonts w:ascii="Calibri"/>
                    <w:b/>
                    <w:sz w:val="18"/>
                  </w:rPr>
                  <w:t>114</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5.829987pt;margin-top:524.546021pt;width:32.4pt;height:11pt;mso-position-horizontal-relative:page;mso-position-vertical-relative:page;z-index:-6945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114</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5.829987pt;margin-top:524.546021pt;width:32.4pt;height:11pt;mso-position-horizontal-relative:page;mso-position-vertical-relative:page;z-index:-6945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51 </w:t>
                </w:r>
                <w:r>
                  <w:rPr>
                    <w:rFonts w:ascii="Calibri"/>
                    <w:sz w:val="18"/>
                  </w:rPr>
                  <w:t>/</w:t>
                </w:r>
                <w:r>
                  <w:rPr>
                    <w:rFonts w:ascii="Calibri"/>
                    <w:spacing w:val="-4"/>
                    <w:sz w:val="18"/>
                  </w:rPr>
                  <w:t> </w:t>
                </w:r>
                <w:r>
                  <w:rPr>
                    <w:rFonts w:ascii="Calibri"/>
                    <w:b/>
                    <w:sz w:val="18"/>
                  </w:rPr>
                  <w:t>114</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489990pt;margin-top:771.169983pt;width:33.4pt;height:11pt;mso-position-horizontal-relative:page;mso-position-vertical-relative:page;z-index:-694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52</w:t>
                </w:r>
                <w:r>
                  <w:rPr/>
                  <w:fldChar w:fldCharType="end"/>
                </w:r>
                <w:r>
                  <w:rPr>
                    <w:rFonts w:ascii="Calibri"/>
                    <w:b/>
                    <w:sz w:val="18"/>
                  </w:rPr>
                  <w:t> </w:t>
                </w:r>
                <w:r>
                  <w:rPr>
                    <w:rFonts w:ascii="Calibri"/>
                    <w:sz w:val="18"/>
                  </w:rPr>
                  <w:t>/</w:t>
                </w:r>
                <w:r>
                  <w:rPr>
                    <w:rFonts w:ascii="Calibri"/>
                    <w:spacing w:val="-3"/>
                    <w:sz w:val="18"/>
                  </w:rPr>
                  <w:t> </w:t>
                </w:r>
                <w:r>
                  <w:rPr>
                    <w:rFonts w:ascii="Calibri"/>
                    <w:b/>
                    <w:sz w:val="18"/>
                  </w:rPr>
                  <w:t>114</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489990pt;margin-top:771.169983pt;width:32.4pt;height:11pt;mso-position-horizontal-relative:page;mso-position-vertical-relative:page;z-index:-6944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114</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489990pt;margin-top:771.169983pt;width:33.4pt;height:11pt;mso-position-horizontal-relative:page;mso-position-vertical-relative:page;z-index:-694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66</w:t>
                </w:r>
                <w:r>
                  <w:rPr/>
                  <w:fldChar w:fldCharType="end"/>
                </w:r>
                <w:r>
                  <w:rPr>
                    <w:rFonts w:ascii="Calibri"/>
                    <w:b/>
                    <w:sz w:val="18"/>
                  </w:rPr>
                  <w:t> </w:t>
                </w:r>
                <w:r>
                  <w:rPr>
                    <w:rFonts w:ascii="Calibri"/>
                    <w:sz w:val="18"/>
                  </w:rPr>
                  <w:t>/</w:t>
                </w:r>
                <w:r>
                  <w:rPr>
                    <w:rFonts w:ascii="Calibri"/>
                    <w:spacing w:val="-3"/>
                    <w:sz w:val="18"/>
                  </w:rPr>
                  <w:t> </w:t>
                </w:r>
                <w:r>
                  <w:rPr>
                    <w:rFonts w:ascii="Calibri"/>
                    <w:b/>
                    <w:sz w:val="18"/>
                  </w:rPr>
                  <w:t>114</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489990pt;margin-top:771.169983pt;width:32.4pt;height:11pt;mso-position-horizontal-relative:page;mso-position-vertical-relative:page;z-index:-6943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114</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489990pt;margin-top:771.169983pt;width:33.4pt;height:11pt;mso-position-horizontal-relative:page;mso-position-vertical-relative:page;z-index:-694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114</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489990pt;margin-top:771.169983pt;width:32.4pt;height:11pt;mso-position-horizontal-relative:page;mso-position-vertical-relative:page;z-index:-694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114</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489990pt;margin-top:771.169983pt;width:32.4pt;height:11pt;mso-position-horizontal-relative:page;mso-position-vertical-relative:page;z-index:-6943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114</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489990pt;margin-top:771.169983pt;width:33.4pt;height:11pt;mso-position-horizontal-relative:page;mso-position-vertical-relative:page;z-index:-694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114</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489990pt;margin-top:771.169983pt;width:33.4pt;height:11pt;mso-position-horizontal-relative:page;mso-position-vertical-relative:page;z-index:-694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83</w:t>
                </w:r>
                <w:r>
                  <w:rPr/>
                  <w:fldChar w:fldCharType="end"/>
                </w:r>
                <w:r>
                  <w:rPr>
                    <w:rFonts w:ascii="Calibri"/>
                    <w:b/>
                    <w:sz w:val="18"/>
                  </w:rPr>
                  <w:t> </w:t>
                </w:r>
                <w:r>
                  <w:rPr>
                    <w:rFonts w:ascii="Calibri"/>
                    <w:sz w:val="18"/>
                  </w:rPr>
                  <w:t>/</w:t>
                </w:r>
                <w:r>
                  <w:rPr>
                    <w:rFonts w:ascii="Calibri"/>
                    <w:spacing w:val="-3"/>
                    <w:sz w:val="18"/>
                  </w:rPr>
                  <w:t> </w:t>
                </w:r>
                <w:r>
                  <w:rPr>
                    <w:rFonts w:ascii="Calibri"/>
                    <w:b/>
                    <w:sz w:val="18"/>
                  </w:rPr>
                  <w:t>114</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46.764954pt;width:80.850pt;height:12.6pt;mso-position-horizontal-relative:page;mso-position-vertical-relative:page;z-index:-694240" type="#_x0000_t202" filled="false" stroked="false">
          <v:textbox inset="0,0,0,0">
            <w:txbxContent>
              <w:p>
                <w:pPr>
                  <w:pStyle w:val="BodyText"/>
                  <w:spacing w:line="231" w:lineRule="exact"/>
                  <w:ind w:left="20" w:right="0"/>
                  <w:jc w:val="left"/>
                </w:pPr>
                <w:r>
                  <w:rPr/>
                  <w:t>√适用</w:t>
                </w:r>
                <w:r>
                  <w:rPr>
                    <w:spacing w:val="-1"/>
                  </w:rPr>
                  <w:t> </w:t>
                </w:r>
                <w:r>
                  <w:rPr/>
                  <w:t>□不适用</w:t>
                </w:r>
              </w:p>
            </w:txbxContent>
          </v:textbox>
          <w10:wrap type="none"/>
        </v:shape>
      </w:pict>
    </w:r>
    <w:r>
      <w:rPr/>
      <w:pict>
        <v:shape style="position:absolute;margin-left:302.489990pt;margin-top:771.169983pt;width:33.4pt;height:11pt;mso-position-horizontal-relative:page;mso-position-vertical-relative:page;z-index:-694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90</w:t>
                </w:r>
                <w:r>
                  <w:rPr/>
                  <w:fldChar w:fldCharType="end"/>
                </w:r>
                <w:r>
                  <w:rPr>
                    <w:rFonts w:ascii="Calibri"/>
                    <w:b/>
                    <w:sz w:val="18"/>
                  </w:rPr>
                  <w:t> </w:t>
                </w:r>
                <w:r>
                  <w:rPr>
                    <w:rFonts w:ascii="Calibri"/>
                    <w:sz w:val="18"/>
                  </w:rPr>
                  <w:t>/</w:t>
                </w:r>
                <w:r>
                  <w:rPr>
                    <w:rFonts w:ascii="Calibri"/>
                    <w:spacing w:val="-3"/>
                    <w:sz w:val="18"/>
                  </w:rPr>
                  <w:t> </w:t>
                </w:r>
                <w:r>
                  <w:rPr>
                    <w:rFonts w:ascii="Calibri"/>
                    <w:b/>
                    <w:sz w:val="18"/>
                  </w:rPr>
                  <w:t>114</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489990pt;margin-top:771.169983pt;width:33.4pt;height:11pt;mso-position-horizontal-relative:page;mso-position-vertical-relative:page;z-index:-694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92</w:t>
                </w:r>
                <w:r>
                  <w:rPr/>
                  <w:fldChar w:fldCharType="end"/>
                </w:r>
                <w:r>
                  <w:rPr>
                    <w:rFonts w:ascii="Calibri"/>
                    <w:b/>
                    <w:sz w:val="18"/>
                  </w:rPr>
                  <w:t> </w:t>
                </w:r>
                <w:r>
                  <w:rPr>
                    <w:rFonts w:ascii="Calibri"/>
                    <w:sz w:val="18"/>
                  </w:rPr>
                  <w:t>/</w:t>
                </w:r>
                <w:r>
                  <w:rPr>
                    <w:rFonts w:ascii="Calibri"/>
                    <w:spacing w:val="-3"/>
                    <w:sz w:val="18"/>
                  </w:rPr>
                  <w:t> </w:t>
                </w:r>
                <w:r>
                  <w:rPr>
                    <w:rFonts w:ascii="Calibri"/>
                    <w:b/>
                    <w:sz w:val="18"/>
                  </w:rPr>
                  <w:t>114</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309998pt;margin-top:784.009949pt;width:37.950pt;height:11pt;mso-position-horizontal-relative:page;mso-position-vertical-relative:page;z-index:-694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100</w:t>
                </w:r>
                <w:r>
                  <w:rPr/>
                  <w:fldChar w:fldCharType="end"/>
                </w:r>
                <w:r>
                  <w:rPr>
                    <w:rFonts w:ascii="Calibri"/>
                    <w:b/>
                    <w:sz w:val="18"/>
                  </w:rPr>
                  <w:t> </w:t>
                </w:r>
                <w:r>
                  <w:rPr>
                    <w:rFonts w:ascii="Calibri"/>
                    <w:sz w:val="18"/>
                  </w:rPr>
                  <w:t>/</w:t>
                </w:r>
                <w:r>
                  <w:rPr>
                    <w:rFonts w:ascii="Calibri"/>
                    <w:spacing w:val="-3"/>
                    <w:sz w:val="18"/>
                  </w:rPr>
                  <w:t> </w:t>
                </w:r>
                <w:r>
                  <w:rPr>
                    <w:rFonts w:ascii="Calibri"/>
                    <w:b/>
                    <w:sz w:val="18"/>
                  </w:rPr>
                  <w:t>114</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309998pt;margin-top:784.009949pt;width:36.950pt;height:11pt;mso-position-horizontal-relative:page;mso-position-vertical-relative:page;z-index:-6940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114</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489990pt;margin-top:771.169983pt;width:33.4pt;height:11pt;mso-position-horizontal-relative:page;mso-position-vertical-relative:page;z-index:-694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114</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309998pt;margin-top:784.009949pt;width:37.950pt;height:11pt;mso-position-horizontal-relative:page;mso-position-vertical-relative:page;z-index:-694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114</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309998pt;margin-top:771.289978pt;width:37.950pt;height:11pt;mso-position-horizontal-relative:page;mso-position-vertical-relative:page;z-index:-694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113</w:t>
                </w:r>
                <w:r>
                  <w:rPr/>
                  <w:fldChar w:fldCharType="end"/>
                </w:r>
                <w:r>
                  <w:rPr>
                    <w:rFonts w:ascii="Calibri"/>
                    <w:b/>
                    <w:sz w:val="18"/>
                  </w:rPr>
                  <w:t> </w:t>
                </w:r>
                <w:r>
                  <w:rPr>
                    <w:rFonts w:ascii="Calibri"/>
                    <w:sz w:val="18"/>
                  </w:rPr>
                  <w:t>/</w:t>
                </w:r>
                <w:r>
                  <w:rPr>
                    <w:rFonts w:ascii="Calibri"/>
                    <w:spacing w:val="-3"/>
                    <w:sz w:val="18"/>
                  </w:rPr>
                  <w:t> </w:t>
                </w:r>
                <w:r>
                  <w:rPr>
                    <w:rFonts w:ascii="Calibri"/>
                    <w:b/>
                    <w:sz w:val="18"/>
                  </w:rPr>
                  <w:t>114</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489990pt;margin-top:771.169983pt;width:32.4pt;height:11pt;mso-position-horizontal-relative:page;mso-position-vertical-relative:page;z-index:-6948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114</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489990pt;margin-top:771.169983pt;width:33.4pt;height:11pt;mso-position-horizontal-relative:page;mso-position-vertical-relative:page;z-index:-694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114</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829987pt;margin-top:524.546021pt;width:33.4pt;height:11pt;mso-position-horizontal-relative:page;mso-position-vertical-relative:page;z-index:-694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w:t>
                </w:r>
                <w:r>
                  <w:rPr/>
                  <w:fldChar w:fldCharType="end"/>
                </w:r>
                <w:r>
                  <w:rPr>
                    <w:rFonts w:ascii="Calibri"/>
                    <w:b/>
                    <w:sz w:val="18"/>
                  </w:rPr>
                  <w:t> </w:t>
                </w:r>
                <w:r>
                  <w:rPr>
                    <w:rFonts w:ascii="Calibri"/>
                    <w:sz w:val="18"/>
                  </w:rPr>
                  <w:t>/</w:t>
                </w:r>
                <w:r>
                  <w:rPr>
                    <w:rFonts w:ascii="Calibri"/>
                    <w:spacing w:val="-3"/>
                    <w:sz w:val="18"/>
                  </w:rPr>
                  <w:t> </w:t>
                </w:r>
                <w:r>
                  <w:rPr>
                    <w:rFonts w:ascii="Calibri"/>
                    <w:b/>
                    <w:sz w:val="18"/>
                  </w:rPr>
                  <w:t>114</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5.829987pt;margin-top:524.546021pt;width:32.4pt;height:11pt;mso-position-horizontal-relative:page;mso-position-vertical-relative:page;z-index:-6947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114</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5.829987pt;margin-top:524.546021pt;width:32.4pt;height:11pt;mso-position-horizontal-relative:page;mso-position-vertical-relative:page;z-index:-6947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31 </w:t>
                </w:r>
                <w:r>
                  <w:rPr>
                    <w:rFonts w:ascii="Calibri"/>
                    <w:sz w:val="18"/>
                  </w:rPr>
                  <w:t>/</w:t>
                </w:r>
                <w:r>
                  <w:rPr>
                    <w:rFonts w:ascii="Calibri"/>
                    <w:spacing w:val="-4"/>
                    <w:sz w:val="18"/>
                  </w:rPr>
                  <w:t> </w:t>
                </w:r>
                <w:r>
                  <w:rPr>
                    <w:rFonts w:ascii="Calibri"/>
                    <w:b/>
                    <w:sz w:val="18"/>
                  </w:rPr>
                  <w:t>114</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489990pt;margin-top:771.169983pt;width:33.4pt;height:11pt;mso-position-horizontal-relative:page;mso-position-vertical-relative:page;z-index:-694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32</w:t>
                </w:r>
                <w:r>
                  <w:rPr/>
                  <w:fldChar w:fldCharType="end"/>
                </w:r>
                <w:r>
                  <w:rPr>
                    <w:rFonts w:ascii="Calibri"/>
                    <w:b/>
                    <w:sz w:val="18"/>
                  </w:rPr>
                  <w:t> </w:t>
                </w:r>
                <w:r>
                  <w:rPr>
                    <w:rFonts w:ascii="Calibri"/>
                    <w:sz w:val="18"/>
                  </w:rPr>
                  <w:t>/</w:t>
                </w:r>
                <w:r>
                  <w:rPr>
                    <w:rFonts w:ascii="Calibri"/>
                    <w:spacing w:val="-3"/>
                    <w:sz w:val="18"/>
                  </w:rPr>
                  <w:t> </w:t>
                </w:r>
                <w:r>
                  <w:rPr>
                    <w:rFonts w:ascii="Calibri"/>
                    <w:b/>
                    <w:sz w:val="18"/>
                  </w:rPr>
                  <w:t>114</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69500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85.489990pt;margin-top:42.985607pt;width:67.55pt;height:12pt;mso-position-horizontal-relative:page;mso-position-vertical-relative:page;z-index:-6949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450012pt;margin-top:37.105602pt;width:67.55pt;height:12pt;mso-position-horizontal-relative:page;mso-position-vertical-relative:page;z-index:-6940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694840"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97.809998pt;margin-top:42.985634pt;width:67.55pt;height:12pt;mso-position-horizontal-relative:page;mso-position-vertical-relative:page;z-index:-6948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694720"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85.489990pt;margin-top:42.865608pt;width:67.55pt;height:12pt;mso-position-horizontal-relative:page;mso-position-vertical-relative:page;z-index:-6946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69460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97.809998pt;margin-top:43.105633pt;width:67.55pt;height:12pt;mso-position-horizontal-relative:page;mso-position-vertical-relative:page;z-index:-6945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69448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85.489990pt;margin-top:43.105606pt;width:67.55pt;height:12pt;mso-position-horizontal-relative:page;mso-position-vertical-relative:page;z-index:-6944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450012pt;margin-top:36.985607pt;width:67.55pt;height:12pt;mso-position-horizontal-relative:page;mso-position-vertical-relative:page;z-index:-6941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450012pt;margin-top:37.105602pt;width:67.55pt;height:12pt;mso-position-horizontal-relative:page;mso-position-vertical-relative:page;z-index:-6941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558"/>
    </w:pPr>
    <w:rPr>
      <w:rFonts w:ascii="宋体" w:hAnsi="宋体" w:eastAsia="宋体"/>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spacing w:before="36"/>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MSC@JINZHOUPORT.COM" TargetMode="External"/><Relationship Id="rId8" Type="http://schemas.openxmlformats.org/officeDocument/2006/relationships/hyperlink" Target="http://WWW.JINZHOUPORT.COM/" TargetMode="External"/><Relationship Id="rId9" Type="http://schemas.openxmlformats.org/officeDocument/2006/relationships/hyperlink" Target="mailto:JZP@jinzhouport.com" TargetMode="External"/><Relationship Id="rId10" Type="http://schemas.openxmlformats.org/officeDocument/2006/relationships/hyperlink" Target="http://www.sse.com.cn/" TargetMode="External"/><Relationship Id="rId11" Type="http://schemas.openxmlformats.org/officeDocument/2006/relationships/hyperlink" Target="http://www.cnexp.net/waimao_zhishi/guoji_waimao_yunshu/index.html"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2.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header" Target="header3.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header" Target="header4.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header" Target="header5.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footer" Target="footer21.xml"/><Relationship Id="rId36" Type="http://schemas.openxmlformats.org/officeDocument/2006/relationships/footer" Target="footer22.xml"/><Relationship Id="rId37" Type="http://schemas.openxmlformats.org/officeDocument/2006/relationships/footer" Target="footer23.xml"/><Relationship Id="rId38" Type="http://schemas.openxmlformats.org/officeDocument/2006/relationships/footer" Target="footer24.xml"/><Relationship Id="rId39" Type="http://schemas.openxmlformats.org/officeDocument/2006/relationships/header" Target="header6.xml"/><Relationship Id="rId40" Type="http://schemas.openxmlformats.org/officeDocument/2006/relationships/header" Target="header7.xml"/><Relationship Id="rId41" Type="http://schemas.openxmlformats.org/officeDocument/2006/relationships/footer" Target="footer25.xml"/><Relationship Id="rId42" Type="http://schemas.openxmlformats.org/officeDocument/2006/relationships/header" Target="header8.xml"/><Relationship Id="rId43" Type="http://schemas.openxmlformats.org/officeDocument/2006/relationships/footer" Target="footer26.xml"/><Relationship Id="rId44" Type="http://schemas.openxmlformats.org/officeDocument/2006/relationships/header" Target="header9.xml"/><Relationship Id="rId45" Type="http://schemas.openxmlformats.org/officeDocument/2006/relationships/footer" Target="footer27.xml"/><Relationship Id="rId46" Type="http://schemas.openxmlformats.org/officeDocument/2006/relationships/footer" Target="footer28.xml"/><Relationship Id="rId47" Type="http://schemas.openxmlformats.org/officeDocument/2006/relationships/footer" Target="footer29.xml"/><Relationship Id="rId48" Type="http://schemas.openxmlformats.org/officeDocument/2006/relationships/footer" Target="footer30.xml"/><Relationship Id="rId49" Type="http://schemas.openxmlformats.org/officeDocument/2006/relationships/header" Target="header10.xml"/><Relationship Id="rId50" Type="http://schemas.openxmlformats.org/officeDocument/2006/relationships/footer" Target="foot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2020-05-04T18:01:30Z</dcterms:created>
  <dcterms:modified xsi:type="dcterms:W3CDTF">2020-05-04T18:01:30Z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2016-04-18T00:00:00Z</vt:filetime>
  </property>
  <property fmtid="{D5CDD505-2E9C-101B-9397-08002B2CF9AE}" pid="3" name="Creator">
    <vt:lpwstr>Microsoft® Office Word 2007</vt:lpwstr>
  </property>
  <property fmtid="{D5CDD505-2E9C-101B-9397-08002B2CF9AE}" pid="4" name="LastSaved">
    <vt:filetime>2020-05-04T00:00:00Z</vt:filetime>
  </property>
</Properties>
</file>